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工作计划</w:t>
      </w:r>
    </w:p>
    <w:p>
      <w:p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page" w:tblpX="1698" w:tblpY="366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674"/>
        <w:gridCol w:w="2632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 w:eastAsiaTheme="minor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时间段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工作内容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工作输出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9:30~10:00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编写当天工作计划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10:00~12:00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在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58同城，赶集网编写发布招聘信息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已发布教育咨询师，接待专员，教师，财务经理，市场经理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5个职位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12:00~13:00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在微信公众号上寻找宣传文章一篇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文章“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24个保持高效学习状态的诀窍”一篇</w:t>
            </w:r>
            <w:bookmarkStart w:id="0" w:name="_GoBack"/>
            <w:bookmarkEnd w:id="0"/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14:00~16:00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学习教育咨询师基本知识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16;00~18:00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在58同城，赶集网上寻找符合我司招聘条件的求职人员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righ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时间：</w:t>
      </w:r>
      <w:r>
        <w:rPr>
          <w:rFonts w:hint="eastAsia"/>
          <w:sz w:val="28"/>
          <w:szCs w:val="28"/>
          <w:lang w:val="en-US" w:eastAsia="zh-CN"/>
        </w:rPr>
        <w:t>2016年11月27日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0F67"/>
    <w:rsid w:val="0E6D738C"/>
    <w:rsid w:val="2EBC2C25"/>
    <w:rsid w:val="731E1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2016-11-27T06:36:48Z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