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工作计划</w:t>
      </w:r>
    </w:p>
    <w:p>
      <w:p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page" w:tblpX="1698" w:tblpY="366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674"/>
        <w:gridCol w:w="2632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 w:eastAsiaTheme="minor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时间段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工作内容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工作输出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9:30~10:00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编写当天工作计划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10:00~12:00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编写招聘计划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按照招聘计划编写了详细的招聘计划内容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12:00~13:00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在微信公众号上寻找宣传文章一篇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文章“运用好初中几何者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101条辅助线，轻松提高50分”一篇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14:00~16:00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学习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16;00~18:00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在58同城，赶集网上查看寻找符合我司招聘条件的求职人员并预约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已邀约教师、接待专员、财务求职者于2016年12月1日14:00前来面试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righ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时间：</w:t>
      </w:r>
      <w:r>
        <w:rPr>
          <w:rFonts w:hint="eastAsia"/>
          <w:sz w:val="28"/>
          <w:szCs w:val="28"/>
          <w:lang w:val="en-US" w:eastAsia="zh-CN"/>
        </w:rPr>
        <w:t>2016年11月30日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D7F43"/>
    <w:rsid w:val="288162EA"/>
    <w:rsid w:val="4C217D5C"/>
    <w:rsid w:val="788238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2016-11-30T06:11:44Z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