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6ED" w:rsidRDefault="000C36ED" w:rsidP="000C36ED">
      <w:pPr>
        <w:jc w:val="center"/>
        <w:rPr>
          <w:b/>
          <w:bCs/>
          <w:sz w:val="44"/>
          <w:szCs w:val="44"/>
        </w:rPr>
      </w:pPr>
      <w:r w:rsidRPr="009D1EAC">
        <w:rPr>
          <w:b/>
          <w:bCs/>
          <w:sz w:val="44"/>
          <w:szCs w:val="44"/>
        </w:rPr>
        <w:t>‘</w:t>
      </w:r>
      <w:proofErr w:type="spellStart"/>
      <w:r w:rsidRPr="009D1EAC">
        <w:rPr>
          <w:b/>
          <w:bCs/>
          <w:sz w:val="44"/>
          <w:szCs w:val="44"/>
        </w:rPr>
        <w:t>Fish</w:t>
      </w:r>
      <w:r>
        <w:rPr>
          <w:b/>
          <w:bCs/>
          <w:sz w:val="44"/>
          <w:szCs w:val="44"/>
        </w:rPr>
        <w:t>t</w:t>
      </w:r>
      <w:r w:rsidRPr="009D1EAC">
        <w:rPr>
          <w:b/>
          <w:bCs/>
          <w:sz w:val="44"/>
          <w:szCs w:val="44"/>
        </w:rPr>
        <w:t>ank</w:t>
      </w:r>
      <w:proofErr w:type="spellEnd"/>
      <w:r w:rsidRPr="009D1EAC">
        <w:rPr>
          <w:b/>
          <w:bCs/>
          <w:sz w:val="44"/>
          <w:szCs w:val="44"/>
        </w:rPr>
        <w:t xml:space="preserve"> Ltd’ </w:t>
      </w:r>
      <w:r w:rsidR="00533D6D">
        <w:rPr>
          <w:b/>
          <w:bCs/>
          <w:sz w:val="44"/>
          <w:szCs w:val="44"/>
        </w:rPr>
        <w:t xml:space="preserve">CRM </w:t>
      </w:r>
      <w:r w:rsidRPr="009D1EAC">
        <w:rPr>
          <w:b/>
          <w:bCs/>
          <w:sz w:val="44"/>
          <w:szCs w:val="44"/>
        </w:rPr>
        <w:t>Cloud Migration</w:t>
      </w:r>
      <w:r>
        <w:rPr>
          <w:b/>
          <w:bCs/>
          <w:sz w:val="44"/>
          <w:szCs w:val="44"/>
        </w:rPr>
        <w:t xml:space="preserve"> – </w:t>
      </w:r>
    </w:p>
    <w:p w:rsidR="000C36ED" w:rsidRPr="009D1EAC" w:rsidRDefault="000C36ED" w:rsidP="000C36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Technical Design and Pricing Estimate</w:t>
      </w:r>
    </w:p>
    <w:p w:rsidR="000C36ED" w:rsidRDefault="000C36ED" w:rsidP="000C36ED">
      <w:pPr>
        <w:jc w:val="center"/>
        <w:rPr>
          <w:b/>
          <w:bCs/>
        </w:rPr>
      </w:pPr>
    </w:p>
    <w:p w:rsidR="001C1CB4" w:rsidRDefault="001C1CB4" w:rsidP="001C1CB4">
      <w:r>
        <w:t xml:space="preserve">Dear Mr Pothecary and </w:t>
      </w:r>
      <w:r w:rsidR="006D37E1">
        <w:t>A</w:t>
      </w:r>
      <w:r>
        <w:t>ssociates</w:t>
      </w:r>
    </w:p>
    <w:p w:rsidR="001C1CB4" w:rsidRDefault="001C1CB4" w:rsidP="001C1CB4">
      <w:r>
        <w:tab/>
      </w:r>
    </w:p>
    <w:p w:rsidR="001C1CB4" w:rsidRDefault="001C1CB4" w:rsidP="001C1CB4">
      <w:r>
        <w:t>We are privileged and honoured to be accepted as your partner in the cloud migration process of your CRM</w:t>
      </w:r>
      <w:r w:rsidR="006D37E1">
        <w:t>.</w:t>
      </w:r>
    </w:p>
    <w:p w:rsidR="006D37E1" w:rsidRDefault="006D37E1" w:rsidP="001C1CB4"/>
    <w:p w:rsidR="003B6FDF" w:rsidRDefault="006D37E1" w:rsidP="003B6FDF">
      <w:r>
        <w:t xml:space="preserve">We appreciate that your CRM is </w:t>
      </w:r>
      <w:r w:rsidR="003B6FDF">
        <w:t xml:space="preserve">absolutely </w:t>
      </w:r>
      <w:r>
        <w:t>critical to the core functioning of your business</w:t>
      </w:r>
      <w:r w:rsidR="003B6FDF">
        <w:t xml:space="preserve"> and that its existing</w:t>
      </w:r>
      <w:r w:rsidR="003B6FDF">
        <w:t xml:space="preserve"> form</w:t>
      </w:r>
      <w:r w:rsidR="003B6FDF">
        <w:t xml:space="preserve"> </w:t>
      </w:r>
      <w:r w:rsidR="00394476">
        <w:t>reliably serves its purpose</w:t>
      </w:r>
      <w:r w:rsidR="003B6FDF">
        <w:t xml:space="preserve"> for your current needs. A</w:t>
      </w:r>
      <w:r>
        <w:t>s such</w:t>
      </w:r>
      <w:r w:rsidR="003B6FDF">
        <w:t xml:space="preserve">, </w:t>
      </w:r>
      <w:r>
        <w:t xml:space="preserve">we shall set forth in this document a cloud architecture design and migration strategy </w:t>
      </w:r>
      <w:r w:rsidR="003B6FDF">
        <w:t>that:</w:t>
      </w:r>
    </w:p>
    <w:p w:rsidR="006D37E1" w:rsidRDefault="003B6FDF" w:rsidP="003B6FDF">
      <w:pPr>
        <w:pStyle w:val="ListParagraph"/>
        <w:numPr>
          <w:ilvl w:val="0"/>
          <w:numId w:val="3"/>
        </w:numPr>
      </w:pPr>
      <w:r>
        <w:t>Replicates</w:t>
      </w:r>
      <w:r w:rsidR="002B507B">
        <w:t>, in the cloud,</w:t>
      </w:r>
      <w:r>
        <w:t xml:space="preserve"> your existing </w:t>
      </w:r>
      <w:r w:rsidR="002B507B">
        <w:t xml:space="preserve">on-premise </w:t>
      </w:r>
      <w:r>
        <w:t>architecture as closely as possible whil</w:t>
      </w:r>
      <w:r w:rsidR="00D0191C">
        <w:t>e</w:t>
      </w:r>
      <w:r>
        <w:t xml:space="preserve"> simultaneously facilitating easy expansion for your long-term </w:t>
      </w:r>
      <w:r w:rsidR="00221D3B">
        <w:t xml:space="preserve">global growth </w:t>
      </w:r>
      <w:r>
        <w:t>goals.</w:t>
      </w:r>
    </w:p>
    <w:p w:rsidR="00A36C34" w:rsidRDefault="002B507B" w:rsidP="000C36ED">
      <w:pPr>
        <w:pStyle w:val="ListParagraph"/>
        <w:numPr>
          <w:ilvl w:val="0"/>
          <w:numId w:val="3"/>
        </w:numPr>
      </w:pPr>
      <w:r>
        <w:t>Minimises the chance of any downtime, and any associated financial or reputational ris</w:t>
      </w:r>
      <w:r w:rsidR="00A36C34">
        <w:t>k</w:t>
      </w:r>
    </w:p>
    <w:p w:rsidR="00B107FE" w:rsidRDefault="00B107FE">
      <w:pPr>
        <w:rPr>
          <w:b/>
          <w:bCs/>
          <w:sz w:val="44"/>
          <w:szCs w:val="44"/>
          <w:u w:val="single"/>
        </w:rPr>
      </w:pPr>
    </w:p>
    <w:p w:rsidR="00B107FE" w:rsidRDefault="00B107FE">
      <w:r>
        <w:t>Kind Regards,</w:t>
      </w:r>
    </w:p>
    <w:p w:rsidR="00A36C34" w:rsidRPr="00B107FE" w:rsidRDefault="00B107FE">
      <w:r>
        <w:t>Christopher de Wardt</w:t>
      </w:r>
      <w:r w:rsidR="00A36C34">
        <w:rPr>
          <w:b/>
          <w:bCs/>
          <w:sz w:val="44"/>
          <w:szCs w:val="44"/>
          <w:u w:val="single"/>
        </w:rPr>
        <w:br w:type="page"/>
      </w:r>
    </w:p>
    <w:p w:rsidR="00F17312" w:rsidRPr="00A36C34" w:rsidRDefault="00F17312" w:rsidP="00F17312">
      <w:pPr>
        <w:jc w:val="center"/>
      </w:pPr>
      <w:r>
        <w:rPr>
          <w:b/>
          <w:bCs/>
          <w:sz w:val="44"/>
          <w:szCs w:val="44"/>
          <w:u w:val="single"/>
        </w:rPr>
        <w:lastRenderedPageBreak/>
        <w:t>CRM Cloud A</w:t>
      </w:r>
      <w:r w:rsidR="00A36C34">
        <w:rPr>
          <w:b/>
          <w:bCs/>
          <w:sz w:val="44"/>
          <w:szCs w:val="44"/>
          <w:u w:val="single"/>
        </w:rPr>
        <w:t>rchitecture Diagram</w:t>
      </w:r>
    </w:p>
    <w:p w:rsidR="000C36ED" w:rsidRDefault="00F17312" w:rsidP="00F1731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8435599" cy="4866405"/>
            <wp:effectExtent l="0" t="6033" r="4128" b="412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1797" cy="49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ED" w:rsidRPr="00F17312" w:rsidRDefault="00973B9F" w:rsidP="000C36E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Cloud </w:t>
      </w:r>
      <w:r w:rsidR="00F17312">
        <w:rPr>
          <w:b/>
          <w:bCs/>
          <w:i/>
          <w:iCs/>
        </w:rPr>
        <w:t>Architecture Key Points</w:t>
      </w:r>
      <w:r w:rsidR="000C36ED">
        <w:rPr>
          <w:i/>
          <w:iCs/>
        </w:rPr>
        <w:t>:</w:t>
      </w:r>
    </w:p>
    <w:p w:rsidR="000C36ED" w:rsidRPr="00D068C4" w:rsidRDefault="000C36ED" w:rsidP="000C36ED">
      <w:pPr>
        <w:rPr>
          <w:i/>
          <w:iCs/>
        </w:rPr>
      </w:pPr>
    </w:p>
    <w:p w:rsidR="00F17312" w:rsidRDefault="00F17312" w:rsidP="000C36ED">
      <w:pPr>
        <w:pStyle w:val="ListParagraph"/>
        <w:numPr>
          <w:ilvl w:val="0"/>
          <w:numId w:val="2"/>
        </w:numPr>
      </w:pPr>
      <w:r>
        <w:t>The architecture is centred around the VPC (Virtual Private Cloud)</w:t>
      </w:r>
    </w:p>
    <w:p w:rsidR="0095123D" w:rsidRDefault="00F17312" w:rsidP="0095123D">
      <w:pPr>
        <w:pStyle w:val="ListParagraph"/>
        <w:numPr>
          <w:ilvl w:val="1"/>
          <w:numId w:val="2"/>
        </w:numPr>
      </w:pPr>
      <w:r>
        <w:t xml:space="preserve">This virtual network is a secure structure within which your various services and infrastructure is deployed </w:t>
      </w:r>
      <w:r w:rsidR="0095123D">
        <w:t>–</w:t>
      </w:r>
      <w:r>
        <w:t xml:space="preserve"> </w:t>
      </w:r>
      <w:r w:rsidR="0095123D">
        <w:t>this structure allows us to set up our own subnets and routing tables which provide a secure layer of isolation from the wider internet.</w:t>
      </w:r>
    </w:p>
    <w:p w:rsidR="0095123D" w:rsidRDefault="0095123D" w:rsidP="0095123D">
      <w:pPr>
        <w:pStyle w:val="ListParagraph"/>
        <w:numPr>
          <w:ilvl w:val="0"/>
          <w:numId w:val="2"/>
        </w:numPr>
      </w:pPr>
      <w:r>
        <w:t>DNS functionality is provided by AWS’s robust Route 53 service – significant protection against DDOS attacks is provided as standard by AWS</w:t>
      </w:r>
    </w:p>
    <w:p w:rsidR="0095123D" w:rsidRDefault="0095123D" w:rsidP="0095123D">
      <w:pPr>
        <w:pStyle w:val="ListParagraph"/>
        <w:numPr>
          <w:ilvl w:val="0"/>
          <w:numId w:val="2"/>
        </w:numPr>
      </w:pPr>
      <w:r>
        <w:t>The Internet Gateway controls the flow of all incoming and outgoing traffic between the Internet and the VPC</w:t>
      </w:r>
    </w:p>
    <w:p w:rsidR="0095123D" w:rsidRDefault="0095123D" w:rsidP="0095123D">
      <w:pPr>
        <w:pStyle w:val="ListParagraph"/>
        <w:numPr>
          <w:ilvl w:val="0"/>
          <w:numId w:val="2"/>
        </w:numPr>
      </w:pPr>
      <w:r>
        <w:t xml:space="preserve">All your infrastructure is spread between two geographically distinct Availability Zones </w:t>
      </w:r>
      <w:r w:rsidR="00D01C64">
        <w:t xml:space="preserve">within your home geographical </w:t>
      </w:r>
      <w:r w:rsidR="003C1C49">
        <w:t xml:space="preserve">network </w:t>
      </w:r>
      <w:r w:rsidR="00D01C64">
        <w:t xml:space="preserve">region </w:t>
      </w:r>
      <w:r>
        <w:t xml:space="preserve">to provide greater fault tolerance in the event that one location </w:t>
      </w:r>
      <w:r w:rsidR="00D01C64">
        <w:t>develops any kind of issue</w:t>
      </w:r>
    </w:p>
    <w:p w:rsidR="0095123D" w:rsidRDefault="0095123D" w:rsidP="0095123D">
      <w:pPr>
        <w:pStyle w:val="ListParagraph"/>
        <w:numPr>
          <w:ilvl w:val="1"/>
          <w:numId w:val="2"/>
        </w:numPr>
      </w:pPr>
      <w:r>
        <w:t xml:space="preserve">The resources are efficiently distributed by Elastic Load Balancers </w:t>
      </w:r>
      <w:r w:rsidR="00D01C64">
        <w:t>at both the Web Server and Web Application level according to demand</w:t>
      </w:r>
    </w:p>
    <w:p w:rsidR="00D01C64" w:rsidRDefault="00D01C64" w:rsidP="00D01C64">
      <w:pPr>
        <w:pStyle w:val="ListParagraph"/>
        <w:numPr>
          <w:ilvl w:val="0"/>
          <w:numId w:val="2"/>
        </w:numPr>
      </w:pPr>
      <w:r>
        <w:t>The infrastructure mimics your existing on-premise structure and specs of existing hardware – with the added ability to dynamically</w:t>
      </w:r>
      <w:r w:rsidR="000B1D04">
        <w:t xml:space="preserve"> rapidly</w:t>
      </w:r>
      <w:r>
        <w:t xml:space="preserve"> scale up your resources when demand is high </w:t>
      </w:r>
      <w:r w:rsidR="00973B9F">
        <w:t xml:space="preserve">(or you choose to expand) </w:t>
      </w:r>
      <w:r>
        <w:t>by equipping your EC2 computational units with the functionality of the Auto Scaling service</w:t>
      </w:r>
      <w:r w:rsidR="003C1C49">
        <w:t xml:space="preserve">. </w:t>
      </w:r>
      <w:proofErr w:type="spellStart"/>
      <w:proofErr w:type="gramStart"/>
      <w:r w:rsidR="003C1C49">
        <w:t>ie</w:t>
      </w:r>
      <w:proofErr w:type="spellEnd"/>
      <w:proofErr w:type="gramEnd"/>
      <w:r w:rsidR="003C1C49">
        <w:t xml:space="preserve"> when CPU usage sustains a rise above </w:t>
      </w:r>
      <w:r w:rsidR="00F7654A" w:rsidRPr="00F7654A">
        <w:t>60%</w:t>
      </w:r>
      <w:r w:rsidR="003C1C49">
        <w:t xml:space="preserve"> more computational instances will automatically be provisioned</w:t>
      </w:r>
      <w:r w:rsidR="00F7654A">
        <w:t xml:space="preserve"> to reduce the risk of the computational resources being maxed out and bottle-necking your business activities</w:t>
      </w:r>
    </w:p>
    <w:p w:rsidR="00D01C64" w:rsidRDefault="00D01C64" w:rsidP="00D01C64">
      <w:pPr>
        <w:pStyle w:val="ListParagraph"/>
        <w:numPr>
          <w:ilvl w:val="1"/>
          <w:numId w:val="2"/>
        </w:numPr>
      </w:pPr>
      <w:r>
        <w:t>Furthermore</w:t>
      </w:r>
      <w:r w:rsidR="003C1C49">
        <w:t>, the specific t3 instances running on your VPC are ‘burstable’ and will immediately gain a CPU bump when demand suddenly surge</w:t>
      </w:r>
      <w:r w:rsidR="000B1D04">
        <w:t>s</w:t>
      </w:r>
    </w:p>
    <w:p w:rsidR="000B1D04" w:rsidRDefault="000B1D04" w:rsidP="000B1D04">
      <w:pPr>
        <w:pStyle w:val="ListParagraph"/>
        <w:numPr>
          <w:ilvl w:val="0"/>
          <w:numId w:val="2"/>
        </w:numPr>
      </w:pPr>
      <w:r>
        <w:t>Your Web App servers are deployed within a private subnet addressable only from within the VPC</w:t>
      </w:r>
      <w:r w:rsidR="00973B9F">
        <w:t xml:space="preserve">. They </w:t>
      </w:r>
      <w:r>
        <w:t xml:space="preserve">are further protected by making use of </w:t>
      </w:r>
      <w:r w:rsidR="00973B9F">
        <w:t xml:space="preserve">Network </w:t>
      </w:r>
      <w:r>
        <w:t>Access Control List and Security Group functionality</w:t>
      </w:r>
    </w:p>
    <w:p w:rsidR="000B1D04" w:rsidRDefault="000B1D04" w:rsidP="000B1D04">
      <w:pPr>
        <w:pStyle w:val="ListParagraph"/>
        <w:numPr>
          <w:ilvl w:val="1"/>
          <w:numId w:val="2"/>
        </w:numPr>
      </w:pPr>
      <w:r>
        <w:t xml:space="preserve">The same goes for your Database </w:t>
      </w:r>
      <w:r>
        <w:t xml:space="preserve">and </w:t>
      </w:r>
      <w:r>
        <w:t>Active Directory servers which also reside within your Private Subnets</w:t>
      </w:r>
    </w:p>
    <w:p w:rsidR="000C36ED" w:rsidRDefault="000B1D04" w:rsidP="000C36ED">
      <w:pPr>
        <w:pStyle w:val="ListParagraph"/>
        <w:numPr>
          <w:ilvl w:val="0"/>
          <w:numId w:val="2"/>
        </w:numPr>
      </w:pPr>
      <w:r>
        <w:t xml:space="preserve">For added resilience, both your SQL servers and your Active Directory server have </w:t>
      </w:r>
      <w:r w:rsidR="00973B9F">
        <w:t xml:space="preserve">generally </w:t>
      </w:r>
      <w:r>
        <w:t>redundant copies kept in permanent sync across the two Availability Zones.</w:t>
      </w:r>
    </w:p>
    <w:p w:rsidR="00973B9F" w:rsidRDefault="00973B9F" w:rsidP="00BA29AB">
      <w:pPr>
        <w:ind w:left="360"/>
      </w:pPr>
    </w:p>
    <w:p w:rsidR="00BA29AB" w:rsidRDefault="00BA29AB" w:rsidP="00BA29AB">
      <w:pPr>
        <w:ind w:left="360"/>
      </w:pPr>
      <w:r>
        <w:t xml:space="preserve">In order to implement this </w:t>
      </w:r>
      <w:r w:rsidR="00466D51">
        <w:t>architecture,</w:t>
      </w:r>
      <w:r>
        <w:t xml:space="preserve"> we will need to </w:t>
      </w:r>
      <w:r w:rsidR="00B5713A">
        <w:t xml:space="preserve">migrate </w:t>
      </w:r>
      <w:r>
        <w:t>your existing data</w:t>
      </w:r>
      <w:r w:rsidR="00EF03E6">
        <w:t xml:space="preserve"> from your data centres,</w:t>
      </w:r>
      <w:r>
        <w:t xml:space="preserve"> before provisioning virtual computational units on AWS with that data. Any data obtained after the on-site transfer will be synced over the internet.</w:t>
      </w:r>
    </w:p>
    <w:p w:rsidR="00466D51" w:rsidRDefault="00466D51" w:rsidP="00BA29AB">
      <w:pPr>
        <w:ind w:left="360"/>
      </w:pPr>
    </w:p>
    <w:p w:rsidR="00A50128" w:rsidRDefault="00466D51" w:rsidP="00A50128">
      <w:pPr>
        <w:ind w:left="360"/>
      </w:pPr>
      <w:r>
        <w:t>Once we have set up the cloud infrastructure, we will begin testing the new environment before gradually migrating your personnel to the new platform</w:t>
      </w:r>
      <w:r w:rsidR="00A50128">
        <w:t>; keeping a careful eye out for any issues that may develop. We will be ready to roll back to your existing platform until we are satisfied we can ensure business continuity.</w:t>
      </w:r>
    </w:p>
    <w:p w:rsidR="00A50128" w:rsidRDefault="00A50128">
      <w:r>
        <w:br w:type="page"/>
      </w:r>
    </w:p>
    <w:p w:rsidR="000C36ED" w:rsidRPr="00A50128" w:rsidRDefault="00A50128" w:rsidP="000C36ED">
      <w:r>
        <w:rPr>
          <w:b/>
          <w:bCs/>
          <w:sz w:val="44"/>
          <w:szCs w:val="44"/>
          <w:u w:val="single"/>
        </w:rPr>
        <w:lastRenderedPageBreak/>
        <w:t>Pricing</w:t>
      </w:r>
      <w:r w:rsidR="00EB0A81">
        <w:rPr>
          <w:b/>
          <w:bCs/>
          <w:sz w:val="44"/>
          <w:szCs w:val="44"/>
          <w:u w:val="single"/>
        </w:rPr>
        <w:t xml:space="preserve"> Estimate Summary</w:t>
      </w:r>
    </w:p>
    <w:p w:rsidR="000C36ED" w:rsidRDefault="000C36ED" w:rsidP="000C36ED">
      <w:pPr>
        <w:rPr>
          <w:b/>
          <w:bCs/>
          <w:sz w:val="36"/>
          <w:szCs w:val="36"/>
          <w:u w:val="single"/>
        </w:rPr>
      </w:pPr>
    </w:p>
    <w:p w:rsidR="00CD37F5" w:rsidRDefault="00CD37F5" w:rsidP="00CD37F5">
      <w:pPr>
        <w:pStyle w:val="ListParagraph"/>
        <w:numPr>
          <w:ilvl w:val="0"/>
          <w:numId w:val="4"/>
        </w:numPr>
      </w:pPr>
      <w:r w:rsidRPr="006A42D4">
        <w:rPr>
          <w:i/>
          <w:iCs/>
        </w:rPr>
        <w:t>ANNUAL</w:t>
      </w:r>
      <w:r>
        <w:t xml:space="preserve"> COST ESTIMATES payable to AWS for cloud infrastructure if paid upfront (for maintaining current scale of business)</w:t>
      </w:r>
    </w:p>
    <w:p w:rsidR="00CD37F5" w:rsidRDefault="00CD37F5" w:rsidP="00CD37F5"/>
    <w:tbl>
      <w:tblPr>
        <w:tblW w:w="10680" w:type="dxa"/>
        <w:tblCellSpacing w:w="15" w:type="dxa"/>
        <w:tblInd w:w="-8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0"/>
        <w:gridCol w:w="4568"/>
        <w:gridCol w:w="30"/>
        <w:gridCol w:w="1682"/>
      </w:tblGrid>
      <w:tr w:rsidR="00B5713A" w:rsidRPr="00CD37F5" w:rsidTr="00B5713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bdr w:val="single" w:sz="2" w:space="0" w:color="E3E3E3" w:frame="1"/>
                <w:lang w:eastAsia="en-GB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bdr w:val="single" w:sz="2" w:space="0" w:color="E3E3E3" w:frame="1"/>
                <w:lang w:eastAsia="en-GB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bdr w:val="single" w:sz="2" w:space="0" w:color="E3E3E3" w:frame="1"/>
                <w:lang w:eastAsia="en-GB"/>
              </w:rPr>
              <w:t>Annual Cost (£)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Web Servers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4x t</w:t>
            </w:r>
            <w:proofErr w:type="gramStart"/>
            <w:r w:rsidRPr="00CD37F5">
              <w:rPr>
                <w:lang w:eastAsia="en-GB"/>
              </w:rPr>
              <w:t>3.medium</w:t>
            </w:r>
            <w:proofErr w:type="gramEnd"/>
            <w:r w:rsidRPr="00CD37F5">
              <w:rPr>
                <w:lang w:eastAsia="en-GB"/>
              </w:rPr>
              <w:t xml:space="preserve"> instances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£1,308.67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App Servers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4x t3a.xlarge instances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£4,934.66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DB Servers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2x c5.2xlarge instances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£22,007.36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Active Directory Servers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2x c7i-</w:t>
            </w:r>
            <w:proofErr w:type="gramStart"/>
            <w:r w:rsidRPr="00CD37F5">
              <w:rPr>
                <w:lang w:eastAsia="en-GB"/>
              </w:rPr>
              <w:t>flex.large</w:t>
            </w:r>
            <w:proofErr w:type="gramEnd"/>
            <w:r w:rsidRPr="00CD37F5">
              <w:rPr>
                <w:lang w:eastAsia="en-GB"/>
              </w:rPr>
              <w:t xml:space="preserve"> instances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£2,112.38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Elastic Load Balancing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£35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VPC Costs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CD37F5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22 Working Days/month &amp; 2 NAT Gateways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CD37F5" w:rsidRDefault="00CD37F5" w:rsidP="00CD37F5">
            <w:pPr>
              <w:rPr>
                <w:lang w:eastAsia="en-GB"/>
              </w:rPr>
            </w:pPr>
            <w:r w:rsidRPr="00CD37F5">
              <w:rPr>
                <w:lang w:eastAsia="en-GB"/>
              </w:rPr>
              <w:t>£97</w:t>
            </w:r>
          </w:p>
        </w:tc>
      </w:tr>
      <w:tr w:rsidR="00B5713A" w:rsidRPr="00CD37F5" w:rsidTr="00B571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:rsidR="00B5713A" w:rsidRPr="00B5713A" w:rsidRDefault="00B5713A" w:rsidP="00CD37F5">
            <w:pPr>
              <w:rPr>
                <w:b/>
                <w:bCs/>
                <w:lang w:eastAsia="en-GB"/>
              </w:rPr>
            </w:pPr>
            <w:r w:rsidRPr="00B5713A">
              <w:rPr>
                <w:b/>
                <w:bCs/>
                <w:lang w:eastAsia="en-GB"/>
              </w:rPr>
              <w:t xml:space="preserve">TOTAL ESTIMATED ANNUAL AWS COSTS 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:rsidR="00B5713A" w:rsidRPr="00CD37F5" w:rsidRDefault="00B5713A" w:rsidP="00CD37F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:rsidR="00B5713A" w:rsidRPr="00B5713A" w:rsidRDefault="00B5713A" w:rsidP="00CD37F5">
            <w:pPr>
              <w:rPr>
                <w:b/>
                <w:bCs/>
                <w:lang w:eastAsia="en-GB"/>
              </w:rPr>
            </w:pPr>
            <w:r w:rsidRPr="00B5713A">
              <w:rPr>
                <w:b/>
                <w:bCs/>
                <w:lang w:eastAsia="en-GB"/>
              </w:rPr>
              <w:t>£30495.07</w:t>
            </w:r>
          </w:p>
        </w:tc>
      </w:tr>
    </w:tbl>
    <w:p w:rsidR="00CD37F5" w:rsidRDefault="00CD37F5" w:rsidP="00CD37F5"/>
    <w:p w:rsidR="00CD37F5" w:rsidRDefault="00CD37F5" w:rsidP="00CD37F5">
      <w:pPr>
        <w:pStyle w:val="ListParagraph"/>
        <w:numPr>
          <w:ilvl w:val="0"/>
          <w:numId w:val="4"/>
        </w:numPr>
      </w:pPr>
      <w:r>
        <w:t>Costs payable to Digital Futures Inc</w:t>
      </w:r>
    </w:p>
    <w:p w:rsidR="00CD37F5" w:rsidRDefault="00CD37F5" w:rsidP="00CD37F5">
      <w:pPr>
        <w:pStyle w:val="ListParagraph"/>
        <w:ind w:left="1440"/>
      </w:pPr>
    </w:p>
    <w:tbl>
      <w:tblPr>
        <w:tblW w:w="10680" w:type="dxa"/>
        <w:tblCellSpacing w:w="15" w:type="dxa"/>
        <w:tblInd w:w="-8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2488"/>
        <w:gridCol w:w="1830"/>
      </w:tblGrid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Solution Architect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10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£8,000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Cloud Consultant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5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£8,000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Server Migration Engineer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20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£10,400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Database Migration Engineer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15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£9,000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First/Second Line Support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Full Time Equivalent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£52,000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Third Line Support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20hr/week Equivalent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</w:pPr>
            <w:r w:rsidRPr="00B5713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GB"/>
              </w:rPr>
              <w:t>£36,400</w:t>
            </w:r>
          </w:p>
        </w:tc>
      </w:tr>
      <w:tr w:rsidR="00B5713A" w:rsidRPr="00B5713A" w:rsidTr="00B5713A">
        <w:trPr>
          <w:tblCellSpacing w:w="15" w:type="dxa"/>
        </w:trPr>
        <w:tc>
          <w:tcPr>
            <w:tcW w:w="6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b/>
                <w:bCs/>
                <w:lang w:eastAsia="en-GB"/>
              </w:rPr>
            </w:pPr>
            <w:r w:rsidRPr="00B5713A">
              <w:rPr>
                <w:b/>
                <w:bCs/>
                <w:lang w:eastAsia="en-GB"/>
              </w:rPr>
              <w:t>TOTAL SUPPORT COSTS</w:t>
            </w:r>
          </w:p>
        </w:tc>
        <w:tc>
          <w:tcPr>
            <w:tcW w:w="24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B5713A" w:rsidRPr="00B5713A" w:rsidRDefault="00B5713A" w:rsidP="00B5713A">
            <w:pPr>
              <w:rPr>
                <w:b/>
                <w:bCs/>
                <w:lang w:eastAsia="en-GB"/>
              </w:rPr>
            </w:pPr>
            <w:r w:rsidRPr="00B5713A">
              <w:rPr>
                <w:b/>
                <w:bCs/>
                <w:lang w:eastAsia="en-GB"/>
              </w:rPr>
              <w:t>£123,800</w:t>
            </w:r>
          </w:p>
        </w:tc>
      </w:tr>
    </w:tbl>
    <w:p w:rsidR="00EB0A81" w:rsidRDefault="00EB0A81" w:rsidP="006A42D4"/>
    <w:sectPr w:rsidR="00EB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0B0"/>
    <w:multiLevelType w:val="hybridMultilevel"/>
    <w:tmpl w:val="23165DE8"/>
    <w:lvl w:ilvl="0" w:tplc="E200C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345B0"/>
    <w:multiLevelType w:val="hybridMultilevel"/>
    <w:tmpl w:val="8D8A7E54"/>
    <w:lvl w:ilvl="0" w:tplc="C22461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5B24"/>
    <w:multiLevelType w:val="hybridMultilevel"/>
    <w:tmpl w:val="DEB8F3D0"/>
    <w:lvl w:ilvl="0" w:tplc="450A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D5E"/>
    <w:multiLevelType w:val="hybridMultilevel"/>
    <w:tmpl w:val="B2422142"/>
    <w:lvl w:ilvl="0" w:tplc="D37CEF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81C7E"/>
    <w:multiLevelType w:val="hybridMultilevel"/>
    <w:tmpl w:val="381297C4"/>
    <w:lvl w:ilvl="0" w:tplc="D1CE5E7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37226">
    <w:abstractNumId w:val="2"/>
  </w:num>
  <w:num w:numId="2" w16cid:durableId="1306622786">
    <w:abstractNumId w:val="1"/>
  </w:num>
  <w:num w:numId="3" w16cid:durableId="1269778405">
    <w:abstractNumId w:val="0"/>
  </w:num>
  <w:num w:numId="4" w16cid:durableId="622032873">
    <w:abstractNumId w:val="3"/>
  </w:num>
  <w:num w:numId="5" w16cid:durableId="631910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ED"/>
    <w:rsid w:val="000B1D04"/>
    <w:rsid w:val="000C36ED"/>
    <w:rsid w:val="001C1CB4"/>
    <w:rsid w:val="00221D3B"/>
    <w:rsid w:val="002B507B"/>
    <w:rsid w:val="002F6C36"/>
    <w:rsid w:val="00394476"/>
    <w:rsid w:val="003B6FDF"/>
    <w:rsid w:val="003C1C49"/>
    <w:rsid w:val="00431EBB"/>
    <w:rsid w:val="00466D51"/>
    <w:rsid w:val="00533D6D"/>
    <w:rsid w:val="00584678"/>
    <w:rsid w:val="006A42D4"/>
    <w:rsid w:val="006D37E1"/>
    <w:rsid w:val="0091329F"/>
    <w:rsid w:val="0095123D"/>
    <w:rsid w:val="00973B9F"/>
    <w:rsid w:val="00A36C34"/>
    <w:rsid w:val="00A50128"/>
    <w:rsid w:val="00A9035D"/>
    <w:rsid w:val="00B107FE"/>
    <w:rsid w:val="00B5713A"/>
    <w:rsid w:val="00BA29AB"/>
    <w:rsid w:val="00C953CB"/>
    <w:rsid w:val="00CD37F5"/>
    <w:rsid w:val="00D0191C"/>
    <w:rsid w:val="00D01C64"/>
    <w:rsid w:val="00E97106"/>
    <w:rsid w:val="00EB0A81"/>
    <w:rsid w:val="00EF03E6"/>
    <w:rsid w:val="00F17312"/>
    <w:rsid w:val="00F7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0A3B"/>
  <w15:chartTrackingRefBased/>
  <w15:docId w15:val="{43E0C757-6172-6E42-A8A6-8FD41F3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ED"/>
  </w:style>
  <w:style w:type="paragraph" w:styleId="Heading1">
    <w:name w:val="heading 1"/>
    <w:basedOn w:val="Normal"/>
    <w:next w:val="Normal"/>
    <w:link w:val="Heading1Char"/>
    <w:uiPriority w:val="9"/>
    <w:qFormat/>
    <w:rsid w:val="00CD3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7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7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37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37F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37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37F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36E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C3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37F5"/>
  </w:style>
  <w:style w:type="character" w:customStyle="1" w:styleId="Heading1Char">
    <w:name w:val="Heading 1 Char"/>
    <w:basedOn w:val="DefaultParagraphFont"/>
    <w:link w:val="Heading1"/>
    <w:uiPriority w:val="9"/>
    <w:rsid w:val="00CD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7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D37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37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37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D37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37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Wardt</dc:creator>
  <cp:keywords/>
  <dc:description/>
  <cp:lastModifiedBy>Christopher de Wardt</cp:lastModifiedBy>
  <cp:revision>10</cp:revision>
  <dcterms:created xsi:type="dcterms:W3CDTF">2024-05-19T22:59:00Z</dcterms:created>
  <dcterms:modified xsi:type="dcterms:W3CDTF">2024-05-21T04:16:00Z</dcterms:modified>
</cp:coreProperties>
</file>