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Conduite de projets R&amp;D, Anglais 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B77EFC">
              <w:rPr>
                <w:rFonts w:cs="Calibri"/>
                <w:szCs w:val="22"/>
              </w:rPr>
              <w:t xml:space="preserve">, </w:t>
            </w:r>
            <w:proofErr w:type="spellStart"/>
            <w:r w:rsidR="00B77EFC">
              <w:rPr>
                <w:rFonts w:cs="Calibri"/>
                <w:szCs w:val="22"/>
              </w:rPr>
              <w:t>Helm</w:t>
            </w:r>
            <w:proofErr w:type="spellEnd"/>
            <w:r w:rsidR="00862184">
              <w:rPr>
                <w:rFonts w:cs="Calibri"/>
                <w:szCs w:val="22"/>
              </w:rPr>
              <w:t xml:space="preserve">…) </w:t>
            </w:r>
            <w:r>
              <w:rPr>
                <w:rFonts w:cs="Calibri"/>
                <w:szCs w:val="22"/>
              </w:rPr>
              <w:t xml:space="preserve"> sous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w:t>
            </w:r>
            <w:r w:rsidR="007C450A">
              <w:rPr>
                <w:rStyle w:val="Titre1Car"/>
                <w:rFonts w:asciiTheme="minorHAnsi" w:hAnsiTheme="minorHAnsi"/>
                <w:caps/>
                <w:color w:val="00000A"/>
                <w:sz w:val="20"/>
              </w:rPr>
              <w:t>A</w:t>
            </w:r>
            <w:r w:rsidR="007C450A">
              <w:rPr>
                <w:rStyle w:val="Titre1Car"/>
                <w:caps/>
                <w:color w:val="00000A"/>
              </w:rPr>
              <w:t>VRIL</w:t>
            </w:r>
            <w:bookmarkStart w:id="0" w:name="_GoBack"/>
            <w:bookmarkEnd w:id="0"/>
            <w:r>
              <w:rPr>
                <w:rStyle w:val="Titre1Car"/>
                <w:rFonts w:asciiTheme="minorHAnsi" w:hAnsiTheme="minorHAnsi"/>
                <w:caps/>
                <w:color w:val="00000A"/>
                <w:sz w:val="20"/>
              </w:rPr>
              <w:t xml:space="preserve"> 2018</w:t>
            </w:r>
            <w:r w:rsidR="004F5579">
              <w:rPr>
                <w:rStyle w:val="Titre1Car"/>
                <w:rFonts w:asciiTheme="minorHAnsi" w:hAnsiTheme="minorHAnsi"/>
                <w:caps/>
                <w:color w:val="00000A"/>
                <w:sz w:val="20"/>
              </w:rPr>
              <w:t xml:space="preserve"> </w:t>
            </w:r>
            <w:r w:rsidR="004F5579">
              <w:rPr>
                <w:rStyle w:val="Titre1Car"/>
                <w:caps/>
                <w:color w:val="00000A"/>
              </w:rPr>
              <w:t>A JANVIER 2019</w:t>
            </w:r>
          </w:p>
          <w:p w:rsidR="00630480" w:rsidRDefault="00B2648E">
            <w:r>
              <w:t xml:space="preserve">Poste occupé : </w:t>
            </w:r>
            <w:r w:rsidR="00690224">
              <w:rPr>
                <w:b/>
                <w:smallCaps/>
                <w:color w:val="4F81BD" w:themeColor="accent1"/>
                <w:sz w:val="22"/>
              </w:rPr>
              <w:t>Architecte DevOps, docker</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cs="Calibri"/>
              </w:rPr>
            </w:pPr>
            <w:r>
              <w:rPr>
                <w:rFonts w:cs="Calibri"/>
              </w:rPr>
              <w:t>Zone de mobilité géographique :  région grenobloise</w:t>
            </w:r>
          </w:p>
          <w:p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C28" w:rsidRDefault="00901C28">
      <w:pPr>
        <w:spacing w:before="0" w:after="0" w:line="240" w:lineRule="auto"/>
      </w:pPr>
      <w:r>
        <w:separator/>
      </w:r>
    </w:p>
  </w:endnote>
  <w:endnote w:type="continuationSeparator" w:id="0">
    <w:p w:rsidR="00901C28" w:rsidRDefault="00901C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C28" w:rsidRDefault="00901C28">
      <w:pPr>
        <w:spacing w:before="0" w:after="0" w:line="240" w:lineRule="auto"/>
      </w:pPr>
      <w:r>
        <w:separator/>
      </w:r>
    </w:p>
  </w:footnote>
  <w:footnote w:type="continuationSeparator" w:id="0">
    <w:p w:rsidR="00901C28" w:rsidRDefault="00901C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1A0966"/>
    <w:rsid w:val="004F5579"/>
    <w:rsid w:val="005E3B11"/>
    <w:rsid w:val="00630480"/>
    <w:rsid w:val="006405E0"/>
    <w:rsid w:val="006552E2"/>
    <w:rsid w:val="00690224"/>
    <w:rsid w:val="007C450A"/>
    <w:rsid w:val="008350E5"/>
    <w:rsid w:val="00862184"/>
    <w:rsid w:val="008B62ED"/>
    <w:rsid w:val="00901C28"/>
    <w:rsid w:val="0095080A"/>
    <w:rsid w:val="00B2648E"/>
    <w:rsid w:val="00B54DC3"/>
    <w:rsid w:val="00B77EFC"/>
    <w:rsid w:val="00C27DBE"/>
    <w:rsid w:val="00DC59A1"/>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9178"/>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933</Words>
  <Characters>5135</Characters>
  <Application>Microsoft Office Word</Application>
  <DocSecurity>0</DocSecurity>
  <Lines>42</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51</cp:revision>
  <cp:lastPrinted>2017-11-14T15:07:00Z</cp:lastPrinted>
  <dcterms:created xsi:type="dcterms:W3CDTF">2017-11-14T20:22:00Z</dcterms:created>
  <dcterms:modified xsi:type="dcterms:W3CDTF">2019-02-24T19:52:00Z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