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8"/>
          <w:szCs w:val="48"/>
        </w:rPr>
        <w:t xml:space="preserve">AmorphDB ETL Tools</w:t>
      </w:r>
    </w:p>
    <w:p>
      <w:pPr>
        <w:spacing w:after="480" w:before="0"/>
        <w:jc w:val="center"/>
      </w:pPr>
      <w:r>
        <w:rPr>
          <w:rFonts w:ascii="Arial" w:cs="Arial" w:eastAsia="Arial" w:hAnsi="Arial"/>
          <w:color w:val="555555"/>
          <w:sz w:val="28"/>
          <w:szCs w:val="28"/>
        </w:rPr>
        <w:t xml:space="preserve">Design Specification</w:t>
      </w:r>
    </w:p>
    <w:p>
      <w:pPr>
        <w:pStyle w:val="Heading1"/>
      </w:pPr>
      <w:r>
        <w:rPr>
          <w:b/>
          <w:bCs/>
          <w:sz w:val="32"/>
          <w:szCs w:val="32"/>
        </w:rPr>
        <w:t xml:space="preserve">Overview</w:t>
      </w:r>
    </w:p>
    <w:p>
      <w:r>
        <w:t xml:space="preserve">This document specifies the design for a set of ETL tools for AmorphDB. The emphasis is on business-related data, for example: financial, inventory, schedules, and similar domains.</w:t>
      </w:r>
    </w:p>
    <w:p/>
    <w:p>
      <w:r>
        <w:t xml:space="preserve">This specification covers import and export support for the following file types:</w:t>
      </w:r>
    </w:p>
    <w:p/>
    <w:p>
      <w:pPr>
        <w:pStyle w:val="ListParagraph"/>
        <w:numPr>
          <w:ilvl w:val="0"/>
          <w:numId w:val="2"/>
        </w:numPr>
      </w:pPr>
      <w:r>
        <w:t xml:space="preserve">Delimited (CSV and custom delimiters)</w:t>
      </w:r>
    </w:p>
    <w:p>
      <w:pPr>
        <w:pStyle w:val="ListParagraph"/>
        <w:numPr>
          <w:ilvl w:val="0"/>
          <w:numId w:val="2"/>
        </w:numPr>
      </w:pPr>
      <w:r>
        <w:t xml:space="preserve">JSON</w:t>
      </w:r>
    </w:p>
    <w:p>
      <w:pPr>
        <w:pStyle w:val="ListParagraph"/>
        <w:numPr>
          <w:ilvl w:val="0"/>
          <w:numId w:val="2"/>
        </w:numPr>
      </w:pPr>
      <w:r>
        <w:t xml:space="preserve">XML</w:t>
      </w:r>
    </w:p>
    <w:p>
      <w:pPr>
        <w:pStyle w:val="ListParagraph"/>
        <w:numPr>
          <w:ilvl w:val="0"/>
          <w:numId w:val="2"/>
        </w:numPr>
      </w:pPr>
      <w:r>
        <w:t xml:space="preserve">Fixed-Width (using ARI notation)</w:t>
      </w:r>
    </w:p>
    <w:p/>
    <w:p>
      <w:pPr>
        <w:pStyle w:val="Heading1"/>
      </w:pPr>
      <w:r>
        <w:rPr>
          <w:b/>
          <w:bCs/>
          <w:sz w:val="32"/>
          <w:szCs w:val="32"/>
        </w:rPr>
        <w:t xml:space="preserve">Import/Export of Delimited Files</w:t>
      </w:r>
    </w:p>
    <w:p>
      <w:pPr>
        <w:pStyle w:val="Heading2"/>
      </w:pPr>
      <w:r>
        <w:rPr>
          <w:b/>
          <w:bCs/>
          <w:sz w:val="28"/>
          <w:szCs w:val="28"/>
        </w:rPr>
        <w:t xml:space="preserve">Overview</w:t>
      </w:r>
    </w:p>
    <w:p>
      <w:r>
        <w:t xml:space="preserve">Delimited files use a separator character to distinguish fields within a record, with one record per line. The most common format is CSV (comma-separated values).</w:t>
      </w:r>
    </w:p>
    <w:p/>
    <w:p>
      <w:pPr>
        <w:pStyle w:val="Heading2"/>
      </w:pPr>
      <w:r>
        <w:rPr>
          <w:b/>
          <w:bCs/>
          <w:sz w:val="28"/>
          <w:szCs w:val="28"/>
        </w:rPr>
        <w:t xml:space="preserve">Import</w:t>
      </w:r>
    </w:p>
    <w:p>
      <w:r>
        <w:t xml:space="preserve">The default behavior is comma-delimited with quoted-value recognition: commas appearing within double-quoted strings are treated as data, not delimiters. The following options may be specified:</w:t>
      </w:r>
    </w:p>
    <w:p/>
    <w:p>
      <w:pPr>
        <w:pStyle w:val="ListParagraph"/>
        <w:numPr>
          <w:ilvl w:val="0"/>
          <w:numId w:val="2"/>
        </w:numPr>
      </w:pPr>
      <w:r>
        <w:t xml:space="preserve">Delimiter character — defaults to comma, may be set to any character (e.g. pipe, tab, semicolon).</w:t>
      </w:r>
    </w:p>
    <w:p>
      <w:pPr>
        <w:pStyle w:val="ListParagraph"/>
        <w:numPr>
          <w:ilvl w:val="0"/>
          <w:numId w:val="2"/>
        </w:numPr>
      </w:pPr>
      <w:r>
        <w:t xml:space="preserve">Quote recognition — enabled by default; may be disabled so that all delimiters are treated as field separators regardless of surrounding quotes.</w:t>
      </w:r>
    </w:p>
    <w:p>
      <w:pPr>
        <w:pStyle w:val="ListParagraph"/>
        <w:numPr>
          <w:ilvl w:val="0"/>
          <w:numId w:val="2"/>
        </w:numPr>
      </w:pPr>
      <w:r>
        <w:t xml:space="preserve">Header row — optionally treat the first row as field name definitions.</w:t>
      </w:r>
    </w:p>
    <w:p>
      <w:pPr>
        <w:pStyle w:val="ListParagraph"/>
        <w:numPr>
          <w:ilvl w:val="0"/>
          <w:numId w:val="2"/>
        </w:numPr>
      </w:pPr>
      <w:r>
        <w:t xml:space="preserve">Encoding — defaults to UTF-8; other encodings may be specified.</w:t>
      </w:r>
    </w:p>
    <w:p/>
    <w:p>
      <w:pPr>
        <w:pStyle w:val="Heading2"/>
      </w:pPr>
      <w:r>
        <w:rPr>
          <w:b/>
          <w:bCs/>
          <w:sz w:val="28"/>
          <w:szCs w:val="28"/>
        </w:rPr>
        <w:t xml:space="preserve">Export</w:t>
      </w:r>
    </w:p>
    <w:p>
      <w:r>
        <w:t xml:space="preserve">Export mirrors import options. Field values containing the delimiter character or newlines are automatically quoted. The quote character within a value is escaped by doubling it (standard CSV convention).</w:t>
      </w:r>
    </w:p>
    <w:p/>
    <w:p>
      <w:pPr>
        <w:pStyle w:val="Heading1"/>
      </w:pPr>
      <w:r>
        <w:rPr>
          <w:b/>
          <w:bCs/>
          <w:sz w:val="32"/>
          <w:szCs w:val="32"/>
        </w:rPr>
        <w:t xml:space="preserve">Import/Export of JSON Files</w:t>
      </w:r>
    </w:p>
    <w:p>
      <w:pPr>
        <w:pStyle w:val="Heading2"/>
      </w:pPr>
      <w:r>
        <w:rPr>
          <w:b/>
          <w:bCs/>
          <w:sz w:val="28"/>
          <w:szCs w:val="28"/>
        </w:rPr>
        <w:t xml:space="preserve">Overview</w:t>
      </w:r>
    </w:p>
    <w:p>
      <w:r>
        <w:t xml:space="preserve">JSON (JavaScript Object Notation) is a widely used structured data format supporting nested objects and arrays. AmorphDB ETL tools support translation between JSON structures and AmorphDB hierarchical records.</w:t>
      </w:r>
    </w:p>
    <w:p/>
    <w:p>
      <w:pPr>
        <w:pStyle w:val="Heading2"/>
      </w:pPr>
      <w:r>
        <w:rPr>
          <w:b/>
          <w:bCs/>
          <w:sz w:val="28"/>
          <w:szCs w:val="28"/>
        </w:rPr>
        <w:t xml:space="preserve">Import</w:t>
      </w:r>
    </w:p>
    <w:p>
      <w:r>
        <w:t xml:space="preserve">JSON import maps the JSON document structure to AmorphDB record hierarchy. The following capabilities are supported:</w:t>
      </w:r>
    </w:p>
    <w:p/>
    <w:p>
      <w:pPr>
        <w:pStyle w:val="ListParagraph"/>
        <w:numPr>
          <w:ilvl w:val="0"/>
          <w:numId w:val="2"/>
        </w:numPr>
      </w:pPr>
      <w:r>
        <w:t xml:space="preserve">Root-level object — mapped to a single top-level record.</w:t>
      </w:r>
    </w:p>
    <w:p>
      <w:pPr>
        <w:pStyle w:val="ListParagraph"/>
        <w:numPr>
          <w:ilvl w:val="0"/>
          <w:numId w:val="2"/>
        </w:numPr>
      </w:pPr>
      <w:r>
        <w:t xml:space="preserve">Root-level array — mapped to a list of records of the same type.</w:t>
      </w:r>
    </w:p>
    <w:p>
      <w:pPr>
        <w:pStyle w:val="ListParagraph"/>
        <w:numPr>
          <w:ilvl w:val="0"/>
          <w:numId w:val="2"/>
        </w:numPr>
      </w:pPr>
      <w:r>
        <w:t xml:space="preserve">Nested objects — mapped to child records, preserving hierarchy.</w:t>
      </w:r>
    </w:p>
    <w:p>
      <w:pPr>
        <w:pStyle w:val="ListParagraph"/>
        <w:numPr>
          <w:ilvl w:val="0"/>
          <w:numId w:val="2"/>
        </w:numPr>
      </w:pPr>
      <w:r>
        <w:t xml:space="preserve">Nested arrays — mapped to one-to-many child record lists.</w:t>
      </w:r>
    </w:p>
    <w:p>
      <w:pPr>
        <w:pStyle w:val="ListParagraph"/>
        <w:numPr>
          <w:ilvl w:val="0"/>
          <w:numId w:val="2"/>
        </w:numPr>
      </w:pPr>
      <w:r>
        <w:t xml:space="preserve">Scalar values — mapped to typed fields; type coercion follows AmorphDB type definitions (see type system).</w:t>
      </w:r>
    </w:p>
    <w:p>
      <w:pPr>
        <w:pStyle w:val="ListParagraph"/>
        <w:numPr>
          <w:ilvl w:val="0"/>
          <w:numId w:val="2"/>
        </w:numPr>
      </w:pPr>
      <w:r>
        <w:t xml:space="preserve">Null values — imported as Unknown.</w:t>
      </w:r>
    </w:p>
    <w:p/>
    <w:p>
      <w:r>
        <w:t xml:space="preserve">A field mapping definition may be supplied to rename, filter, or transform fields during import. Without a mapping definition, field names are taken directly from JSON property names.</w:t>
      </w:r>
    </w:p>
    <w:p/>
    <w:p>
      <w:pPr>
        <w:pStyle w:val="Heading2"/>
      </w:pPr>
      <w:r>
        <w:rPr>
          <w:b/>
          <w:bCs/>
          <w:sz w:val="28"/>
          <w:szCs w:val="28"/>
        </w:rPr>
        <w:t xml:space="preserve">Export</w:t>
      </w:r>
    </w:p>
    <w:p>
      <w:r>
        <w:t xml:space="preserve">Export translates AmorphDB hierarchical query results to JSON. Nested child record sets are emitted as nested arrays. The output may be formatted (pretty-printed) or compact. A field mapping definition may be supplied to control output property names and structure.</w:t>
      </w:r>
    </w:p>
    <w:p/>
    <w:p>
      <w:pPr>
        <w:pStyle w:val="Heading1"/>
      </w:pPr>
      <w:r>
        <w:rPr>
          <w:b/>
          <w:bCs/>
          <w:sz w:val="32"/>
          <w:szCs w:val="32"/>
        </w:rPr>
        <w:t xml:space="preserve">Import/Export of XML Files</w:t>
      </w:r>
    </w:p>
    <w:p>
      <w:pPr>
        <w:pStyle w:val="Heading2"/>
      </w:pPr>
      <w:r>
        <w:rPr>
          <w:b/>
          <w:bCs/>
          <w:sz w:val="28"/>
          <w:szCs w:val="28"/>
        </w:rPr>
        <w:t xml:space="preserve">Overview</w:t>
      </w:r>
    </w:p>
    <w:p>
      <w:r>
        <w:t xml:space="preserve">XML (Extensible Markup Language) is a structured, hierarchical data format common in financial services, healthcare, and enterprise integration. AmorphDB ETL tools support translation between XML documents and AmorphDB hierarchical records.</w:t>
      </w:r>
    </w:p>
    <w:p/>
    <w:p>
      <w:pPr>
        <w:pStyle w:val="Heading2"/>
      </w:pPr>
      <w:r>
        <w:rPr>
          <w:b/>
          <w:bCs/>
          <w:sz w:val="28"/>
          <w:szCs w:val="28"/>
        </w:rPr>
        <w:t xml:space="preserve">Import</w:t>
      </w:r>
    </w:p>
    <w:p>
      <w:r>
        <w:t xml:space="preserve">XML import maps element hierarchy to AmorphDB record hierarchy. The following capabilities are supported:</w:t>
      </w:r>
    </w:p>
    <w:p/>
    <w:p>
      <w:pPr>
        <w:pStyle w:val="ListParagraph"/>
        <w:numPr>
          <w:ilvl w:val="0"/>
          <w:numId w:val="2"/>
        </w:numPr>
      </w:pPr>
      <w:r>
        <w:t xml:space="preserve">Element-to-record mapping — each specified element type maps to a record type.</w:t>
      </w:r>
    </w:p>
    <w:p>
      <w:pPr>
        <w:pStyle w:val="ListParagraph"/>
        <w:numPr>
          <w:ilvl w:val="0"/>
          <w:numId w:val="2"/>
        </w:numPr>
      </w:pPr>
      <w:r>
        <w:t xml:space="preserve">Attribute-to-field mapping — XML element attributes may be mapped to record fields.</w:t>
      </w:r>
    </w:p>
    <w:p>
      <w:pPr>
        <w:pStyle w:val="ListParagraph"/>
        <w:numPr>
          <w:ilvl w:val="0"/>
          <w:numId w:val="2"/>
        </w:numPr>
      </w:pPr>
      <w:r>
        <w:t xml:space="preserve">Text content — element text content may be mapped to a field.</w:t>
      </w:r>
    </w:p>
    <w:p>
      <w:pPr>
        <w:pStyle w:val="ListParagraph"/>
        <w:numPr>
          <w:ilvl w:val="0"/>
          <w:numId w:val="2"/>
        </w:numPr>
      </w:pPr>
      <w:r>
        <w:t xml:space="preserve">Repeating elements — sibling elements of the same name are imported as a list of records.</w:t>
      </w:r>
    </w:p>
    <w:p>
      <w:pPr>
        <w:pStyle w:val="ListParagraph"/>
        <w:numPr>
          <w:ilvl w:val="0"/>
          <w:numId w:val="2"/>
        </w:numPr>
      </w:pPr>
      <w:r>
        <w:t xml:space="preserve">Namespaces — namespace-qualified elements are supported; namespace prefixes may be aliased in the mapping definition.</w:t>
      </w:r>
    </w:p>
    <w:p>
      <w:pPr>
        <w:pStyle w:val="ListParagraph"/>
        <w:numPr>
          <w:ilvl w:val="0"/>
          <w:numId w:val="2"/>
        </w:numPr>
      </w:pPr>
      <w:r>
        <w:t xml:space="preserve">Missing elements or attributes — imported as Unknown.</w:t>
      </w:r>
    </w:p>
    <w:p/>
    <w:p>
      <w:r>
        <w:t xml:space="preserve">An XPath-based mapping definition may be supplied to select, rename, and transform elements during import. Without a mapping definition, element names are used directly as record and field names.</w:t>
      </w:r>
    </w:p>
    <w:p/>
    <w:p>
      <w:pPr>
        <w:pStyle w:val="Heading2"/>
      </w:pPr>
      <w:r>
        <w:rPr>
          <w:b/>
          <w:bCs/>
          <w:sz w:val="28"/>
          <w:szCs w:val="28"/>
        </w:rPr>
        <w:t xml:space="preserve">Export</w:t>
      </w:r>
    </w:p>
    <w:p>
      <w:r>
        <w:t xml:space="preserve">Export translates AmorphDB hierarchical query results to XML. Child record sets are emitted as nested child elements. A mapping definition may be supplied to control element names, attributes, and namespace declarations. Output may be formatted (indented) or compact.</w:t>
      </w:r>
    </w:p>
    <w:p/>
    <w:p>
      <w:pPr>
        <w:pStyle w:val="Heading1"/>
      </w:pPr>
      <w:r>
        <w:rPr>
          <w:b/>
          <w:bCs/>
          <w:sz w:val="32"/>
          <w:szCs w:val="32"/>
        </w:rPr>
        <w:t xml:space="preserve">Import/Export of Fixed-Width Files</w:t>
      </w:r>
    </w:p>
    <w:p>
      <w:pPr>
        <w:pStyle w:val="Heading2"/>
      </w:pPr>
      <w:r>
        <w:rPr>
          <w:b/>
          <w:bCs/>
          <w:sz w:val="28"/>
          <w:szCs w:val="28"/>
        </w:rPr>
        <w:t xml:space="preserve">Import</w:t>
      </w:r>
    </w:p>
    <w:p>
      <w:r>
        <w:t xml:space="preserve">For fixed-width files, we use a special notation called </w:t>
      </w:r>
      <w:r>
        <w:rPr>
          <w:b/>
          <w:bCs/>
        </w:rPr>
        <w:t xml:space="preserve">ARI</w:t>
      </w:r>
      <w:r>
        <w:t xml:space="preserve"> — Anchor Relative Identification. The idea is to identify sections and fields and/or subsections within each, doing so by identifying the start and, optionally, the end of each section, then each field within it.</w:t>
      </w:r>
    </w:p>
    <w:p/>
    <w:p>
      <w:r>
        <w:t xml:space="preserve">Sections and fields are identified via relational anchors: descriptions of what surrounds the target in the file. This approach is specifically designed to handle the wide variety of archaic flat file formats common in the financial services industry (e.g. PSCU, Jack Henry, and similar vendors).</w:t>
      </w:r>
    </w:p>
    <w:p/>
    <w:p>
      <w:pPr>
        <w:pStyle w:val="Heading3"/>
      </w:pPr>
      <w:r>
        <w:rPr>
          <w:b/>
          <w:bCs/>
          <w:sz w:val="24"/>
          <w:szCs w:val="24"/>
        </w:rPr>
        <w:t xml:space="preserve">General Rules</w:t>
      </w:r>
    </w:p>
    <w:p>
      <w:pPr>
        <w:pStyle w:val="ListParagraph"/>
        <w:numPr>
          <w:ilvl w:val="0"/>
          <w:numId w:val="2"/>
        </w:numPr>
      </w:pPr>
      <w:r>
        <w:t xml:space="preserve">The start and end of a file implicitly define the start and end of the root section.</w:t>
      </w:r>
    </w:p>
    <w:p>
      <w:pPr>
        <w:pStyle w:val="ListParagraph"/>
        <w:numPr>
          <w:ilvl w:val="0"/>
          <w:numId w:val="2"/>
        </w:numPr>
      </w:pPr>
      <w:r>
        <w:t xml:space="preserve">If a section end is not specified, it ends where the next section at the same or higher level is identified.</w:t>
      </w:r>
    </w:p>
    <w:p>
      <w:pPr>
        <w:pStyle w:val="ListParagraph"/>
        <w:numPr>
          <w:ilvl w:val="0"/>
          <w:numId w:val="2"/>
        </w:numPr>
      </w:pPr>
      <w:r>
        <w:t xml:space="preserve">The end of file ends all open sections.</w:t>
      </w:r>
    </w:p>
    <w:p>
      <w:pPr>
        <w:pStyle w:val="ListParagraph"/>
        <w:numPr>
          <w:ilvl w:val="0"/>
          <w:numId w:val="2"/>
        </w:numPr>
      </w:pPr>
      <w:r>
        <w:t xml:space="preserve">If a field's anchor pattern is not found within its section scope, the field value is recorded as Unknown.</w:t>
      </w:r>
    </w:p>
    <w:p/>
    <w:p>
      <w:pPr>
        <w:pStyle w:val="Heading3"/>
      </w:pPr>
      <w:r>
        <w:rPr>
          <w:b/>
          <w:bCs/>
          <w:sz w:val="24"/>
          <w:szCs w:val="24"/>
        </w:rPr>
        <w:t xml:space="preserve">Anchor Syntax</w:t>
      </w:r>
    </w:p>
    <w:p>
      <w:r>
        <w:t xml:space="preserve">Each field is identified by one or more directional anchors. An anchor specifies a direction, a distance, and a pattern to match in that direction from the target field:</w:t>
      </w:r>
    </w:p>
    <w:p/>
    <w:p>
      <w:pPr>
        <w:spacing w:after="0" w:before="0"/>
        <w:ind w:left="720"/>
      </w:pPr>
      <w:r>
        <w:rPr>
          <w:rFonts w:ascii="Courier New" w:cs="Courier New" w:eastAsia="Courier New" w:hAnsi="Courier New"/>
          <w:sz w:val="18"/>
          <w:szCs w:val="18"/>
        </w:rPr>
        <w:t xml:space="preserve">direction distance: pattern</w:t>
      </w:r>
    </w:p>
    <w:p/>
    <w:p>
      <w:r>
        <w:t xml:space="preserve">Directions are: </w:t>
      </w:r>
      <w:r>
        <w:rPr>
          <w:rFonts w:ascii="Courier New" w:cs="Courier New" w:eastAsia="Courier New" w:hAnsi="Courier New"/>
          <w:sz w:val="20"/>
          <w:szCs w:val="20"/>
        </w:rPr>
        <w:t xml:space="preserve">left</w:t>
      </w:r>
      <w:r>
        <w:t xml:space="preserve">, </w:t>
      </w:r>
      <w:r>
        <w:rPr>
          <w:rFonts w:ascii="Courier New" w:cs="Courier New" w:eastAsia="Courier New" w:hAnsi="Courier New"/>
          <w:sz w:val="20"/>
          <w:szCs w:val="20"/>
        </w:rPr>
        <w:t xml:space="preserve">right</w:t>
      </w:r>
      <w:r>
        <w:t xml:space="preserve">, </w:t>
      </w:r>
      <w:r>
        <w:rPr>
          <w:rFonts w:ascii="Courier New" w:cs="Courier New" w:eastAsia="Courier New" w:hAnsi="Courier New"/>
          <w:sz w:val="20"/>
          <w:szCs w:val="20"/>
        </w:rPr>
        <w:t xml:space="preserve">up</w:t>
      </w:r>
      <w:r>
        <w:t xml:space="preserve">, </w:t>
      </w:r>
      <w:r>
        <w:rPr>
          <w:rFonts w:ascii="Courier New" w:cs="Courier New" w:eastAsia="Courier New" w:hAnsi="Courier New"/>
          <w:sz w:val="20"/>
          <w:szCs w:val="20"/>
        </w:rPr>
        <w:t xml:space="preserve">down</w:t>
      </w:r>
      <w:r>
        <w:t xml:space="preserve">.</w:t>
      </w:r>
    </w:p>
    <w:p/>
    <w:p>
      <w:r>
        <w:t xml:space="preserve">Distance may be:</w:t>
      </w:r>
    </w:p>
    <w:p>
      <w:pPr>
        <w:pStyle w:val="ListParagraph"/>
        <w:numPr>
          <w:ilvl w:val="0"/>
          <w:numId w:val="2"/>
        </w:numPr>
      </w:pPr>
      <w:r>
        <w:t xml:space="preserve">A specific number of characters or lines (e.g. left 3)</w:t>
      </w:r>
    </w:p>
    <w:p>
      <w:pPr>
        <w:pStyle w:val="ListParagraph"/>
        <w:numPr>
          <w:ilvl w:val="0"/>
          <w:numId w:val="2"/>
        </w:numPr>
      </w:pPr>
      <w:r>
        <w:t xml:space="preserve">A range (e.g. up 1-50)</w:t>
      </w:r>
    </w:p>
    <w:p>
      <w:pPr>
        <w:pStyle w:val="ListParagraph"/>
        <w:numPr>
          <w:ilvl w:val="0"/>
          <w:numId w:val="2"/>
        </w:numPr>
      </w:pPr>
      <w:r>
        <w:t xml:space="preserve">Open-ended (e.g. left 2- means 2 or more; left -5 means up to 5)</w:t>
      </w:r>
    </w:p>
    <w:p>
      <w:pPr>
        <w:pStyle w:val="ListParagraph"/>
        <w:numPr>
          <w:ilvl w:val="0"/>
          <w:numId w:val="2"/>
        </w:numPr>
      </w:pPr>
      <w:r>
        <w:t xml:space="preserve">The keyword flush — meaning all the way to the edge of the section. flush up or down means the start or end of the section respectively.</w:t>
      </w:r>
    </w:p>
    <w:p/>
    <w:p>
      <w:r>
        <w:t xml:space="preserve">Patterns may be:</w:t>
      </w:r>
    </w:p>
    <w:p>
      <w:pPr>
        <w:pStyle w:val="ListParagraph"/>
        <w:numPr>
          <w:ilvl w:val="0"/>
          <w:numId w:val="2"/>
        </w:numPr>
      </w:pPr>
      <w:r>
        <w:t xml:space="preserve">A text literal (e.g. "ID")</w:t>
      </w:r>
    </w:p>
    <w:p>
      <w:pPr>
        <w:pStyle w:val="ListParagraph"/>
        <w:numPr>
          <w:ilvl w:val="0"/>
          <w:numId w:val="2"/>
        </w:numPr>
      </w:pPr>
      <w:r>
        <w:t xml:space="preserve">A regular expression (e.g. /\d{4}-\d{2}-\d{2}/)</w:t>
      </w:r>
    </w:p>
    <w:p>
      <w:pPr>
        <w:pStyle w:val="ListParagraph"/>
        <w:numPr>
          <w:ilvl w:val="0"/>
          <w:numId w:val="2"/>
        </w:numPr>
      </w:pPr>
      <w:r>
        <w:t xml:space="preserve">A regex with transform (e.g. /(\d{2})\/(\d{2})\/(\d{4})/$3-$1-$2/ — capture groups rearranged using $1, $2, $3 notation)</w:t>
      </w:r>
    </w:p>
    <w:p>
      <w:pPr>
        <w:pStyle w:val="ListParagraph"/>
        <w:numPr>
          <w:ilvl w:val="0"/>
          <w:numId w:val="2"/>
        </w:numPr>
      </w:pPr>
      <w:r>
        <w:t xml:space="preserve">A named data type keyword (e.g. date, money — see Type System below)</w:t>
      </w:r>
    </w:p>
    <w:p/>
    <w:p>
      <w:r>
        <w:t xml:space="preserve">Multiple patterns on a single anchor are comma-separated and evaluated as OR (any one matching is sufficient). All anchors on a field must match (AND).</w:t>
      </w:r>
    </w:p>
    <w:p/>
    <w:p>
      <w:pPr>
        <w:pStyle w:val="Heading3"/>
      </w:pPr>
      <w:r>
        <w:rPr>
          <w:b/>
          <w:bCs/>
          <w:sz w:val="24"/>
          <w:szCs w:val="24"/>
        </w:rPr>
        <w:t xml:space="preserve">Sections</w:t>
      </w:r>
    </w:p>
    <w:p>
      <w:r>
        <w:t xml:space="preserve">Sections define a scope region within the file. They may be nested to represent the file's logical hierarchy. A section may optionally declare an explicit end pattern; otherwise it ends at the next peer or parent section boundary.</w:t>
      </w:r>
    </w:p>
    <w:p/>
    <w:p>
      <w:pPr>
        <w:spacing w:after="0" w:before="0"/>
        <w:ind w:left="720"/>
      </w:pPr>
      <w:r>
        <w:rPr>
          <w:rFonts w:ascii="Courier New" w:cs="Courier New" w:eastAsia="Courier New" w:hAnsi="Courier New"/>
          <w:sz w:val="18"/>
          <w:szCs w:val="18"/>
        </w:rPr>
        <w:t xml:space="preserve">section name starts("pattern") ends("pattern"):</w:t>
      </w:r>
    </w:p>
    <w:p>
      <w:pPr>
        <w:spacing w:after="0" w:before="0"/>
        <w:ind w:left="720"/>
      </w:pPr>
      <w:r>
        <w:rPr>
          <w:rFonts w:ascii="Courier New" w:cs="Courier New" w:eastAsia="Courier New" w:hAnsi="Courier New"/>
          <w:sz w:val="18"/>
          <w:szCs w:val="18"/>
        </w:rPr>
        <w:t xml:space="preserve">    ...</w:t>
      </w:r>
    </w:p>
    <w:p/>
    <w:p>
      <w:r>
        <w:t xml:space="preserve">The root section may be declared explicitly or omitted, in which case it is implied by the file boundaries:</w:t>
      </w:r>
    </w:p>
    <w:p/>
    <w:p>
      <w:pPr>
        <w:spacing w:after="0" w:before="0"/>
        <w:ind w:left="720"/>
      </w:pPr>
      <w:r>
        <w:rPr>
          <w:rFonts w:ascii="Courier New" w:cs="Courier New" w:eastAsia="Courier New" w:hAnsi="Courier New"/>
          <w:sz w:val="18"/>
          <w:szCs w:val="18"/>
        </w:rPr>
        <w:t xml:space="preserve">section myfile starts(up flush) ends(down flush):</w:t>
      </w:r>
    </w:p>
    <w:p/>
    <w:p>
      <w:pPr>
        <w:pStyle w:val="Heading3"/>
      </w:pPr>
      <w:r>
        <w:rPr>
          <w:b/>
          <w:bCs/>
          <w:sz w:val="24"/>
          <w:szCs w:val="24"/>
        </w:rPr>
        <w:t xml:space="preserve">Repeating Records and the break Keyword</w:t>
      </w:r>
    </w:p>
    <w:p>
      <w:r>
        <w:t xml:space="preserve">When a section contains repeating records (i.e. multiple instances of the same field pattern), the </w:t>
      </w:r>
      <w:r>
        <w:rPr>
          <w:b/>
          <w:bCs/>
        </w:rPr>
        <w:t xml:space="preserve">break</w:t>
      </w:r>
      <w:r>
        <w:t xml:space="preserve"> keyword is placed within the section to declare it as a repeating record container.</w:t>
      </w:r>
    </w:p>
    <w:p/>
    <w:p>
      <w:r>
        <w:t xml:space="preserve">By default, a break fires when the parser detects the start of the next record (re-match of the first anchored field in the section). Optionally, an explicit separator pattern may be specified:</w:t>
      </w:r>
    </w:p>
    <w:p/>
    <w:p>
      <w:pPr>
        <w:spacing w:after="0" w:before="0"/>
        <w:ind w:left="720"/>
      </w:pPr>
      <w:r>
        <w:rPr>
          <w:rFonts w:ascii="Courier New" w:cs="Courier New" w:eastAsia="Courier New" w:hAnsi="Courier New"/>
          <w:sz w:val="18"/>
          <w:szCs w:val="18"/>
        </w:rPr>
        <w:t xml:space="preserve">break                    # fires on re-match of first field</w:t>
      </w:r>
    </w:p>
    <w:p>
      <w:pPr>
        <w:spacing w:after="0" w:before="0"/>
        <w:ind w:left="720"/>
      </w:pPr>
      <w:r>
        <w:rPr>
          <w:rFonts w:ascii="Courier New" w:cs="Courier New" w:eastAsia="Courier New" w:hAnsi="Courier New"/>
          <w:sz w:val="18"/>
          <w:szCs w:val="18"/>
        </w:rPr>
        <w:t xml:space="preserve">break on "---"           # fires on explicit separator line</w:t>
      </w:r>
    </w:p>
    <w:p>
      <w:pPr>
        <w:spacing w:after="0" w:before="0"/>
        <w:ind w:left="720"/>
      </w:pPr>
      <w:r>
        <w:rPr>
          <w:rFonts w:ascii="Courier New" w:cs="Courier New" w:eastAsia="Courier New" w:hAnsi="Courier New"/>
          <w:sz w:val="18"/>
          <w:szCs w:val="18"/>
        </w:rPr>
        <w:t xml:space="preserve">break on /^\s*$/         # fires on blank line</w:t>
      </w:r>
    </w:p>
    <w:p/>
    <w:p>
      <w:r>
        <w:t xml:space="preserve">Records within a repeating section may have a varying number of lines, and different record shapes may be intermixed within the same section. Fields not found within a given record instance are recorded as Unknown and parsing continues to the next record.</w:t>
      </w:r>
    </w:p>
    <w:p/>
    <w:p>
      <w:pPr>
        <w:pStyle w:val="Heading3"/>
      </w:pPr>
      <w:r>
        <w:rPr>
          <w:b/>
          <w:bCs/>
          <w:sz w:val="24"/>
          <w:szCs w:val="24"/>
        </w:rPr>
        <w:t xml:space="preserve">Type System</w:t>
      </w:r>
    </w:p>
    <w:p>
      <w:r>
        <w:t xml:space="preserve">Data type keywords are user-definable and backed by ordered lists of regular expressions with optional normalization transforms. This allows recognition of values in multiple vendor formats while normalizing them to a single canonical form for database insertion.</w:t>
      </w:r>
    </w:p>
    <w:p/>
    <w:p>
      <w:r>
        <w:t xml:space="preserve">Built-in types include </w:t>
      </w:r>
      <w:r>
        <w:rPr>
          <w:rFonts w:ascii="Courier New" w:cs="Courier New" w:eastAsia="Courier New" w:hAnsi="Courier New"/>
          <w:sz w:val="20"/>
          <w:szCs w:val="20"/>
        </w:rPr>
        <w:t xml:space="preserve">date</w:t>
      </w:r>
      <w:r>
        <w:t xml:space="preserve">, </w:t>
      </w:r>
      <w:r>
        <w:rPr>
          <w:rFonts w:ascii="Courier New" w:cs="Courier New" w:eastAsia="Courier New" w:hAnsi="Courier New"/>
          <w:sz w:val="20"/>
          <w:szCs w:val="20"/>
        </w:rPr>
        <w:t xml:space="preserve">money</w:t>
      </w:r>
      <w:r>
        <w:t xml:space="preserve">, </w:t>
      </w:r>
      <w:r>
        <w:rPr>
          <w:rFonts w:ascii="Courier New" w:cs="Courier New" w:eastAsia="Courier New" w:hAnsi="Courier New"/>
          <w:sz w:val="20"/>
          <w:szCs w:val="20"/>
        </w:rPr>
        <w:t xml:space="preserve">integer</w:t>
      </w:r>
      <w:r>
        <w:t xml:space="preserve">, and </w:t>
      </w:r>
      <w:r>
        <w:rPr>
          <w:rFonts w:ascii="Courier New" w:cs="Courier New" w:eastAsia="Courier New" w:hAnsi="Courier New"/>
          <w:sz w:val="20"/>
          <w:szCs w:val="20"/>
        </w:rPr>
        <w:t xml:space="preserve">decimal</w:t>
      </w:r>
      <w:r>
        <w:t xml:space="preserve">. Custom types may be defined using the following syntax:</w:t>
      </w:r>
    </w:p>
    <w:p/>
    <w:p>
      <w:pPr>
        <w:spacing w:after="0" w:before="0"/>
        <w:ind w:left="720"/>
      </w:pPr>
      <w:r>
        <w:rPr>
          <w:rFonts w:ascii="Courier New" w:cs="Courier New" w:eastAsia="Courier New" w:hAnsi="Courier New"/>
          <w:sz w:val="18"/>
          <w:szCs w:val="18"/>
        </w:rPr>
        <w:t xml:space="preserve">type DATE:</w:t>
      </w:r>
    </w:p>
    <w:p>
      <w:pPr>
        <w:spacing w:after="0" w:before="0"/>
        <w:ind w:left="720"/>
      </w:pPr>
      <w:r>
        <w:rPr>
          <w:rFonts w:ascii="Courier New" w:cs="Courier New" w:eastAsia="Courier New" w:hAnsi="Courier New"/>
          <w:sz w:val="18"/>
          <w:szCs w:val="18"/>
        </w:rPr>
        <w:t xml:space="preserve">    /(\d{2})\/(\d{2})\/(\d{4})/ -&gt; "$3-$1-$2"   # MM/DD/YYYY -&gt; ISO</w:t>
      </w:r>
    </w:p>
    <w:p>
      <w:pPr>
        <w:spacing w:after="0" w:before="0"/>
        <w:ind w:left="720"/>
      </w:pPr>
      <w:r>
        <w:rPr>
          <w:rFonts w:ascii="Courier New" w:cs="Courier New" w:eastAsia="Courier New" w:hAnsi="Courier New"/>
          <w:sz w:val="18"/>
          <w:szCs w:val="18"/>
        </w:rPr>
        <w:t xml:space="preserve">    /(\d{4})-(\d{2})-(\d{2})/    -&gt; "$1-$2-$3"   # already ISO</w:t>
      </w:r>
    </w:p>
    <w:p>
      <w:pPr>
        <w:spacing w:after="0" w:before="0"/>
        <w:ind w:left="720"/>
      </w:pPr>
      <w:r>
        <w:rPr>
          <w:rFonts w:ascii="Courier New" w:cs="Courier New" w:eastAsia="Courier New" w:hAnsi="Courier New"/>
          <w:sz w:val="18"/>
          <w:szCs w:val="18"/>
        </w:rPr>
        <w:t xml:space="preserve">    output: ISO_DATE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type CURRENCY:</w:t>
      </w:r>
    </w:p>
    <w:p>
      <w:pPr>
        <w:spacing w:after="0" w:before="0"/>
        <w:ind w:left="720"/>
      </w:pPr>
      <w:r>
        <w:rPr>
          <w:rFonts w:ascii="Courier New" w:cs="Courier New" w:eastAsia="Courier New" w:hAnsi="Courier New"/>
          <w:sz w:val="18"/>
          <w:szCs w:val="18"/>
        </w:rPr>
        <w:t xml:space="preserve">    /\$([\d,]+\.\d{2})/  -&gt; strip(",") as DECIMAL(12,2)</w:t>
      </w:r>
    </w:p>
    <w:p>
      <w:pPr>
        <w:spacing w:after="0" w:before="0"/>
        <w:ind w:left="720"/>
      </w:pPr>
      <w:r>
        <w:rPr>
          <w:rFonts w:ascii="Courier New" w:cs="Courier New" w:eastAsia="Courier New" w:hAnsi="Courier New"/>
          <w:sz w:val="18"/>
          <w:szCs w:val="18"/>
        </w:rPr>
        <w:t xml:space="preserve">    /([\d,]+\.\d{2})CR/   -&gt; strip(",") negate as DECIMAL(12,2)</w:t>
      </w:r>
    </w:p>
    <w:p>
      <w:pPr>
        <w:spacing w:after="0" w:before="0"/>
        <w:ind w:left="720"/>
      </w:pPr>
      <w:r>
        <w:rPr>
          <w:rFonts w:ascii="Courier New" w:cs="Courier New" w:eastAsia="Courier New" w:hAnsi="Courier New"/>
          <w:sz w:val="18"/>
          <w:szCs w:val="18"/>
        </w:rPr>
        <w:t xml:space="preserve">    output: DECIMAL(12,2)</w:t>
      </w:r>
    </w:p>
    <w:p/>
    <w:p>
      <w:pPr>
        <w:pStyle w:val="Heading3"/>
      </w:pPr>
      <w:r>
        <w:rPr>
          <w:b/>
          <w:bCs/>
          <w:sz w:val="24"/>
          <w:szCs w:val="24"/>
        </w:rPr>
        <w:t xml:space="preserve">Example</w:t>
      </w:r>
    </w:p>
    <w:p/>
    <w:p>
      <w:pPr>
        <w:spacing w:after="0" w:before="0"/>
        <w:ind w:left="720"/>
      </w:pPr>
      <w:r>
        <w:rPr>
          <w:rFonts w:ascii="Courier New" w:cs="Courier New" w:eastAsia="Courier New" w:hAnsi="Courier New"/>
          <w:sz w:val="18"/>
          <w:szCs w:val="18"/>
        </w:rPr>
        <w:t xml:space="preserve">section root_section_name:</w:t>
      </w:r>
    </w:p>
    <w:p>
      <w:pPr>
        <w:spacing w:after="0" w:before="0"/>
        <w:ind w:left="720"/>
      </w:pPr>
      <w:r>
        <w:rPr>
          <w:rFonts w:ascii="Courier New" w:cs="Courier New" w:eastAsia="Courier New" w:hAnsi="Courier New"/>
          <w:sz w:val="18"/>
          <w:szCs w:val="18"/>
        </w:rPr>
        <w:t xml:space="preserve">    field id: left 3 up 1-100: "ID"</w:t>
      </w:r>
    </w:p>
    <w:p>
      <w:pPr>
        <w:spacing w:after="0" w:before="0"/>
        <w:ind w:left="720"/>
      </w:pPr>
      <w:r>
        <w:rPr>
          <w:rFonts w:ascii="Courier New" w:cs="Courier New" w:eastAsia="Courier New" w:hAnsi="Courier New"/>
          <w:sz w:val="18"/>
          <w:szCs w:val="18"/>
        </w:rPr>
        <w:t xml:space="preserve">    field file_date: right 10 up 1-100: date</w:t>
      </w:r>
    </w:p>
    <w:p>
      <w:pPr>
        <w:spacing w:after="0" w:before="0"/>
        <w:ind w:left="720"/>
      </w:pPr>
      <w:r>
        <w:rPr>
          <w:rFonts w:ascii="Courier New" w:cs="Courier New" w:eastAsia="Courier New" w:hAnsi="Courier New"/>
          <w:sz w:val="18"/>
          <w:szCs w:val="18"/>
        </w:rPr>
        <w:t xml:space="preserve"/>
      </w:r>
    </w:p>
    <w:p>
      <w:pPr>
        <w:spacing w:after="0" w:before="0"/>
        <w:ind w:left="720"/>
      </w:pPr>
      <w:r>
        <w:rPr>
          <w:rFonts w:ascii="Courier New" w:cs="Courier New" w:eastAsia="Courier New" w:hAnsi="Courier New"/>
          <w:sz w:val="18"/>
          <w:szCs w:val="18"/>
        </w:rPr>
        <w:t xml:space="preserve">    section transactions starts("==== transactions ====") ends("==== end of transactions ===="):</w:t>
      </w:r>
    </w:p>
    <w:p>
      <w:pPr>
        <w:spacing w:after="0" w:before="0"/>
        <w:ind w:left="720"/>
      </w:pPr>
      <w:r>
        <w:rPr>
          <w:rFonts w:ascii="Courier New" w:cs="Courier New" w:eastAsia="Courier New" w:hAnsi="Courier New"/>
          <w:sz w:val="18"/>
          <w:szCs w:val="18"/>
        </w:rPr>
        <w:t xml:space="preserve">        field tran_type: left 2 up 1-50: "type"</w:t>
      </w:r>
    </w:p>
    <w:p>
      <w:pPr>
        <w:spacing w:after="0" w:before="0"/>
        <w:ind w:left="720"/>
      </w:pPr>
      <w:r>
        <w:rPr>
          <w:rFonts w:ascii="Courier New" w:cs="Courier New" w:eastAsia="Courier New" w:hAnsi="Courier New"/>
          <w:sz w:val="18"/>
          <w:szCs w:val="18"/>
        </w:rPr>
        <w:t xml:space="preserve">        field tran_amount: right 30 up 1-50: "amount"</w:t>
      </w:r>
    </w:p>
    <w:p>
      <w:pPr>
        <w:spacing w:after="0" w:before="0"/>
        <w:ind w:left="720"/>
      </w:pPr>
      <w:r>
        <w:rPr>
          <w:rFonts w:ascii="Courier New" w:cs="Courier New" w:eastAsia="Courier New" w:hAnsi="Courier New"/>
          <w:sz w:val="18"/>
          <w:szCs w:val="18"/>
        </w:rPr>
        <w:t xml:space="preserve">        field tax: right flush: money</w:t>
      </w:r>
    </w:p>
    <w:p>
      <w:pPr>
        <w:spacing w:after="0" w:before="0"/>
        <w:ind w:left="720"/>
      </w:pPr>
      <w:r>
        <w:rPr>
          <w:rFonts w:ascii="Courier New" w:cs="Courier New" w:eastAsia="Courier New" w:hAnsi="Courier New"/>
          <w:sz w:val="18"/>
          <w:szCs w:val="18"/>
        </w:rPr>
        <w:t xml:space="preserve">        break</w:t>
      </w:r>
    </w:p>
    <w:p/>
    <w:p>
      <w:r>
        <w:t xml:space="preserve">In this example, there is a root section (the file itself) and a subsection named </w:t>
      </w:r>
      <w:r>
        <w:rPr>
          <w:rFonts w:ascii="Courier New" w:cs="Courier New" w:eastAsia="Courier New" w:hAnsi="Courier New"/>
          <w:sz w:val="20"/>
          <w:szCs w:val="20"/>
        </w:rPr>
        <w:t xml:space="preserve">transactions</w:t>
      </w:r>
      <w:r>
        <w:t xml:space="preserve">. The transactions section is a repeating record container: each time the parser has matched what it can for a record, the </w:t>
      </w:r>
      <w:r>
        <w:rPr>
          <w:rFonts w:ascii="Courier New" w:cs="Courier New" w:eastAsia="Courier New" w:hAnsi="Courier New"/>
          <w:sz w:val="20"/>
          <w:szCs w:val="20"/>
        </w:rPr>
        <w:t xml:space="preserve">break</w:t>
      </w:r>
      <w:r>
        <w:t xml:space="preserve"> commits it and scanning continues for the next. Each field is anchored relative to its position in the file. The </w:t>
      </w:r>
      <w:r>
        <w:rPr>
          <w:rFonts w:ascii="Courier New" w:cs="Courier New" w:eastAsia="Courier New" w:hAnsi="Courier New"/>
          <w:sz w:val="20"/>
          <w:szCs w:val="20"/>
        </w:rPr>
        <w:t xml:space="preserve">tax</w:t>
      </w:r>
      <w:r>
        <w:t xml:space="preserve"> field uses </w:t>
      </w:r>
      <w:r>
        <w:rPr>
          <w:rFonts w:ascii="Courier New" w:cs="Courier New" w:eastAsia="Courier New" w:hAnsi="Courier New"/>
          <w:sz w:val="20"/>
          <w:szCs w:val="20"/>
        </w:rPr>
        <w:t xml:space="preserve">right flush</w:t>
      </w:r>
      <w:r>
        <w:t xml:space="preserve">, meaning it extends to the right edge of the section.</w:t>
      </w:r>
    </w:p>
    <w:p/>
    <w:p>
      <w:pPr>
        <w:pStyle w:val="Heading2"/>
      </w:pPr>
      <w:r>
        <w:rPr>
          <w:b/>
          <w:bCs/>
          <w:sz w:val="28"/>
          <w:szCs w:val="28"/>
        </w:rPr>
        <w:t xml:space="preserve">Export</w:t>
      </w:r>
    </w:p>
    <w:p>
      <w:r>
        <w:t xml:space="preserve">TODO: Define export format for fixed-width files, including column position mapping and padding rules.</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2026-03-08T17:08:28.058Z</dcterms:created>
  <dcterms:modified xsi:type="dcterms:W3CDTF">2026-03-08T17:08:28.059Z</dcterms:modified>
</cp:coreProperties>
</file>

<file path=docProps/custom.xml><?xml version="1.0" encoding="utf-8"?>
<Properties xmlns="http://schemas.openxmlformats.org/officeDocument/2006/custom-properties" xmlns:vt="http://schemas.openxmlformats.org/officeDocument/2006/docPropsVTypes"/>
</file>