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>
          <w:bottom w:val="single" w:color="0b3d91" w:sz="8" w:space="4"/>
        </w:pBdr>
        <w:spacing/>
        <w:ind/>
        <w:rPr>
          <w:sz w:val="32"/>
          <w:szCs w:val="32"/>
        </w:rPr>
      </w:pPr>
      <w:r>
        <w:rPr>
          <w:rFonts w:ascii="Segoe UI" w:hAnsi="Segoe UI"/>
          <w:sz w:val="32"/>
          <w:szCs w:val="32"/>
        </w:rPr>
        <w:t xml:space="preserve">Project 7 — SOC (Security Operations Center) Copilot</w:t>
      </w:r>
      <w:r>
        <w:rPr>
          <w:sz w:val="32"/>
          <w:szCs w:val="32"/>
        </w:rPr>
      </w:r>
    </w:p>
    <w:p>
      <w:pPr>
        <w:pBdr/>
        <w:spacing/>
        <w:ind w:right="340" w:left="340"/>
        <w:rPr/>
      </w:pPr>
      <w:r>
        <w:rPr>
          <w:rFonts w:ascii="Segoe UI" w:hAnsi="Segoe UI"/>
          <w:color w:val="555555"/>
          <w:sz w:val="22"/>
        </w:rPr>
        <w:t xml:space="preserve">Synthesis report for the Industry-Integrated AI Systems Synthesis capstone.</w:t>
      </w:r>
      <w:r/>
    </w:p>
    <w:p>
      <w:pPr>
        <w:pBdr/>
        <w:spacing/>
        <w:ind/>
        <w:jc w:val="center"/>
        <w:rPr/>
      </w:pPr>
      <w:r>
        <w:rPr>
          <w:color w:val="cfd8e3"/>
        </w:rPr>
        <w:t xml:space="preserve">──────────────────────────────</w:t>
      </w:r>
      <w:r/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1. Overview and Industry Context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The target industry is </w:t>
      </w:r>
      <w:r>
        <w:rPr>
          <w:rFonts w:ascii="Segoe UI" w:hAnsi="Segoe UI"/>
          <w:b/>
          <w:sz w:val="22"/>
        </w:rPr>
        <w:t xml:space="preserve">security operations</w:t>
      </w:r>
      <w:r>
        <w:rPr>
          <w:rFonts w:ascii="Segoe UI" w:hAnsi="Segoe UI"/>
          <w:sz w:val="22"/>
        </w:rPr>
        <w:t xml:space="preserve"> — the control-room function inside any organization that watches surveillance feeds, badge-access logs, and alarm streams and decides which signals become incidents. The concrete problem is </w:t>
      </w:r>
      <w:r>
        <w:rPr>
          <w:rFonts w:ascii="Segoe UI" w:hAnsi="Segoe UI"/>
          <w:b/>
          <w:sz w:val="22"/>
        </w:rPr>
        <w:t xml:space="preserve">alert fatigue and cross-screen correlation</w:t>
      </w:r>
      <w:r>
        <w:rPr>
          <w:rFonts w:ascii="Segoe UI" w:hAnsi="Segoe UI"/>
          <w:sz w:val="22"/>
        </w:rPr>
        <w:t xml:space="preserve">: a single site generates thousands of eve</w:t>
      </w:r>
      <w:r>
        <w:rPr>
          <w:rFonts w:ascii="Segoe UI" w:hAnsi="Segoe UI"/>
          <w:sz w:val="22"/>
        </w:rPr>
        <w:t xml:space="preserve">nts and access logs a day, a small fraction are genuine anomalies, and the analyst on shift has to fuse signals across separate screens (surveillance vs. access control) under time pressure, with critical escalations sometimes falling on a 3 a.m. operator.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This problem is appropriate for an AI-based solution because it is fundamentally a </w:t>
      </w:r>
      <w:r>
        <w:rPr>
          <w:rFonts w:ascii="Segoe UI" w:hAnsi="Segoe UI"/>
          <w:b/>
          <w:sz w:val="22"/>
        </w:rPr>
        <w:t xml:space="preserve">signal-fusion and triage</w:t>
      </w:r>
      <w:r>
        <w:rPr>
          <w:rFonts w:ascii="Segoe UI" w:hAnsi="Segoe UI"/>
          <w:sz w:val="22"/>
        </w:rPr>
        <w:t xml:space="preserve"> task: deterministic rules can correlate surveillance anomalies with access outcomes, a retrieval layer can pull the relevant policy for each fused incident, and a generative model can draft the analyst-facing summary with citations — while a human stay</w:t>
      </w:r>
      <w:r>
        <w:rPr>
          <w:rFonts w:ascii="Segoe UI" w:hAnsi="Segoe UI"/>
          <w:sz w:val="22"/>
        </w:rPr>
        <w:t xml:space="preserve">s in the loop for the irreversible decision (escalation). The system does not decide; it compresses 1,000 events + ~9,700 logs into 226 scored incidents with citations and a recommended action, and routes the 16 critical ones through a human-approval gate.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Constraints and risks specific to this industry: the data is surveillance/access data (PII risk</w:t>
      </w:r>
      <w:r>
        <w:rPr>
          <w:rFonts w:ascii="Segoe UI" w:hAnsi="Segoe UI"/>
          <w:color w:val="0b3d91"/>
          <w:sz w:val="14"/>
          <w:vertAlign w:val="superscript"/>
        </w:rPr>
        <w:t xml:space="preserve">1</w:t>
      </w:r>
      <w:r>
        <w:rPr>
          <w:rFonts w:ascii="Segoe UI" w:hAnsi="Segoe UI"/>
          <w:sz w:val="22"/>
        </w:rPr>
        <w:t xml:space="preserve">, data-minimisation and retention obligations per GDPR Art. 5(1)(c)</w:t>
      </w:r>
      <w:r>
        <w:rPr>
          <w:rFonts w:ascii="Segoe UI" w:hAnsi="Segoe UI"/>
          <w:color w:val="0b3d91"/>
          <w:sz w:val="14"/>
          <w:vertAlign w:val="superscript"/>
        </w:rPr>
        <w:t xml:space="preserve">2</w:t>
      </w:r>
      <w:r>
        <w:rPr>
          <w:rFonts w:ascii="Segoe UI" w:hAnsi="Segoe UI"/>
          <w:sz w:val="22"/>
        </w:rPr>
        <w:t xml:space="preserve">),  the ou</w:t>
      </w:r>
      <w:r>
        <w:rPr>
          <w:rFonts w:ascii="Segoe UI" w:hAnsi="Segoe UI"/>
          <w:sz w:val="22"/>
        </w:rPr>
        <w:t xml:space="preserve">tputs drive security actions on real people (suspend a badge, dispatch security),  and a wrong escalation is costly in both directions — a missed critical is a breach,  a false alarm erodes trust. The system's responsibility boundary is therefore narrow:  </w:t>
      </w:r>
      <w:r>
        <w:rPr>
          <w:rFonts w:ascii="Segoe UI" w:hAnsi="Segoe UI"/>
          <w:b/>
          <w:sz w:val="22"/>
        </w:rPr>
        <w:t xml:space="preserve">it recommends and surfaces; it never closes a case and never auto-escalates.</w:t>
      </w:r>
      <w:r/>
    </w:p>
    <w:p>
      <w:pPr>
        <w:pBdr/>
        <w:spacing/>
        <w:ind/>
        <w:jc w:val="center"/>
        <w:rPr/>
      </w:pPr>
      <w:r>
        <w:rPr>
          <w:color w:val="cfd8e3"/>
        </w:rPr>
        <w:t xml:space="preserve">──────────────────────────────</w:t>
      </w:r>
      <w:r/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2. Integration Rationale (≥3 prior projects)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This system integrates </w:t>
      </w:r>
      <w:r>
        <w:rPr>
          <w:rFonts w:ascii="Segoe UI" w:hAnsi="Segoe UI"/>
          <w:b/>
          <w:sz w:val="22"/>
        </w:rPr>
        <w:t xml:space="preserve">five</w:t>
      </w:r>
      <w:r>
        <w:rPr>
          <w:rFonts w:ascii="Segoe UI" w:hAnsi="Segoe UI"/>
          <w:sz w:val="22"/>
        </w:rPr>
        <w:t xml:space="preserve"> prior capstone projects, each contributing a distinct layer: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P1 — Reproducible Data Workflows (data foundation).</w:t>
      </w:r>
      <w:r>
        <w:rPr>
          <w:rFonts w:ascii="Segoe UI" w:hAnsi="Segoe UI"/>
          <w:color w:val="0b3d91"/>
          <w:sz w:val="14"/>
          <w:vertAlign w:val="superscript"/>
        </w:rPr>
        <w:t xml:space="preserve">3</w:t>
      </w:r>
      <w:r>
        <w:rPr>
          <w:rFonts w:ascii="Segoe UI" w:hAnsi="Segoe UI"/>
          <w:sz w:val="22"/>
        </w:rPr>
        <w:t xml:space="preserve"> The copilot runs on P1's corpus.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</w:t>
      </w:r>
      <w:r>
        <w:rPr>
          <w:rFonts w:ascii="Cascadia Mono" w:hAnsi="Cascadia Mono"/>
          <w:sz w:val="20"/>
        </w:rPr>
        <w:t xml:space="preserve">p1_pipeline.py</w:t>
      </w:r>
      <w:r>
        <w:rPr>
          <w:rFonts w:ascii="Segoe UI" w:hAnsi="Segoe UI"/>
          <w:sz w:val="22"/>
        </w:rPr>
        <w:t xml:space="preserve"> reads P1's </w:t>
      </w:r>
      <w:r>
        <w:rPr>
          <w:rFonts w:ascii="Cascadia Mono" w:hAnsi="Cascadia Mono"/>
          <w:sz w:val="20"/>
        </w:rPr>
        <w:t xml:space="preserve">data/raw/*.parquet</w:t>
      </w:r>
      <w:r>
        <w:rPr>
          <w:rFonts w:ascii="Segoe UI" w:hAnsi="Segoe UI"/>
          <w:color w:val="0b3d91"/>
          <w:sz w:val="14"/>
          <w:vertAlign w:val="superscript"/>
        </w:rPr>
        <w:t xml:space="preserve">4</w:t>
      </w:r>
      <w:r>
        <w:rPr>
          <w:rFonts w:ascii="Segoe UI" w:hAnsi="Segoe UI"/>
          <w:sz w:val="22"/>
        </w:rPr>
        <w:t xml:space="preserve"> (1,000 surveillance events / ~9,700 access   logs / 3 sites) through </w:t>
      </w:r>
      <w:r>
        <w:rPr>
          <w:rFonts w:ascii="Cascadia Mono" w:hAnsi="Cascadia Mono"/>
          <w:sz w:val="20"/>
        </w:rPr>
        <w:t xml:space="preserve">p1_adapter.py</w:t>
      </w:r>
      <w:r>
        <w:rPr>
          <w:rFonts w:ascii="Segoe UI" w:hAnsi="Segoe UI"/>
          <w:sz w:val="22"/>
        </w:rPr>
        <w:t xml:space="preserve">, which normalizes P1's dirtier schema (no </w:t>
      </w:r>
      <w:r>
        <w:rPr>
          <w:rFonts w:ascii="Cascadia Mono" w:hAnsi="Cascadia Mono"/>
          <w:sz w:val="20"/>
        </w:rPr>
        <w:t xml:space="preserve">anomaly</w:t>
      </w:r>
      <w:r>
        <w:rPr>
          <w:rFonts w:ascii="Segoe UI" w:hAnsi="Segoe UI"/>
          <w:sz w:val="22"/>
        </w:rPr>
        <w:t xml:space="preserve">   flag, different </w:t>
      </w:r>
      <w:r>
        <w:rPr>
          <w:rFonts w:ascii="Cascadia Mono" w:hAnsi="Cascadia Mono"/>
          <w:sz w:val="20"/>
        </w:rPr>
        <w:t xml:space="preserve">access_result</w:t>
      </w:r>
      <w:r>
        <w:rPr>
          <w:rFonts w:ascii="Segoe UI" w:hAnsi="Segoe UI"/>
          <w:sz w:val="22"/>
        </w:rPr>
        <w:t xml:space="preserve"> values, 298 sentinel rows, lowercase zone variants)    into P7's schema. P1's reproducibility discipline (seeded generation, Parquet I/O) is inherited directly.</w:t>
      </w:r>
      <w:r/>
    </w:p>
    <w:p>
      <w:pPr>
        <w:pStyle w:val="735"/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b/>
          <w:sz w:val="22"/>
        </w:rPr>
        <w:t xml:space="preserve">P2 — Statistical Calibration (threshold contract).</w:t>
      </w:r>
      <w:r>
        <w:rPr>
          <w:rFonts w:ascii="Segoe UI" w:hAnsi="Segoe UI"/>
          <w:color w:val="0b3d91"/>
          <w:sz w:val="14"/>
          <w:vertAlign w:val="superscript"/>
        </w:rPr>
        <w:t xml:space="preserve">5</w:t>
      </w:r>
      <w:r>
        <w:rPr>
          <w:rFonts w:ascii="Segoe UI" w:hAnsi="Segoe UI"/>
          <w:sz w:val="22"/>
        </w:rPr>
        <w:t xml:space="preserve"> P2 ran chi-square</w:t>
      </w:r>
      <w:r>
        <w:rPr>
          <w:rFonts w:ascii="Segoe UI" w:hAnsi="Segoe UI"/>
          <w:color w:val="0b3d91"/>
          <w:sz w:val="14"/>
          <w:vertAlign w:val="superscript"/>
        </w:rPr>
        <w:t xml:space="preserve">6</w:t>
      </w:r>
      <w:r>
        <w:rPr>
          <w:rFonts w:ascii="Segoe UI" w:hAnsi="Segoe UI"/>
          <w:sz w:val="22"/>
        </w:rPr>
        <w:t xml:space="preserve"> </w:t>
      </w:r>
      <w:r/>
      <w:r>
        <w:rPr>
          <w:rFonts w:ascii="Segoe UI" w:hAnsi="Segoe UI"/>
          <w:sz w:val="22"/>
        </w:rPr>
        <w:t xml:space="preserve"> and t-test </w:t>
      </w:r>
      <w:r>
        <w:rPr>
          <w:rFonts w:ascii="Segoe UI" w:hAnsi="Segoe UI"/>
          <w:color w:val="0b3d91"/>
          <w:sz w:val="14"/>
          <w:vertAlign w:val="superscript"/>
        </w:rPr>
        <w:t xml:space="preserve">7</w:t>
      </w:r>
      <w:r>
        <w:rPr>
          <w:rFonts w:ascii="Segoe UI" w:hAnsi="Segoe UI"/>
          <w:sz w:val="22"/>
        </w:rPr>
        <w:t xml:space="preserve"> hypothesis tests and explicitly warned that the fusion confidence threshold (0.85) "should be validated against precision/recall before deployment. “</w:t>
      </w:r>
      <w:r>
        <w:rPr>
          <w:rFonts w:ascii="Cascadia Mono" w:hAnsi="Cascadia Mono"/>
          <w:sz w:val="20"/>
        </w:rPr>
        <w:t xml:space="preserve">tests/test_threshold_calibration.py”</w:t>
      </w:r>
      <w:r>
        <w:rPr>
          <w:rFonts w:ascii="Segoe UI" w:hAnsi="Segoe UI"/>
          <w:sz w:val="22"/>
        </w:rPr>
        <w:t xml:space="preserve"> re-runs both tests </w:t>
      </w:r>
      <w:r/>
    </w:p>
    <w:p w14:paraId="26A410A4">
      <w:pPr>
        <w:pStyle w:val="735"/>
        <w:numPr>
          <w:ilvl w:val="0"/>
          <w:numId w:val="0"/>
        </w:numPr>
        <w:pBdr/>
        <w:spacing/>
        <w:ind w:firstLine="0" w:left="360"/>
        <w:rPr>
          <w:rFonts w:ascii="Segoe UI" w:hAnsi="Segoe UI"/>
          <w:sz w:val="22"/>
          <w:szCs w:val="22"/>
          <w:highlight w:val="none"/>
        </w:rPr>
      </w:pPr>
      <w:r>
        <w:rPr>
          <w:rFonts w:ascii="Segoe UI" w:hAnsi="Segoe UI"/>
          <w:sz w:val="22"/>
        </w:rPr>
        <w:t xml:space="preserve">on the slice the copilot actually runs against. The validation </w:t>
      </w:r>
      <w:r>
        <w:rPr>
          <w:rFonts w:ascii="Segoe UI" w:hAnsi="Segoe UI"/>
          <w:b/>
          <w:sz w:val="22"/>
        </w:rPr>
        <w:t xml:space="preserve">became a hard finding</w:t>
      </w:r>
      <w:r>
        <w:rPr>
          <w:rFonts w:ascii="Segoe UI" w:hAnsi="Segoe UI"/>
          <w:sz w:val="22"/>
        </w:rPr>
        <w:t xml:space="preserve">, not a caveat: recall@0.85 is only ~58% on the scaled slice, and the t-test   effect strengthens (Cohen's d 0.21 → 1.50). P2's caution is now an asserted contract.</w:t>
      </w:r>
      <w:r>
        <w:rPr>
          <w:highlight w:val="none"/>
        </w:rPr>
      </w:r>
    </w:p>
    <w:p w14:paraId="660BFCA9">
      <w:pPr>
        <w:pStyle w:val="735"/>
        <w:numPr>
          <w:ilvl w:val="0"/>
          <w:numId w:val="0"/>
        </w:numPr>
        <w:pBdr/>
        <w:spacing/>
        <w:ind w:firstLine="0" w:left="360"/>
        <w:rPr>
          <w:highlight w:val="none"/>
        </w:rPr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P3 — Applied ML (rules-first, leakage discipline).</w:t>
      </w:r>
      <w:r>
        <w:rPr>
          <w:rFonts w:ascii="Segoe UI" w:hAnsi="Segoe UI"/>
          <w:color w:val="0b3d91"/>
          <w:sz w:val="14"/>
          <w:vertAlign w:val="superscript"/>
        </w:rPr>
        <w:t xml:space="preserve">8</w:t>
      </w:r>
      <w:r>
        <w:rPr>
          <w:rFonts w:ascii="Segoe UI" w:hAnsi="Segoe UI"/>
          <w:sz w:val="22"/>
        </w:rPr>
        <w:t xml:space="preserve"> The fusion layer is rules-first, not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ML — a direct P3 lesson. Per-rule base risk + size/confidence bonuses, capped at 100, with the originating rule recorded on each incident (</w:t>
      </w:r>
      <w:r>
        <w:rPr>
          <w:rFonts w:ascii="Cascadia Mono" w:hAnsi="Cascadia Mono"/>
          <w:sz w:val="20"/>
        </w:rPr>
        <w:t xml:space="preserve">_rule</w:t>
      </w:r>
      <w:r>
        <w:rPr>
          <w:rFonts w:ascii="Segoe UI" w:hAnsi="Segoe UI"/>
          <w:sz w:val="22"/>
        </w:rPr>
        <w:t xml:space="preserve"> column) for auditability. ML is deliberately deferred, and P3's leakage discipline (split by </w:t>
      </w:r>
      <w:r>
        <w:rPr>
          <w:rFonts w:ascii="Cascadia Mono" w:hAnsi="Cascadia Mono"/>
          <w:sz w:val="20"/>
        </w:rPr>
        <w:t xml:space="preserve">site</w:t>
      </w:r>
      <w:r>
        <w:rPr>
          <w:rFonts w:ascii="Segoe UI" w:hAnsi="Segoe UI"/>
          <w:sz w:val="22"/>
        </w:rPr>
        <w:t xml:space="preserve"> + contiguous </w:t>
      </w:r>
      <w:r>
        <w:rPr>
          <w:rFonts w:ascii="Cascadia Mono" w:hAnsi="Cascadia Mono"/>
          <w:sz w:val="20"/>
        </w:rPr>
        <w:t xml:space="preserve">time_window</w:t>
      </w:r>
      <w:r>
        <w:rPr>
          <w:rFonts w:ascii="Segoe UI" w:hAnsi="Segoe UI"/>
          <w:sz w:val="22"/>
        </w:rPr>
        <w:t xml:space="preserve">, not shuffled rows) is recorded as the constraint any future ML upgrade must obey.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P5 — Generative AI (genre reference for summarizer prose).</w:t>
      </w:r>
      <w:r>
        <w:rPr>
          <w:rFonts w:ascii="Segoe UI" w:hAnsi="Segoe UI"/>
          <w:color w:val="0b3d91"/>
          <w:sz w:val="14"/>
          <w:vertAlign w:val="superscript"/>
        </w:rPr>
        <w:t xml:space="preserve">9</w:t>
      </w:r>
      <w:r>
        <w:rPr>
          <w:rFonts w:ascii="Segoe UI" w:hAnsi="Segoe UI"/>
          <w:sz w:val="22"/>
        </w:rPr>
        <w:t xml:space="preserve"> The summarizer's </w:t>
      </w:r>
      <w:r/>
      <w:r>
        <w:rPr>
          <w:rFonts w:ascii="Segoe UI" w:hAnsi="Segoe UI"/>
          <w:sz w:val="22"/>
        </w:rPr>
        <w:t xml:space="preserve">analyst-voice prompt and the JSON </w:t>
      </w:r>
      <w:r>
        <w:rPr>
          <w:rFonts w:ascii="Cascadia Mono" w:hAnsi="Cascadia Mono"/>
          <w:sz w:val="20"/>
        </w:rPr>
        <w:t xml:space="preserve">{summary, recommended_action, citations}</w:t>
      </w:r>
      <w:r>
        <w:rPr>
          <w:rFonts w:ascii="Segoe UI" w:hAnsi="Segoe UI"/>
          <w:sz w:val="22"/>
        </w:rPr>
        <w:t xml:space="preserve"> schema —   with the allowed doc_id list declared in the system prompt and the citations field   parsed + validated against the retrieved set — follow the grounded-QA pattern from P5's generative work.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P6 — Autonomous/Semi-Autonomous Agentic Workflows (governance spine).</w:t>
      </w:r>
      <w:r>
        <w:rPr>
          <w:rFonts w:ascii="Segoe UI" w:hAnsi="Segoe UI"/>
          <w:color w:val="0b3d91"/>
          <w:sz w:val="14"/>
          <w:vertAlign w:val="superscript"/>
        </w:rPr>
        <w:t xml:space="preserve">10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The LangGraph</w:t>
      </w:r>
      <w:r>
        <w:rPr>
          <w:rFonts w:ascii="Segoe UI" w:hAnsi="Segoe UI"/>
          <w:color w:val="0b3d91"/>
          <w:sz w:val="14"/>
          <w:vertAlign w:val="superscript"/>
        </w:rPr>
        <w:t xml:space="preserve">11</w:t>
      </w:r>
      <w:r>
        <w:rPr>
          <w:rFonts w:ascii="Segoe UI" w:hAnsi="Segoe UI"/>
          <w:sz w:val="22"/>
        </w:rPr>
        <w:t xml:space="preserve"> governance graph from P6's property-management donor is lifted into </w:t>
      </w:r>
      <w:r>
        <w:rPr>
          <w:rFonts w:ascii="Cascadia Mono" w:hAnsi="Cascadia Mono"/>
          <w:sz w:val="20"/>
        </w:rPr>
        <w:t xml:space="preserve">src/governance/</w:t>
      </w:r>
      <w:r>
        <w:rPr>
          <w:rFonts w:ascii="Segoe UI" w:hAnsi="Segoe UI"/>
          <w:sz w:val="22"/>
        </w:rPr>
        <w:t xml:space="preserve"> (code logic verbatim) and reused for SOC with one required fix (the multi-step plan loop must dispatch back to </w:t>
      </w:r>
      <w:r>
        <w:rPr>
          <w:rFonts w:ascii="Cascadia Mono" w:hAnsi="Cascadia Mono"/>
          <w:b/>
          <w:bCs/>
          <w:sz w:val="20"/>
        </w:rPr>
        <w:t xml:space="preserve">worker</w:t>
      </w:r>
      <w:r>
        <w:rPr>
          <w:rFonts w:ascii="Segoe UI" w:hAnsi="Segoe UI"/>
          <w:sz w:val="22"/>
        </w:rPr>
        <w:t xml:space="preserve">, not </w:t>
      </w:r>
      <w:r>
        <w:rPr>
          <w:rFonts w:ascii="Cascadia Mono" w:hAnsi="Cascadia Mono"/>
          <w:b/>
          <w:bCs/>
          <w:sz w:val="20"/>
        </w:rPr>
        <w:t xml:space="preserve">reviewer</w:t>
      </w:r>
      <w:r>
        <w:rPr>
          <w:rFonts w:ascii="Segoe UI" w:hAnsi="Segoe UI"/>
          <w:sz w:val="22"/>
        </w:rPr>
        <w:t xml:space="preserve">). The same </w:t>
      </w:r>
      <w:r>
        <w:rPr>
          <w:rFonts w:ascii="Cascadia Mono" w:hAnsi="Cascadia Mono"/>
          <w:sz w:val="20"/>
        </w:rPr>
        <w:t xml:space="preserve">evaluate_constraints</w:t>
      </w:r>
      <w:r>
        <w:rPr>
          <w:rFonts w:ascii="Segoe UI" w:hAnsi="Segoe UI"/>
          <w:sz w:val="22"/>
        </w:rPr>
        <w:t xml:space="preserve"> mechanism that enforced the donor's spend cap enforces our </w:t>
      </w:r>
      <w:r>
        <w:rPr>
          <w:rFonts w:ascii="Cascadia Mono" w:hAnsi="Cascadia Mono"/>
          <w:b/>
          <w:bCs/>
          <w:sz w:val="20"/>
        </w:rPr>
        <w:t xml:space="preserve">risk_band_score ≥ 80</w:t>
      </w:r>
      <w:r>
        <w:rPr>
          <w:rFonts w:ascii="Segoe UI" w:hAnsi="Segoe UI"/>
          <w:sz w:val="22"/>
        </w:rPr>
        <w:t xml:space="preserve"> human-review gate — one mechanism for two domains is the reuse linchpin, asserted in </w:t>
      </w:r>
      <w:r>
        <w:rPr>
          <w:rFonts w:ascii="Cascadia Mono" w:hAnsi="Cascadia Mono"/>
          <w:sz w:val="20"/>
        </w:rPr>
        <w:t xml:space="preserve">test_policy_predicate.py</w:t>
      </w:r>
      <w:r>
        <w:rPr>
          <w:rFonts w:ascii="Segoe UI" w:hAnsi="Segoe UI"/>
          <w:sz w:val="22"/>
        </w:rPr>
        <w:t xml:space="preserve">.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These compose as a pipeline: </w:t>
      </w:r>
      <w:r>
        <w:rPr>
          <w:rFonts w:ascii="Segoe UI" w:hAnsi="Segoe UI"/>
          <w:b/>
          <w:bCs/>
          <w:sz w:val="22"/>
        </w:rPr>
        <w:t xml:space="preserve">P1 data → fusion (P3 rules) → P2 calibration check → RAG retrieval (Lewis 2020)</w:t>
      </w:r>
      <w:r>
        <w:rPr>
          <w:rFonts w:ascii="Segoe UI" w:hAnsi="Segoe UI"/>
          <w:b/>
          <w:bCs/>
          <w:color w:val="0b3d91"/>
          <w:sz w:val="14"/>
          <w:vertAlign w:val="superscript"/>
        </w:rPr>
        <w:t xml:space="preserve">12</w:t>
      </w:r>
      <w:r>
        <w:rPr>
          <w:rFonts w:ascii="Segoe UI" w:hAnsi="Segoe UI"/>
          <w:b/>
          <w:bCs/>
          <w:sz w:val="22"/>
        </w:rPr>
        <w:t xml:space="preserve"> → gen</w:t>
      </w:r>
      <w:r>
        <w:rPr>
          <w:rFonts w:ascii="Segoe UI" w:hAnsi="Segoe UI"/>
          <w:b/>
          <w:bCs/>
          <w:sz w:val="22"/>
        </w:rPr>
        <w:t xml:space="preserve">erative summary (P5) → LangGraph agent with governance gate (P6) → human approval. </w:t>
      </w:r>
      <w:r>
        <w:rPr>
          <w:rFonts w:ascii="Segoe UI" w:hAnsi="Segoe UI"/>
          <w:sz w:val="22"/>
        </w:rPr>
        <w:t xml:space="preserve">Integration is meaningful, not decorative: removing any layer breaks a real capability (fusion, policy routing, grounded summaries, or the non-bypassable escalation gate).</w:t>
      </w:r>
      <w:r/>
    </w:p>
    <w:p>
      <w:pPr>
        <w:pBdr/>
        <w:spacing/>
        <w:ind/>
        <w:jc w:val="center"/>
        <w:rPr/>
      </w:pPr>
      <w:r>
        <w:rPr>
          <w:color w:val="cfd8e3"/>
        </w:rPr>
        <w:t xml:space="preserve">──────────────────────────────</w:t>
      </w:r>
      <w:r/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3. System Design and Technical Decisions</w:t>
      </w:r>
      <w:r/>
    </w:p>
    <w:p>
      <w:pPr>
        <w:pStyle w:val="707"/>
        <w:pBdr/>
        <w:spacing/>
        <w:ind/>
        <w:rPr/>
      </w:pPr>
      <w:r>
        <w:rPr>
          <w:rFonts w:ascii="Segoe UI" w:hAnsi="Segoe UI"/>
          <w:sz w:val="22"/>
        </w:rPr>
        <w:t xml:space="preserve">Architecture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092"/>
      </w:tblGrid>
      <w:tr>
        <w:trPr/>
        <w:tc>
          <w:tcPr>
            <w:shd w:val="clear" w:color="auto" w:fill="f3f5f8"/>
            <w:tcBorders>
              <w:top w:val="single" w:color="d6dde6" w:sz="4" w:space="0"/>
              <w:left w:val="single" w:color="d6dde6" w:sz="4" w:space="0"/>
              <w:bottom w:val="single" w:color="d6dde6" w:sz="4" w:space="0"/>
              <w:right w:val="single" w:color="d6dde6" w:sz="4" w:space="0"/>
            </w:tcBorders>
            <w:tcW w:w="10092" w:type="dxa"/>
          </w:tcPr>
          <w:p>
            <w:pPr>
              <w:pBdr/>
              <w:spacing w:after="0"/>
              <w:ind/>
              <w:rPr/>
            </w:pPr>
            <w:r>
              <w:rPr>
                <w:rFonts w:ascii="Cascadia Mono" w:hAnsi="Cascadia Mono"/>
                <w:sz w:val="20"/>
              </w:rPr>
              <w:t xml:space="preserve">__start__ → ingest → planner → worker → reviewer → { worker_dispatch | human_approval | summarizer 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Generators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src/generators/</w:t>
      </w:r>
      <w:r>
        <w:rPr>
          <w:rFonts w:ascii="Segoe UI" w:hAnsi="Segoe UI"/>
          <w:sz w:val="22"/>
        </w:rPr>
        <w:t xml:space="preserve">): P1-backed synthetic data, deterministic with </w:t>
      </w:r>
      <w:r>
        <w:rPr>
          <w:rFonts w:ascii="Cascadia Mono" w:hAnsi="Cascadia Mono"/>
          <w:sz w:val="20"/>
        </w:rPr>
        <w:t xml:space="preserve">SEED=42</w:t>
      </w:r>
      <w:r>
        <w:rPr>
          <w:rFonts w:ascii="Segoe UI" w:hAnsi="Segoe UI"/>
          <w:sz w:val="22"/>
        </w:rPr>
        <w:t xml:space="preserve">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Fusion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src/fusion/</w:t>
      </w:r>
      <w:r>
        <w:rPr>
          <w:rFonts w:ascii="Segoe UI" w:hAnsi="Segoe UI"/>
          <w:sz w:val="22"/>
        </w:rPr>
        <w:t xml:space="preserve">): four detectors (</w:t>
      </w:r>
      <w:r>
        <w:rPr>
          <w:rFonts w:ascii="Cascadia Mono" w:hAnsi="Cascadia Mono"/>
          <w:sz w:val="20"/>
        </w:rPr>
        <w:t xml:space="preserve">intrusion_restricted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repeated_denials</w:t>
      </w:r>
      <w:r>
        <w:rPr>
          <w:rFonts w:ascii="Segoe UI" w:hAnsi="Segoe UI"/>
          <w:sz w:val="22"/>
        </w:rPr>
        <w:t xml:space="preserve">,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</w:t>
      </w:r>
      <w:r>
        <w:rPr>
          <w:rFonts w:ascii="Cascadia Mono" w:hAnsi="Cascadia Mono"/>
          <w:sz w:val="20"/>
        </w:rPr>
        <w:t xml:space="preserve">cross_anomaly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tailgate_door</w:t>
      </w:r>
      <w:r>
        <w:rPr>
          <w:rFonts w:ascii="Segoe UI" w:hAnsi="Segoe UI"/>
          <w:sz w:val="22"/>
        </w:rPr>
        <w:t xml:space="preserve">), a transparent risk scorer (per-rule base + size + confidence, </w:t>
      </w:r>
      <w:r/>
    </w:p>
    <w:p w14:paraId="00A6746B">
      <w:pPr>
        <w:pBdr/>
        <w:spacing/>
        <w:ind/>
        <w:rPr/>
      </w:pPr>
      <w:r>
        <w:rPr>
          <w:rFonts w:ascii="Segoe UI" w:hAnsi="Segoe UI"/>
          <w:sz w:val="22"/>
        </w:rPr>
        <w:t xml:space="preserve">  capped at 100), and incident materialization to Parquet + CSV.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RAG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src/rag/</w:t>
      </w:r>
      <w:r>
        <w:rPr>
          <w:rFonts w:ascii="Segoe UI" w:hAnsi="Segoe UI"/>
          <w:sz w:val="22"/>
        </w:rPr>
        <w:t xml:space="preserve">): 5-doc policy KB in Chroma</w:t>
      </w:r>
      <w:r>
        <w:rPr>
          <w:rFonts w:ascii="Segoe UI" w:hAnsi="Segoe UI"/>
          <w:color w:val="0b3d91"/>
          <w:sz w:val="14"/>
          <w:vertAlign w:val="superscript"/>
        </w:rPr>
        <w:t xml:space="preserve">13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all-MiniLM-L6-v2</w:t>
      </w:r>
      <w:r>
        <w:rPr>
          <w:rFonts w:ascii="Segoe UI" w:hAnsi="Segoe UI"/>
          <w:color w:val="0b3d91"/>
          <w:sz w:val="14"/>
          <w:vertAlign w:val="superscript"/>
        </w:rPr>
        <w:t xml:space="preserve">14</w:t>
      </w:r>
      <w:r>
        <w:rPr>
          <w:rFonts w:ascii="Segoe UI" w:hAnsi="Segoe UI"/>
          <w:sz w:val="22"/>
        </w:rPr>
        <w:t xml:space="preserve"> </w:t>
      </w:r>
      <w:r/>
      <w:r>
        <w:rPr>
          <w:rFonts w:ascii="Segoe UI" w:hAnsi="Segoe UI"/>
          <w:sz w:val="22"/>
        </w:rPr>
        <w:t xml:space="preserve">embeddings</w:t>
      </w:r>
      <w:r>
        <w:rPr>
          <w:rFonts w:ascii="Segoe UI" w:hAnsi="Segoe UI"/>
          <w:color w:val="0b3d91"/>
          <w:sz w:val="14"/>
          <w:vertAlign w:val="superscript"/>
        </w:rPr>
        <w:t xml:space="preserve">15</w:t>
      </w:r>
      <w:r>
        <w:rPr>
          <w:rFonts w:ascii="Segoe UI" w:hAnsi="Segoe UI"/>
          <w:sz w:val="22"/>
        </w:rPr>
        <w:t xml:space="preserve">, MMR (k=3, λ=0.5) with </w:t>
      </w:r>
      <w:r>
        <w:rPr>
          <w:rFonts w:ascii="Segoe UI" w:hAnsi="Segoe UI"/>
          <w:b/>
          <w:sz w:val="22"/>
        </w:rPr>
        <w:t xml:space="preserve">category routing</w:t>
      </w:r>
      <w:r>
        <w:rPr>
          <w:rFonts w:ascii="Segoe UI" w:hAnsi="Segoe UI"/>
          <w:sz w:val="22"/>
        </w:rPr>
        <w:t xml:space="preserve"> — the fusion layer's known </w:t>
      </w:r>
      <w:r>
        <w:rPr>
          <w:rFonts w:ascii="Cascadia Mono" w:hAnsi="Cascadia Mono"/>
          <w:sz w:val="20"/>
        </w:rPr>
        <w:t xml:space="preserve">incident_type</w:t>
      </w:r>
      <w:r>
        <w:rPr>
          <w:rFonts w:ascii="Segoe UI" w:hAnsi="Segoe UI"/>
          <w:sz w:val="22"/>
        </w:rPr>
        <w:t xml:space="preserve"> boosts the matching policy category by 0.3 before MMR</w:t>
      </w:r>
      <w:r>
        <w:rPr>
          <w:rFonts w:ascii="Segoe UI" w:hAnsi="Segoe UI"/>
          <w:color w:val="0b3d91"/>
          <w:sz w:val="14"/>
          <w:vertAlign w:val="superscript"/>
        </w:rPr>
        <w:t xml:space="preserve">16</w:t>
      </w:r>
      <w:r>
        <w:rPr>
          <w:rFonts w:ascii="Segoe UI" w:hAnsi="Segoe UI"/>
          <w:sz w:val="22"/>
        </w:rPr>
        <w:t xml:space="preserve">, fixing shared-vocabulary mis-ranking without a bigger model.</w:t>
      </w:r>
      <w:r/>
      <w:r/>
    </w:p>
    <w:p w14:paraId="529BBFE9">
      <w:pPr>
        <w:pStyle w:val="735"/>
        <w:numPr>
          <w:ilvl w:val="0"/>
          <w:numId w:val="0"/>
        </w:numPr>
        <w:pBdr/>
        <w:spacing/>
        <w:ind w:firstLine="0" w:left="360"/>
        <w:rPr/>
      </w:pPr>
      <w:r>
        <w:rPr>
          <w:rFonts w:ascii="Cascadia Mono" w:hAnsi="Cascadia Mono"/>
          <w:sz w:val="20"/>
          <w:highlight w:val="none"/>
        </w:rPr>
      </w:r>
      <w:r>
        <w:rPr>
          <w:rFonts w:ascii="Cascadia Mono" w:hAnsi="Cascadia Mono"/>
          <w:sz w:val="20"/>
          <w:highlight w:val="none"/>
        </w:rPr>
      </w:r>
      <w:r>
        <w:rPr>
          <w:rFonts w:ascii="Cascadia Mono" w:hAnsi="Cascadia Mono"/>
          <w:sz w:val="20"/>
          <w:highlight w:val="none"/>
        </w:rPr>
      </w:r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Summarizer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src/agent/summarizer.py</w:t>
      </w:r>
      <w:r>
        <w:rPr>
          <w:rFonts w:ascii="Segoe UI" w:hAnsi="Segoe UI"/>
          <w:sz w:val="22"/>
        </w:rPr>
        <w:t xml:space="preserve">): Groq</w:t>
      </w:r>
      <w:r>
        <w:rPr>
          <w:rFonts w:ascii="Segoe UI" w:hAnsi="Segoe UI"/>
          <w:color w:val="0b3d91"/>
          <w:sz w:val="14"/>
          <w:vertAlign w:val="superscript"/>
        </w:rPr>
        <w:t xml:space="preserve">17</w:t>
      </w:r>
      <w:r>
        <w:rPr>
          <w:rFonts w:ascii="Segoe UI" w:hAnsi="Segoe UI"/>
          <w:sz w:val="22"/>
        </w:rPr>
        <w:t xml:space="preserve"> </w:t>
      </w:r>
      <w:r>
        <w:rPr>
          <w:rFonts w:ascii="Cascadia Mono" w:hAnsi="Cascadia Mono"/>
          <w:sz w:val="20"/>
        </w:rPr>
        <w:t xml:space="preserve">llama-3.1-8b-instant</w:t>
      </w:r>
      <w:r>
        <w:rPr>
          <w:rFonts w:ascii="Segoe UI" w:hAnsi="Segoe UI"/>
          <w:sz w:val="22"/>
        </w:rPr>
        <w:t xml:space="preserve"> via plain </w:t>
      </w:r>
      <w:r>
        <w:rPr>
          <w:rFonts w:ascii="Cascadia Mono" w:hAnsi="Cascadia Mono"/>
          <w:sz w:val="20"/>
        </w:rPr>
        <w:t xml:space="preserve">requests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(no OpenAI SDK), with a </w:t>
      </w:r>
      <w:r>
        <w:rPr>
          <w:rFonts w:ascii="Segoe UI" w:hAnsi="Segoe UI"/>
          <w:b/>
          <w:sz w:val="22"/>
        </w:rPr>
        <w:t xml:space="preserve">citation guard</w:t>
      </w:r>
      <w:r>
        <w:rPr>
          <w:rFonts w:ascii="Segoe UI" w:hAnsi="Segoe UI"/>
          <w:sz w:val="22"/>
        </w:rPr>
        <w:t xml:space="preserve"> (validate </w:t>
      </w:r>
      <w:r>
        <w:rPr>
          <w:rFonts w:ascii="Cascadia Mono" w:hAnsi="Cascadia Mono"/>
          <w:sz w:val="20"/>
        </w:rPr>
        <w:t xml:space="preserve">KB-XXXXX</w:t>
      </w:r>
      <w:r>
        <w:rPr>
          <w:rFonts w:ascii="Segoe UI" w:hAnsi="Segoe UI"/>
          <w:sz w:val="22"/>
        </w:rPr>
        <w:t xml:space="preserve"> against the retrieved set, retry once, </w:t>
      </w:r>
      <w:r/>
    </w:p>
    <w:p w14:paraId="0BC75AB3">
      <w:pPr>
        <w:pBdr/>
        <w:spacing/>
        <w:ind/>
        <w:rPr/>
      </w:pPr>
      <w:r>
        <w:rPr>
          <w:rFonts w:ascii="Segoe UI" w:hAnsi="Segoe UI"/>
          <w:sz w:val="22"/>
        </w:rPr>
        <w:t xml:space="preserve">  else </w:t>
      </w:r>
      <w:r>
        <w:rPr>
          <w:rFonts w:ascii="Cascadia Mono" w:hAnsi="Cascadia Mono"/>
          <w:sz w:val="20"/>
        </w:rPr>
        <w:t xml:space="preserve">needs_review</w:t>
      </w:r>
      <w:r>
        <w:rPr>
          <w:rFonts w:ascii="Segoe UI" w:hAnsi="Segoe UI"/>
          <w:sz w:val="22"/>
        </w:rPr>
        <w:t xml:space="preserve">).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Agent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src/agent/copilot_agent.py</w:t>
      </w:r>
      <w:r>
        <w:rPr>
          <w:rFonts w:ascii="Segoe UI" w:hAnsi="Segoe UI"/>
          <w:sz w:val="22"/>
        </w:rPr>
        <w:t xml:space="preserve">): governance graph wired to SOC domain; </w:t>
      </w:r>
      <w:r>
        <w:rPr>
          <w:rFonts w:ascii="Segoe UI" w:hAnsi="Segoe UI"/>
          <w:b/>
          <w:bCs/>
          <w:sz w:val="22"/>
        </w:rPr>
        <w:t xml:space="preserve">6 tools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(</w:t>
      </w:r>
      <w:r>
        <w:rPr>
          <w:rFonts w:ascii="Cascadia Mono" w:hAnsi="Cascadia Mono"/>
          <w:sz w:val="20"/>
        </w:rPr>
        <w:t xml:space="preserve">incident.fuse/score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sop.retrieve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incident.summarize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incident.escalate</w:t>
      </w:r>
      <w:r>
        <w:rPr>
          <w:rFonts w:ascii="Segoe UI" w:hAnsi="Segoe UI"/>
          <w:sz w:val="22"/>
        </w:rPr>
        <w:t xml:space="preserve">,  </w:t>
      </w:r>
      <w:r>
        <w:rPr>
          <w:rFonts w:ascii="Cascadia Mono" w:hAnsi="Cascadia Mono"/>
          <w:sz w:val="20"/>
        </w:rPr>
        <w:t xml:space="preserve">case.close</w:t>
      </w:r>
      <w:r>
        <w:rPr>
          <w:rFonts w:ascii="Segoe UI" w:hAnsi="Segoe UI"/>
          <w:sz w:val="22"/>
        </w:rPr>
        <w:t xml:space="preserve">).     </w:t>
      </w:r>
      <w:r/>
    </w:p>
    <w:p w14:paraId="4089D80C">
      <w:pPr>
        <w:pBdr/>
        <w:spacing/>
        <w:ind/>
        <w:rPr/>
      </w:pPr>
      <w:r>
        <w:rPr>
          <w:rFonts w:ascii="Segoe UI" w:hAnsi="Segoe UI"/>
          <w:sz w:val="22"/>
        </w:rPr>
        <w:t xml:space="preserve">  Stub mode (deterministic, no key) and </w:t>
      </w:r>
      <w:r>
        <w:rPr>
          <w:rFonts w:ascii="Cascadia Mono" w:hAnsi="Cascadia Mono"/>
          <w:sz w:val="20"/>
        </w:rPr>
        <w:t xml:space="preserve">--llm</w:t>
      </w:r>
      <w:r>
        <w:rPr>
          <w:rFonts w:ascii="Segoe UI" w:hAnsi="Segoe UI"/>
          <w:sz w:val="22"/>
        </w:rPr>
        <w:t xml:space="preserve"> mode (Groq-planned).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GUI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src/gui/app.py</w:t>
      </w:r>
      <w:r>
        <w:rPr>
          <w:rFonts w:ascii="Segoe UI" w:hAnsi="Segoe UI"/>
          <w:sz w:val="22"/>
        </w:rPr>
        <w:t xml:space="preserve">): Streamlit</w:t>
      </w:r>
      <w:r>
        <w:rPr>
          <w:rFonts w:ascii="Segoe UI" w:hAnsi="Segoe UI"/>
          <w:color w:val="0b3d91"/>
          <w:sz w:val="14"/>
          <w:vertAlign w:val="superscript"/>
        </w:rPr>
        <w:t xml:space="preserve">18</w:t>
      </w:r>
      <w:r>
        <w:rPr>
          <w:rFonts w:ascii="Segoe UI" w:hAnsi="Segoe UI"/>
          <w:sz w:val="22"/>
        </w:rPr>
        <w:t xml:space="preserve"> analyst surface reusing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</w:t>
      </w:r>
      <w:r>
        <w:rPr>
          <w:rFonts w:ascii="Cascadia Mono" w:hAnsi="Cascadia Mono"/>
          <w:sz w:val="20"/>
        </w:rPr>
        <w:t xml:space="preserve">run_incident_streaming</w:t>
      </w:r>
      <w:r>
        <w:rPr>
          <w:rFonts w:ascii="Segoe UI" w:hAnsi="Segoe UI"/>
          <w:sz w:val="22"/>
        </w:rPr>
        <w:t xml:space="preserve"> directly, with a real </w:t>
      </w:r>
      <w:r>
        <w:rPr>
          <w:rFonts w:ascii="Cascadia Mono" w:hAnsi="Cascadia Mono"/>
          <w:sz w:val="20"/>
        </w:rPr>
        <w:t xml:space="preserve">interrupt()</w:t>
      </w:r>
      <w:r>
        <w:rPr>
          <w:rFonts w:ascii="Segoe UI" w:hAnsi="Segoe UI"/>
          <w:sz w:val="22"/>
        </w:rPr>
        <w:t xml:space="preserve">/</w:t>
      </w:r>
      <w:r>
        <w:rPr>
          <w:rFonts w:ascii="Cascadia Mono" w:hAnsi="Cascadia Mono"/>
          <w:sz w:val="20"/>
        </w:rPr>
        <w:t xml:space="preserve">Command(resume)</w:t>
      </w:r>
      <w:r>
        <w:rPr>
          <w:rFonts w:ascii="Segoe UI" w:hAnsi="Segoe UI"/>
          <w:sz w:val="22"/>
        </w:rPr>
        <w:t xml:space="preserve"> human-gate for </w:t>
      </w:r>
      <w:r/>
    </w:p>
    <w:p w14:paraId="4D716728">
      <w:pPr>
        <w:pBdr/>
        <w:spacing/>
        <w:ind/>
        <w:rPr/>
      </w:pPr>
      <w:r>
        <w:rPr>
          <w:rFonts w:ascii="Segoe UI" w:hAnsi="Segoe UI"/>
          <w:sz w:val="22"/>
        </w:rPr>
        <w:t xml:space="preserve">  critical  escalations and optional CSV upload.</w:t>
      </w:r>
      <w:r/>
      <w:r/>
    </w:p>
    <w:p>
      <w:pPr>
        <w:pStyle w:val="707"/>
        <w:pBdr/>
        <w:spacing/>
        <w:ind/>
        <w:rPr/>
      </w:pPr>
      <w:r>
        <w:rPr>
          <w:rFonts w:ascii="Segoe UI" w:hAnsi="Segoe UI"/>
          <w:sz w:val="22"/>
        </w:rPr>
        <w:t xml:space="preserve">Key technical decisions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Rules before ML</w:t>
      </w:r>
      <w:r>
        <w:rPr>
          <w:rFonts w:ascii="Segoe UI" w:hAnsi="Segoe UI"/>
          <w:sz w:val="22"/>
        </w:rPr>
        <w:t xml:space="preserve"> (P3)</w:t>
      </w:r>
      <w:r>
        <w:rPr>
          <w:rFonts w:ascii="Segoe UI" w:hAnsi="Segoe UI"/>
          <w:color w:val="0b3d91"/>
          <w:sz w:val="14"/>
          <w:vertAlign w:val="superscript"/>
        </w:rPr>
        <w:t xml:space="preserve">8</w:t>
      </w:r>
      <w:r>
        <w:rPr>
          <w:rFonts w:ascii="Segoe UI" w:hAnsi="Segoe UI"/>
          <w:sz w:val="22"/>
        </w:rPr>
        <w:t xml:space="preserve">. Transparent scoring with per-rule provenance; no black-box score.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Native Chroma + sentence-transformers</w:t>
      </w:r>
      <w:r>
        <w:rPr>
          <w:rFonts w:ascii="Segoe UI" w:hAnsi="Segoe UI"/>
          <w:sz w:val="22"/>
        </w:rPr>
        <w:t xml:space="preserve">, no LangChain wrappers — a 5-doc KB does not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justify the abstraction. Category routing fixes vocabulary overlap at the retrieval layer,   not with a bigger embedding model.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Citation validation is non-optional.</w:t>
      </w:r>
      <w:r>
        <w:rPr>
          <w:rFonts w:ascii="Segoe UI" w:hAnsi="Segoe UI"/>
          <w:sz w:val="22"/>
        </w:rPr>
        <w:t xml:space="preserve"> A free 8B model can invent </w:t>
      </w:r>
      <w:r>
        <w:rPr>
          <w:rFonts w:ascii="Cascadia Mono" w:hAnsi="Cascadia Mono"/>
          <w:sz w:val="20"/>
        </w:rPr>
        <w:t xml:space="preserve">KB-99999</w:t>
      </w:r>
      <w:r>
        <w:rPr>
          <w:rFonts w:ascii="Segoe UI" w:hAnsi="Segoe UI"/>
          <w:sz w:val="22"/>
        </w:rPr>
        <w:t xml:space="preserve">; the guard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makes "hallucinated policies are bugs" enforceable. Verified: 4/4 incidents cite the correct policy doc, </w:t>
      </w:r>
      <w:r/>
    </w:p>
    <w:p w14:paraId="668F58D6">
      <w:pPr>
        <w:pBdr/>
        <w:spacing/>
        <w:ind/>
        <w:rPr/>
      </w:pPr>
      <w:r>
        <w:rPr>
          <w:rFonts w:ascii="Segoe UI" w:hAnsi="Segoe UI"/>
          <w:sz w:val="22"/>
        </w:rPr>
        <w:t xml:space="preserve">  zero </w:t>
      </w:r>
      <w:r>
        <w:rPr>
          <w:rFonts w:ascii="Cascadia Mono" w:hAnsi="Cascadia Mono"/>
          <w:sz w:val="20"/>
        </w:rPr>
        <w:t xml:space="preserve">needs_review</w:t>
      </w:r>
      <w:r>
        <w:rPr>
          <w:rFonts w:ascii="Segoe UI" w:hAnsi="Segoe UI"/>
          <w:sz w:val="22"/>
        </w:rPr>
        <w:t xml:space="preserve">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One governance spine, two domains.</w:t>
      </w:r>
      <w:r>
        <w:rPr>
          <w:rFonts w:ascii="Segoe UI" w:hAnsi="Segoe UI"/>
          <w:sz w:val="22"/>
        </w:rPr>
        <w:t xml:space="preserve"> The donor's </w:t>
      </w:r>
      <w:r>
        <w:rPr>
          <w:rFonts w:ascii="Cascadia Mono" w:hAnsi="Cascadia Mono"/>
          <w:sz w:val="20"/>
        </w:rPr>
        <w:t xml:space="preserve">cost_estimate ≤ 500</w:t>
      </w:r>
      <w:r>
        <w:rPr>
          <w:rFonts w:ascii="Segoe UI" w:hAnsi="Segoe UI"/>
          <w:sz w:val="22"/>
        </w:rPr>
        <w:t xml:space="preserve"> and our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</w:t>
      </w:r>
      <w:r>
        <w:rPr>
          <w:rFonts w:ascii="Cascadia Mono" w:hAnsi="Cascadia Mono"/>
          <w:sz w:val="20"/>
        </w:rPr>
        <w:t xml:space="preserve">risk_band_score ≥ 80</w:t>
      </w:r>
      <w:r>
        <w:rPr>
          <w:rFonts w:ascii="Segoe UI" w:hAnsi="Segoe UI"/>
          <w:sz w:val="22"/>
        </w:rPr>
        <w:t xml:space="preserve"> both flow through the same </w:t>
      </w:r>
      <w:r>
        <w:rPr>
          <w:rFonts w:ascii="Cascadia Mono" w:hAnsi="Cascadia Mono"/>
          <w:sz w:val="20"/>
        </w:rPr>
        <w:t xml:space="preserve">evaluate_constraints</w:t>
      </w:r>
      <w:r>
        <w:rPr>
          <w:rFonts w:ascii="Segoe UI" w:hAnsi="Segoe UI"/>
          <w:sz w:val="22"/>
        </w:rPr>
        <w:t xml:space="preserve"> — proved by  </w:t>
      </w:r>
      <w:r>
        <w:rPr>
          <w:rFonts w:ascii="Segoe UI" w:hAnsi="Segoe UI"/>
          <w:sz w:val="22"/>
          <w:szCs w:val="22"/>
        </w:rPr>
      </w:r>
      <w:r>
        <w:rPr>
          <w:rFonts w:ascii="Segoe UI" w:hAnsi="Segoe UI"/>
          <w:sz w:val="22"/>
        </w:rPr>
      </w:r>
      <w:r>
        <w:rPr>
          <w:rFonts w:ascii="Segoe UI" w:hAnsi="Segoe UI"/>
          <w:sz w:val="22"/>
        </w:rPr>
        <w:t xml:space="preserve"> </w:t>
      </w:r>
      <w:r>
        <w:rPr>
          <w:rFonts w:ascii="Cascadia Mono" w:hAnsi="Cascadia Mono"/>
          <w:sz w:val="20"/>
        </w:rPr>
        <w:t xml:space="preserve"> test_policy_predicate.py</w:t>
      </w:r>
      <w:r>
        <w:rPr>
          <w:rFonts w:ascii="Segoe UI" w:hAnsi="Segoe UI"/>
          <w:sz w:val="22"/>
        </w:rPr>
        <w:t xml:space="preserve">. The only change to the donated spine is the multi-step plan-loop  </w:t>
      </w:r>
      <w:r>
        <w:rPr>
          <w:rFonts w:ascii="Segoe UI" w:hAnsi="Segoe UI"/>
          <w:sz w:val="22"/>
          <w:szCs w:val="22"/>
        </w:rPr>
      </w:r>
    </w:p>
    <w:p w14:paraId="0E4614C9"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fix (</w:t>
      </w:r>
      <w:r>
        <w:rPr>
          <w:rFonts w:ascii="Cascadia Mono" w:hAnsi="Cascadia Mono"/>
          <w:sz w:val="20"/>
        </w:rPr>
        <w:t xml:space="preserve">dispatch → worker</w:t>
      </w:r>
      <w:r>
        <w:rPr>
          <w:rFonts w:ascii="Segoe UI" w:hAnsi="Segoe UI"/>
          <w:sz w:val="22"/>
        </w:rPr>
        <w:t xml:space="preserve">, not </w:t>
      </w:r>
      <w:r>
        <w:rPr>
          <w:rFonts w:ascii="Cascadia Mono" w:hAnsi="Cascadia Mono"/>
          <w:sz w:val="20"/>
        </w:rPr>
        <w:t xml:space="preserve">reviewer</w:t>
      </w:r>
      <w:r>
        <w:rPr>
          <w:rFonts w:ascii="Segoe UI" w:hAnsi="Segoe UI"/>
          <w:sz w:val="22"/>
        </w:rPr>
        <w:t xml:space="preserve">), documented with </w:t>
      </w:r>
      <w:r>
        <w:rPr>
          <w:rFonts w:ascii="Cascadia Mono" w:hAnsi="Cascadia Mono"/>
          <w:sz w:val="20"/>
        </w:rPr>
        <w:t xml:space="preserve">FIX</w:t>
      </w:r>
      <w:r>
        <w:rPr>
          <w:rFonts w:ascii="Segoe UI" w:hAnsi="Segoe UI"/>
          <w:sz w:val="22"/>
        </w:rPr>
        <w:t xml:space="preserve"> comments.</w:t>
      </w:r>
      <w:r>
        <w:rPr>
          <w:rFonts w:ascii="Segoe UI" w:hAnsi="Segoe UI"/>
          <w:sz w:val="22"/>
          <w:szCs w:val="22"/>
        </w:rPr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Threshold aligned at 80</w:t>
      </w:r>
      <w:r>
        <w:rPr>
          <w:rFonts w:ascii="Segoe UI" w:hAnsi="Segoe UI"/>
          <w:sz w:val="22"/>
        </w:rPr>
        <w:t xml:space="preserve"> across </w:t>
      </w:r>
      <w:r>
        <w:rPr>
          <w:rFonts w:ascii="Cascadia Mono" w:hAnsi="Cascadia Mono"/>
          <w:sz w:val="20"/>
        </w:rPr>
        <w:t xml:space="preserve">risk_scorer._band()</w:t>
      </w:r>
      <w:r>
        <w:rPr>
          <w:rFonts w:ascii="Segoe UI" w:hAnsi="Segoe UI"/>
          <w:sz w:val="22"/>
        </w:rPr>
        <w:t xml:space="preserve">, </w:t>
      </w:r>
      <w:r>
        <w:rPr>
          <w:rFonts w:ascii="Cascadia Mono" w:hAnsi="Cascadia Mono"/>
          <w:sz w:val="20"/>
        </w:rPr>
        <w:t xml:space="preserve">policy.yaml</w:t>
      </w:r>
      <w:r>
        <w:rPr>
          <w:rFonts w:ascii="Segoe UI" w:hAnsi="Segoe UI"/>
          <w:sz w:val="22"/>
        </w:rPr>
        <w:t xml:space="preserve">'s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</w:t>
      </w:r>
      <w:r>
        <w:rPr>
          <w:rFonts w:ascii="Cascadia Mono" w:hAnsi="Cascadia Mono"/>
          <w:sz w:val="20"/>
        </w:rPr>
        <w:t xml:space="preserve">risk_band_score: {ge: 80}</w:t>
      </w:r>
      <w:r>
        <w:rPr>
          <w:rFonts w:ascii="Segoe UI" w:hAnsi="Segoe UI"/>
          <w:sz w:val="22"/>
        </w:rPr>
        <w:t xml:space="preserve"> constraint, and the test assertion — single source of truth.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Human-in-the-loop is env-var gated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COPILOT_HUMAN_GATE=1</w:t>
      </w:r>
      <w:r>
        <w:rPr>
          <w:rFonts w:ascii="Segoe UI" w:hAnsi="Segoe UI"/>
          <w:sz w:val="22"/>
        </w:rPr>
        <w:t xml:space="preserve">) so the CLI/notebook path</w:t>
      </w:r>
      <w:r/>
    </w:p>
    <w:p>
      <w:pPr>
        <w:pBdr/>
        <w:spacing/>
        <w:ind/>
        <w:rPr>
          <w:rFonts w:ascii="Cascadia Mono" w:hAnsi="Cascadia Mono"/>
          <w:sz w:val="20"/>
          <w:szCs w:val="20"/>
        </w:rPr>
      </w:pPr>
      <w:r>
        <w:rPr>
          <w:rFonts w:ascii="Segoe UI" w:hAnsi="Segoe UI"/>
          <w:sz w:val="22"/>
        </w:rPr>
        <w:t xml:space="preserve">  stays deterministic and the GUI gets a real interrupt-based gate; the audit chain records   </w:t>
      </w:r>
      <w:r>
        <w:rPr>
          <w:rFonts w:ascii="Cascadia Mono" w:hAnsi="Cascadia Mono"/>
          <w:sz w:val="20"/>
        </w:rPr>
      </w:r>
      <w:r/>
    </w:p>
    <w:p w14:paraId="6E10D809">
      <w:pPr>
        <w:pBdr/>
        <w:spacing/>
        <w:ind/>
        <w:rPr/>
      </w:pPr>
      <w:r>
        <w:rPr>
          <w:rFonts w:ascii="Cascadia Mono" w:hAnsi="Cascadia Mono"/>
          <w:sz w:val="20"/>
        </w:rPr>
        <w:t xml:space="preserve"> approver="human_via_interrupt"</w:t>
      </w:r>
      <w:r>
        <w:rPr>
          <w:rFonts w:ascii="Segoe UI" w:hAnsi="Segoe UI"/>
          <w:sz w:val="22"/>
        </w:rPr>
        <w:t xml:space="preserve"> vs </w:t>
      </w:r>
      <w:r>
        <w:rPr>
          <w:rFonts w:ascii="Cascadia Mono" w:hAnsi="Cascadia Mono"/>
          <w:sz w:val="20"/>
        </w:rPr>
        <w:t xml:space="preserve">"notebook_operator"</w:t>
      </w:r>
      <w:r>
        <w:rPr>
          <w:rFonts w:ascii="Segoe UI" w:hAnsi="Segoe UI"/>
          <w:sz w:val="22"/>
        </w:rPr>
        <w:t xml:space="preserve">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Per-session data path is env-var gated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P7_INCIDENTS_DIR</w:t>
      </w:r>
      <w:r>
        <w:rPr>
          <w:rFonts w:ascii="Segoe UI" w:hAnsi="Segoe UI"/>
          <w:sz w:val="22"/>
        </w:rPr>
        <w:t xml:space="preserve">) so the GUI's upload flow</w:t>
      </w:r>
      <w:r/>
    </w:p>
    <w:p>
      <w:pPr>
        <w:pBdr/>
        <w:spacing/>
        <w:ind/>
        <w:rPr>
          <w:rFonts w:ascii="Segoe UI" w:hAnsi="Segoe UI"/>
          <w:sz w:val="22"/>
          <w:szCs w:val="22"/>
          <w:highlight w:val="none"/>
        </w:rPr>
      </w:pPr>
      <w:r>
        <w:rPr>
          <w:rFonts w:ascii="Segoe UI" w:hAnsi="Segoe UI"/>
          <w:sz w:val="22"/>
        </w:rPr>
        <w:t xml:space="preserve">  reads the user's incidents, not a coincidentally-matched synthetic row — a silent-data-mix guard.</w:t>
      </w:r>
      <w:r/>
    </w:p>
    <w:p w14:paraId="67176189">
      <w:pPr>
        <w:pBdr/>
        <w:spacing/>
        <w:ind/>
        <w:rPr/>
      </w:pPr>
      <w:r/>
      <w:r/>
      <w:r/>
    </w:p>
    <w:p w14:paraId="36028677">
      <w:pPr>
        <w:pBdr/>
        <w:spacing/>
        <w:ind/>
        <w:rPr/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 w14:paraId="28448F73">
      <w:pPr>
        <w:pStyle w:val="707"/>
        <w:pBdr/>
        <w:spacing/>
        <w:ind/>
        <w:rPr>
          <w:rFonts w:ascii="Segoe UI" w:hAnsi="Segoe UI"/>
          <w:sz w:val="22"/>
          <w:szCs w:val="22"/>
          <w:highlight w:val="none"/>
        </w:rPr>
      </w:pPr>
      <w:r>
        <w:rPr>
          <w:rFonts w:ascii="Segoe UI" w:hAnsi="Segoe UI"/>
          <w:sz w:val="22"/>
        </w:rPr>
      </w:r>
      <w:r>
        <w:rPr>
          <w:rFonts w:ascii="Segoe UI" w:hAnsi="Segoe UI"/>
          <w:sz w:val="22"/>
        </w:rPr>
        <w:t xml:space="preserve">How the blocks connect (the data flow)</w:t>
      </w:r>
      <w:r>
        <w:rPr>
          <w:rFonts w:ascii="Segoe UI" w:hAnsi="Segoe UI"/>
          <w:sz w:val="22"/>
          <w:szCs w:val="22"/>
          <w:highlight w:val="none"/>
        </w:rPr>
      </w:r>
      <w:r>
        <w:rPr>
          <w:rFonts w:ascii="Segoe UI" w:hAnsi="Segoe UI"/>
          <w:sz w:val="22"/>
          <w:szCs w:val="22"/>
          <w:highlight w:val="none"/>
        </w:rPr>
      </w:r>
    </w:p>
    <w:p w14:paraId="0B01D42F">
      <w:pPr>
        <w:pBdr/>
        <w:spacing/>
        <w:ind/>
        <w:rPr/>
      </w:pPr>
      <w:r/>
      <w:r/>
      <w:r/>
      <w:r/>
      <w:r/>
      <w:r/>
      <w:r/>
      <w:r/>
      <w:r/>
      <w:r/>
      <w:r/>
    </w:p>
    <w:p w14:paraId="3766D5A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1034755</wp:posOffset>
                </wp:positionH>
                <wp:positionV relativeFrom="paragraph">
                  <wp:posOffset>96270</wp:posOffset>
                </wp:positionV>
                <wp:extent cx="4476750" cy="86677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75211673" name=""/>
                      <wps:cNvSpPr txBox="1"/>
                      <wps:spPr bwMode="auto">
                        <a:xfrm rot="0" flipH="0" flipV="0">
                          <a:off x="0" y="0"/>
                          <a:ext cx="4476749" cy="8667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2A6D5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141916" cy="8130196"/>
                                      <wp:effectExtent l="0" t="0" r="0" b="0"/>
                                      <wp:docPr id="2" name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69451754" name="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11"/>
                                              <a:stretch/>
                                            </pic:blipFill>
                                            <pic:spPr bwMode="auto">
                                              <a:xfrm flipH="0" flipV="0">
                                                <a:off x="0" y="0"/>
                                                <a:ext cx="3141916" cy="81301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247.39pt;height:640.17pt;mso-wrap-distance-left:0.00pt;mso-wrap-distance-top:0.00pt;mso-wrap-distance-right:0.00pt;mso-wrap-distance-bottom:0.00pt;z-index:1;" stroked="false">
                                      <v:imagedata r:id="rId11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14336;o:allowoverlap:true;o:allowincell:true;mso-position-horizontal-relative:text;margin-left:81.48pt;mso-position-horizontal:absolute;mso-position-vertical-relative:text;margin-top:7.58pt;mso-position-vertical:absolute;width:352.50pt;height:682.5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0E42A6D5">
                      <w:pPr>
                        <w:pBdr/>
                        <w:spacing/>
                        <w:ind/>
                        <w:rPr/>
                      </w:pPr>
                      <w:r/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141916" cy="8130196"/>
                                <wp:effectExtent l="0" t="0" r="0" b="0"/>
                                <wp:docPr id="2" nam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69451754" name="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11"/>
                                        <a:stretch/>
                                      </pic:blipFill>
                                      <pic:spPr bwMode="auto">
                                        <a:xfrm flipH="0" flipV="0">
                                          <a:off x="0" y="0"/>
                                          <a:ext cx="3141916" cy="813019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247.39pt;height:640.17pt;mso-wrap-distance-left:0.00pt;mso-wrap-distance-top:0.00pt;mso-wrap-distance-right:0.00pt;mso-wrap-distance-bottom:0.00pt;z-index:1;" stroked="false">
                                <v:imagedata r:id="rId11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</w:p>
    <w:p w14:paraId="54B7731B">
      <w:pPr>
        <w:pBdr/>
        <w:spacing/>
        <w:ind/>
        <w:rPr/>
      </w:pPr>
      <w:r/>
      <w:r/>
      <w:r/>
    </w:p>
    <w:p w14:paraId="4CE4D85E">
      <w:pPr>
        <w:pBdr/>
        <w:spacing/>
        <w:ind/>
        <w:rPr/>
      </w:pPr>
      <w:r/>
      <w:r/>
      <w:r/>
    </w:p>
    <w:p w14:paraId="4809FEA0">
      <w:pPr>
        <w:pBdr/>
        <w:spacing/>
        <w:ind/>
        <w:rPr/>
      </w:pPr>
      <w:r/>
      <w:r/>
      <w:r/>
    </w:p>
    <w:p w14:paraId="0AFCE31C">
      <w:pPr>
        <w:pBdr/>
        <w:spacing/>
        <w:ind/>
        <w:rPr/>
      </w:pPr>
      <w:r/>
      <w:r/>
      <w:r/>
    </w:p>
    <w:p w14:paraId="3F5D0FFB">
      <w:pPr>
        <w:pBdr/>
        <w:spacing/>
        <w:ind/>
        <w:rPr/>
      </w:pPr>
      <w:r/>
      <w:r/>
      <w:r/>
    </w:p>
    <w:p w14:paraId="11086D49">
      <w:pPr>
        <w:pBdr/>
        <w:spacing/>
        <w:ind/>
        <w:rPr/>
      </w:pPr>
      <w:r/>
      <w:r/>
      <w:r/>
    </w:p>
    <w:p w14:paraId="18AA3F6D">
      <w:pPr>
        <w:pBdr/>
        <w:spacing/>
        <w:ind/>
        <w:rPr/>
      </w:pPr>
      <w:r/>
      <w:r/>
      <w:r/>
    </w:p>
    <w:p w14:paraId="2735FC5D">
      <w:pPr>
        <w:pBdr/>
        <w:spacing/>
        <w:ind/>
        <w:rPr/>
      </w:pPr>
      <w:r/>
      <w:r/>
      <w:r/>
    </w:p>
    <w:p w14:paraId="74BDB696">
      <w:pPr>
        <w:pBdr/>
        <w:spacing/>
        <w:ind/>
        <w:rPr/>
      </w:pPr>
      <w:r/>
      <w:r/>
      <w:r/>
    </w:p>
    <w:p w14:paraId="1A62D993">
      <w:pPr>
        <w:pBdr/>
        <w:spacing/>
        <w:ind/>
        <w:rPr/>
      </w:pPr>
      <w:r/>
      <w:r/>
      <w:r/>
    </w:p>
    <w:p w14:paraId="359D80B6">
      <w:pPr>
        <w:pBdr/>
        <w:spacing/>
        <w:ind/>
        <w:rPr/>
      </w:pPr>
      <w:r/>
      <w:r/>
      <w:r/>
    </w:p>
    <w:p w14:paraId="1496E976">
      <w:pPr>
        <w:pBdr/>
        <w:spacing/>
        <w:ind/>
        <w:rPr/>
      </w:pPr>
      <w:r/>
      <w:r/>
      <w:r/>
    </w:p>
    <w:p w14:paraId="224CCB06">
      <w:pPr>
        <w:pBdr/>
        <w:spacing/>
        <w:ind/>
        <w:rPr/>
      </w:pPr>
      <w:r/>
      <w:r/>
      <w:r/>
    </w:p>
    <w:p w14:paraId="51BAF8CE">
      <w:pPr>
        <w:pBdr/>
        <w:spacing/>
        <w:ind/>
        <w:rPr/>
      </w:pPr>
      <w:r/>
      <w:r/>
      <w:r/>
    </w:p>
    <w:p w14:paraId="468AA76A">
      <w:pPr>
        <w:pBdr/>
        <w:spacing/>
        <w:ind/>
        <w:rPr/>
      </w:pPr>
      <w:r/>
      <w:r/>
      <w:r/>
    </w:p>
    <w:p w14:paraId="1A2E2F1A">
      <w:pPr>
        <w:pBdr/>
        <w:spacing/>
        <w:ind/>
        <w:rPr/>
      </w:pPr>
      <w:r/>
      <w:r/>
      <w:r/>
    </w:p>
    <w:p w14:paraId="1185349A">
      <w:pPr>
        <w:pBdr/>
        <w:spacing/>
        <w:ind/>
        <w:rPr/>
      </w:pPr>
      <w:r/>
      <w:r/>
      <w:r/>
    </w:p>
    <w:p w14:paraId="18084527">
      <w:pPr>
        <w:pBdr/>
        <w:spacing/>
        <w:ind/>
        <w:rPr/>
      </w:pPr>
      <w:r/>
      <w:r/>
      <w:r/>
    </w:p>
    <w:p w14:paraId="26C4AB5E">
      <w:pPr>
        <w:pBdr/>
        <w:spacing/>
        <w:ind/>
        <w:rPr/>
      </w:pPr>
      <w:r/>
      <w:r/>
      <w:r/>
    </w:p>
    <w:p w14:paraId="7D502C87">
      <w:pPr>
        <w:pBdr/>
        <w:spacing/>
        <w:ind/>
        <w:rPr/>
      </w:pPr>
      <w:r/>
      <w:r/>
      <w:r/>
    </w:p>
    <w:p w14:paraId="59D42704">
      <w:pPr>
        <w:pBdr/>
        <w:spacing/>
        <w:ind/>
        <w:rPr/>
      </w:pPr>
      <w:r/>
      <w:r/>
      <w:r/>
    </w:p>
    <w:p w14:paraId="1B81707E">
      <w:pPr>
        <w:pBdr/>
        <w:spacing/>
        <w:ind/>
        <w:rPr/>
      </w:pPr>
      <w:r/>
      <w:r/>
      <w:r/>
    </w:p>
    <w:p w14:paraId="602AE944">
      <w:pPr>
        <w:pBdr/>
        <w:spacing/>
        <w:ind/>
        <w:rPr/>
      </w:pPr>
      <w:r/>
      <w:r/>
      <w:r/>
    </w:p>
    <w:p w14:paraId="64187055">
      <w:pPr>
        <w:pBdr/>
        <w:spacing/>
        <w:ind/>
        <w:rPr/>
      </w:pPr>
      <w:r/>
      <w:r/>
    </w:p>
    <w:p w14:paraId="395C1384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Fonts w:ascii="Segoe UI" w:hAnsi="Segoe UI"/>
          <w:sz w:val="22"/>
        </w:rPr>
        <w:t xml:space="preserve">Assumptions and tradeoffs</w:t>
      </w:r>
      <w:r/>
    </w:p>
    <w:p>
      <w:pPr>
        <w:pStyle w:val="735"/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b/>
          <w:sz w:val="22"/>
        </w:rPr>
        <w:t xml:space="preserve">Stub vs `--llm` mode.</w:t>
      </w:r>
      <w:r>
        <w:rPr>
          <w:rFonts w:ascii="Segoe UI" w:hAnsi="Segoe UI"/>
          <w:sz w:val="22"/>
        </w:rPr>
        <w:t xml:space="preserve">  Stub mode is reproducible; </w:t>
      </w:r>
      <w:r>
        <w:rPr>
          <w:rFonts w:ascii="Cascadia Mono" w:hAnsi="Cascadia Mono"/>
          <w:sz w:val="20"/>
        </w:rPr>
        <w:t xml:space="preserve">--llm</w:t>
      </w:r>
      <w:r>
        <w:rPr>
          <w:rFonts w:ascii="Segoe UI" w:hAnsi="Segoe UI"/>
          <w:sz w:val="22"/>
        </w:rPr>
        <w:t xml:space="preserve"> mode is not (Groq generates</w:t>
      </w:r>
      <w:r>
        <w:rPr>
          <w:rFonts w:ascii="Segoe UI" w:hAnsi="Segoe UI"/>
          <w:sz w:val="22"/>
        </w:rPr>
        <w:t xml:space="preserve"> the plan </w:t>
      </w:r>
      <w:r/>
    </w:p>
    <w:p w14:paraId="42F9A304">
      <w:pPr>
        <w:pStyle w:val="735"/>
        <w:numPr>
          <w:ilvl w:val="0"/>
          <w:numId w:val="0"/>
        </w:numPr>
        <w:pBdr/>
        <w:spacing/>
        <w:ind w:firstLine="0" w:left="360"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and may skip steps — acceptable, since the summarizer tool retrieves policies internally </w:t>
      </w:r>
      <w:r/>
    </w:p>
    <w:p w14:paraId="53F16298">
      <w:pPr>
        <w:pStyle w:val="735"/>
        <w:numPr>
          <w:ilvl w:val="0"/>
          <w:numId w:val="0"/>
        </w:numPr>
        <w:pBdr/>
        <w:spacing/>
        <w:ind w:firstLine="0" w:left="360"/>
        <w:rPr>
          <w:rFonts w:ascii="Cascadia Mono" w:hAnsi="Cascadia Mono"/>
          <w:sz w:val="20"/>
          <w:szCs w:val="20"/>
        </w:rPr>
      </w:pPr>
      <w:r>
        <w:rPr>
          <w:rFonts w:ascii="Segoe UI" w:hAnsi="Segoe UI"/>
          <w:sz w:val="22"/>
        </w:rPr>
        <w:t xml:space="preserve">so citations still land). The notebook defaults to stub so reviewers see a clean end-to-end run; </w:t>
      </w:r>
      <w:r>
        <w:rPr>
          <w:rFonts w:ascii="Cascadia Mono" w:hAnsi="Cascadia Mono"/>
          <w:sz w:val="20"/>
        </w:rPr>
      </w:r>
      <w:r/>
    </w:p>
    <w:p w14:paraId="5A7F8096">
      <w:pPr>
        <w:pStyle w:val="735"/>
        <w:numPr>
          <w:ilvl w:val="0"/>
          <w:numId w:val="0"/>
        </w:numPr>
        <w:pBdr/>
        <w:spacing/>
        <w:ind w:firstLine="0" w:left="360"/>
        <w:rPr/>
      </w:pPr>
      <w:r>
        <w:rPr>
          <w:rFonts w:ascii="Cascadia Mono" w:hAnsi="Cascadia Mono"/>
          <w:sz w:val="20"/>
        </w:rPr>
        <w:t xml:space="preserve">--llm</w:t>
      </w:r>
      <w:r>
        <w:rPr>
          <w:rFonts w:ascii="Segoe UI" w:hAnsi="Segoe UI"/>
          <w:sz w:val="22"/>
        </w:rPr>
        <w:t xml:space="preserve"> is the live demo.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Scale and free-tier ceiling.</w:t>
      </w:r>
      <w:r>
        <w:rPr>
          <w:rFonts w:ascii="Segoe UI" w:hAnsi="Segoe UI"/>
          <w:sz w:val="22"/>
        </w:rPr>
        <w:t xml:space="preserve"> The Groq free tier caps scale; the scaled slice</w:t>
      </w:r>
      <w:r>
        <w:rPr>
          <w:rFonts w:ascii="Segoe UI" w:hAnsi="Segoe UI"/>
          <w:sz w:val="22"/>
        </w:rPr>
        <w:t xml:space="preserve"> (226 incidents) is the rubric default, with a small slice (4 incidents) kept for fast iteration. The pipeline is sliced, not retrained, so the cap is on calls, not on capability.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ML deferred.</w:t>
      </w:r>
      <w:r>
        <w:rPr>
          <w:rFonts w:ascii="Segoe UI" w:hAnsi="Segoe UI"/>
          <w:sz w:val="22"/>
        </w:rPr>
        <w:t xml:space="preserve"> Rules are kept first-class so the risk score is auditable end-to-end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and respects P3</w:t>
      </w:r>
      <w:r>
        <w:rPr>
          <w:rFonts w:ascii="Segoe UI" w:hAnsi="Segoe UI"/>
          <w:color w:val="0b3d91"/>
          <w:sz w:val="14"/>
          <w:vertAlign w:val="superscript"/>
        </w:rPr>
        <w:t xml:space="preserve">8</w:t>
      </w:r>
      <w:r>
        <w:rPr>
          <w:rFonts w:ascii="Segoe UI" w:hAnsi="Segoe UI"/>
          <w:sz w:val="22"/>
        </w:rPr>
        <w:t xml:space="preserve"> leakage discipline (split by </w:t>
      </w:r>
      <w:r>
        <w:rPr>
          <w:rFonts w:ascii="Cascadia Mono" w:hAnsi="Cascadia Mono"/>
          <w:sz w:val="20"/>
        </w:rPr>
        <w:t xml:space="preserve">site</w:t>
      </w:r>
      <w:r>
        <w:rPr>
          <w:rFonts w:ascii="Segoe UI" w:hAnsi="Segoe UI"/>
          <w:sz w:val="22"/>
        </w:rPr>
        <w:t xml:space="preserve"> + contiguous   </w:t>
      </w:r>
      <w:r>
        <w:rPr>
          <w:rFonts w:ascii="Cascadia Mono" w:hAnsi="Cascadia Mono"/>
          <w:sz w:val="20"/>
        </w:rPr>
        <w:t xml:space="preserve">time_window</w:t>
      </w:r>
      <w:r>
        <w:rPr>
          <w:rFonts w:ascii="Segoe UI" w:hAnsi="Segoe UI"/>
          <w:sz w:val="22"/>
        </w:rPr>
        <w:t xml:space="preserve">, not shuffled rows). </w:t>
      </w:r>
      <w:r/>
    </w:p>
    <w:p w14:paraId="2332D655">
      <w:pPr>
        <w:pBdr/>
        <w:spacing/>
        <w:ind/>
        <w:rPr/>
      </w:pPr>
      <w:r>
        <w:rPr>
          <w:rFonts w:ascii="Segoe UI" w:hAnsi="Segoe UI"/>
          <w:sz w:val="22"/>
        </w:rPr>
        <w:t xml:space="preserve"> A future ML scorer is a swap-in behind the same </w:t>
      </w:r>
      <w:r>
        <w:rPr>
          <w:rFonts w:ascii="Cascadia Mono" w:hAnsi="Cascadia Mono"/>
          <w:sz w:val="20"/>
        </w:rPr>
        <w:t xml:space="preserve">risk_scorer.py</w:t>
      </w:r>
      <w:r>
        <w:rPr>
          <w:rFonts w:ascii="Segoe UI" w:hAnsi="Segoe UI"/>
          <w:sz w:val="22"/>
        </w:rPr>
        <w:t xml:space="preserve"> interface, not a redesign.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Chroma + `all-MiniLM-L6-v2` over a bigger stack.</w:t>
      </w:r>
      <w:r>
        <w:rPr>
          <w:rFonts w:ascii="Segoe UI" w:hAnsi="Segoe UI"/>
          <w:sz w:val="22"/>
        </w:rPr>
        <w:t xml:space="preserve"> A 5-doc policy KB does not pay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for BM25, a cross-encoder, or a query-rewrite LLM. Category routing + MMR + the citation </w:t>
      </w:r>
      <w:r>
        <w:rPr>
          <w:rFonts w:ascii="Segoe UI" w:hAnsi="Segoe UI"/>
          <w:sz w:val="22"/>
          <w:szCs w:val="22"/>
          <w:highlight w:val="none"/>
        </w:rPr>
      </w:r>
    </w:p>
    <w:p w14:paraId="1B1E52C4">
      <w:pPr>
        <w:pBdr/>
        <w:spacing/>
        <w:ind/>
        <w:rPr>
          <w:rFonts w:ascii="Segoe UI" w:hAnsi="Segoe UI"/>
          <w:sz w:val="22"/>
          <w:szCs w:val="22"/>
          <w:highlight w:val="none"/>
        </w:rPr>
      </w:pPr>
      <w:r>
        <w:rPr>
          <w:rFonts w:ascii="Segoe UI" w:hAnsi="Segoe UI"/>
          <w:sz w:val="22"/>
        </w:rPr>
        <w:t xml:space="preserve">  guard do the work the 2026 production RAG recipe would otherwise spend model size on.</w:t>
      </w:r>
      <w:r/>
      <w:r/>
    </w:p>
    <w:p w14:paraId="0F6FF5B8">
      <w:pPr>
        <w:pBdr/>
        <w:spacing/>
        <w:ind/>
        <w:rPr/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>
      <w:pPr>
        <w:pStyle w:val="707"/>
        <w:pBdr/>
        <w:spacing/>
        <w:ind/>
        <w:rPr/>
      </w:pPr>
      <w:r>
        <w:rPr>
          <w:rFonts w:ascii="Segoe UI" w:hAnsi="Segoe UI"/>
          <w:sz w:val="22"/>
        </w:rPr>
        <w:t xml:space="preserve">Boundaries of capability and responsibility</w:t>
      </w:r>
      <w:r/>
    </w:p>
    <w:p>
      <w:pPr>
        <w:pBdr/>
        <w:spacing/>
        <w:ind/>
        <w:rPr>
          <w:rFonts w:ascii="Segoe UI" w:hAnsi="Segoe UI"/>
          <w:sz w:val="22"/>
          <w:szCs w:val="22"/>
          <w:highlight w:val="none"/>
        </w:rPr>
      </w:pPr>
      <w:r>
        <w:rPr>
          <w:rFonts w:ascii="Cascadia Mono" w:hAnsi="Cascadia Mono"/>
          <w:sz w:val="20"/>
        </w:rPr>
        <w:t xml:space="preserve">case.close</w:t>
      </w:r>
      <w:r>
        <w:rPr>
          <w:rFonts w:ascii="Segoe UI" w:hAnsi="Segoe UI"/>
          <w:sz w:val="22"/>
        </w:rPr>
        <w:t xml:space="preserve"> is a </w:t>
      </w:r>
      <w:r>
        <w:rPr>
          <w:rFonts w:ascii="Segoe UI" w:hAnsi="Segoe UI"/>
          <w:b/>
          <w:sz w:val="22"/>
        </w:rPr>
        <w:t xml:space="preserve">hard block</w:t>
      </w:r>
      <w:r>
        <w:rPr>
          <w:rFonts w:ascii="Segoe UI" w:hAnsi="Segoe UI"/>
          <w:sz w:val="22"/>
        </w:rPr>
        <w:t xml:space="preserve"> (</w:t>
      </w:r>
      <w:r>
        <w:rPr>
          <w:rFonts w:ascii="Cascadia Mono" w:hAnsi="Cascadia Mono"/>
          <w:sz w:val="20"/>
        </w:rPr>
        <w:t xml:space="preserve">allow: false</w:t>
      </w:r>
      <w:r>
        <w:rPr>
          <w:rFonts w:ascii="Segoe UI" w:hAnsi="Segoe UI"/>
          <w:sz w:val="22"/>
        </w:rPr>
        <w:t xml:space="preserve">) — the agent never auto-closes; closure is a human act of accountability. </w:t>
      </w:r>
      <w:r>
        <w:rPr>
          <w:rFonts w:ascii="Cascadia Mono" w:hAnsi="Cascadia Mono"/>
          <w:sz w:val="20"/>
        </w:rPr>
        <w:t xml:space="preserve">incident.escalate</w:t>
      </w:r>
      <w:r>
        <w:rPr>
          <w:rFonts w:ascii="Segoe UI" w:hAnsi="Segoe UI"/>
          <w:sz w:val="22"/>
        </w:rPr>
        <w:t xml:space="preserve"> requires human approval at </w:t>
      </w:r>
      <w:r>
        <w:rPr>
          <w:rFonts w:ascii="Cascadia Mono" w:hAnsi="Cascadia Mono"/>
          <w:sz w:val="20"/>
        </w:rPr>
        <w:t xml:space="preserve">risk_band_score ≥ 80</w:t>
      </w:r>
      <w:r>
        <w:rPr>
          <w:rFonts w:ascii="Segoe UI" w:hAnsi="Segoe UI"/>
          <w:sz w:val="22"/>
        </w:rPr>
        <w:t xml:space="preserve">; high-band (75–79) cannot escalate (stricter than the prior 75-vs-80 mismatch).</w:t>
      </w:r>
      <w:r/>
    </w:p>
    <w:p w14:paraId="569D449D">
      <w:pPr>
        <w:pBdr/>
        <w:spacing/>
        <w:ind/>
        <w:rPr/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>
      <w:pPr>
        <w:pStyle w:val="707"/>
        <w:pBdr/>
        <w:spacing/>
        <w:ind/>
        <w:rPr/>
      </w:pPr>
      <w:r>
        <w:rPr>
          <w:rFonts w:ascii="Segoe UI" w:hAnsi="Segoe UI"/>
          <w:sz w:val="22"/>
        </w:rPr>
        <w:t xml:space="preserve">Reproduction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The system runs end-to-end on Windows + PowerShell from the repo root: generate → fuse → build the KB → retrieve → summarize → run the agent. </w:t>
      </w:r>
      <w:r>
        <w:rPr>
          <w:rFonts w:ascii="Cascadia Mono" w:hAnsi="Cascadia Mono"/>
          <w:sz w:val="20"/>
        </w:rPr>
        <w:t xml:space="preserve">requirements.txt</w:t>
      </w:r>
      <w:r>
        <w:rPr>
          <w:rFonts w:ascii="Segoe UI" w:hAnsi="Segoe UI"/>
          <w:sz w:val="22"/>
        </w:rPr>
        <w:t xml:space="preserve"> pins the runtime (pandas, numpy, pyarrow, chromadb, sentence-transformers, langgraph, requests, python-dotenv, PyYAML, pytest, jupyterlab); </w:t>
      </w:r>
      <w:r>
        <w:rPr>
          <w:rFonts w:ascii="Cascadia Mono" w:hAnsi="Cascadia Mono"/>
          <w:sz w:val="20"/>
        </w:rPr>
        <w:t xml:space="preserve">GROQ_API_KEY</w:t>
      </w:r>
      <w:r>
        <w:rPr>
          <w:rFonts w:ascii="Segoe UI" w:hAnsi="Segoe UI"/>
          <w:sz w:val="22"/>
        </w:rPr>
        <w:t xml:space="preserve"> in </w:t>
      </w:r>
      <w:r>
        <w:rPr>
          <w:rFonts w:ascii="Cascadia Mono" w:hAnsi="Cascadia Mono"/>
          <w:sz w:val="20"/>
        </w:rPr>
        <w:t xml:space="preserve">.env</w:t>
      </w:r>
      <w:r>
        <w:rPr>
          <w:rFonts w:ascii="Segoe UI" w:hAnsi="Segoe UI"/>
          <w:sz w:val="22"/>
        </w:rPr>
        <w:t xml:space="preserve"> is the only secret needed for </w:t>
      </w:r>
      <w:r>
        <w:rPr>
          <w:rFonts w:ascii="Cascadia Mono" w:hAnsi="Cascadia Mono"/>
          <w:sz w:val="20"/>
        </w:rPr>
        <w:t xml:space="preserve">--llm</w:t>
      </w:r>
      <w:r>
        <w:rPr>
          <w:rFonts w:ascii="Segoe UI" w:hAnsi="Segoe UI"/>
          <w:sz w:val="22"/>
        </w:rPr>
        <w:t xml:space="preserve"> mode. </w:t>
      </w:r>
      <w:r/>
    </w:p>
    <w:p w14:paraId="6BF3B2A7">
      <w:pPr>
        <w:pBdr/>
        <w:spacing/>
        <w:ind/>
        <w:rPr/>
      </w:pPr>
      <w:r>
        <w:rPr>
          <w:rFonts w:ascii="Segoe UI" w:hAnsi="Segoe UI"/>
          <w:sz w:val="22"/>
        </w:rPr>
      </w:r>
      <w:r>
        <w:rPr>
          <w:rFonts w:ascii="Cascadia Mono" w:hAnsi="Cascadia Mono"/>
          <w:sz w:val="20"/>
        </w:rPr>
        <w:t xml:space="preserve">pytest</w:t>
      </w:r>
      <w:r>
        <w:rPr>
          <w:rFonts w:ascii="Segoe UI" w:hAnsi="Segoe UI"/>
          <w:sz w:val="22"/>
        </w:rPr>
        <w:t xml:space="preserve"> reports </w:t>
      </w:r>
      <w:r>
        <w:rPr>
          <w:rFonts w:ascii="Segoe UI" w:hAnsi="Segoe UI"/>
          <w:b/>
          <w:sz w:val="22"/>
        </w:rPr>
        <w:t xml:space="preserve">34/34 green</w:t>
      </w:r>
      <w:r>
        <w:rPr>
          <w:rFonts w:ascii="Segoe UI" w:hAnsi="Segoe UI"/>
          <w:sz w:val="22"/>
        </w:rPr>
        <w:t xml:space="preserve">.</w:t>
      </w:r>
      <w:r/>
      <w:r/>
    </w:p>
    <w:p>
      <w:pPr>
        <w:pBdr/>
        <w:spacing/>
        <w:ind/>
        <w:jc w:val="center"/>
        <w:rPr>
          <w:color w:val="cfd8e3"/>
          <w:highlight w:val="none"/>
        </w:rPr>
      </w:pPr>
      <w:r>
        <w:rPr>
          <w:color w:val="cfd8e3"/>
        </w:rPr>
        <w:t xml:space="preserve">──────────────────────────────</w:t>
      </w:r>
      <w:r/>
    </w:p>
    <w:p w14:paraId="72976B56">
      <w:pPr>
        <w:pBdr/>
        <w:spacing/>
        <w:ind/>
        <w:jc w:val="center"/>
        <w:rPr/>
      </w:pPr>
      <w:r>
        <w:rPr>
          <w:color w:val="cfd8e3"/>
          <w:highlight w:val="none"/>
        </w:rPr>
      </w:r>
      <w:r>
        <w:rPr>
          <w:color w:val="cfd8e3"/>
          <w:highlight w:val="none"/>
        </w:rPr>
      </w:r>
      <w:r>
        <w:rPr>
          <w:color w:val="cfd8e3"/>
          <w:highlight w:val="none"/>
        </w:rPr>
      </w:r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4. Ethical Considerations and Responsible AI</w:t>
      </w:r>
      <w:r/>
    </w:p>
    <w:p w14:paraId="7BD8F716">
      <w:pPr>
        <w:pBdr/>
        <w:spacing/>
        <w:ind/>
        <w:rPr/>
      </w:pPr>
      <w:r>
        <w:rPr>
          <w:rFonts w:ascii="Segoe UI" w:hAnsi="Segoe UI"/>
          <w:sz w:val="22"/>
        </w:rPr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PII / scope minimization.</w:t>
      </w:r>
      <w:r>
        <w:rPr>
          <w:rFonts w:ascii="Segoe UI" w:hAnsi="Segoe UI"/>
          <w:sz w:val="22"/>
        </w:rPr>
        <w:t xml:space="preserve"> </w:t>
      </w:r>
      <w:r>
        <w:rPr>
          <w:rFonts w:ascii="Cascadia Mono" w:hAnsi="Cascadia Mono"/>
          <w:sz w:val="20"/>
        </w:rPr>
        <w:t xml:space="preserve">src/governance/pii.py</w:t>
      </w:r>
      <w:r>
        <w:rPr>
          <w:rFonts w:ascii="Segoe UI" w:hAnsi="Segoe UI"/>
          <w:sz w:val="22"/>
        </w:rPr>
        <w:t xml:space="preserve"> redacts PII before text reaches the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planner; the intake surfaces redacted incident text. The KB is policy text, not personal   data. Retention is bounded (audit log is append-only; per-session upload data lives under   </w:t>
      </w:r>
      <w:r>
        <w:rPr>
          <w:rFonts w:ascii="Cascadia Mono" w:hAnsi="Cascadia Mono"/>
          <w:sz w:val="20"/>
        </w:rPr>
        <w:t xml:space="preserve">data/uploads/{uuid}/</w:t>
      </w:r>
      <w:r>
        <w:rPr>
          <w:rFonts w:ascii="Segoe UI" w:hAnsi="Segoe UI"/>
          <w:sz w:val="22"/>
        </w:rPr>
        <w:t xml:space="preserve">, never shared).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Accountability / human-in-the-loop.</w:t>
      </w:r>
      <w:r>
        <w:rPr>
          <w:rFonts w:ascii="Segoe UI" w:hAnsi="Segoe UI"/>
          <w:sz w:val="22"/>
        </w:rPr>
        <w:t xml:space="preserve"> The irreversible action — escalation — is gated by a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real </w:t>
      </w:r>
      <w:r>
        <w:rPr>
          <w:rFonts w:ascii="Cascadia Mono" w:hAnsi="Cascadia Mono"/>
          <w:sz w:val="20"/>
        </w:rPr>
        <w:t xml:space="preserve">interrupt()</w:t>
      </w:r>
      <w:r>
        <w:rPr>
          <w:rFonts w:ascii="Segoe UI" w:hAnsi="Segoe UI"/>
          <w:sz w:val="22"/>
        </w:rPr>
        <w:t xml:space="preserve"> in the GUI; the analyst's Grant/Deny decision is logged to the   hash-chained audit </w:t>
      </w:r>
      <w:r/>
    </w:p>
    <w:p w14:paraId="163DAF7F"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trail. </w:t>
      </w:r>
      <w:r>
        <w:rPr>
          <w:rFonts w:ascii="Cascadia Mono" w:hAnsi="Cascadia Mono"/>
          <w:sz w:val="20"/>
        </w:rPr>
        <w:t xml:space="preserve">case.close</w:t>
      </w:r>
      <w:r>
        <w:rPr>
          <w:rFonts w:ascii="Segoe UI" w:hAnsi="Segoe UI"/>
          <w:sz w:val="22"/>
        </w:rPr>
        <w:t xml:space="preserve"> is blocked entirely. This is responsible-deployment   reasoning made concrete in the </w:t>
      </w:r>
      <w:r/>
    </w:p>
    <w:p w14:paraId="70354810">
      <w:pPr>
        <w:pBdr/>
        <w:spacing/>
        <w:ind/>
        <w:rPr/>
      </w:pPr>
      <w:r>
        <w:rPr>
          <w:rFonts w:ascii="Segoe UI" w:hAnsi="Segoe UI"/>
          <w:sz w:val="22"/>
        </w:rPr>
        <w:t xml:space="preserve">  policy, not a footnote.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Transparency.</w:t>
      </w:r>
      <w:r>
        <w:rPr>
          <w:rFonts w:ascii="Segoe UI" w:hAnsi="Segoe UI"/>
          <w:sz w:val="22"/>
        </w:rPr>
        <w:t xml:space="preserve"> Every incident carries its originating rule (</w:t>
      </w:r>
      <w:r>
        <w:rPr>
          <w:rFonts w:ascii="Cascadia Mono" w:hAnsi="Cascadia Mono"/>
          <w:sz w:val="20"/>
        </w:rPr>
        <w:t xml:space="preserve">_rule</w:t>
      </w:r>
      <w:r>
        <w:rPr>
          <w:rFonts w:ascii="Segoe UI" w:hAnsi="Segoe UI"/>
          <w:sz w:val="22"/>
        </w:rPr>
        <w:t xml:space="preserve">) and a transparent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risk score (the cosine score returned by retrieval is the raw value; the category bonus is ordering-only).</w:t>
      </w:r>
      <w:r/>
    </w:p>
    <w:p w14:paraId="47B18924">
      <w:pPr>
        <w:pBdr/>
        <w:spacing/>
        <w:ind/>
        <w:rPr>
          <w:rFonts w:ascii="Cascadia Mono" w:hAnsi="Cascadia Mono"/>
          <w:sz w:val="20"/>
          <w:szCs w:val="20"/>
        </w:rPr>
      </w:pPr>
      <w:r>
        <w:rPr>
          <w:rFonts w:ascii="Segoe UI" w:hAnsi="Segoe UI"/>
          <w:sz w:val="22"/>
        </w:rPr>
        <w:t xml:space="preserve"> The audit log is hash-chained and verifiable (</w:t>
      </w:r>
      <w:r>
        <w:rPr>
          <w:rFonts w:ascii="Cascadia Mono" w:hAnsi="Cascadia Mono"/>
          <w:sz w:val="20"/>
        </w:rPr>
        <w:t xml:space="preserve">verify_chain()</w:t>
      </w:r>
      <w:r>
        <w:rPr>
          <w:rFonts w:ascii="Segoe UI" w:hAnsi="Segoe UI"/>
          <w:sz w:val="22"/>
        </w:rPr>
        <w:t xml:space="preserve">), and the GUI surfaces a </w:t>
      </w:r>
      <w:r>
        <w:rPr>
          <w:rFonts w:ascii="Cascadia Mono" w:hAnsi="Cascadia Mono"/>
          <w:sz w:val="20"/>
        </w:rPr>
        <w:t xml:space="preserve">⚠️ chain </w:t>
      </w:r>
      <w:r/>
    </w:p>
    <w:p w14:paraId="6E473923">
      <w:pPr>
        <w:pBdr/>
        <w:spacing/>
        <w:ind/>
        <w:rPr/>
      </w:pPr>
      <w:r>
        <w:rPr>
          <w:rFonts w:ascii="Cascadia Mono" w:hAnsi="Cascadia Mono"/>
          <w:sz w:val="20"/>
        </w:rPr>
        <w:t xml:space="preserve"> broken</w:t>
      </w:r>
      <w:r>
        <w:rPr>
          <w:rFonts w:ascii="Segoe UI" w:hAnsi="Segoe UI"/>
          <w:sz w:val="22"/>
        </w:rPr>
        <w:t xml:space="preserve"> warning honestly when a pre-existing break is found.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Calibration honesty (P2 finding as an ethical point).</w:t>
      </w:r>
      <w:r>
        <w:rPr>
          <w:rFonts w:ascii="Segoe UI" w:hAnsi="Segoe UI"/>
          <w:sz w:val="22"/>
        </w:rPr>
        <w:t xml:space="preserve"> The recall@0.85 = 58% finding is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surfaced to operators, not hidden — deploying a rule with a known ~42% anomaly blind spot  </w:t>
      </w:r>
      <w:r/>
    </w:p>
    <w:p w14:paraId="4702C942">
      <w:pPr>
        <w:pBdr/>
        <w:spacing/>
        <w:ind/>
        <w:rPr/>
      </w:pPr>
      <w:r>
        <w:rPr>
          <w:rFonts w:ascii="Segoe UI" w:hAnsi="Segoe UI"/>
          <w:sz w:val="22"/>
        </w:rPr>
        <w:t xml:space="preserve">  without telling analysts would be irresponsible. The calibration test is the safeguard.</w:t>
      </w:r>
      <w:r/>
      <w:r/>
    </w:p>
    <w:p>
      <w:pPr>
        <w:pStyle w:val="735"/>
        <w:pBdr/>
        <w:spacing/>
        <w:ind/>
        <w:rPr/>
      </w:pPr>
      <w:r>
        <w:rPr>
          <w:rFonts w:ascii="Segoe UI" w:hAnsi="Segoe UI"/>
          <w:b/>
          <w:sz w:val="22"/>
        </w:rPr>
        <w:t xml:space="preserve">Misuse / bias.</w:t>
      </w:r>
      <w:r>
        <w:rPr>
          <w:rFonts w:ascii="Segoe UI" w:hAnsi="Segoe UI"/>
          <w:sz w:val="22"/>
        </w:rPr>
        <w:t xml:space="preserve"> Surveillance + access data is sensitive; the system is scoped to triage,</w:t>
      </w:r>
      <w:r/>
    </w:p>
    <w:p>
      <w:pPr>
        <w:pBdr/>
        <w:spacing/>
        <w:ind/>
        <w:rPr>
          <w:rFonts w:ascii="Segoe UI" w:hAnsi="Segoe UI"/>
          <w:sz w:val="22"/>
          <w:szCs w:val="22"/>
        </w:rPr>
      </w:pPr>
      <w:r>
        <w:rPr>
          <w:rFonts w:ascii="Segoe UI" w:hAnsi="Segoe UI"/>
          <w:sz w:val="22"/>
        </w:rPr>
        <w:t xml:space="preserve">  not to profiling individuals. The free-model citation guard prevents the most common generative </w:t>
      </w:r>
      <w:r/>
    </w:p>
    <w:p w14:paraId="6B5BC2B8">
      <w:pPr>
        <w:pBdr/>
        <w:spacing/>
        <w:ind/>
        <w:rPr/>
      </w:pPr>
      <w:r>
        <w:rPr>
          <w:rFonts w:ascii="Segoe UI" w:hAnsi="Segoe UI"/>
          <w:sz w:val="22"/>
        </w:rPr>
        <w:t xml:space="preserve">  misuse path — fabricated policy justification.</w:t>
      </w:r>
      <w:r/>
      <w:r/>
    </w:p>
    <w:p>
      <w:pPr>
        <w:pBdr/>
        <w:spacing/>
        <w:ind/>
        <w:jc w:val="center"/>
        <w:rPr>
          <w:color w:val="cfd8e3"/>
          <w:highlight w:val="none"/>
        </w:rPr>
      </w:pPr>
      <w:r>
        <w:rPr>
          <w:color w:val="cfd8e3"/>
        </w:rPr>
        <w:t xml:space="preserve">──────────────────────────────</w:t>
      </w:r>
      <w:r/>
      <w:r>
        <w:rPr>
          <w:color w:val="cfd8e3"/>
          <w:highlight w:val="none"/>
        </w:rPr>
      </w:r>
      <w:r>
        <w:rPr>
          <w:color w:val="cfd8e3"/>
          <w:highlight w:val="none"/>
        </w:rPr>
      </w:r>
      <w:r>
        <w:rPr>
          <w:color w:val="cfd8e3"/>
          <w:highlight w:val="none"/>
        </w:rPr>
      </w:r>
      <w:r>
        <w:rPr>
          <w:color w:val="cfd8e3"/>
          <w:highlight w:val="none"/>
        </w:rPr>
      </w:r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5. Evaluation and Reflection</w:t>
      </w:r>
      <w:r/>
    </w:p>
    <w:p>
      <w:pPr>
        <w:pBdr/>
        <w:spacing/>
        <w:ind/>
        <w:rPr/>
      </w:pPr>
      <w:r>
        <w:rPr>
          <w:rFonts w:ascii="Segoe UI" w:hAnsi="Segoe UI"/>
          <w:b/>
          <w:sz w:val="22"/>
        </w:rPr>
        <w:t xml:space="preserve">Does it meet its goals?</w:t>
      </w:r>
      <w:r>
        <w:rPr>
          <w:rFonts w:ascii="Segoe UI" w:hAnsi="Segoe UI"/>
          <w:sz w:val="22"/>
        </w:rPr>
        <w:t xml:space="preserve"> Yes, on the scaled P1 slice: </w:t>
      </w:r>
      <w:r>
        <w:rPr>
          <w:rFonts w:ascii="Segoe UI" w:hAnsi="Segoe UI"/>
          <w:b/>
          <w:sz w:val="22"/>
        </w:rPr>
        <w:t xml:space="preserve">226 incidents (210 high + 16 critical)</w:t>
      </w:r>
      <w:r>
        <w:rPr>
          <w:rFonts w:ascii="Segoe UI" w:hAnsi="Segoe UI"/>
          <w:sz w:val="22"/>
        </w:rPr>
        <w:t xml:space="preserve"> fused from 1,000 events + ~9,700 logs across 3 sites. All 16 criticals route through the human-approval gate in both stub and </w:t>
      </w:r>
      <w:r>
        <w:rPr>
          <w:rFonts w:ascii="Cascadia Mono" w:hAnsi="Cascadia Mono"/>
          <w:sz w:val="20"/>
        </w:rPr>
        <w:t xml:space="preserve">--llm</w:t>
      </w:r>
      <w:r>
        <w:rPr>
          <w:rFonts w:ascii="Segoe UI" w:hAnsi="Segoe UI"/>
          <w:sz w:val="22"/>
        </w:rPr>
        <w:t xml:space="preserve"> runs (status=done, with an </w:t>
      </w:r>
      <w:r>
        <w:rPr>
          <w:rFonts w:ascii="Cascadia Mono" w:hAnsi="Cascadia Mono"/>
          <w:sz w:val="20"/>
        </w:rPr>
        <w:t xml:space="preserve">incident.escalate</w:t>
      </w:r>
      <w:r>
        <w:rPr>
          <w:rFonts w:ascii="Segoe UI" w:hAnsi="Segoe UI"/>
          <w:sz w:val="22"/>
        </w:rPr>
        <w:t xml:space="preserve"> audit row after the human-approval row).</w:t>
      </w:r>
      <w:r/>
    </w:p>
    <w:p>
      <w:pPr>
        <w:pBdr/>
        <w:spacing/>
        <w:ind/>
        <w:rPr/>
      </w:pPr>
      <w:r>
        <w:rPr>
          <w:rFonts w:ascii="Segoe UI" w:hAnsi="Segoe UI"/>
          <w:b/>
          <w:sz w:val="22"/>
        </w:rPr>
        <w:t xml:space="preserve">Quantitative evaluation.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sz w:val="22"/>
        </w:rPr>
        <w:t xml:space="preserve">RAG self-check (</w:t>
      </w:r>
      <w:r>
        <w:rPr>
          <w:rFonts w:ascii="Cascadia Mono" w:hAnsi="Cascadia Mono"/>
          <w:sz w:val="20"/>
        </w:rPr>
        <w:t xml:space="preserve">scripts/check_rag.py --k 3</w:t>
      </w:r>
      <w:r>
        <w:rPr>
          <w:rFonts w:ascii="Segoe UI" w:hAnsi="Segoe UI"/>
          <w:sz w:val="22"/>
        </w:rPr>
        <w:t xml:space="preserve">): every </w:t>
      </w:r>
      <w:r>
        <w:rPr>
          <w:rFonts w:ascii="Cascadia Mono" w:hAnsi="Cascadia Mono"/>
          <w:sz w:val="20"/>
        </w:rPr>
        <w:t xml:space="preserve">incident_type</w:t>
      </w:r>
      <w:r>
        <w:rPr>
          <w:rFonts w:ascii="Segoe UI" w:hAnsi="Segoe UI"/>
          <w:sz w:val="22"/>
        </w:rPr>
        <w:t xml:space="preserve"> routes to its matching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policy doc at rank 1.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sz w:val="22"/>
        </w:rPr>
        <w:t xml:space="preserve">P2 calibration (notebook §2b + </w:t>
      </w:r>
      <w:r>
        <w:rPr>
          <w:rFonts w:ascii="Cascadia Mono" w:hAnsi="Cascadia Mono"/>
          <w:sz w:val="20"/>
        </w:rPr>
        <w:t xml:space="preserve">test_threshold_calibration.py</w:t>
      </w:r>
      <w:r>
        <w:rPr>
          <w:rFonts w:ascii="Segoe UI" w:hAnsi="Segoe UI"/>
          <w:sz w:val="22"/>
        </w:rPr>
        <w:t xml:space="preserve">): chi-square p=0.378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(V=0.009, negligible); Welch t-test Cohen's d=1.50 (P2 was 0.21); recall@0.85=58%.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sz w:val="22"/>
        </w:rPr>
        <w:t xml:space="preserve">Tests: </w:t>
      </w:r>
      <w:r>
        <w:rPr>
          <w:rFonts w:ascii="Segoe UI" w:hAnsi="Segoe UI"/>
          <w:b/>
          <w:sz w:val="22"/>
        </w:rPr>
        <w:t xml:space="preserve">34/34 green</w:t>
      </w:r>
      <w:r>
        <w:rPr>
          <w:rFonts w:ascii="Segoe UI" w:hAnsi="Segoe UI"/>
          <w:sz w:val="22"/>
        </w:rPr>
        <w:t xml:space="preserve"> (13 governance/policy carryover + 2 escalate-blocked + 3</w:t>
      </w:r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  threshold-calibration + 16 upload-adapter).</w:t>
      </w:r>
      <w:r/>
    </w:p>
    <w:p>
      <w:pPr>
        <w:pStyle w:val="735"/>
        <w:pBdr/>
        <w:spacing/>
        <w:ind/>
        <w:rPr/>
      </w:pPr>
      <w:r>
        <w:rPr>
          <w:rFonts w:ascii="Segoe UI" w:hAnsi="Segoe UI"/>
          <w:sz w:val="22"/>
        </w:rPr>
        <w:t xml:space="preserve">Summarizer: 4/4 incidents cite the correct policy doc (KB-00001..KB-00004), 0 </w:t>
      </w:r>
      <w:r>
        <w:rPr>
          <w:rFonts w:ascii="Cascadia Mono" w:hAnsi="Cascadia Mono"/>
          <w:sz w:val="20"/>
        </w:rPr>
        <w:t xml:space="preserve">needs_review</w:t>
      </w:r>
      <w:r>
        <w:rPr>
          <w:rFonts w:ascii="Segoe UI" w:hAnsi="Segoe UI"/>
          <w:sz w:val="22"/>
        </w:rPr>
        <w:t xml:space="preserve">.</w:t>
      </w:r>
      <w:r/>
    </w:p>
    <w:p w14:paraId="570ECE63">
      <w:pPr>
        <w:pStyle w:val="735"/>
        <w:numPr>
          <w:ilvl w:val="0"/>
          <w:numId w:val="0"/>
        </w:numPr>
        <w:pBdr/>
        <w:spacing/>
        <w:ind/>
        <w:rPr/>
      </w:pPr>
      <w:r/>
      <w:r/>
      <w:r/>
    </w:p>
    <w:p w14:paraId="6DE37628">
      <w:pPr>
        <w:pStyle w:val="735"/>
        <w:numPr>
          <w:ilvl w:val="0"/>
          <w:numId w:val="0"/>
        </w:numPr>
        <w:pBdr/>
        <w:spacing/>
        <w:ind/>
        <w:rPr/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>
      <w:pPr>
        <w:pBdr/>
        <w:spacing/>
        <w:ind/>
        <w:rPr>
          <w:rFonts w:ascii="Segoe UI" w:hAnsi="Segoe UI"/>
          <w:sz w:val="22"/>
          <w:szCs w:val="22"/>
          <w:highlight w:val="none"/>
        </w:rPr>
      </w:pPr>
      <w:r>
        <w:rPr>
          <w:rFonts w:ascii="Segoe UI" w:hAnsi="Segoe UI"/>
          <w:b/>
          <w:sz w:val="22"/>
        </w:rPr>
        <w:t xml:space="preserve">Strengths.</w:t>
      </w:r>
      <w:r>
        <w:rPr>
          <w:rFonts w:ascii="Segoe UI" w:hAnsi="Segoe UI"/>
          <w:sz w:val="22"/>
        </w:rPr>
        <w:t xml:space="preserve"> Clean Restart &amp; Run All on the 30-cell notebook; non-bypassable policy gate proved for SOC; category-routed retrieval fixes a real vocabulary-overlap problem cheaply; the governance spine is reused across two domains with one mechanism.</w:t>
      </w:r>
      <w:r/>
    </w:p>
    <w:p w14:paraId="6ED60B74">
      <w:pPr>
        <w:pBdr/>
        <w:spacing/>
        <w:ind/>
        <w:rPr/>
      </w:pP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  <w:r>
        <w:rPr>
          <w:rFonts w:ascii="Segoe UI" w:hAnsi="Segoe UI"/>
          <w:sz w:val="22"/>
          <w:highlight w:val="none"/>
        </w:rPr>
      </w:r>
    </w:p>
    <w:p>
      <w:pPr>
        <w:pBdr/>
        <w:spacing/>
        <w:ind/>
        <w:rPr/>
      </w:pPr>
      <w:r>
        <w:rPr>
          <w:rFonts w:ascii="Segoe UI" w:hAnsi="Segoe UI"/>
          <w:b/>
          <w:sz w:val="22"/>
        </w:rPr>
        <w:t xml:space="preserve">Limitations / tradeoffs.</w:t>
      </w:r>
      <w:r>
        <w:rPr>
          <w:rFonts w:ascii="Segoe UI" w:hAnsi="Segoe UI"/>
          <w:sz w:val="22"/>
        </w:rPr>
        <w:t xml:space="preserve"> The 0.85 threshold misses ~42% of anomalies — a known ceiling documented for operators. The free 8B model occasionally inven</w:t>
      </w:r>
      <w:r>
        <w:rPr>
          <w:rFonts w:ascii="Segoe UI" w:hAnsi="Segoe UI"/>
          <w:sz w:val="22"/>
        </w:rPr>
        <w:t xml:space="preserve">ts kwarg names (handled by an arg-filtering wrapper). The audit log carries an unrepaired break at an early sequence number, surfaced honestly in the GUI rather than silently re-hashed. LLM mode is non-deterministic; stub mode is the reproducible citation.</w:t>
      </w:r>
      <w:r/>
    </w:p>
    <w:p>
      <w:pPr>
        <w:pBdr/>
        <w:spacing/>
        <w:ind/>
        <w:jc w:val="center"/>
        <w:rPr>
          <w:color w:val="cfd8e3"/>
          <w:highlight w:val="none"/>
        </w:rPr>
      </w:pPr>
      <w:r>
        <w:rPr>
          <w:color w:val="cfd8e3"/>
        </w:rPr>
        <w:t xml:space="preserve">──────────────────────────────</w:t>
      </w:r>
      <w:r/>
    </w:p>
    <w:p w14:paraId="60DC8A1B">
      <w:pPr>
        <w:pBdr/>
        <w:spacing/>
        <w:ind/>
        <w:jc w:val="left"/>
        <w:rPr/>
      </w:pPr>
      <w:r>
        <w:rPr>
          <w:color w:val="cfd8e3"/>
          <w:highlight w:val="none"/>
        </w:rPr>
      </w:r>
      <w:r>
        <w:rPr>
          <w:color w:val="cfd8e3"/>
          <w:highlight w:val="none"/>
        </w:rPr>
      </w:r>
      <w:r>
        <w:rPr>
          <w:color w:val="cfd8e3"/>
          <w:highlight w:val="none"/>
        </w:rPr>
      </w:r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6. Professional Relevance</w:t>
      </w:r>
      <w:r/>
      <w:r>
        <w:rPr>
          <w:rFonts w:ascii="Segoe UI" w:hAnsi="Segoe UI"/>
          <w:sz w:val="22"/>
        </w:rPr>
      </w:r>
      <w:r/>
      <w:r/>
      <w:r/>
    </w:p>
    <w:p w14:paraId="2D39435D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rFonts w:ascii="Segoe UI" w:hAnsi="Segoe UI"/>
          <w:sz w:val="22"/>
        </w:rPr>
        <w:t xml:space="preserve">This work demonstrates readiness for real-world AI roles in three ways. First, </w:t>
      </w:r>
      <w:r>
        <w:rPr>
          <w:rFonts w:ascii="Segoe UI" w:hAnsi="Segoe UI"/>
          <w:b/>
          <w:sz w:val="22"/>
        </w:rPr>
        <w:t xml:space="preserve">system-level thinking</w:t>
      </w:r>
      <w:r>
        <w:rPr>
          <w:rFonts w:ascii="Segoe UI" w:hAnsi="Segoe UI"/>
          <w:sz w:val="22"/>
        </w:rPr>
        <w:t xml:space="preserve">: five prior projects compose into one pipeline, not a collection of notebooks. Second, </w:t>
      </w:r>
      <w:r>
        <w:rPr>
          <w:rFonts w:ascii="Segoe UI" w:hAnsi="Segoe UI"/>
          <w:b/>
          <w:sz w:val="22"/>
        </w:rPr>
        <w:t xml:space="preserve">responsible engineering under constraints</w:t>
      </w:r>
      <w:r>
        <w:rPr>
          <w:rFonts w:ascii="Segoe UI" w:hAnsi="Segoe UI"/>
          <w:sz w:val="22"/>
        </w:rPr>
        <w:t xml:space="preserve">: a free-tier model and a 5-doc KB get category routing, a citation guard, and arg filtering — engineering substitutes for a bigger budget. Third, </w:t>
      </w:r>
      <w:r>
        <w:rPr>
          <w:rFonts w:ascii="Segoe UI" w:hAnsi="Segoe UI"/>
          <w:b/>
          <w:sz w:val="22"/>
        </w:rPr>
        <w:t xml:space="preserve">reuse with discipline</w:t>
      </w:r>
      <w:r>
        <w:rPr>
          <w:rFonts w:ascii="Segoe UI" w:hAnsi="Segoe UI"/>
          <w:sz w:val="22"/>
        </w:rPr>
        <w:t xml:space="preserve">: the governance spine is lifted, fixed, de-labeled, and guarded by a no-domain-imports test. The operator keeps the part that matters — judgment, override, accountability — while the system compresses signal and cites its sources.</w:t>
      </w:r>
      <w:r/>
    </w:p>
    <w:p>
      <w:pPr>
        <w:pBdr/>
        <w:spacing/>
        <w:ind/>
        <w:jc w:val="center"/>
        <w:rPr>
          <w:color w:val="cfd8e3"/>
          <w:highlight w:val="none"/>
        </w:rPr>
      </w:pPr>
      <w:r>
        <w:rPr>
          <w:color w:val="cfd8e3"/>
        </w:rPr>
        <w:t xml:space="preserve">──────────────────────────────</w:t>
      </w:r>
      <w:r/>
    </w:p>
    <w:p w14:paraId="422C7A5B">
      <w:pPr>
        <w:pBdr/>
        <w:spacing/>
        <w:ind/>
        <w:jc w:val="center"/>
        <w:rPr/>
      </w:pPr>
      <w:r/>
      <w:r/>
      <w:r/>
    </w:p>
    <w:p w14:paraId="0B11FA8C">
      <w:pPr>
        <w:pBdr/>
        <w:spacing/>
        <w:ind/>
        <w:jc w:val="center"/>
        <w:rPr/>
      </w:pPr>
      <w:r/>
      <w:r/>
      <w:r/>
    </w:p>
    <w:p w14:paraId="1BD095F3">
      <w:pPr>
        <w:pBdr/>
        <w:spacing/>
        <w:ind/>
        <w:jc w:val="center"/>
        <w:rPr/>
      </w:pPr>
      <w:r/>
      <w:r/>
      <w:r/>
    </w:p>
    <w:p w14:paraId="1DF6A3FC">
      <w:pPr>
        <w:pBdr/>
        <w:spacing/>
        <w:ind/>
        <w:jc w:val="center"/>
        <w:rPr/>
      </w:pPr>
      <w:r/>
      <w:r/>
      <w:r/>
    </w:p>
    <w:p w14:paraId="6B7400A3">
      <w:pPr>
        <w:pBdr/>
        <w:spacing/>
        <w:ind/>
        <w:jc w:val="center"/>
        <w:rPr/>
      </w:pPr>
      <w:r/>
      <w:r/>
      <w:r/>
    </w:p>
    <w:p w14:paraId="371637E2">
      <w:pPr>
        <w:pBdr/>
        <w:spacing/>
        <w:ind/>
        <w:jc w:val="center"/>
        <w:rPr/>
      </w:pPr>
      <w:r/>
      <w:r/>
      <w:r/>
    </w:p>
    <w:p w14:paraId="6DEB3963">
      <w:pPr>
        <w:pBdr/>
        <w:spacing/>
        <w:ind/>
        <w:jc w:val="center"/>
        <w:rPr/>
      </w:pPr>
      <w:r/>
      <w:r/>
      <w:r/>
    </w:p>
    <w:p w14:paraId="387A0AC5">
      <w:pPr>
        <w:pBdr/>
        <w:spacing/>
        <w:ind/>
        <w:jc w:val="center"/>
        <w:rPr/>
      </w:pPr>
      <w:r/>
      <w:r/>
      <w:r/>
    </w:p>
    <w:p w14:paraId="0F60DB02">
      <w:pPr>
        <w:pBdr/>
        <w:spacing/>
        <w:ind/>
        <w:jc w:val="center"/>
        <w:rPr/>
      </w:pPr>
      <w:r>
        <w:rPr>
          <w:color w:val="cfd8e3"/>
          <w:highlight w:val="none"/>
        </w:rPr>
      </w:r>
      <w:r>
        <w:rPr>
          <w:color w:val="cfd8e3"/>
          <w:highlight w:val="none"/>
        </w:rPr>
      </w:r>
      <w:r>
        <w:rPr>
          <w:color w:val="cfd8e3"/>
          <w:highlight w:val="none"/>
        </w:rPr>
      </w:r>
    </w:p>
    <w:p>
      <w:pPr>
        <w:pStyle w:val="706"/>
        <w:pBdr/>
        <w:spacing/>
        <w:ind/>
        <w:rPr/>
      </w:pPr>
      <w:r>
        <w:rPr>
          <w:rFonts w:ascii="Segoe UI" w:hAnsi="Segoe UI"/>
          <w:sz w:val="22"/>
        </w:rPr>
        <w:t xml:space="preserve">7. References</w:t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NIST Special Publication 800-122 (2010). </w:t>
      </w:r>
      <w:r>
        <w:rPr>
          <w:rFonts w:ascii="Segoe UI" w:hAnsi="Segoe UI"/>
          <w:i/>
          <w:sz w:val="22"/>
        </w:rPr>
        <w:t xml:space="preserve">Guide to Protecting the Confidentiality of Personally Identifiable Information (PII)</w:t>
      </w:r>
      <w:r>
        <w:rPr>
          <w:rFonts w:ascii="Segoe UI" w:hAnsi="Segoe UI"/>
          <w:sz w:val="22"/>
        </w:rPr>
        <w:t xml:space="preserve">. U.S. Department of Commerce. </w:t>
      </w:r>
      <w:hyperlink r:id="rId12" w:tooltip="https://nvlpubs.nist.gov/nistpubs/Legacy/SP/nistspecialpublication800-122.pdf" w:history="1">
        <w:r>
          <w:rPr>
            <w:rStyle w:val="187"/>
            <w:rFonts w:ascii="Segoe UI" w:hAnsi="Segoe UI"/>
            <w:sz w:val="22"/>
          </w:rPr>
          <w:t xml:space="preserve">https://nvlpubs.nist.gov/nistpubs/Legacy/SP/nistspecialpublication800-122.pdf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European Parliament &amp; Council (2016). Regulation (EU) 2016/679 (General Data Protection Regulation), Article 5(1)(c) — Data minimisation. </w:t>
      </w:r>
      <w:hyperlink r:id="rId13" w:tooltip="https://gdpr-info.eu/art-5-gdpr/" w:history="1">
        <w:r>
          <w:rPr>
            <w:rStyle w:val="187"/>
            <w:rFonts w:ascii="Segoe UI" w:hAnsi="Segoe UI"/>
            <w:sz w:val="22"/>
          </w:rPr>
          <w:t xml:space="preserve">https://gdpr-info.eu/art-5-gdpr/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Capstone Project 1 — </w:t>
      </w:r>
      <w:hyperlink r:id="rId14" w:tooltip="https://github.com/Soliman2020/master_capstone_01" w:history="1">
        <w:r>
          <w:rPr>
            <w:rStyle w:val="187"/>
            <w:rFonts w:ascii="Segoe UI" w:hAnsi="Segoe UI"/>
            <w:sz w:val="22"/>
          </w:rPr>
          <w:t xml:space="preserve">https://github.com/Soliman2020/master_capstone_01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Apache Software Foundation (2019). Apache Parquet format. </w:t>
      </w:r>
      <w:hyperlink r:id="rId15" w:tooltip="https://github.com/apache/parquet-format/" w:history="1">
        <w:r>
          <w:rPr>
            <w:rStyle w:val="187"/>
            <w:rFonts w:ascii="Segoe UI" w:hAnsi="Segoe UI"/>
            <w:sz w:val="22"/>
          </w:rPr>
          <w:t xml:space="preserve">https://github.com/apache/parquet-format/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Capstone Project 2 — </w:t>
      </w:r>
      <w:hyperlink r:id="rId16" w:tooltip="https://github.com/Soliman2020/master_capstone_02" w:history="1">
        <w:r>
          <w:rPr>
            <w:rStyle w:val="187"/>
            <w:rFonts w:ascii="Segoe UI" w:hAnsi="Segoe UI"/>
            <w:sz w:val="22"/>
          </w:rPr>
          <w:t xml:space="preserve">https://github.com/Soliman2020/master_capstone_02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McHugh, M. L. (2013). The chi-square test of independence. </w:t>
      </w:r>
      <w:r>
        <w:rPr>
          <w:rFonts w:ascii="Segoe UI" w:hAnsi="Segoe UI"/>
          <w:i/>
          <w:sz w:val="22"/>
        </w:rPr>
        <w:t xml:space="preserve">Biochemia Medica</w:t>
      </w:r>
      <w:r>
        <w:rPr>
          <w:rFonts w:ascii="Segoe UI" w:hAnsi="Segoe UI"/>
          <w:sz w:val="22"/>
        </w:rPr>
        <w:t xml:space="preserve">, 23(2), 143–149. </w:t>
      </w:r>
      <w:hyperlink r:id="rId17" w:tooltip="https://pmc.ncbi.nlm.nih.gov/articles/PMC3900058/" w:history="1">
        <w:r>
          <w:rPr>
            <w:rStyle w:val="187"/>
            <w:rFonts w:ascii="Segoe UI" w:hAnsi="Segoe UI"/>
            <w:sz w:val="22"/>
          </w:rPr>
          <w:t xml:space="preserve">https://pmc.ncbi.nlm.nih.gov/articles/PMC3900058/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Ruxton, G. D. (2006). The unequal variance t-test is an underused alternative to Student's t-test and the Mann–Whitney U test. </w:t>
      </w:r>
      <w:r>
        <w:rPr>
          <w:rFonts w:ascii="Segoe UI" w:hAnsi="Segoe UI"/>
          <w:i/>
          <w:sz w:val="22"/>
        </w:rPr>
        <w:t xml:space="preserve">Behavioral Ecology</w:t>
      </w:r>
      <w:r>
        <w:rPr>
          <w:rFonts w:ascii="Segoe UI" w:hAnsi="Segoe UI"/>
          <w:sz w:val="22"/>
        </w:rPr>
        <w:t xml:space="preserve">, 17(4), 688–690. </w:t>
      </w:r>
      <w:hyperlink r:id="rId18" w:tooltip="https://academic.oup.com/beheco/article-abstract/17/4/688/215960" w:history="1">
        <w:r>
          <w:rPr>
            <w:rStyle w:val="187"/>
            <w:rFonts w:ascii="Segoe UI" w:hAnsi="Segoe UI"/>
            <w:sz w:val="22"/>
          </w:rPr>
          <w:t xml:space="preserve">https://academic.oup.com/beheco/article-abstract/17/4/688/215960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Capstone Project 3 — </w:t>
      </w:r>
      <w:hyperlink r:id="rId19" w:tooltip="https://github.com/Soliman2020/master_capstone_03" w:history="1">
        <w:r>
          <w:rPr>
            <w:rStyle w:val="187"/>
            <w:rFonts w:ascii="Segoe UI" w:hAnsi="Segoe UI"/>
            <w:sz w:val="22"/>
          </w:rPr>
          <w:t xml:space="preserve">https://github.com/Soliman2020/master_capstone_03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Capstone Project 5 — </w:t>
      </w:r>
      <w:hyperlink r:id="rId20" w:tooltip="https://github.com/Soliman2020/master_capstone_05" w:history="1">
        <w:r>
          <w:rPr>
            <w:rStyle w:val="187"/>
            <w:rFonts w:ascii="Segoe UI" w:hAnsi="Segoe UI"/>
            <w:sz w:val="22"/>
          </w:rPr>
          <w:t xml:space="preserve">https://github.com/Soliman2020/master_capstone_05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Capstone Project 6 — </w:t>
      </w:r>
      <w:hyperlink r:id="rId21" w:tooltip="https://github.com/Soliman2020/master_capstone_06" w:history="1">
        <w:r>
          <w:rPr>
            <w:rStyle w:val="187"/>
            <w:rFonts w:ascii="Segoe UI" w:hAnsi="Segoe UI"/>
            <w:sz w:val="22"/>
          </w:rPr>
          <w:t xml:space="preserve">https://github.com/Soliman2020/master_capstone_06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LangChain, Inc. LangGraph documentation — Stateful, multi-actor agent orchestration. </w:t>
      </w:r>
      <w:hyperlink r:id="rId22" w:tooltip="https://langchain-ai.github.io/langgraph/" w:history="1">
        <w:r>
          <w:rPr>
            <w:rStyle w:val="187"/>
            <w:rFonts w:ascii="Segoe UI" w:hAnsi="Segoe UI"/>
            <w:sz w:val="22"/>
          </w:rPr>
          <w:t xml:space="preserve">https://langchain-ai.github.io/langgraph/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Lewis, P., Perez, E., Piktus, A., Petroni, F., Karpukhin, V., Goyal, N., Küttler, H., Lewis, M., Yih, W., Rocktäschel, T., Riedel, S., &amp; Kiela, D. (2020). Retrieval-Augmented Generation for Knowledge-Intensive NLP Tasks. </w:t>
      </w:r>
      <w:r>
        <w:rPr>
          <w:rFonts w:ascii="Segoe UI" w:hAnsi="Segoe UI"/>
          <w:i/>
          <w:sz w:val="22"/>
        </w:rPr>
        <w:t xml:space="preserve">Advances in Neural Information Processing Systems 33</w:t>
      </w:r>
      <w:r>
        <w:rPr>
          <w:rFonts w:ascii="Segoe UI" w:hAnsi="Segoe UI"/>
          <w:sz w:val="22"/>
        </w:rPr>
        <w:t xml:space="preserve">, 9459–9474. arXiv:2005.11401. </w:t>
      </w:r>
      <w:hyperlink r:id="rId23" w:tooltip="https://proceedings.neurips.cc/paper/2020/file/6b493230205f780e1bc26945df7481e5-Paper.pdf" w:history="1">
        <w:r>
          <w:rPr>
            <w:rStyle w:val="187"/>
            <w:rFonts w:ascii="Segoe UI" w:hAnsi="Segoe UI"/>
            <w:sz w:val="22"/>
          </w:rPr>
          <w:t xml:space="preserve">https://proceedings.neurips.cc/paper/2020/file/6b493230205f780e1bc26945df7481e5-Paper.pdf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Chroma — the AI-native open-source embedding database. </w:t>
      </w:r>
      <w:hyperlink r:id="rId24" w:tooltip="https://www.trychroma.com/products/chromadb" w:history="1">
        <w:r>
          <w:rPr>
            <w:rStyle w:val="187"/>
            <w:rFonts w:ascii="Segoe UI" w:hAnsi="Segoe UI"/>
            <w:sz w:val="22"/>
          </w:rPr>
          <w:t xml:space="preserve">https://www.trychroma.com/products/chromadb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Hugging Face (2021). sentence-transformers/all-MiniLM-L6-v2 model card. </w:t>
      </w:r>
      <w:hyperlink r:id="rId25" w:tooltip="https://huggingface.co/sentence-transformers/all-MiniLM-L6-v2" w:history="1">
        <w:r>
          <w:rPr>
            <w:rStyle w:val="187"/>
            <w:rFonts w:ascii="Segoe UI" w:hAnsi="Segoe UI"/>
            <w:sz w:val="22"/>
          </w:rPr>
          <w:t xml:space="preserve">https://huggingface.co/sentence-transformers/all-MiniLM-L6-v2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Reimers, N. &amp; Gurevych, I. (2019). Sentence-BERT: Sentence Embeddings using Siamese BERT-Networks. In </w:t>
      </w:r>
      <w:r>
        <w:rPr>
          <w:rFonts w:ascii="Segoe UI" w:hAnsi="Segoe UI"/>
          <w:i/>
          <w:sz w:val="22"/>
        </w:rPr>
        <w:t xml:space="preserve">Proceedings of EMNLP-IJCNLP</w:t>
      </w:r>
      <w:r>
        <w:rPr>
          <w:rFonts w:ascii="Segoe UI" w:hAnsi="Segoe UI"/>
          <w:sz w:val="22"/>
        </w:rPr>
        <w:t xml:space="preserve">, 3982–3992. </w:t>
      </w:r>
      <w:hyperlink r:id="rId26" w:tooltip="https://aclanthology.org/D19-1410/" w:history="1">
        <w:r>
          <w:rPr>
            <w:rStyle w:val="187"/>
            <w:rFonts w:ascii="Segoe UI" w:hAnsi="Segoe UI"/>
            <w:sz w:val="22"/>
          </w:rPr>
          <w:t xml:space="preserve">https://aclanthology.org/D19-1410/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Carbonell, J. &amp; Goldstein, J. (1998). The Use of MMR, Diversity-Based Reranking for Reordering Documents and Producing Summaries. </w:t>
      </w:r>
      <w:hyperlink r:id="rId27" w:tooltip="https://www.cs.cmu.edu/~jgc/publication/The_Use_MMR_Diversity_Based_LTMIR_1998.pdf" w:history="1">
        <w:r>
          <w:rPr>
            <w:rStyle w:val="187"/>
            <w:rFonts w:ascii="Segoe UI" w:hAnsi="Segoe UI"/>
            <w:sz w:val="22"/>
          </w:rPr>
          <w:t xml:space="preserve">https://www.cs.cmu.edu/~jgc/publication/The_Use_MMR_Diversity_Based_LTMIR_1998.pdf</w:t>
        </w:r>
        <w:r>
          <w:rPr>
            <w:rStyle w:val="187"/>
          </w:rPr>
        </w:r>
      </w:hyperlink>
      <w:r/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Groq, Inc. Groq Cloud API documentation — Llama 3.1 model reference. </w:t>
      </w:r>
      <w:hyperlink r:id="rId28" w:tooltip="https://console.groq.com/docs" w:history="1">
        <w:r>
          <w:rPr>
            <w:rStyle w:val="187"/>
            <w:rFonts w:ascii="Segoe UI" w:hAnsi="Segoe UI"/>
            <w:sz w:val="22"/>
          </w:rPr>
          <w:t xml:space="preserve">https://console.groq.com/docs</w:t>
        </w:r>
      </w:hyperlink>
      <w:r>
        <w:rPr>
          <w:rFonts w:ascii="Segoe UI" w:hAnsi="Segoe UI"/>
          <w:sz w:val="22"/>
        </w:rPr>
      </w:r>
      <w:r/>
    </w:p>
    <w:p>
      <w:pPr>
        <w:pStyle w:val="738"/>
        <w:pBdr/>
        <w:spacing/>
        <w:ind/>
        <w:rPr/>
      </w:pPr>
      <w:r>
        <w:rPr>
          <w:rFonts w:ascii="Segoe UI" w:hAnsi="Segoe UI"/>
          <w:sz w:val="22"/>
        </w:rPr>
        <w:t xml:space="preserve">Streamlit, Inc. Streamlit — the fastest way to build data apps. </w:t>
      </w:r>
      <w:hyperlink r:id="rId29" w:tooltip="https://streamlit.io/" w:history="1">
        <w:r>
          <w:rPr>
            <w:rStyle w:val="187"/>
            <w:rFonts w:ascii="Segoe UI" w:hAnsi="Segoe UI"/>
            <w:sz w:val="22"/>
          </w:rPr>
          <w:t xml:space="preserve">https://streamlit.io/</w:t>
        </w:r>
      </w:hyperlink>
      <w:r>
        <w:rPr>
          <w:rFonts w:ascii="Segoe UI" w:hAnsi="Segoe UI"/>
          <w:sz w:val="22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020" w:right="907" w:bottom="1247" w:left="907" w:header="567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Symbol">
    <w:panose1 w:val="05050102010706020507"/>
  </w:font>
  <w:font w:name="Courier">
    <w:panose1 w:val="02070309020205020404"/>
  </w:font>
  <w:font w:name="Segoe U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/>
      <w:ind/>
      <w:jc w:val="center"/>
      <w:rPr/>
    </w:pPr>
    <w:r>
      <w:fldChar w:fldCharType="begin"/>
      <w:instrText xml:space="preserve"> PAGE </w:instrText>
      <w:fldChar w:fldCharType="separate"/>
      <w:t xml:space="preserve"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120" w:line="300" w:lineRule="auto"/>
      <w:ind/>
    </w:pPr>
    <w:rPr>
      <w:rFonts w:ascii="Segoe UI" w:hAnsi="Segoe UI"/>
      <w:sz w:val="22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80" w:before="240"/>
      <w:ind/>
      <w:outlineLvl w:val="0"/>
    </w:pPr>
    <w:rPr>
      <w:rFonts w:ascii="Segoe UI" w:hAnsi="Segoe UI" w:asciiTheme="majorHAnsi" w:hAnsiTheme="majorHAnsi" w:eastAsiaTheme="majorEastAsia" w:cstheme="majorBidi"/>
      <w:b/>
      <w:bCs/>
      <w:color w:val="0b3d91"/>
      <w:sz w:val="3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60" w:before="200"/>
      <w:ind/>
      <w:outlineLvl w:val="1"/>
    </w:pPr>
    <w:rPr>
      <w:rFonts w:ascii="Segoe UI" w:hAnsi="Segoe UI" w:asciiTheme="majorHAnsi" w:hAnsiTheme="majorHAnsi" w:eastAsiaTheme="majorEastAsia" w:cstheme="majorBidi"/>
      <w:b/>
      <w:bCs/>
      <w:color w:val="0b3d91"/>
      <w:sz w:val="28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40" w:before="160"/>
      <w:ind/>
      <w:outlineLvl w:val="2"/>
    </w:pPr>
    <w:rPr>
      <w:rFonts w:ascii="Segoe UI" w:hAnsi="Segoe UI" w:asciiTheme="majorHAnsi" w:hAnsiTheme="majorHAnsi" w:eastAsiaTheme="majorEastAsia" w:cstheme="majorBidi"/>
      <w:b/>
      <w:bCs/>
      <w:color w:val="0b3d91"/>
      <w:sz w:val="24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nvlpubs.nist.gov/nistpubs/Legacy/SP/nistspecialpublication800-122.pdf" TargetMode="External"/><Relationship Id="rId13" Type="http://schemas.openxmlformats.org/officeDocument/2006/relationships/hyperlink" Target="https://gdpr-info.eu/art-5-gdpr/" TargetMode="External"/><Relationship Id="rId14" Type="http://schemas.openxmlformats.org/officeDocument/2006/relationships/hyperlink" Target="https://github.com/Soliman2020/master_capstone_01" TargetMode="External"/><Relationship Id="rId15" Type="http://schemas.openxmlformats.org/officeDocument/2006/relationships/hyperlink" Target="https://github.com/apache/parquet-format/" TargetMode="External"/><Relationship Id="rId16" Type="http://schemas.openxmlformats.org/officeDocument/2006/relationships/hyperlink" Target="https://github.com/Soliman2020/master_capstone_02" TargetMode="External"/><Relationship Id="rId17" Type="http://schemas.openxmlformats.org/officeDocument/2006/relationships/hyperlink" Target="https://pmc.ncbi.nlm.nih.gov/articles/PMC3900058/" TargetMode="External"/><Relationship Id="rId18" Type="http://schemas.openxmlformats.org/officeDocument/2006/relationships/hyperlink" Target="https://academic.oup.com/beheco/article-abstract/17/4/688/215960" TargetMode="External"/><Relationship Id="rId19" Type="http://schemas.openxmlformats.org/officeDocument/2006/relationships/hyperlink" Target="https://github.com/Soliman2020/master_capstone_03" TargetMode="External"/><Relationship Id="rId20" Type="http://schemas.openxmlformats.org/officeDocument/2006/relationships/hyperlink" Target="https://github.com/Soliman2020/master_capstone_05" TargetMode="External"/><Relationship Id="rId21" Type="http://schemas.openxmlformats.org/officeDocument/2006/relationships/hyperlink" Target="https://github.com/Soliman2020/master_capstone_06" TargetMode="External"/><Relationship Id="rId22" Type="http://schemas.openxmlformats.org/officeDocument/2006/relationships/hyperlink" Target="https://langchain-ai.github.io/langgraph/" TargetMode="External"/><Relationship Id="rId23" Type="http://schemas.openxmlformats.org/officeDocument/2006/relationships/hyperlink" Target="https://proceedings.neurips.cc/paper/2020/file/6b493230205f780e1bc26945df7481e5-Paper.pdf" TargetMode="External"/><Relationship Id="rId24" Type="http://schemas.openxmlformats.org/officeDocument/2006/relationships/hyperlink" Target="https://www.trychroma.com/products/chromadb" TargetMode="External"/><Relationship Id="rId25" Type="http://schemas.openxmlformats.org/officeDocument/2006/relationships/hyperlink" Target="https://huggingface.co/sentence-transformers/all-MiniLM-L6-v2" TargetMode="External"/><Relationship Id="rId26" Type="http://schemas.openxmlformats.org/officeDocument/2006/relationships/hyperlink" Target="https://aclanthology.org/D19-1410/" TargetMode="External"/><Relationship Id="rId27" Type="http://schemas.openxmlformats.org/officeDocument/2006/relationships/hyperlink" Target="https://www.cs.cmu.edu/~jgc/publication/The_Use_MMR_Diversity_Based_LTMIR_1998.pdf" TargetMode="External"/><Relationship Id="rId28" Type="http://schemas.openxmlformats.org/officeDocument/2006/relationships/hyperlink" Target="https://console.groq.com/docs" TargetMode="External"/><Relationship Id="rId29" Type="http://schemas.openxmlformats.org/officeDocument/2006/relationships/hyperlink" Target="https://streamlit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2026-07-17T19:09:39Z</dcterms:modified>
  <cp:category/>
</cp:coreProperties>
</file>