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>
        <w:t xml:space="preserve">1. актуальность работы</w:t>
        <w:br/>
        <w:t xml:space="preserve">Генерация случайных чисел является важной составляющей безопасности встроенных систем и аппаратных платформ, поскольку используется при создании криптографических ключей, формировании nonce, инициализации генераторов псевдослучайных </w:t>
      </w:r>
      <w:r>
        <w:t xml:space="preserve">чисел и выполнении протоколов аутентификации.</w:t>
        <w:br/>
        <w:br/>
        <w:t xml:space="preserve">Проект OpenTitan предоставляет аппаратные механизмы обеспечения безопасности, в том числе аппаратный генератор случайных чисел и криптографические компоненты.</w:t>
        <w:br/>
        <w:br/>
        <w:t xml:space="preserve">2. Цель</w:t>
        <w:br/>
        <w:t xml:space="preserve">Цель работы: разработать UART-сервис гене</w:t>
      </w:r>
      <w:r>
        <w:t xml:space="preserve">рации случайных чисел для программной платформы OpenTitan с FreeRTOS. Сервис будет приниматб запрос через UART, генерировать случайные данные и возвращать их клиенту.</w:t>
        <w:br/>
        <w:br/>
        <w:t xml:space="preserve">3. возможные способы реализации</w:t>
      </w:r>
      <w:r/>
    </w:p>
    <w:p>
      <w:r>
        <w:t xml:space="preserve">(более подробно про генерацию случайных чисел можно посмотреть в файле </w:t>
      </w:r>
      <w:r>
        <w:t xml:space="preserve">«</w:t>
      </w:r>
      <w:r>
        <w:t xml:space="preserve">генерация случайных чисел в opentitan.docx</w:t>
      </w:r>
      <w:r>
        <w:t xml:space="preserve">»</w:t>
      </w:r>
      <w:r>
        <w:t xml:space="preserve">)</w:t>
      </w:r>
      <w:r>
        <w:br/>
        <w:br/>
        <w:t xml:space="preserve">Способ 1. Использование аппаратной подсистемы RNG</w:t>
        <w:br/>
        <w:br/>
        <w:t xml:space="preserve">Испо</w:t>
      </w:r>
      <w:r>
        <w:t xml:space="preserve">льзовать цепочку ENTROPY_SRC → CSRNG → EDN либо поддерживаемый программный интерфейс CSRNG. Источник энтропии обеспечивает исходные случайные данные, CSRNG формирует криптографически стойкую последовательность, а EDN распределяет её потребителям. Это предп</w:t>
      </w:r>
      <w:r>
        <w:t xml:space="preserve">очтительный вариант для сервиса, ориентированного на безопасность.</w:t>
        <w:br/>
        <w:br/>
        <w:t xml:space="preserve">Способ 2. Программный DRBG</w:t>
        <w:br/>
        <w:br/>
        <w:t xml:space="preserve">Использовать программный детерминированный генератор случайных битов (DRBG), инициализируемый начальными данными из доступного источника энтропии. Подход подход</w:t>
      </w:r>
      <w:r>
        <w:t xml:space="preserve">ит, если необходимо изучить интеграцию криптографической библиотеки и UART, однако требует корректной инициализации и повторного заполнения энтропией.</w:t>
        <w:br/>
        <w:br/>
        <w:t xml:space="preserve">Способ 3. Псевдослучайная последовательность для тестирования</w:t>
        <w:br/>
        <w:br/>
        <w:t xml:space="preserve">Использовать PRNG с фиксированным начальн</w:t>
      </w:r>
      <w:r>
        <w:t xml:space="preserve">ым значением или тестовый генератор. Это упрощает отладку протокола и проверку передачи данных в Verilator, но не обеспечивает криптографическую безопасность и не должно использоваться для генерации ключей.</w: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Solimonka</cp:lastModifiedBy>
  <cp:revision>1</cp:revision>
  <dcterms:modified xsi:type="dcterms:W3CDTF">2026-10-11T22:46:41Z</dcterms:modified>
</cp:coreProperties>
</file>