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center"/>
      </w:pPr>
      <w:r>
        <w:t>RESEARCH WORKING DOCUMENT</w:t>
      </w:r>
    </w:p>
    <w:p>
      <w:pPr>
        <w:pStyle w:val="CoverTitle"/>
        <w:jc w:val="center"/>
      </w:pPr>
      <w:r>
        <w:t>Scale Formation</w:t>
      </w:r>
    </w:p>
    <w:p>
      <w:pPr>
        <w:pStyle w:val="Subtitle"/>
        <w:jc w:val="center"/>
      </w:pPr>
      <w:r>
        <w:t>Literature review and</w:t>
        <w:br/>
        <w:t>directed research model</w:t>
      </w:r>
    </w:p>
    <w:p>
      <w:pPr>
        <w:jc w:val="center"/>
      </w:pPr>
      <w:r>
        <w:t>From a focused state-estimation study</w:t>
        <w:br/>
        <w:t>to a PhD research programme</w:t>
      </w:r>
    </w:p>
    <w:p/>
    <w:p>
      <w:pPr>
        <w:pStyle w:val="RefMeta"/>
        <w:jc w:val="center"/>
      </w:pPr>
      <w:r>
        <w:t>Based on the two supplied Scale Formation presentations</w:t>
      </w:r>
    </w:p>
    <w:p>
      <w:pPr>
        <w:pStyle w:val="RefMeta"/>
        <w:jc w:val="center"/>
      </w:pPr>
      <w:r>
        <w:t>55 reference records • Individual critical reviews • Model prototype</w:t>
      </w:r>
    </w:p>
    <w:p>
      <w:pPr>
        <w:pStyle w:val="RefMeta"/>
        <w:jc w:val="center"/>
      </w:pPr>
      <w:r>
        <w:t>Prepared 7 September 2026</w:t>
      </w:r>
    </w:p>
    <w:p/>
    <w:p>
      <w:pPr>
        <w:pStyle w:val="Heading2"/>
      </w:pPr>
      <w:r>
        <w:t>Recommended starting point</w:t>
      </w:r>
    </w:p>
    <w:p>
      <w:r>
        <w:t>Estimate how much calcite is attached in a small number of pipe sections, and how fast it is growing, by combining a reduced physical model with pressure and independently validated local thickness measurements.</w:t>
      </w:r>
    </w:p>
    <w:p>
      <w:r>
        <w:t>This is a tractable directed-research objective. Mineral identification, mixed-phase transport and adaptive inhibitor optimization can extend it into the later dissertation.</w:t>
      </w:r>
    </w:p>
    <w:p>
      <w:r>
        <w:rPr>
          <w:b/>
        </w:rPr>
        <w:t xml:space="preserve">Evidence boundary. </w:t>
      </w:r>
      <w:r>
        <w:t>Seven original articles were consulted in online sections, six abstracts were read, and two related author presentations were checked. Forty entries remain provisional. No original paper PDFs could be downloaded in this environment.</w:t>
      </w:r>
    </w:p>
    <w:p>
      <w:pPr>
        <w:pStyle w:val="Heading1"/>
        <w:pageBreakBefore/>
      </w:pPr>
      <w:r>
        <w:t>1. Scope, access status and navigation</w:t>
      </w:r>
    </w:p>
    <w:p>
      <w:r>
        <w:t>Every reference listed on the reference slides of Scale Formation Presentation - 4 is included as P01–P55. The collection includes journal articles, conference papers and one thesis. The Mujahed presentation supplies the project objectives; it is not a source of field measurements.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EE5"/>
          <w:left w:val="single" w:sz="4" w:color="D4DEE5"/>
          <w:bottom w:val="single" w:sz="4" w:color="D4DEE5"/>
          <w:right w:val="single" w:sz="4" w:color="D4DEE5"/>
          <w:insideH w:val="single" w:sz="4" w:color="D4DEE5"/>
          <w:insideV w:val="single" w:sz="4" w:color="D4DEE5"/>
        </w:tblBorders>
      </w:tblPr>
      <w:tblGrid>
        <w:gridCol w:w="1300"/>
        <w:gridCol w:w="850"/>
        <w:gridCol w:w="7210"/>
      </w:tblGrid>
      <w:tr>
        <w:trPr>
          <w:cantSplit/>
          <w:tblHeader/>
        </w:trPr>
        <w:tc>
          <w:tcPr>
            <w:tcW w:type="dxa" w:w="1300"/>
            <w:shd w:fill="E8EEF5"/>
          </w:tcPr>
          <w:p>
            <w:pPr>
              <w:pStyle w:val="TableBody"/>
            </w:pPr>
            <w:r>
              <w:rPr>
                <w:b/>
              </w:rPr>
              <w:t>Evidence code</w:t>
            </w:r>
          </w:p>
        </w:tc>
        <w:tc>
          <w:tcPr>
            <w:tcW w:type="dxa" w:w="850"/>
            <w:shd w:fill="E8EEF5"/>
          </w:tcPr>
          <w:p>
            <w:pPr>
              <w:pStyle w:val="TableBody"/>
            </w:pPr>
            <w:r>
              <w:rPr>
                <w:b/>
              </w:rPr>
              <w:t>Count</w:t>
            </w:r>
          </w:p>
        </w:tc>
        <w:tc>
          <w:tcPr>
            <w:tcW w:type="dxa" w:w="7210"/>
            <w:shd w:fill="E8EEF5"/>
          </w:tcPr>
          <w:p>
            <w:pPr>
              <w:pStyle w:val="TableBody"/>
            </w:pPr>
            <w:r>
              <w:rPr>
                <w:b/>
              </w:rPr>
              <w:t>Meaning</w:t>
            </w:r>
          </w:p>
        </w:tc>
      </w:tr>
      <w:tr>
        <w:trPr>
          <w:cantSplit/>
        </w:trPr>
        <w:tc>
          <w:tcPr>
            <w:tcW w:type="dxa" w:w="1300"/>
          </w:tcPr>
          <w:p>
            <w:pPr>
              <w:pStyle w:val="TableBody"/>
            </w:pPr>
            <w:r>
              <w:t>F</w:t>
            </w:r>
          </w:p>
        </w:tc>
        <w:tc>
          <w:tcPr>
            <w:tcW w:type="dxa" w:w="850"/>
          </w:tcPr>
          <w:p>
            <w:pPr>
              <w:pStyle w:val="TableBody"/>
            </w:pPr>
            <w:r>
              <w:t>7</w:t>
            </w:r>
          </w:p>
        </w:tc>
        <w:tc>
          <w:tcPr>
            <w:tcW w:type="dxa" w:w="7210"/>
          </w:tcPr>
          <w:p>
            <w:pPr>
              <w:pStyle w:val="TableBody"/>
            </w:pPr>
            <w:r>
              <w:t>Original article sections consulted online; not a claim of exhaustive full-text review</w:t>
            </w:r>
          </w:p>
        </w:tc>
      </w:tr>
      <w:tr>
        <w:trPr>
          <w:cantSplit/>
        </w:trPr>
        <w:tc>
          <w:tcPr>
            <w:tcW w:type="dxa" w:w="1300"/>
          </w:tcPr>
          <w:p>
            <w:pPr>
              <w:pStyle w:val="TableBody"/>
            </w:pPr>
            <w:r>
              <w:t>A</w:t>
            </w:r>
          </w:p>
        </w:tc>
        <w:tc>
          <w:tcPr>
            <w:tcW w:type="dxa" w:w="850"/>
          </w:tcPr>
          <w:p>
            <w:pPr>
              <w:pStyle w:val="TableBody"/>
            </w:pPr>
            <w:r>
              <w:t>6</w:t>
            </w:r>
          </w:p>
        </w:tc>
        <w:tc>
          <w:tcPr>
            <w:tcW w:type="dxa" w:w="7210"/>
          </w:tcPr>
          <w:p>
            <w:pPr>
              <w:pStyle w:val="TableBody"/>
            </w:pPr>
            <w:r>
              <w:t>Author/publisher abstract, including an archived author abstract</w:t>
            </w:r>
          </w:p>
        </w:tc>
      </w:tr>
      <w:tr>
        <w:trPr>
          <w:cantSplit/>
        </w:trPr>
        <w:tc>
          <w:tcPr>
            <w:tcW w:type="dxa" w:w="1300"/>
          </w:tcPr>
          <w:p>
            <w:pPr>
              <w:pStyle w:val="TableBody"/>
            </w:pPr>
            <w:r>
              <w:t>S</w:t>
            </w:r>
          </w:p>
        </w:tc>
        <w:tc>
          <w:tcPr>
            <w:tcW w:type="dxa" w:w="850"/>
          </w:tcPr>
          <w:p>
            <w:pPr>
              <w:pStyle w:val="TableBody"/>
            </w:pPr>
            <w:r>
              <w:t>2</w:t>
            </w:r>
          </w:p>
        </w:tc>
        <w:tc>
          <w:tcPr>
            <w:tcW w:type="dxa" w:w="7210"/>
          </w:tcPr>
          <w:p>
            <w:pPr>
              <w:pStyle w:val="TableBody"/>
            </w:pPr>
            <w:r>
              <w:t>Related author slides; not the exact cited paper</w:t>
            </w:r>
          </w:p>
        </w:tc>
      </w:tr>
      <w:tr>
        <w:trPr>
          <w:cantSplit/>
        </w:trPr>
        <w:tc>
          <w:tcPr>
            <w:tcW w:type="dxa" w:w="1300"/>
          </w:tcPr>
          <w:p>
            <w:pPr>
              <w:pStyle w:val="TableBody"/>
            </w:pPr>
            <w:r>
              <w:t>C</w:t>
            </w:r>
          </w:p>
        </w:tc>
        <w:tc>
          <w:tcPr>
            <w:tcW w:type="dxa" w:w="850"/>
          </w:tcPr>
          <w:p>
            <w:pPr>
              <w:pStyle w:val="TableBody"/>
            </w:pPr>
            <w:r>
              <w:t>40</w:t>
            </w:r>
          </w:p>
        </w:tc>
        <w:tc>
          <w:tcPr>
            <w:tcW w:type="dxa" w:w="7210"/>
          </w:tcPr>
          <w:p>
            <w:pPr>
              <w:pStyle w:val="TableBody"/>
            </w:pPr>
            <w:r>
              <w:t>Provisional assessment based on Presentation 4; some bibliographic records located</w:t>
            </w:r>
          </w:p>
        </w:tc>
      </w:tr>
    </w:tbl>
    <w:p>
      <w:pPr>
        <w:pStyle w:val="TableSpacer"/>
      </w:pPr>
    </w:p>
    <w:p>
      <w:r>
        <w:rPr>
          <w:b/>
        </w:rPr>
        <w:t xml:space="preserve">Download result. </w:t>
      </w:r>
      <w:r>
        <w:t>0 original PDFs saved. Nine public PDF URLs were located, but attempts to retrieve external PDF files were blocked. The referenced paper folder is an access-and-retrieval package, not a completed collection of full papers.</w:t>
      </w:r>
    </w:p>
    <w:p>
      <w:r>
        <w:t>The folder contains one access record per reference, a searchable HTML index, a nine-link download manifest and an optional downloader. Use publisher, repository or institutional access to obtain the remaining texts. Related slides, supporting information and summaries are never substituted for the cited paper.</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EE5"/>
          <w:left w:val="single" w:sz="4" w:color="D4DEE5"/>
          <w:bottom w:val="single" w:sz="4" w:color="D4DEE5"/>
          <w:right w:val="single" w:sz="4" w:color="D4DEE5"/>
          <w:insideH w:val="single" w:sz="4" w:color="D4DEE5"/>
          <w:insideV w:val="single" w:sz="4" w:color="D4DEE5"/>
        </w:tblBorders>
      </w:tblPr>
      <w:tblGrid>
        <w:gridCol w:w="5000"/>
        <w:gridCol w:w="2000"/>
        <w:gridCol w:w="2360"/>
      </w:tblGrid>
      <w:tr>
        <w:trPr>
          <w:cantSplit/>
          <w:tblHeader/>
        </w:trPr>
        <w:tc>
          <w:tcPr>
            <w:tcW w:type="dxa" w:w="5000"/>
            <w:shd w:fill="E8EEF5"/>
          </w:tcPr>
          <w:p>
            <w:pPr>
              <w:pStyle w:val="TableBody"/>
            </w:pPr>
            <w:r>
              <w:rPr>
                <w:b/>
              </w:rPr>
              <w:t>Literature stream</w:t>
            </w:r>
          </w:p>
        </w:tc>
        <w:tc>
          <w:tcPr>
            <w:tcW w:type="dxa" w:w="2000"/>
            <w:shd w:fill="E8EEF5"/>
          </w:tcPr>
          <w:p>
            <w:pPr>
              <w:pStyle w:val="TableBody"/>
            </w:pPr>
            <w:r>
              <w:rPr>
                <w:b/>
              </w:rPr>
              <w:t>Paper IDs</w:t>
            </w:r>
          </w:p>
        </w:tc>
        <w:tc>
          <w:tcPr>
            <w:tcW w:type="dxa" w:w="2360"/>
            <w:shd w:fill="E8EEF5"/>
          </w:tcPr>
          <w:p>
            <w:pPr>
              <w:pStyle w:val="TableBody"/>
            </w:pPr>
            <w:r>
              <w:rPr>
                <w:b/>
              </w:rPr>
              <w:t>Reference slide</w:t>
            </w:r>
          </w:p>
        </w:tc>
      </w:tr>
      <w:tr>
        <w:trPr>
          <w:cantSplit/>
        </w:trPr>
        <w:tc>
          <w:tcPr>
            <w:tcW w:type="dxa" w:w="5000"/>
          </w:tcPr>
          <w:p>
            <w:pPr>
              <w:pStyle w:val="TableBody"/>
            </w:pPr>
            <w:r>
              <w:t>Kinetics</w:t>
            </w:r>
          </w:p>
        </w:tc>
        <w:tc>
          <w:tcPr>
            <w:tcW w:type="dxa" w:w="2000"/>
          </w:tcPr>
          <w:p>
            <w:pPr>
              <w:pStyle w:val="TableBody"/>
            </w:pPr>
            <w:r>
              <w:t>P01–P07</w:t>
            </w:r>
          </w:p>
        </w:tc>
        <w:tc>
          <w:tcPr>
            <w:tcW w:type="dxa" w:w="2360"/>
          </w:tcPr>
          <w:p>
            <w:pPr>
              <w:pStyle w:val="TableBody"/>
            </w:pPr>
            <w:r>
              <w:t>8</w:t>
            </w:r>
          </w:p>
        </w:tc>
      </w:tr>
      <w:tr>
        <w:trPr>
          <w:cantSplit/>
        </w:trPr>
        <w:tc>
          <w:tcPr>
            <w:tcW w:type="dxa" w:w="5000"/>
          </w:tcPr>
          <w:p>
            <w:pPr>
              <w:pStyle w:val="TableBody"/>
            </w:pPr>
            <w:r>
              <w:t>Transport and deposition</w:t>
            </w:r>
          </w:p>
        </w:tc>
        <w:tc>
          <w:tcPr>
            <w:tcW w:type="dxa" w:w="2000"/>
          </w:tcPr>
          <w:p>
            <w:pPr>
              <w:pStyle w:val="TableBody"/>
            </w:pPr>
            <w:r>
              <w:t>P08–P15</w:t>
            </w:r>
          </w:p>
        </w:tc>
        <w:tc>
          <w:tcPr>
            <w:tcW w:type="dxa" w:w="2360"/>
          </w:tcPr>
          <w:p>
            <w:pPr>
              <w:pStyle w:val="TableBody"/>
            </w:pPr>
            <w:r>
              <w:t>13</w:t>
            </w:r>
          </w:p>
        </w:tc>
      </w:tr>
      <w:tr>
        <w:trPr>
          <w:cantSplit/>
        </w:trPr>
        <w:tc>
          <w:tcPr>
            <w:tcW w:type="dxa" w:w="5000"/>
          </w:tcPr>
          <w:p>
            <w:pPr>
              <w:pStyle w:val="TableBody"/>
            </w:pPr>
            <w:r>
              <w:t>Inhibitor modeling</w:t>
            </w:r>
          </w:p>
        </w:tc>
        <w:tc>
          <w:tcPr>
            <w:tcW w:type="dxa" w:w="2000"/>
          </w:tcPr>
          <w:p>
            <w:pPr>
              <w:pStyle w:val="TableBody"/>
            </w:pPr>
            <w:r>
              <w:t>P16–P19</w:t>
            </w:r>
          </w:p>
        </w:tc>
        <w:tc>
          <w:tcPr>
            <w:tcW w:type="dxa" w:w="2360"/>
          </w:tcPr>
          <w:p>
            <w:pPr>
              <w:pStyle w:val="TableBody"/>
            </w:pPr>
            <w:r>
              <w:t>17</w:t>
            </w:r>
          </w:p>
        </w:tc>
      </w:tr>
      <w:tr>
        <w:trPr>
          <w:cantSplit/>
        </w:trPr>
        <w:tc>
          <w:tcPr>
            <w:tcW w:type="dxa" w:w="5000"/>
          </w:tcPr>
          <w:p>
            <w:pPr>
              <w:pStyle w:val="TableBody"/>
            </w:pPr>
            <w:r>
              <w:t>ML scale tendency</w:t>
            </w:r>
          </w:p>
        </w:tc>
        <w:tc>
          <w:tcPr>
            <w:tcW w:type="dxa" w:w="2000"/>
          </w:tcPr>
          <w:p>
            <w:pPr>
              <w:pStyle w:val="TableBody"/>
            </w:pPr>
            <w:r>
              <w:t>P20–P24</w:t>
            </w:r>
          </w:p>
        </w:tc>
        <w:tc>
          <w:tcPr>
            <w:tcW w:type="dxa" w:w="2360"/>
          </w:tcPr>
          <w:p>
            <w:pPr>
              <w:pStyle w:val="TableBody"/>
            </w:pPr>
            <w:r>
              <w:t>20</w:t>
            </w:r>
          </w:p>
        </w:tc>
      </w:tr>
      <w:tr>
        <w:trPr>
          <w:cantSplit/>
        </w:trPr>
        <w:tc>
          <w:tcPr>
            <w:tcW w:type="dxa" w:w="5000"/>
          </w:tcPr>
          <w:p>
            <w:pPr>
              <w:pStyle w:val="TableBody"/>
            </w:pPr>
            <w:r>
              <w:t>ML thermodynamics</w:t>
            </w:r>
          </w:p>
        </w:tc>
        <w:tc>
          <w:tcPr>
            <w:tcW w:type="dxa" w:w="2000"/>
          </w:tcPr>
          <w:p>
            <w:pPr>
              <w:pStyle w:val="TableBody"/>
            </w:pPr>
            <w:r>
              <w:t>P25–P29</w:t>
            </w:r>
          </w:p>
        </w:tc>
        <w:tc>
          <w:tcPr>
            <w:tcW w:type="dxa" w:w="2360"/>
          </w:tcPr>
          <w:p>
            <w:pPr>
              <w:pStyle w:val="TableBody"/>
            </w:pPr>
            <w:r>
              <w:t>23</w:t>
            </w:r>
          </w:p>
        </w:tc>
      </w:tr>
      <w:tr>
        <w:trPr>
          <w:cantSplit/>
        </w:trPr>
        <w:tc>
          <w:tcPr>
            <w:tcW w:type="dxa" w:w="5000"/>
          </w:tcPr>
          <w:p>
            <w:pPr>
              <w:pStyle w:val="TableBody"/>
            </w:pPr>
            <w:r>
              <w:t>ML thickness / sensor inversion</w:t>
            </w:r>
          </w:p>
        </w:tc>
        <w:tc>
          <w:tcPr>
            <w:tcW w:type="dxa" w:w="2000"/>
          </w:tcPr>
          <w:p>
            <w:pPr>
              <w:pStyle w:val="TableBody"/>
            </w:pPr>
            <w:r>
              <w:t>P30–P38</w:t>
            </w:r>
          </w:p>
        </w:tc>
        <w:tc>
          <w:tcPr>
            <w:tcW w:type="dxa" w:w="2360"/>
          </w:tcPr>
          <w:p>
            <w:pPr>
              <w:pStyle w:val="TableBody"/>
            </w:pPr>
            <w:r>
              <w:t>26</w:t>
            </w:r>
          </w:p>
        </w:tc>
      </w:tr>
      <w:tr>
        <w:trPr>
          <w:cantSplit/>
        </w:trPr>
        <w:tc>
          <w:tcPr>
            <w:tcW w:type="dxa" w:w="5000"/>
          </w:tcPr>
          <w:p>
            <w:pPr>
              <w:pStyle w:val="TableBody"/>
            </w:pPr>
            <w:r>
              <w:t>Related applications</w:t>
            </w:r>
          </w:p>
        </w:tc>
        <w:tc>
          <w:tcPr>
            <w:tcW w:type="dxa" w:w="2000"/>
          </w:tcPr>
          <w:p>
            <w:pPr>
              <w:pStyle w:val="TableBody"/>
            </w:pPr>
            <w:r>
              <w:t>P39–P49</w:t>
            </w:r>
          </w:p>
        </w:tc>
        <w:tc>
          <w:tcPr>
            <w:tcW w:type="dxa" w:w="2360"/>
          </w:tcPr>
          <w:p>
            <w:pPr>
              <w:pStyle w:val="TableBody"/>
            </w:pPr>
            <w:r>
              <w:t>30–31</w:t>
            </w:r>
          </w:p>
        </w:tc>
      </w:tr>
      <w:tr>
        <w:trPr>
          <w:cantSplit/>
        </w:trPr>
        <w:tc>
          <w:tcPr>
            <w:tcW w:type="dxa" w:w="5000"/>
          </w:tcPr>
          <w:p>
            <w:pPr>
              <w:pStyle w:val="TableBody"/>
            </w:pPr>
            <w:r>
              <w:t>Pipe monitoring</w:t>
            </w:r>
          </w:p>
        </w:tc>
        <w:tc>
          <w:tcPr>
            <w:tcW w:type="dxa" w:w="2000"/>
          </w:tcPr>
          <w:p>
            <w:pPr>
              <w:pStyle w:val="TableBody"/>
            </w:pPr>
            <w:r>
              <w:t>P50–P55</w:t>
            </w:r>
          </w:p>
        </w:tc>
        <w:tc>
          <w:tcPr>
            <w:tcW w:type="dxa" w:w="2360"/>
          </w:tcPr>
          <w:p>
            <w:pPr>
              <w:pStyle w:val="TableBody"/>
            </w:pPr>
            <w:r>
              <w:t>35</w:t>
            </w:r>
          </w:p>
        </w:tc>
      </w:tr>
    </w:tbl>
    <w:p>
      <w:pPr>
        <w:pStyle w:val="TableSpacer"/>
      </w:pPr>
    </w:p>
    <w:p>
      <w:pPr>
        <w:pStyle w:val="Caption"/>
      </w:pPr>
      <w:r>
        <w:t>Sections 2–10 develop the research direction; Section 11 reviews all 55 references. Use Word’s Navigation Pane to move between sections and papers.</w:t>
      </w:r>
    </w:p>
    <w:p>
      <w:pPr>
        <w:pStyle w:val="Heading1"/>
        <w:pageBreakBefore/>
      </w:pPr>
      <w:r>
        <w:t>2. Corrections that affect the research direction</w:t>
      </w:r>
    </w:p>
    <w:p>
      <w:r>
        <w:t>Presentation summaries are useful orientation, but grouped slide claims do not reliably establish the methods or scope of every cited paper. The following distinctions materially change how the proposed work should be positioned.</w:t>
      </w:r>
    </w:p>
    <w:p>
      <w:r>
        <w:rPr>
          <w:b/>
        </w:rPr>
        <w:t xml:space="preserve">P52 — steel-pipe ultrasound is unresolved. </w:t>
      </w:r>
      <w:r>
        <w:t>The archived author abstract reports successful scale measurements on PP/PVC, but states that the technique was not applicable to steel pipe. This contradicts the presentation’s steel-validation claim. Test the actual steel–scale configuration before assuming a usable thickness signal. The archived abstract also contains an apparent scale-formula anomaly; verify the original text.</w:t>
      </w:r>
    </w:p>
    <w:p>
      <w:r>
        <w:rPr>
          <w:b/>
        </w:rPr>
        <w:t xml:space="preserve">P20, P47 and P51 — integration is not sufficient novelty. </w:t>
      </w:r>
      <w:r>
        <w:t>Existing work already connects ML with inhibition economics, demonstrates adaptive dosing in reverse osmosis, and reviews integrated pipeline monitoring. A defensible contribution must be narrower and experimentally measurable: for example, spatial wall-state estimation under sparse observations and operating changes.</w:t>
      </w:r>
    </w:p>
    <w:p>
      <w:r>
        <w:rPr>
          <w:b/>
        </w:rPr>
        <w:t xml:space="preserve">P27 — target and citation correction. </w:t>
      </w:r>
      <w:r>
        <w:t>The original sulfide paper predicts scale composition/deposition quantities; it should not be described simply as a saturation-index predictor. The publisher identifies volume 37, article 43. The individual entry uses this corrected bibliographic form.</w:t>
      </w:r>
    </w:p>
    <w:p>
      <w:r>
        <w:rPr>
          <w:b/>
        </w:rPr>
        <w:t xml:space="preserve">P36 and P38 — keep sensor targets distinct. </w:t>
      </w:r>
      <w:r>
        <w:t>P36 estimates barite thickness from simulated radiation signals; its table gives test RMSE 0.14 cm. P38 estimates fluid fractions despite scale, rather than providing the evolving scale-thickness state needed here.</w:t>
      </w:r>
    </w:p>
    <w:p>
      <w:r>
        <w:rPr>
          <w:b/>
        </w:rPr>
        <w:t xml:space="preserve">P15, P25 and P28 — avoid category errors. </w:t>
      </w:r>
      <w:r>
        <w:t>P15’s title concerns calcite, so the slide’s broader sulfate scope is unverified. Dissolved concentration in P25 is a continuous target, not inherently a binary classifier. P28 is specifically an ANN study of barium/strontium sulfates; verify paper-level mineral/model assignments.</w:t>
      </w:r>
    </w:p>
    <w:p>
      <w:r>
        <w:rPr>
          <w:b/>
        </w:rPr>
        <w:t xml:space="preserve">Citation hygiene. </w:t>
      </w:r>
      <w:r>
        <w:t>P23 is a university thesis. Conference session strings such as D… are not DOI identifiers. The catalogue preserves slide citations, adds located DOI links and identifies corrections; absent metadata are not invented.</w:t>
      </w:r>
    </w:p>
    <w:p>
      <w:pPr>
        <w:pStyle w:val="Caption"/>
      </w:pPr>
      <w:r>
        <w:t>The assessments below distinguish verified statements from analytical questions. A listed weakness often means a limitation for this project, or an issue to check in the unavailable paper. It does not automatically mean the original authors omitted that issue. Novelty remains a hypothesis until the closest original texts and newer work are reviewed.</w:t>
      </w:r>
    </w:p>
    <w:p>
      <w:pPr>
        <w:pStyle w:val="Heading1"/>
        <w:pageBreakBefore/>
      </w:pPr>
      <w:r>
        <w:t>3. Project problem and directed-research question</w:t>
      </w:r>
    </w:p>
    <w:p>
      <w:r>
        <w:t>The Mujahed deck asks four operational questions: where will scale accumulate, what mineral is involved, how severe will it become, and what inhibitor action is appropriate? The hidden quantity linking them is deposited material on the wall over time. A saturation index describes chemical driving force; it does not uniquely determine attachment, thickness, location or future restriction.</w:t>
      </w:r>
    </w:p>
    <w:p>
      <w:pPr>
        <w:pStyle w:val="Heading2"/>
      </w:pPr>
      <w:r>
        <w:t>Proposed directed-research title</w:t>
      </w:r>
    </w:p>
    <w:p>
      <w:r>
        <w:t>Physics-based estimation of spatial calcite growth in a pipe using pressure and sparse local thickness measurements.</w:t>
      </w:r>
    </w:p>
    <w:p>
      <w:r>
        <w:rPr>
          <w:b/>
        </w:rPr>
        <w:t xml:space="preserve">Primary question. </w:t>
      </w:r>
      <w:r>
        <w:t>Can a reduced dynamic estimator reconstruct section-level wall thickness and growth more reliably than a forward deposition model or pressure-only inference when chemistry and flow change?</w:t>
      </w:r>
    </w:p>
    <w:p>
      <w:r>
        <w:rPr>
          <w:b/>
        </w:rPr>
        <w:t xml:space="preserve">Secondary question. </w:t>
      </w:r>
      <w:r>
        <w:t>Which sensor locations and operating variations make the unknown states identifiable, and how does estimation degrade during sensor dropout?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EE5"/>
          <w:left w:val="single" w:sz="4" w:color="D4DEE5"/>
          <w:bottom w:val="single" w:sz="4" w:color="D4DEE5"/>
          <w:right w:val="single" w:sz="4" w:color="D4DEE5"/>
          <w:insideH w:val="single" w:sz="4" w:color="D4DEE5"/>
          <w:insideV w:val="single" w:sz="4" w:color="D4DEE5"/>
        </w:tblBorders>
      </w:tblPr>
      <w:tblGrid>
        <w:gridCol w:w="2300"/>
        <w:gridCol w:w="7060"/>
      </w:tblGrid>
      <w:tr>
        <w:trPr>
          <w:cantSplit/>
          <w:tblHeader/>
        </w:trPr>
        <w:tc>
          <w:tcPr>
            <w:tcW w:type="dxa" w:w="2300"/>
            <w:shd w:fill="E8EEF5"/>
          </w:tcPr>
          <w:p>
            <w:pPr>
              <w:pStyle w:val="TableBody"/>
            </w:pPr>
            <w:r>
              <w:rPr>
                <w:b/>
              </w:rPr>
              <w:t>Design choice</w:t>
            </w:r>
          </w:p>
        </w:tc>
        <w:tc>
          <w:tcPr>
            <w:tcW w:type="dxa" w:w="7060"/>
            <w:shd w:fill="E8EEF5"/>
          </w:tcPr>
          <w:p>
            <w:pPr>
              <w:pStyle w:val="TableBody"/>
            </w:pPr>
            <w:r>
              <w:rPr>
                <w:b/>
              </w:rPr>
              <w:t>Starting scope</w:t>
            </w:r>
          </w:p>
        </w:tc>
      </w:tr>
      <w:tr>
        <w:trPr>
          <w:cantSplit/>
        </w:trPr>
        <w:tc>
          <w:tcPr>
            <w:tcW w:type="dxa" w:w="2300"/>
          </w:tcPr>
          <w:p>
            <w:pPr>
              <w:pStyle w:val="TableBody"/>
            </w:pPr>
            <w:r>
              <w:t>System</w:t>
            </w:r>
          </w:p>
        </w:tc>
        <w:tc>
          <w:tcPr>
            <w:tcW w:type="dxa" w:w="7060"/>
          </w:tcPr>
          <w:p>
            <w:pPr>
              <w:pStyle w:val="TableBody"/>
            </w:pPr>
            <w:r>
              <w:t>One laboratory or well-characterized liquid-water pipe; three sections initially</w:t>
            </w:r>
          </w:p>
        </w:tc>
      </w:tr>
      <w:tr>
        <w:trPr>
          <w:cantSplit/>
        </w:trPr>
        <w:tc>
          <w:tcPr>
            <w:tcW w:type="dxa" w:w="2300"/>
          </w:tcPr>
          <w:p>
            <w:pPr>
              <w:pStyle w:val="TableBody"/>
            </w:pPr>
            <w:r>
              <w:t>Mineral</w:t>
            </w:r>
          </w:p>
        </w:tc>
        <w:tc>
          <w:tcPr>
            <w:tcW w:type="dxa" w:w="7060"/>
          </w:tcPr>
          <w:p>
            <w:pPr>
              <w:pStyle w:val="TableBody"/>
            </w:pPr>
            <w:r>
              <w:t>Calcite as a proposed starting case; confirm it against actual project evidence</w:t>
            </w:r>
          </w:p>
        </w:tc>
      </w:tr>
      <w:tr>
        <w:trPr>
          <w:cantSplit/>
        </w:trPr>
        <w:tc>
          <w:tcPr>
            <w:tcW w:type="dxa" w:w="2300"/>
          </w:tcPr>
          <w:p>
            <w:pPr>
              <w:pStyle w:val="TableBody"/>
            </w:pPr>
            <w:r>
              <w:t>States</w:t>
            </w:r>
          </w:p>
        </w:tc>
        <w:tc>
          <w:tcPr>
            <w:tcW w:type="dxa" w:w="7060"/>
          </w:tcPr>
          <w:p>
            <w:pPr>
              <w:pStyle w:val="TableBody"/>
            </w:pPr>
            <w:r>
              <w:t>Equivalent mean thickness hᵢ and growth rate rᵢ in each section</w:t>
            </w:r>
          </w:p>
        </w:tc>
      </w:tr>
      <w:tr>
        <w:trPr>
          <w:cantSplit/>
        </w:trPr>
        <w:tc>
          <w:tcPr>
            <w:tcW w:type="dxa" w:w="2300"/>
          </w:tcPr>
          <w:p>
            <w:pPr>
              <w:pStyle w:val="TableBody"/>
            </w:pPr>
            <w:r>
              <w:t>Inputs</w:t>
            </w:r>
          </w:p>
        </w:tc>
        <w:tc>
          <w:tcPr>
            <w:tcW w:type="dxa" w:w="7060"/>
          </w:tcPr>
          <w:p>
            <w:pPr>
              <w:pStyle w:val="TableBody"/>
            </w:pPr>
            <w:r>
              <w:t>Temperature, pressure, water flow, chemistry and local inhibitor concentration</w:t>
            </w:r>
          </w:p>
        </w:tc>
      </w:tr>
      <w:tr>
        <w:trPr>
          <w:cantSplit/>
        </w:trPr>
        <w:tc>
          <w:tcPr>
            <w:tcW w:type="dxa" w:w="2300"/>
          </w:tcPr>
          <w:p>
            <w:pPr>
              <w:pStyle w:val="TableBody"/>
            </w:pPr>
            <w:r>
              <w:t>Observations</w:t>
            </w:r>
          </w:p>
        </w:tc>
        <w:tc>
          <w:tcPr>
            <w:tcW w:type="dxa" w:w="7060"/>
          </w:tcPr>
          <w:p>
            <w:pPr>
              <w:pStyle w:val="TableBody"/>
            </w:pPr>
            <w:r>
              <w:t>Corrected pressure drop plus independently calibrated local thickness</w:t>
            </w:r>
          </w:p>
        </w:tc>
      </w:tr>
      <w:tr>
        <w:trPr>
          <w:cantSplit/>
        </w:trPr>
        <w:tc>
          <w:tcPr>
            <w:tcW w:type="dxa" w:w="2300"/>
          </w:tcPr>
          <w:p>
            <w:pPr>
              <w:pStyle w:val="TableBody"/>
            </w:pPr>
            <w:r>
              <w:t>Outputs</w:t>
            </w:r>
          </w:p>
        </w:tc>
        <w:tc>
          <w:tcPr>
            <w:tcW w:type="dxa" w:w="7060"/>
          </w:tcPr>
          <w:p>
            <w:pPr>
              <w:pStyle w:val="TableBody"/>
            </w:pPr>
            <w:r>
              <w:t>Thickness, growth, uncertainty and short-horizon section risk</w:t>
            </w:r>
          </w:p>
        </w:tc>
      </w:tr>
      <w:tr>
        <w:trPr>
          <w:cantSplit/>
        </w:trPr>
        <w:tc>
          <w:tcPr>
            <w:tcW w:type="dxa" w:w="2300"/>
          </w:tcPr>
          <w:p>
            <w:pPr>
              <w:pStyle w:val="TableBody"/>
            </w:pPr>
            <w:r>
              <w:t>Later extensions</w:t>
            </w:r>
          </w:p>
        </w:tc>
        <w:tc>
          <w:tcPr>
            <w:tcW w:type="dxa" w:w="7060"/>
          </w:tcPr>
          <w:p>
            <w:pPr>
              <w:pStyle w:val="TableBody"/>
            </w:pPr>
            <w:r>
              <w:t>Mixed minerals/phases, mineral classification, inhibitor transport and dose optimization</w:t>
            </w:r>
          </w:p>
        </w:tc>
      </w:tr>
    </w:tbl>
    <w:p>
      <w:pPr>
        <w:pStyle w:val="TableSpacer"/>
      </w:pPr>
    </w:p>
    <w:p>
      <w:r>
        <w:t>Three sections are an initial modeling choice, not a promise of achievable resolution. Reduce the number if sensitivity and measurement precision cannot distinguish them. A single local sensor does not establish an entire section’s mean thickness without a representativeness model.</w:t>
      </w:r>
    </w:p>
    <w:p>
      <w:r>
        <w:rPr>
          <w:b/>
        </w:rPr>
        <w:t xml:space="preserve">Current status. </w:t>
      </w:r>
      <w:r>
        <w:t>No field time series, pipe geometry, water analysis, inhibitor response data or measured deposits were supplied. The numerical prototype is therefore synthetic. The experimental target and validation thresholds must be agreed with the supervisor and data owner.</w:t>
      </w:r>
    </w:p>
    <w:p>
      <w:pPr>
        <w:pStyle w:val="Heading1"/>
        <w:pageBreakBefore/>
      </w:pPr>
      <w:r>
        <w:t>4. Proposed process model</w:t>
      </w:r>
    </w:p>
    <w:p>
      <w:r>
        <w:t>The equations below are a proposed synthesis for this project, not a reproduction of one cited paper. Start with a transparent reduced model and add mechanisms only when observations can constrain them. Use SI units in the physical model; the prototype explicitly uses mm and days for its states.</w:t>
      </w:r>
    </w:p>
    <w:p>
      <w:r>
        <w:rPr>
          <w:b/>
        </w:rPr>
        <w:t xml:space="preserve">Chemical driving force. </w:t>
      </w:r>
      <w:r>
        <w:t>Use a validated aqueous-speciation calculation with activities, temperature, pressure, pH/alkalinity and appropriate gas assumptions. For mineral m:</w:t>
      </w:r>
    </w:p>
    <w:p>
      <w:pPr>
        <w:pStyle w:val="Equation"/>
      </w:pPr>
      <w:r>
        <w:t>Ωₘ = IAPₘ / Ksp,ₘ ;     SIₘ = log₁₀(Ωₘ)</w:t>
      </w:r>
    </w:p>
    <w:p>
      <w:pPr>
        <w:pStyle w:val="RefBody"/>
      </w:pPr>
      <w:r>
        <w:t>Ω is dimensionless; SI &gt; 0 indicates thermodynamic supersaturation, not a measured wall-growth rate. Preserve sample timing and uncertainty. A late laboratory result must not be treated as information available at an earlier forecast time.</w:t>
      </w:r>
    </w:p>
    <w:p>
      <w:r>
        <w:rPr>
          <w:b/>
        </w:rPr>
        <w:t xml:space="preserve">Wall flux and thickness. </w:t>
      </w:r>
      <w:r>
        <w:t>For section i, a calibratable effective closure is:</w:t>
      </w:r>
    </w:p>
    <w:p>
      <w:pPr>
        <w:pStyle w:val="Equation"/>
      </w:pPr>
      <w:r>
        <w:t>Jwall,i = Kᵢ(T, u, surface) [max(Ωᵢ − 1, 0)]ⁿ g(CI,i, θᵢ)</w:t>
      </w:r>
    </w:p>
    <w:p>
      <w:pPr>
        <w:pStyle w:val="Equation"/>
      </w:pPr>
      <w:r>
        <w:t>dhᵢ/dt = (M / ρdep)(Jwall,i − Jdiss,i) + jparticle,i / ρdep − vremove,i</w:t>
      </w:r>
    </w:p>
    <w:p>
      <w:pPr>
        <w:pStyle w:val="RefBody"/>
      </w:pPr>
      <w:r>
        <w:t>Jwall and Jdiss are mol m⁻² s⁻¹; K has the same units; M is kg mol⁻¹; effective deposit density ρdep is kg m⁻³; particle mass flux jparticle is kg m⁻² s⁻¹; removal velocity is m s⁻¹. The resulting thickness rate is m s⁻¹. Treat roughness and porosity as uncertain. Initially omit dissolution, particle attachment and removal only under an explicitly supported no-removal test scenario.</w:t>
      </w:r>
    </w:p>
    <w:p>
      <w:r>
        <w:rPr>
          <w:b/>
        </w:rPr>
        <w:t xml:space="preserve">Optional inhibitor memory. </w:t>
      </w:r>
      <w:r>
        <w:t>Compare a concentration-only response with a dynamic surface-coverage model, motivated by P02/P10/P19:</w:t>
      </w:r>
    </w:p>
    <w:p>
      <w:pPr>
        <w:pStyle w:val="Equation"/>
      </w:pPr>
      <w:r>
        <w:t>dθᵢ/dt = kads CI,i(1 − θᵢ) − kdes θᵢ ;     g = (1 − θᵢ)ᵖ</w:t>
      </w:r>
    </w:p>
    <w:p>
      <w:pPr>
        <w:pStyle w:val="RefBody"/>
      </w:pPr>
      <w:r>
        <w:t>Here θ is dimensionless and bounded 0–1. If CI is mg L⁻¹ and time is seconds, kads is L mg⁻¹ s⁻¹ and kdes is s⁻¹. Fit the response from wall-deposition data; a bulk-test MIC does not establish surface protection. Do not assume that increasing dose always improves every deposition endpoint.</w:t>
      </w:r>
    </w:p>
    <w:p>
      <w:r>
        <w:rPr>
          <w:b/>
        </w:rPr>
        <w:t xml:space="preserve">Transport upgrade. </w:t>
      </w:r>
      <w:r>
        <w:t>For dissolved species j in an initially single-liquid pipe:</w:t>
      </w:r>
    </w:p>
    <w:p>
      <w:r>
        <w:drawing>
          <wp:inline xmlns:a="http://schemas.openxmlformats.org/drawingml/2006/main" xmlns:pic="http://schemas.openxmlformats.org/drawingml/2006/picture">
            <wp:extent cx="5943600" cy="563880"/>
            <wp:docPr id="1" name="Picture 1"/>
            <wp:cNvGraphicFramePr>
              <a:graphicFrameLocks noChangeAspect="1"/>
            </wp:cNvGraphicFramePr>
            <a:graphic>
              <a:graphicData uri="http://schemas.openxmlformats.org/drawingml/2006/picture">
                <pic:pic>
                  <pic:nvPicPr>
                    <pic:cNvPr id="0" name="transport_equation.png"/>
                    <pic:cNvPicPr/>
                  </pic:nvPicPr>
                  <pic:blipFill>
                    <a:blip r:embed="rId11"/>
                    <a:stretch>
                      <a:fillRect/>
                    </a:stretch>
                  </pic:blipFill>
                  <pic:spPr>
                    <a:xfrm>
                      <a:off x="0" y="0"/>
                      <a:ext cx="5943600" cy="563880"/>
                    </a:xfrm>
                    <a:prstGeom prst="rect"/>
                  </pic:spPr>
                </pic:pic>
              </a:graphicData>
            </a:graphic>
          </wp:inline>
        </w:drawing>
      </w:r>
    </w:p>
    <w:p>
      <w:pPr>
        <w:pStyle w:val="RefBody"/>
      </w:pPr>
      <w:r>
        <w:t>A is water cross-sectional area, Pw wetted perimeter, c is mol m⁻³, Q is m³ s⁻¹, Dax is m² s⁻¹ and rbulk is mol m⁻³ s⁻¹. Each term has units mol m⁻¹ s⁻¹. Include dissolution/source terms when present and track suspended-solid transport if bulk precipitation is retained. Keep bulk precipitation and wall attachment separate to avoid counting the same mass twice. Local inhibitor concentration needs its own transport, mixing and loss model; injection-pump dose is not instantaneously present everywhere (P12/P13).</w:t>
      </w:r>
    </w:p>
    <w:p>
      <w:pPr>
        <w:pStyle w:val="Heading1"/>
        <w:pageBreakBefore/>
      </w:pPr>
      <w:r>
        <w:t>5. Observation model and state estimation</w:t>
      </w:r>
    </w:p>
    <w:p>
      <w:r>
        <w:rPr>
          <w:b/>
        </w:rPr>
        <w:t xml:space="preserve">Hydraulic observation. </w:t>
      </w:r>
      <w:r>
        <w:t>For uniform circumferential deposition in a horizontal, single-liquid section:</w:t>
      </w:r>
    </w:p>
    <w:p>
      <w:pPr>
        <w:pStyle w:val="Equation"/>
      </w:pPr>
      <w:r>
        <w:t>Dᵢ = D₀,ᵢ − 2hᵢ ;   vᵢ = 4Q / (πDᵢ²) ;   ΔPᵢ = fᵢ(Lᵢ/Dᵢ)ρvᵢ²/2</w:t>
      </w:r>
    </w:p>
    <w:p>
      <w:pPr>
        <w:pStyle w:val="RefBody"/>
      </w:pPr>
      <w:r>
        <w:t>Use the Darcy friction factor. Total measured pressure also includes elevation, fittings and, when relevant, acceleration. Flow, viscosity, roughness, valves and changing phase fractions can mimic deposition. Calibrate a clean-pipe baseline and propagate these uncertainties. With fixed friction and flow, the section loss varies with D⁻⁵; this simplification is used only in the demonstration.</w:t>
      </w:r>
    </w:p>
    <w:p>
      <w:r>
        <w:rPr>
          <w:b/>
        </w:rPr>
        <w:t xml:space="preserve">Acoustic observation. </w:t>
      </w:r>
      <w:r>
        <w:t>If two relevant echoes can actually be resolved and calibrated:</w:t>
      </w:r>
    </w:p>
    <w:p>
      <w:pPr>
        <w:pStyle w:val="Equation"/>
      </w:pPr>
      <w:r>
        <w:t>Δtᵢ = 2hlocal,i / cscale + bᵢ(T, coupling) + noise</w:t>
      </w:r>
    </w:p>
    <w:p>
      <w:pPr>
        <w:pStyle w:val="RefBody"/>
      </w:pPr>
      <w:r>
        <w:t>Thickness is cscaleΔt/2 after bias correction. Mineral, porosity, temperature, coupling and interface geometry affect this relation. Guided-wave features are not automatically direct thickness measurements. P52 makes steel feasibility an experimental gate. Use removable coupons, inspection or profilometry as independent truth if acoustic inference is unavailable.</w:t>
      </w:r>
    </w:p>
    <w:p>
      <w:r>
        <w:rPr>
          <w:b/>
        </w:rPr>
        <w:t xml:space="preserve">Reduced dynamic state. </w:t>
      </w:r>
      <w:r>
        <w:t>For N sections, use x = [h₁…hN, r₁…rN]. Propagate thickness by hᵢ,k+1 = hᵢ,k + Δt rᵢ,k; let growth relax toward the chemistry-driven rate with calibrated dynamics and process uncertainty. Then:</w:t>
      </w:r>
    </w:p>
    <w:p>
      <w:pPr>
        <w:pStyle w:val="Equation"/>
      </w:pPr>
      <w:r>
        <w:t>xₖ₊₁ = f(xₖ, uₖ, parameters) + wₖ ;     yₖ = g(xₖ, uₖ) + vₖ</w:t>
      </w:r>
    </w:p>
    <w:p>
      <w:pPr>
        <w:pStyle w:val="RefBody"/>
      </w:pPr>
      <w:r>
        <w:t>Begin with an extended Kalman filter as a reproducible baseline. An unscented filter or moving-horizon estimator is a later comparison if nonlinearity or constraints justify it. Enforce physical bounds consistently; clipping a Gaussian estimate alone does not guarantee correct uncertainty coverage.</w:t>
      </w:r>
    </w:p>
    <w:p>
      <w:r>
        <w:rPr>
          <w:b/>
        </w:rPr>
        <w:t xml:space="preserve">Identifiability first. </w:t>
      </w:r>
      <w:r>
        <w:t>One total pressure measurement cannot uniquely determine an arbitrary vector of section thicknesses. Analyze sensor sensitivities and a trajectory-based observability/identifiability measure; include growth, bias and parameter states. More equations help only if they provide independent, sufficiently precise information.</w:t>
      </w:r>
    </w:p>
    <w:p>
      <w:r>
        <w:rPr>
          <w:b/>
        </w:rPr>
        <w:t xml:space="preserve">AI extension. </w:t>
      </w:r>
      <w:r>
        <w:t>After the physical baseline is validated, learn a limited residual correction to the wall flux, for example a bounded multiplicative factor. Keep mass balance and state constraints explicit. Add ML only if withheld experimental runs show improvement over the same estimator without it. Physics constraints do not guarantee out-of-domain accuracy.</w:t>
      </w:r>
    </w:p>
    <w:p>
      <w:pPr>
        <w:pStyle w:val="Heading1"/>
        <w:pageBreakBefore/>
      </w:pPr>
      <w:r>
        <w:t>6. Data and experiments needed</w:t>
      </w:r>
    </w:p>
    <w:p>
      <w:r>
        <w:t>The first physical dataset should distinguish changes caused by deposition from changes caused by operating conditions. Prefer controlled, repeated runs with independent measurements over a large pool of unlabeled operating records.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EE5"/>
          <w:left w:val="single" w:sz="4" w:color="D4DEE5"/>
          <w:bottom w:val="single" w:sz="4" w:color="D4DEE5"/>
          <w:right w:val="single" w:sz="4" w:color="D4DEE5"/>
          <w:insideH w:val="single" w:sz="4" w:color="D4DEE5"/>
          <w:insideV w:val="single" w:sz="4" w:color="D4DEE5"/>
        </w:tblBorders>
      </w:tblPr>
      <w:tblGrid>
        <w:gridCol w:w="2300"/>
        <w:gridCol w:w="7060"/>
      </w:tblGrid>
      <w:tr>
        <w:trPr>
          <w:cantSplit/>
          <w:tblHeader/>
        </w:trPr>
        <w:tc>
          <w:tcPr>
            <w:tcW w:type="dxa" w:w="2300"/>
            <w:shd w:fill="E8EEF5"/>
          </w:tcPr>
          <w:p>
            <w:pPr>
              <w:pStyle w:val="TableBody"/>
            </w:pPr>
            <w:r>
              <w:rPr>
                <w:b/>
              </w:rPr>
              <w:t>Data block</w:t>
            </w:r>
          </w:p>
        </w:tc>
        <w:tc>
          <w:tcPr>
            <w:tcW w:type="dxa" w:w="7060"/>
            <w:shd w:fill="E8EEF5"/>
          </w:tcPr>
          <w:p>
            <w:pPr>
              <w:pStyle w:val="TableBody"/>
            </w:pPr>
            <w:r>
              <w:rPr>
                <w:b/>
              </w:rPr>
              <w:t>Minimum useful content</w:t>
            </w:r>
          </w:p>
        </w:tc>
      </w:tr>
      <w:tr>
        <w:trPr>
          <w:cantSplit/>
        </w:trPr>
        <w:tc>
          <w:tcPr>
            <w:tcW w:type="dxa" w:w="2300"/>
          </w:tcPr>
          <w:p>
            <w:pPr>
              <w:pStyle w:val="TableBody"/>
            </w:pPr>
            <w:r>
              <w:t>Geometry and material</w:t>
            </w:r>
          </w:p>
        </w:tc>
        <w:tc>
          <w:tcPr>
            <w:tcW w:type="dxa" w:w="7060"/>
          </w:tcPr>
          <w:p>
            <w:pPr>
              <w:pStyle w:val="TableBody"/>
            </w:pPr>
            <w:r>
              <w:t>Bore, lengths, elevations, fittings, steel grade, clean roughness and sensor positions</w:t>
            </w:r>
          </w:p>
        </w:tc>
      </w:tr>
      <w:tr>
        <w:trPr>
          <w:cantSplit/>
        </w:trPr>
        <w:tc>
          <w:tcPr>
            <w:tcW w:type="dxa" w:w="2300"/>
          </w:tcPr>
          <w:p>
            <w:pPr>
              <w:pStyle w:val="TableBody"/>
            </w:pPr>
            <w:r>
              <w:t>Operation</w:t>
            </w:r>
          </w:p>
        </w:tc>
        <w:tc>
          <w:tcPr>
            <w:tcW w:type="dxa" w:w="7060"/>
          </w:tcPr>
          <w:p>
            <w:pPr>
              <w:pStyle w:val="TableBody"/>
            </w:pPr>
            <w:r>
              <w:t>Synchronized pressure, temperature and water flow; phase fractions if present</w:t>
            </w:r>
          </w:p>
        </w:tc>
      </w:tr>
      <w:tr>
        <w:trPr>
          <w:cantSplit/>
        </w:trPr>
        <w:tc>
          <w:tcPr>
            <w:tcW w:type="dxa" w:w="2300"/>
          </w:tcPr>
          <w:p>
            <w:pPr>
              <w:pStyle w:val="TableBody"/>
            </w:pPr>
            <w:r>
              <w:t>Chemistry</w:t>
            </w:r>
          </w:p>
        </w:tc>
        <w:tc>
          <w:tcPr>
            <w:tcW w:type="dxa" w:w="7060"/>
          </w:tcPr>
          <w:p>
            <w:pPr>
              <w:pStyle w:val="TableBody"/>
            </w:pPr>
            <w:r>
              <w:t>Major ions, pH, alkalinity, salinity/TDS, sampling conditions and laboratory timestamps</w:t>
            </w:r>
          </w:p>
        </w:tc>
      </w:tr>
      <w:tr>
        <w:trPr>
          <w:cantSplit/>
        </w:trPr>
        <w:tc>
          <w:tcPr>
            <w:tcW w:type="dxa" w:w="2300"/>
          </w:tcPr>
          <w:p>
            <w:pPr>
              <w:pStyle w:val="TableBody"/>
            </w:pPr>
            <w:r>
              <w:t>Treatment</w:t>
            </w:r>
          </w:p>
        </w:tc>
        <w:tc>
          <w:tcPr>
            <w:tcW w:type="dxa" w:w="7060"/>
          </w:tcPr>
          <w:p>
            <w:pPr>
              <w:pStyle w:val="TableBody"/>
            </w:pPr>
            <w:r>
              <w:t>Chemical identity, active concentration, injection history and local residual if available</w:t>
            </w:r>
          </w:p>
        </w:tc>
      </w:tr>
      <w:tr>
        <w:trPr>
          <w:cantSplit/>
        </w:trPr>
        <w:tc>
          <w:tcPr>
            <w:tcW w:type="dxa" w:w="2300"/>
          </w:tcPr>
          <w:p>
            <w:pPr>
              <w:pStyle w:val="TableBody"/>
            </w:pPr>
            <w:r>
              <w:t>Deposit truth</w:t>
            </w:r>
          </w:p>
        </w:tc>
        <w:tc>
          <w:tcPr>
            <w:tcW w:type="dxa" w:w="7060"/>
          </w:tcPr>
          <w:p>
            <w:pPr>
              <w:pStyle w:val="TableBody"/>
            </w:pPr>
            <w:r>
              <w:t>Location, thickness distribution, mass/area, mineralogy and deposit density/porosity</w:t>
            </w:r>
          </w:p>
        </w:tc>
      </w:tr>
      <w:tr>
        <w:trPr>
          <w:cantSplit/>
        </w:trPr>
        <w:tc>
          <w:tcPr>
            <w:tcW w:type="dxa" w:w="2300"/>
          </w:tcPr>
          <w:p>
            <w:pPr>
              <w:pStyle w:val="TableBody"/>
            </w:pPr>
            <w:r>
              <w:t>Context</w:t>
            </w:r>
          </w:p>
        </w:tc>
        <w:tc>
          <w:tcPr>
            <w:tcW w:type="dxa" w:w="7060"/>
          </w:tcPr>
          <w:p>
            <w:pPr>
              <w:pStyle w:val="TableBody"/>
            </w:pPr>
            <w:r>
              <w:t>Cleaning, shutdowns, maintenance, sensor changes and corrosion/inspection records</w:t>
            </w:r>
          </w:p>
        </w:tc>
      </w:tr>
    </w:tbl>
    <w:p>
      <w:pPr>
        <w:pStyle w:val="TableSpacer"/>
      </w:pPr>
    </w:p>
    <w:p>
      <w:pPr>
        <w:pStyle w:val="Heading2"/>
      </w:pPr>
      <w:r>
        <w:t>A staged experiment sequence</w:t>
      </w:r>
    </w:p>
    <w:p>
      <w:r>
        <w:rPr>
          <w:b/>
        </w:rPr>
        <w:t xml:space="preserve">A. Clean-pipe baseline. </w:t>
      </w:r>
      <w:r>
        <w:t>Vary flow and temperature without intentional scale growth. Quantify hydraulic model error, acoustic drift, coupling changes and false alarms. Establish sampling and time alignment.</w:t>
      </w:r>
    </w:p>
    <w:p>
      <w:r>
        <w:rPr>
          <w:b/>
        </w:rPr>
        <w:t xml:space="preserve">B. Thickness-sensor feasibility. </w:t>
      </w:r>
      <w:r>
        <w:t>Test the actual steel wall, curvature and expected mineral layer using an independent thickness reference. Map detection limits and failure cases before declaring an acoustic measurement available.</w:t>
      </w:r>
    </w:p>
    <w:p>
      <w:r>
        <w:rPr>
          <w:b/>
        </w:rPr>
        <w:t xml:space="preserve">C. Uninhibited growth. </w:t>
      </w:r>
      <w:r>
        <w:t>Use a confirmed single mineral. Vary chemistry and flow independently where feasible. Measure wall deposition at several locations and record suspended solids separately.</w:t>
      </w:r>
    </w:p>
    <w:p>
      <w:r>
        <w:rPr>
          <w:b/>
        </w:rPr>
        <w:t xml:space="preserve">D. Prescribed inhibitor steps. </w:t>
      </w:r>
      <w:r>
        <w:t>After the growth model is credible, apply planned dose changes and measure local response. Compare concentration-only inhibition with surface memory; do not optimize a dose-response model that has never been identified.</w:t>
      </w:r>
    </w:p>
    <w:p>
      <w:r>
        <w:rPr>
          <w:b/>
        </w:rPr>
        <w:t xml:space="preserve">E. Independent challenge runs. </w:t>
      </w:r>
      <w:r>
        <w:t>Withhold whole runs that change flow, chemistry or starting surface state. Include dropout and clean-pipe disturbances. Replicate enough conditions to distinguish model improvement from run-to-run variation.</w:t>
      </w:r>
    </w:p>
    <w:p>
      <w:pPr>
        <w:pStyle w:val="Heading1"/>
        <w:pageBreakBefore/>
      </w:pPr>
      <w:r>
        <w:t>7. Validation and acceptance logic</w:t>
      </w:r>
    </w:p>
    <w:p>
      <w:r>
        <w:rPr>
          <w:b/>
        </w:rPr>
        <w:t xml:space="preserve">Split by experimental run. </w:t>
      </w:r>
      <w:r>
        <w:t>Calibrate parameters and tune models on training runs only. Reserve whole later runs and selected operating conditions for testing. Overlapping time windows from the same run must not cross the train/test boundary. Report whether chemistry targets come from measurements or a simulator.</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EE5"/>
          <w:left w:val="single" w:sz="4" w:color="D4DEE5"/>
          <w:bottom w:val="single" w:sz="4" w:color="D4DEE5"/>
          <w:right w:val="single" w:sz="4" w:color="D4DEE5"/>
          <w:insideH w:val="single" w:sz="4" w:color="D4DEE5"/>
          <w:insideV w:val="single" w:sz="4" w:color="D4DEE5"/>
        </w:tblBorders>
      </w:tblPr>
      <w:tblGrid>
        <w:gridCol w:w="2900"/>
        <w:gridCol w:w="6460"/>
      </w:tblGrid>
      <w:tr>
        <w:trPr>
          <w:cantSplit/>
          <w:tblHeader/>
        </w:trPr>
        <w:tc>
          <w:tcPr>
            <w:tcW w:type="dxa" w:w="2900"/>
            <w:shd w:fill="E8EEF5"/>
          </w:tcPr>
          <w:p>
            <w:pPr>
              <w:pStyle w:val="TableBody"/>
            </w:pPr>
            <w:r>
              <w:rPr>
                <w:b/>
              </w:rPr>
              <w:t>Comparator</w:t>
            </w:r>
          </w:p>
        </w:tc>
        <w:tc>
          <w:tcPr>
            <w:tcW w:type="dxa" w:w="6460"/>
            <w:shd w:fill="E8EEF5"/>
          </w:tcPr>
          <w:p>
            <w:pPr>
              <w:pStyle w:val="TableBody"/>
            </w:pPr>
            <w:r>
              <w:rPr>
                <w:b/>
              </w:rPr>
              <w:t>Question answered</w:t>
            </w:r>
          </w:p>
        </w:tc>
      </w:tr>
      <w:tr>
        <w:trPr>
          <w:cantSplit/>
        </w:trPr>
        <w:tc>
          <w:tcPr>
            <w:tcW w:type="dxa" w:w="2900"/>
          </w:tcPr>
          <w:p>
            <w:pPr>
              <w:pStyle w:val="TableBody"/>
            </w:pPr>
            <w:r>
              <w:t>Chemistry / SI screening</w:t>
            </w:r>
          </w:p>
        </w:tc>
        <w:tc>
          <w:tcPr>
            <w:tcW w:type="dxa" w:w="6460"/>
          </w:tcPr>
          <w:p>
            <w:pPr>
              <w:pStyle w:val="TableBody"/>
            </w:pPr>
            <w:r>
              <w:t>Does chemical tendency alone identify observed onset?</w:t>
            </w:r>
          </w:p>
        </w:tc>
      </w:tr>
      <w:tr>
        <w:trPr>
          <w:cantSplit/>
        </w:trPr>
        <w:tc>
          <w:tcPr>
            <w:tcW w:type="dxa" w:w="2900"/>
          </w:tcPr>
          <w:p>
            <w:pPr>
              <w:pStyle w:val="TableBody"/>
            </w:pPr>
            <w:r>
              <w:t>Mechanistic forward model</w:t>
            </w:r>
          </w:p>
        </w:tc>
        <w:tc>
          <w:tcPr>
            <w:tcW w:type="dxa" w:w="6460"/>
          </w:tcPr>
          <w:p>
            <w:pPr>
              <w:pStyle w:val="TableBody"/>
            </w:pPr>
            <w:r>
              <w:t>What is gained by assimilating measurements?</w:t>
            </w:r>
          </w:p>
        </w:tc>
      </w:tr>
      <w:tr>
        <w:trPr>
          <w:cantSplit/>
        </w:trPr>
        <w:tc>
          <w:tcPr>
            <w:tcW w:type="dxa" w:w="2900"/>
          </w:tcPr>
          <w:p>
            <w:pPr>
              <w:pStyle w:val="TableBody"/>
            </w:pPr>
            <w:r>
              <w:t>Pressure-only estimator</w:t>
            </w:r>
          </w:p>
        </w:tc>
        <w:tc>
          <w:tcPr>
            <w:tcW w:type="dxa" w:w="6460"/>
          </w:tcPr>
          <w:p>
            <w:pPr>
              <w:pStyle w:val="TableBody"/>
            </w:pPr>
            <w:r>
              <w:t>Is the spatial estimate constrained or ambiguous?</w:t>
            </w:r>
          </w:p>
        </w:tc>
      </w:tr>
      <w:tr>
        <w:trPr>
          <w:cantSplit/>
        </w:trPr>
        <w:tc>
          <w:tcPr>
            <w:tcW w:type="dxa" w:w="2900"/>
          </w:tcPr>
          <w:p>
            <w:pPr>
              <w:pStyle w:val="TableBody"/>
            </w:pPr>
            <w:r>
              <w:t>Local thickness only</w:t>
            </w:r>
          </w:p>
        </w:tc>
        <w:tc>
          <w:tcPr>
            <w:tcW w:type="dxa" w:w="6460"/>
          </w:tcPr>
          <w:p>
            <w:pPr>
              <w:pStyle w:val="TableBody"/>
            </w:pPr>
            <w:r>
              <w:t>What does the dynamic/hydraulic model add between sensors?</w:t>
            </w:r>
          </w:p>
        </w:tc>
      </w:tr>
      <w:tr>
        <w:trPr>
          <w:cantSplit/>
        </w:trPr>
        <w:tc>
          <w:tcPr>
            <w:tcW w:type="dxa" w:w="2900"/>
          </w:tcPr>
          <w:p>
            <w:pPr>
              <w:pStyle w:val="TableBody"/>
            </w:pPr>
            <w:r>
              <w:t>Simple kinematic fusion</w:t>
            </w:r>
          </w:p>
        </w:tc>
        <w:tc>
          <w:tcPr>
            <w:tcW w:type="dxa" w:w="6460"/>
          </w:tcPr>
          <w:p>
            <w:pPr>
              <w:pStyle w:val="TableBody"/>
            </w:pPr>
            <w:r>
              <w:t>Does chemistry-driven growth improve on generic temporal smoothing?</w:t>
            </w:r>
          </w:p>
        </w:tc>
      </w:tr>
      <w:tr>
        <w:trPr>
          <w:cantSplit/>
        </w:trPr>
        <w:tc>
          <w:tcPr>
            <w:tcW w:type="dxa" w:w="2900"/>
          </w:tcPr>
          <w:p>
            <w:pPr>
              <w:pStyle w:val="TableBody"/>
            </w:pPr>
            <w:r>
              <w:t>Full proposed fusion</w:t>
            </w:r>
          </w:p>
        </w:tc>
        <w:tc>
          <w:tcPr>
            <w:tcW w:type="dxa" w:w="6460"/>
          </w:tcPr>
          <w:p>
            <w:pPr>
              <w:pStyle w:val="TableBody"/>
            </w:pPr>
            <w:r>
              <w:t>What is achieved with the complete proposed input set?</w:t>
            </w:r>
          </w:p>
        </w:tc>
      </w:tr>
      <w:tr>
        <w:trPr>
          <w:cantSplit/>
        </w:trPr>
        <w:tc>
          <w:tcPr>
            <w:tcW w:type="dxa" w:w="2900"/>
          </w:tcPr>
          <w:p>
            <w:pPr>
              <w:pStyle w:val="TableBody"/>
            </w:pPr>
            <w:r>
              <w:t>Optional ML residual</w:t>
            </w:r>
          </w:p>
        </w:tc>
        <w:tc>
          <w:tcPr>
            <w:tcW w:type="dxa" w:w="6460"/>
          </w:tcPr>
          <w:p>
            <w:pPr>
              <w:pStyle w:val="TableBody"/>
            </w:pPr>
            <w:r>
              <w:t>Is learning better than the same physical estimator without learning?</w:t>
            </w:r>
          </w:p>
        </w:tc>
      </w:tr>
    </w:tbl>
    <w:p>
      <w:pPr>
        <w:pStyle w:val="TableSpacer"/>
      </w:pPr>
    </w:p>
    <w:p>
      <w:pPr>
        <w:pStyle w:val="Heading2"/>
      </w:pPr>
      <w:r>
        <w:t>Report physical errors and uncertainty</w:t>
      </w:r>
    </w:p>
    <w:p>
      <w:r>
        <w:t>Use thickness MAE/RMSE in mm, growth-rate error in mm/day, location error in meters or section units, and forecast errors at predeclared horizons. Avoid percentage thickness errors near zero. Evaluate empirical interval coverage and interval width together; a very wide interval can achieve high coverage without useful precision.</w:t>
      </w:r>
    </w:p>
    <w:p>
      <w:r>
        <w:t>For detection, report sensitivity to a stated thickness/growth threshold, false alarms per operating day and detection delay. Include latency and failure behavior under missing inputs. Ground-truth measurement uncertainty sets a lower limit on interpretable error differences.</w:t>
      </w:r>
    </w:p>
    <w:p>
      <w:r>
        <w:rPr>
          <w:b/>
        </w:rPr>
        <w:t xml:space="preserve">Acceptance criteria. </w:t>
      </w:r>
      <w:r>
        <w:t>Before final tests, agree the smallest actionable thickness, useful warning horizon, acceptable false-alarm rate and maximum uncertainty. These numbers depend on the actual flowline and instruments; none can be inferred from the slides. Require a meaningful improvement over the strongest baseline across independent runs, not just one aggregate score.</w:t>
      </w:r>
    </w:p>
    <w:p>
      <w:r>
        <w:rPr>
          <w:b/>
        </w:rPr>
        <w:t xml:space="preserve">Decision gate. </w:t>
      </w:r>
      <w:r>
        <w:t>If steel ultrasound is unreliable, proceed with a smaller state dimension and independently measured coupon/inspection updates. If only pressure is available, report a coarser risk estimate or total equivalent restriction until localization is supported. If fusion does not improve held-out results, document the conditions and avoid adding AI merely to preserve the original title.</w:t>
      </w:r>
    </w:p>
    <w:p>
      <w:pPr>
        <w:pStyle w:val="Heading1"/>
        <w:pageBreakBefore/>
      </w:pPr>
      <w:r>
        <w:t>8. Directed-research work plan and PhD path</w:t>
      </w:r>
    </w:p>
    <w:p>
      <w:r>
        <w:t>This proposed 12-week scaffold depends on data and laboratory access. The directed-research deliverable is a validated estimator.</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EE5"/>
          <w:left w:val="single" w:sz="4" w:color="D4DEE5"/>
          <w:bottom w:val="single" w:sz="4" w:color="D4DEE5"/>
          <w:right w:val="single" w:sz="4" w:color="D4DEE5"/>
          <w:insideH w:val="single" w:sz="4" w:color="D4DEE5"/>
          <w:insideV w:val="single" w:sz="4" w:color="D4DEE5"/>
        </w:tblBorders>
      </w:tblPr>
      <w:tblGrid>
        <w:gridCol w:w="1350"/>
        <w:gridCol w:w="4000"/>
        <w:gridCol w:w="4010"/>
      </w:tblGrid>
      <w:tr>
        <w:trPr>
          <w:cantSplit/>
          <w:tblHeader/>
        </w:trPr>
        <w:tc>
          <w:tcPr>
            <w:tcW w:type="dxa" w:w="1350"/>
            <w:shd w:fill="E8EEF5"/>
          </w:tcPr>
          <w:p>
            <w:pPr>
              <w:pStyle w:val="TableBody"/>
            </w:pPr>
            <w:r>
              <w:rPr>
                <w:b/>
              </w:rPr>
              <w:t>Period</w:t>
            </w:r>
          </w:p>
        </w:tc>
        <w:tc>
          <w:tcPr>
            <w:tcW w:type="dxa" w:w="4000"/>
            <w:shd w:fill="E8EEF5"/>
          </w:tcPr>
          <w:p>
            <w:pPr>
              <w:pStyle w:val="TableBody"/>
            </w:pPr>
            <w:r>
              <w:rPr>
                <w:b/>
              </w:rPr>
              <w:t>Work</w:t>
            </w:r>
          </w:p>
        </w:tc>
        <w:tc>
          <w:tcPr>
            <w:tcW w:type="dxa" w:w="4010"/>
            <w:shd w:fill="E8EEF5"/>
          </w:tcPr>
          <w:p>
            <w:pPr>
              <w:pStyle w:val="TableBody"/>
            </w:pPr>
            <w:r>
              <w:rPr>
                <w:b/>
              </w:rPr>
              <w:t>Reviewable output</w:t>
            </w:r>
          </w:p>
        </w:tc>
      </w:tr>
      <w:tr>
        <w:trPr>
          <w:cantSplit/>
        </w:trPr>
        <w:tc>
          <w:tcPr>
            <w:tcW w:type="dxa" w:w="1350"/>
          </w:tcPr>
          <w:p>
            <w:pPr>
              <w:pStyle w:val="TableBody"/>
            </w:pPr>
            <w:r>
              <w:t>Weeks 1–2</w:t>
            </w:r>
          </w:p>
        </w:tc>
        <w:tc>
          <w:tcPr>
            <w:tcW w:type="dxa" w:w="4000"/>
          </w:tcPr>
          <w:p>
            <w:pPr>
              <w:pStyle w:val="TableBody"/>
            </w:pPr>
            <w:r>
              <w:t>Resolve closest papers; audit system/data; fix scope</w:t>
            </w:r>
          </w:p>
        </w:tc>
        <w:tc>
          <w:tcPr>
            <w:tcW w:type="dxa" w:w="4010"/>
          </w:tcPr>
          <w:p>
            <w:pPr>
              <w:pStyle w:val="TableBody"/>
            </w:pPr>
            <w:r>
              <w:t>Literature comparison and data dictionary</w:t>
            </w:r>
          </w:p>
        </w:tc>
      </w:tr>
      <w:tr>
        <w:trPr>
          <w:cantSplit/>
        </w:trPr>
        <w:tc>
          <w:tcPr>
            <w:tcW w:type="dxa" w:w="1350"/>
          </w:tcPr>
          <w:p>
            <w:pPr>
              <w:pStyle w:val="TableBody"/>
            </w:pPr>
            <w:r>
              <w:t>Weeks 3–4</w:t>
            </w:r>
          </w:p>
        </w:tc>
        <w:tc>
          <w:tcPr>
            <w:tcW w:type="dxa" w:w="4000"/>
          </w:tcPr>
          <w:p>
            <w:pPr>
              <w:pStyle w:val="TableBody"/>
            </w:pPr>
            <w:r>
              <w:t>Calibrate clean baseline; test steel thickness sensing</w:t>
            </w:r>
          </w:p>
        </w:tc>
        <w:tc>
          <w:tcPr>
            <w:tcW w:type="dxa" w:w="4010"/>
          </w:tcPr>
          <w:p>
            <w:pPr>
              <w:pStyle w:val="TableBody"/>
            </w:pPr>
            <w:r>
              <w:t>Feasibility report and measurement model</w:t>
            </w:r>
          </w:p>
        </w:tc>
      </w:tr>
      <w:tr>
        <w:trPr>
          <w:cantSplit/>
        </w:trPr>
        <w:tc>
          <w:tcPr>
            <w:tcW w:type="dxa" w:w="1350"/>
          </w:tcPr>
          <w:p>
            <w:pPr>
              <w:pStyle w:val="TableBody"/>
            </w:pPr>
            <w:r>
              <w:t>Weeks 5–6</w:t>
            </w:r>
          </w:p>
        </w:tc>
        <w:tc>
          <w:tcPr>
            <w:tcW w:type="dxa" w:w="4000"/>
          </w:tcPr>
          <w:p>
            <w:pPr>
              <w:pStyle w:val="TableBody"/>
            </w:pPr>
            <w:r>
              <w:t>Fit a small physical growth model</w:t>
            </w:r>
          </w:p>
        </w:tc>
        <w:tc>
          <w:tcPr>
            <w:tcW w:type="dxa" w:w="4010"/>
          </w:tcPr>
          <w:p>
            <w:pPr>
              <w:pStyle w:val="TableBody"/>
            </w:pPr>
            <w:r>
              <w:t>Equations, parameters and identifiability analysis</w:t>
            </w:r>
          </w:p>
        </w:tc>
      </w:tr>
      <w:tr>
        <w:trPr>
          <w:cantSplit/>
        </w:trPr>
        <w:tc>
          <w:tcPr>
            <w:tcW w:type="dxa" w:w="1350"/>
          </w:tcPr>
          <w:p>
            <w:pPr>
              <w:pStyle w:val="TableBody"/>
            </w:pPr>
            <w:r>
              <w:t>Weeks 7–8</w:t>
            </w:r>
          </w:p>
        </w:tc>
        <w:tc>
          <w:tcPr>
            <w:tcW w:type="dxa" w:w="4000"/>
          </w:tcPr>
          <w:p>
            <w:pPr>
              <w:pStyle w:val="TableBody"/>
            </w:pPr>
            <w:r>
              <w:t>Implement estimator and sensor comparisons</w:t>
            </w:r>
          </w:p>
        </w:tc>
        <w:tc>
          <w:tcPr>
            <w:tcW w:type="dxa" w:w="4010"/>
          </w:tcPr>
          <w:p>
            <w:pPr>
              <w:pStyle w:val="TableBody"/>
            </w:pPr>
            <w:r>
              <w:t>Versioned code and baseline results</w:t>
            </w:r>
          </w:p>
        </w:tc>
      </w:tr>
      <w:tr>
        <w:trPr>
          <w:cantSplit/>
        </w:trPr>
        <w:tc>
          <w:tcPr>
            <w:tcW w:type="dxa" w:w="1350"/>
          </w:tcPr>
          <w:p>
            <w:pPr>
              <w:pStyle w:val="TableBody"/>
            </w:pPr>
            <w:r>
              <w:t>Weeks 9–10</w:t>
            </w:r>
          </w:p>
        </w:tc>
        <w:tc>
          <w:tcPr>
            <w:tcW w:type="dxa" w:w="4000"/>
          </w:tcPr>
          <w:p>
            <w:pPr>
              <w:pStyle w:val="TableBody"/>
            </w:pPr>
            <w:r>
              <w:t>Run independent tests and dropout challenges</w:t>
            </w:r>
          </w:p>
        </w:tc>
        <w:tc>
          <w:tcPr>
            <w:tcW w:type="dxa" w:w="4010"/>
          </w:tcPr>
          <w:p>
            <w:pPr>
              <w:pStyle w:val="TableBody"/>
            </w:pPr>
            <w:r>
              <w:t>Error/uncertainty tables and failure cases</w:t>
            </w:r>
          </w:p>
        </w:tc>
      </w:tr>
      <w:tr>
        <w:trPr>
          <w:cantSplit/>
        </w:trPr>
        <w:tc>
          <w:tcPr>
            <w:tcW w:type="dxa" w:w="1350"/>
          </w:tcPr>
          <w:p>
            <w:pPr>
              <w:pStyle w:val="TableBody"/>
            </w:pPr>
            <w:r>
              <w:t>Weeks 11–12</w:t>
            </w:r>
          </w:p>
        </w:tc>
        <w:tc>
          <w:tcPr>
            <w:tcW w:type="dxa" w:w="4000"/>
          </w:tcPr>
          <w:p>
            <w:pPr>
              <w:pStyle w:val="TableBody"/>
            </w:pPr>
            <w:r>
              <w:t>Consolidate findings and thesis direction</w:t>
            </w:r>
          </w:p>
        </w:tc>
        <w:tc>
          <w:tcPr>
            <w:tcW w:type="dxa" w:w="4010"/>
          </w:tcPr>
          <w:p>
            <w:pPr>
              <w:pStyle w:val="TableBody"/>
            </w:pPr>
            <w:r>
              <w:t>Directed-research report and PhD proposal</w:t>
            </w:r>
          </w:p>
        </w:tc>
      </w:tr>
    </w:tbl>
    <w:p>
      <w:pPr>
        <w:pStyle w:val="TableSpacer"/>
      </w:pPr>
    </w:p>
    <w:p>
      <w:pPr>
        <w:pStyle w:val="Heading2"/>
      </w:pPr>
      <w:r>
        <w:t>A dissertation can grow through four contributions</w:t>
      </w:r>
    </w:p>
    <w:p>
      <w:r>
        <w:rPr>
          <w:b/>
        </w:rPr>
        <w:t xml:space="preserve">1. Spatial state estimation. </w:t>
      </w:r>
      <w:r>
        <w:t>Establish a physically interpretable estimator with verified measurement models, sensor placement logic and uncertainty under changing conditions. The directed project supplies this foundation.</w:t>
      </w:r>
    </w:p>
    <w:p>
      <w:r>
        <w:rPr>
          <w:b/>
        </w:rPr>
        <w:t xml:space="preserve">2. Generalization of deposition physics. </w:t>
      </w:r>
      <w:r>
        <w:t>Add mixed minerals, multiphase wetting, evolving roughness and corrosion/removal when data support them. Assess which parameters transfer and which require online adaptation.</w:t>
      </w:r>
    </w:p>
    <w:p>
      <w:r>
        <w:rPr>
          <w:b/>
        </w:rPr>
        <w:t xml:space="preserve">3. Treatment-response identification. </w:t>
      </w:r>
      <w:r>
        <w:t>Model inhibitor transport delay, adsorption and dose response using deliberate informative changes. Distinguish the effect of inhibitor from concurrent chemistry and flow changes.</w:t>
      </w:r>
    </w:p>
    <w:p>
      <w:r>
        <w:rPr>
          <w:b/>
        </w:rPr>
        <w:t xml:space="preserve">4. Constrained decision support. </w:t>
      </w:r>
      <w:r>
        <w:t>Use state uncertainty and treatment dynamics in a predictive dose policy with dose/rate limits and transport delay. Compare with fixed dosing in a suitable test setting, then assess advisory shadow-mode behavior.</w:t>
      </w:r>
    </w:p>
    <w:p>
      <w:pPr>
        <w:pStyle w:val="RefBody"/>
      </w:pPr>
      <w:r>
        <w:t>A later dose objective can combine chemical cost, expected scale-related loss and a dose-change penalty, subject to protection and actuator limits. Weights and savings need operating evidence. The prototype contains no optimizer.</w:t>
      </w:r>
    </w:p>
    <w:p>
      <w:pPr>
        <w:pStyle w:val="Heading1"/>
        <w:pageBreakBefore/>
      </w:pPr>
      <w:r>
        <w:t>9. Working numerical demonstration</w:t>
      </w:r>
    </w:p>
    <w:p>
      <w:r>
        <w:t>The accompanying Python prototype uses synthetic data for three identical 100 m sections of a 0.1 m bore, single-liquid horizontal pipe. Chemistry driving force and local inhibitor concentration are prescribed; the nominal growth law is deliberately imperfect.</w:t>
      </w:r>
    </w:p>
    <w:p>
      <w:pPr>
        <w:jc w:val="center"/>
      </w:pPr>
      <w:r>
        <w:drawing>
          <wp:inline xmlns:a="http://schemas.openxmlformats.org/drawingml/2006/main" xmlns:pic="http://schemas.openxmlformats.org/drawingml/2006/picture">
            <wp:extent cx="4617720" cy="4346089"/>
            <wp:docPr id="2" name="Picture 2"/>
            <wp:cNvGraphicFramePr>
              <a:graphicFrameLocks noChangeAspect="1"/>
            </wp:cNvGraphicFramePr>
            <a:graphic>
              <a:graphicData uri="http://schemas.openxmlformats.org/drawingml/2006/picture">
                <pic:pic>
                  <pic:nvPicPr>
                    <pic:cNvPr id="0" name="synthetic_estimation.png"/>
                    <pic:cNvPicPr/>
                  </pic:nvPicPr>
                  <pic:blipFill>
                    <a:blip r:embed="rId12"/>
                    <a:stretch>
                      <a:fillRect/>
                    </a:stretch>
                  </pic:blipFill>
                  <pic:spPr>
                    <a:xfrm>
                      <a:off x="0" y="0"/>
                      <a:ext cx="4617720" cy="4346089"/>
                    </a:xfrm>
                    <a:prstGeom prst="rect"/>
                  </pic:spPr>
                </pic:pic>
              </a:graphicData>
            </a:graphic>
          </wp:inline>
        </w:drawing>
      </w:r>
    </w:p>
    <w:p>
      <w:pPr>
        <w:pStyle w:val="Caption"/>
      </w:pPr>
      <w:r>
        <w:t>Synthetic illustration only. Shading around the fused estimate is a nominal local Gaussian 95% interval. The vertical band marks unavailable ultrasound-like measurements. These curves do not establish acoustic feasibility or field performance.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EE5"/>
          <w:left w:val="single" w:sz="4" w:color="D4DEE5"/>
          <w:bottom w:val="single" w:sz="4" w:color="D4DEE5"/>
          <w:right w:val="single" w:sz="4" w:color="D4DEE5"/>
          <w:insideH w:val="single" w:sz="4" w:color="D4DEE5"/>
          <w:insideV w:val="single" w:sz="4" w:color="D4DEE5"/>
        </w:tblBorders>
      </w:tblPr>
      <w:tblGrid>
        <w:gridCol w:w="4200"/>
        <w:gridCol w:w="1720"/>
        <w:gridCol w:w="1720"/>
        <w:gridCol w:w="1720"/>
      </w:tblGrid>
      <w:tr>
        <w:trPr>
          <w:cantSplit/>
          <w:tblHeader/>
        </w:trPr>
        <w:tc>
          <w:tcPr>
            <w:tcW w:type="dxa" w:w="4200"/>
            <w:shd w:fill="E8EEF5"/>
          </w:tcPr>
          <w:p>
            <w:pPr>
              <w:pStyle w:val="TableBody"/>
            </w:pPr>
            <w:r>
              <w:rPr>
                <w:b/>
              </w:rPr>
              <w:t>Thickness RMSE, mm</w:t>
            </w:r>
          </w:p>
        </w:tc>
        <w:tc>
          <w:tcPr>
            <w:tcW w:type="dxa" w:w="1720"/>
            <w:shd w:fill="E8EEF5"/>
          </w:tcPr>
          <w:p>
            <w:pPr>
              <w:pStyle w:val="TableBody"/>
            </w:pPr>
            <w:r>
              <w:rPr>
                <w:b/>
              </w:rPr>
              <w:t>Section 1</w:t>
            </w:r>
          </w:p>
        </w:tc>
        <w:tc>
          <w:tcPr>
            <w:tcW w:type="dxa" w:w="1720"/>
            <w:shd w:fill="E8EEF5"/>
          </w:tcPr>
          <w:p>
            <w:pPr>
              <w:pStyle w:val="TableBody"/>
            </w:pPr>
            <w:r>
              <w:rPr>
                <w:b/>
              </w:rPr>
              <w:t>Section 2</w:t>
            </w:r>
          </w:p>
        </w:tc>
        <w:tc>
          <w:tcPr>
            <w:tcW w:type="dxa" w:w="1720"/>
            <w:shd w:fill="E8EEF5"/>
          </w:tcPr>
          <w:p>
            <w:pPr>
              <w:pStyle w:val="TableBody"/>
            </w:pPr>
            <w:r>
              <w:rPr>
                <w:b/>
              </w:rPr>
              <w:t>Section 3</w:t>
            </w:r>
          </w:p>
        </w:tc>
      </w:tr>
      <w:tr>
        <w:trPr>
          <w:cantSplit/>
        </w:trPr>
        <w:tc>
          <w:tcPr>
            <w:tcW w:type="dxa" w:w="4200"/>
          </w:tcPr>
          <w:p>
            <w:pPr>
              <w:pStyle w:val="TableBody"/>
            </w:pPr>
            <w:r>
              <w:t>Forward model</w:t>
            </w:r>
          </w:p>
        </w:tc>
        <w:tc>
          <w:tcPr>
            <w:tcW w:type="dxa" w:w="1720"/>
          </w:tcPr>
          <w:p>
            <w:pPr>
              <w:pStyle w:val="TableBody"/>
            </w:pPr>
            <w:r>
              <w:t>0.1025</w:t>
            </w:r>
          </w:p>
        </w:tc>
        <w:tc>
          <w:tcPr>
            <w:tcW w:type="dxa" w:w="1720"/>
          </w:tcPr>
          <w:p>
            <w:pPr>
              <w:pStyle w:val="TableBody"/>
            </w:pPr>
            <w:r>
              <w:t>0.3714</w:t>
            </w:r>
          </w:p>
        </w:tc>
        <w:tc>
          <w:tcPr>
            <w:tcW w:type="dxa" w:w="1720"/>
          </w:tcPr>
          <w:p>
            <w:pPr>
              <w:pStyle w:val="TableBody"/>
            </w:pPr>
            <w:r>
              <w:t>0.0245</w:t>
            </w:r>
          </w:p>
        </w:tc>
      </w:tr>
      <w:tr>
        <w:trPr>
          <w:cantSplit/>
        </w:trPr>
        <w:tc>
          <w:tcPr>
            <w:tcW w:type="dxa" w:w="4200"/>
          </w:tcPr>
          <w:p>
            <w:pPr>
              <w:pStyle w:val="TableBody"/>
            </w:pPr>
            <w:r>
              <w:t>Pressure only</w:t>
            </w:r>
          </w:p>
        </w:tc>
        <w:tc>
          <w:tcPr>
            <w:tcW w:type="dxa" w:w="1720"/>
          </w:tcPr>
          <w:p>
            <w:pPr>
              <w:pStyle w:val="TableBody"/>
            </w:pPr>
            <w:r>
              <w:t>0.0552</w:t>
            </w:r>
          </w:p>
        </w:tc>
        <w:tc>
          <w:tcPr>
            <w:tcW w:type="dxa" w:w="1720"/>
          </w:tcPr>
          <w:p>
            <w:pPr>
              <w:pStyle w:val="TableBody"/>
            </w:pPr>
            <w:r>
              <w:t>0.2016</w:t>
            </w:r>
          </w:p>
        </w:tc>
        <w:tc>
          <w:tcPr>
            <w:tcW w:type="dxa" w:w="1720"/>
          </w:tcPr>
          <w:p>
            <w:pPr>
              <w:pStyle w:val="TableBody"/>
            </w:pPr>
            <w:r>
              <w:t>0.1643</w:t>
            </w:r>
          </w:p>
        </w:tc>
      </w:tr>
      <w:tr>
        <w:trPr>
          <w:cantSplit/>
        </w:trPr>
        <w:tc>
          <w:tcPr>
            <w:tcW w:type="dxa" w:w="4200"/>
          </w:tcPr>
          <w:p>
            <w:pPr>
              <w:pStyle w:val="TableBody"/>
            </w:pPr>
            <w:r>
              <w:t>Pressure + sparse thickness</w:t>
            </w:r>
          </w:p>
        </w:tc>
        <w:tc>
          <w:tcPr>
            <w:tcW w:type="dxa" w:w="1720"/>
          </w:tcPr>
          <w:p>
            <w:pPr>
              <w:pStyle w:val="TableBody"/>
            </w:pPr>
            <w:r>
              <w:t>0.0082</w:t>
            </w:r>
          </w:p>
        </w:tc>
        <w:tc>
          <w:tcPr>
            <w:tcW w:type="dxa" w:w="1720"/>
          </w:tcPr>
          <w:p>
            <w:pPr>
              <w:pStyle w:val="TableBody"/>
            </w:pPr>
            <w:r>
              <w:t>0.0165</w:t>
            </w:r>
          </w:p>
        </w:tc>
        <w:tc>
          <w:tcPr>
            <w:tcW w:type="dxa" w:w="1720"/>
          </w:tcPr>
          <w:p>
            <w:pPr>
              <w:pStyle w:val="TableBody"/>
            </w:pPr>
            <w:r>
              <w:t>0.0133</w:t>
            </w:r>
          </w:p>
        </w:tc>
      </w:tr>
    </w:tbl>
    <w:p>
      <w:pPr>
        <w:pStyle w:val="TableSpacer"/>
      </w:pPr>
    </w:p>
    <w:p>
      <w:pPr>
        <w:pStyle w:val="RefBody"/>
      </w:pPr>
      <w:r>
        <w:t>Equal-length sections with permuted thicknesses yield the same total pressure loss in this model. Two local measurements raise the instantaneous sensitivity rank for the three thickness variables from 1 to 3. This is not a proof of full six-state dynamic observability.</w:t>
      </w:r>
    </w:p>
    <w:p>
      <w:pPr>
        <w:pStyle w:val="Heading1"/>
        <w:pageBreakBefore/>
      </w:pPr>
      <w:r>
        <w:t>10. Literature synthesis and priority reading</w:t>
      </w:r>
    </w:p>
    <w:p>
      <w:r>
        <w:t>The most defensible gap is conditional: can spatial wall thickness and growth be estimated with useful uncertainty from sparse, imperfect measurements, and can that estimate later improve treatment decisions? “Physics + AI + sensors + dosing” is too broad as a standalone novelty claim.</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EE5"/>
          <w:left w:val="single" w:sz="4" w:color="D4DEE5"/>
          <w:bottom w:val="single" w:sz="4" w:color="D4DEE5"/>
          <w:right w:val="single" w:sz="4" w:color="D4DEE5"/>
          <w:insideH w:val="single" w:sz="4" w:color="D4DEE5"/>
          <w:insideV w:val="single" w:sz="4" w:color="D4DEE5"/>
        </w:tblBorders>
      </w:tblPr>
      <w:tblGrid>
        <w:gridCol w:w="2850"/>
        <w:gridCol w:w="2750"/>
        <w:gridCol w:w="3760"/>
      </w:tblGrid>
      <w:tr>
        <w:trPr>
          <w:cantSplit/>
          <w:tblHeader/>
        </w:trPr>
        <w:tc>
          <w:tcPr>
            <w:tcW w:type="dxa" w:w="2850"/>
            <w:shd w:fill="E8EEF5"/>
          </w:tcPr>
          <w:p>
            <w:pPr>
              <w:pStyle w:val="TableBody"/>
            </w:pPr>
            <w:r>
              <w:rPr>
                <w:b/>
              </w:rPr>
              <w:t>Existing stream</w:t>
            </w:r>
          </w:p>
        </w:tc>
        <w:tc>
          <w:tcPr>
            <w:tcW w:type="dxa" w:w="2750"/>
            <w:shd w:fill="E8EEF5"/>
          </w:tcPr>
          <w:p>
            <w:pPr>
              <w:pStyle w:val="TableBody"/>
            </w:pPr>
            <w:r>
              <w:rPr>
                <w:b/>
              </w:rPr>
              <w:t>Useful foundation</w:t>
            </w:r>
          </w:p>
        </w:tc>
        <w:tc>
          <w:tcPr>
            <w:tcW w:type="dxa" w:w="3760"/>
            <w:shd w:fill="E8EEF5"/>
          </w:tcPr>
          <w:p>
            <w:pPr>
              <w:pStyle w:val="TableBody"/>
            </w:pPr>
            <w:r>
              <w:rPr>
                <w:b/>
              </w:rPr>
              <w:t>Evidence the project must add</w:t>
            </w:r>
          </w:p>
        </w:tc>
      </w:tr>
      <w:tr>
        <w:trPr>
          <w:cantSplit/>
        </w:trPr>
        <w:tc>
          <w:tcPr>
            <w:tcW w:type="dxa" w:w="2850"/>
          </w:tcPr>
          <w:p>
            <w:pPr>
              <w:pStyle w:val="TableBody"/>
            </w:pPr>
            <w:r>
              <w:t>Surface kinetics</w:t>
              <w:br/>
              <w:t>P01/P02/P04/P14</w:t>
            </w:r>
          </w:p>
        </w:tc>
        <w:tc>
          <w:tcPr>
            <w:tcW w:type="dxa" w:w="2750"/>
          </w:tcPr>
          <w:p>
            <w:pPr>
              <w:pStyle w:val="TableBody"/>
            </w:pPr>
            <w:r>
              <w:t>Wall process, substrate and growth mechanisms</w:t>
            </w:r>
          </w:p>
        </w:tc>
        <w:tc>
          <w:tcPr>
            <w:tcW w:type="dxa" w:w="3760"/>
          </w:tcPr>
          <w:p>
            <w:pPr>
              <w:pStyle w:val="TableBody"/>
            </w:pPr>
            <w:r>
              <w:t>Measured spatial states under changing operation</w:t>
            </w:r>
          </w:p>
        </w:tc>
      </w:tr>
      <w:tr>
        <w:trPr>
          <w:cantSplit/>
        </w:trPr>
        <w:tc>
          <w:tcPr>
            <w:tcW w:type="dxa" w:w="2850"/>
          </w:tcPr>
          <w:p>
            <w:pPr>
              <w:pStyle w:val="TableBody"/>
            </w:pPr>
            <w:r>
              <w:t>Inhibition and transport</w:t>
              <w:br/>
              <w:t>P10/P12/P13/P19</w:t>
            </w:r>
          </w:p>
        </w:tc>
        <w:tc>
          <w:tcPr>
            <w:tcW w:type="dxa" w:w="2750"/>
          </w:tcPr>
          <w:p>
            <w:pPr>
              <w:pStyle w:val="TableBody"/>
            </w:pPr>
            <w:r>
              <w:t>Dose response and local chemical availability</w:t>
            </w:r>
          </w:p>
        </w:tc>
        <w:tc>
          <w:tcPr>
            <w:tcW w:type="dxa" w:w="3760"/>
          </w:tcPr>
          <w:p>
            <w:pPr>
              <w:pStyle w:val="TableBody"/>
            </w:pPr>
            <w:r>
              <w:t>Identifiable dynamics and independent response tests</w:t>
            </w:r>
          </w:p>
        </w:tc>
      </w:tr>
      <w:tr>
        <w:trPr>
          <w:cantSplit/>
        </w:trPr>
        <w:tc>
          <w:tcPr>
            <w:tcW w:type="dxa" w:w="2850"/>
          </w:tcPr>
          <w:p>
            <w:pPr>
              <w:pStyle w:val="TableBody"/>
            </w:pPr>
            <w:r>
              <w:t>ML risk / chemistry</w:t>
              <w:br/>
              <w:t>P20/P25–P29</w:t>
            </w:r>
          </w:p>
        </w:tc>
        <w:tc>
          <w:tcPr>
            <w:tcW w:type="dxa" w:w="2750"/>
          </w:tcPr>
          <w:p>
            <w:pPr>
              <w:pStyle w:val="TableBody"/>
            </w:pPr>
            <w:r>
              <w:t>Screening and fast surrogate calculations</w:t>
            </w:r>
          </w:p>
        </w:tc>
        <w:tc>
          <w:tcPr>
            <w:tcW w:type="dxa" w:w="3760"/>
          </w:tcPr>
          <w:p>
            <w:pPr>
              <w:pStyle w:val="TableBody"/>
            </w:pPr>
            <w:r>
              <w:t>Connection to actual wall deposition over time</w:t>
            </w:r>
          </w:p>
        </w:tc>
      </w:tr>
      <w:tr>
        <w:trPr>
          <w:cantSplit/>
        </w:trPr>
        <w:tc>
          <w:tcPr>
            <w:tcW w:type="dxa" w:w="2850"/>
          </w:tcPr>
          <w:p>
            <w:pPr>
              <w:pStyle w:val="TableBody"/>
            </w:pPr>
            <w:r>
              <w:t>Sensor inversion</w:t>
              <w:br/>
              <w:t>P30–P38/P52</w:t>
            </w:r>
          </w:p>
        </w:tc>
        <w:tc>
          <w:tcPr>
            <w:tcW w:type="dxa" w:w="2750"/>
          </w:tcPr>
          <w:p>
            <w:pPr>
              <w:pStyle w:val="TableBody"/>
            </w:pPr>
            <w:r>
              <w:t>Measurement-to-thickness or fluid relationships</w:t>
            </w:r>
          </w:p>
        </w:tc>
        <w:tc>
          <w:tcPr>
            <w:tcW w:type="dxa" w:w="3760"/>
          </w:tcPr>
          <w:p>
            <w:pPr>
              <w:pStyle w:val="TableBody"/>
            </w:pPr>
            <w:r>
              <w:t>Real sensor calibration and temporal fusion</w:t>
            </w:r>
          </w:p>
        </w:tc>
      </w:tr>
      <w:tr>
        <w:trPr>
          <w:cantSplit/>
        </w:trPr>
        <w:tc>
          <w:tcPr>
            <w:tcW w:type="dxa" w:w="2850"/>
          </w:tcPr>
          <w:p>
            <w:pPr>
              <w:pStyle w:val="TableBody"/>
            </w:pPr>
            <w:r>
              <w:t>Operational systems</w:t>
              <w:br/>
              <w:t>P39/P43/P45/P47</w:t>
            </w:r>
          </w:p>
        </w:tc>
        <w:tc>
          <w:tcPr>
            <w:tcW w:type="dxa" w:w="2750"/>
          </w:tcPr>
          <w:p>
            <w:pPr>
              <w:pStyle w:val="TableBody"/>
            </w:pPr>
            <w:r>
              <w:t>Integration, risk communication and dose feedback</w:t>
            </w:r>
          </w:p>
        </w:tc>
        <w:tc>
          <w:tcPr>
            <w:tcW w:type="dxa" w:w="3760"/>
          </w:tcPr>
          <w:p>
            <w:pPr>
              <w:pStyle w:val="TableBody"/>
            </w:pPr>
            <w:r>
              <w:t>Demonstrated incremental value in the target pipe</w:t>
            </w:r>
          </w:p>
        </w:tc>
      </w:tr>
    </w:tbl>
    <w:p>
      <w:pPr>
        <w:pStyle w:val="TableSpacer"/>
      </w:pPr>
    </w:p>
    <w:p>
      <w:pPr>
        <w:pStyle w:val="Heading2"/>
      </w:pPr>
      <w:r>
        <w:t>Read these original texts first</w:t>
      </w:r>
    </w:p>
    <w:p>
      <w:r>
        <w:rPr>
          <w:b/>
        </w:rPr>
        <w:t xml:space="preserve">Physical foundation. </w:t>
      </w:r>
      <w:r>
        <w:t>P14 → P04 → P02 → P01 → P10. Extract their deposition endpoint, surface material, equations, units, calibration conditions and independent validation before selecting a rate law.</w:t>
      </w:r>
    </w:p>
    <w:p>
      <w:r>
        <w:rPr>
          <w:b/>
        </w:rPr>
        <w:t xml:space="preserve">Measurement feasibility. </w:t>
      </w:r>
      <w:r>
        <w:t>P52 → P50 → P37/P36. Establish what the signal measures, the required material/geometry and whether results use real experiments or simulated detector signals.</w:t>
      </w:r>
    </w:p>
    <w:p>
      <w:r>
        <w:rPr>
          <w:b/>
        </w:rPr>
        <w:t xml:space="preserve">Closest prior work. </w:t>
      </w:r>
      <w:r>
        <w:t>P20 → P47 → P39 → P07 → P12/P13. Compare actual implemented states, time dependence, sensor assimilation, inhibitor dynamics and validation. Obtain the exact conference texts before making novelty claims.</w:t>
      </w:r>
    </w:p>
    <w:p>
      <w:r>
        <w:rPr>
          <w:b/>
        </w:rPr>
        <w:t xml:space="preserve">Reading worksheet. </w:t>
      </w:r>
      <w:r>
        <w:t>For each retrieved paper, record data provenance, sample/run count, train/test separation, operating range, equations, parameter fitting, error units, uncertainty and available data/code. Update provisional entries after reading the original; do not convert an unanswered question into an asserted omission.</w:t>
      </w:r>
    </w:p>
    <w:p>
      <w:pPr>
        <w:pStyle w:val="Caption"/>
      </w:pPr>
      <w:r>
        <w:t>The 55-item catalogue is exhaustive with respect to the supplied reference slides, not the entire literature as of September 2026. Additional and newer literature should be checked during proposal approval. The critical assessments that follow are tailored to this project.</w:t>
      </w:r>
    </w:p>
    <w:p>
      <w:pPr>
        <w:pStyle w:val="Heading1"/>
        <w:pageBreakBefore/>
      </w:pPr>
      <w:r>
        <w:t>11. Individual paper reviews</w:t>
      </w:r>
    </w:p>
    <w:p>
      <w:bookmarkStart w:id="1" w:name="P01"/>
      <w:pPr>
        <w:pStyle w:val="PaperHeading"/>
      </w:pPr>
      <w:r>
        <w:t>P01 | Mineral deposition kinetics across two flow environments</w:t>
      </w:r>
      <w:bookmarkEnd w:id="1"/>
    </w:p>
    <w:p>
      <w:pPr>
        <w:pStyle w:val="RefCitation"/>
      </w:pPr>
      <w:r>
        <w:t>Zhang, P., Liu, Y., Kuok, S. C., Kan, A. T., &amp; Tomson, M. B. (2019). Development of modeling approaches to describe mineral scale deposition kinetics in porous medium and pipe flow system. Journal of Petroleum Science and Engineering, 178, 594-601.</w:t>
      </w:r>
    </w:p>
    <w:p>
      <w:pPr>
        <w:pStyle w:val="RefMeta"/>
      </w:pPr>
      <w:r>
        <w:t>C — Provisional; original paper not read  •  Presentation reference slide 8</w:t>
      </w:r>
    </w:p>
    <w:p>
      <w:pPr>
        <w:pStyle w:val="RefBody"/>
      </w:pPr>
      <w:r>
        <w:rPr>
          <w:b/>
        </w:rPr>
        <w:t xml:space="preserve">Introduction. </w:t>
      </w:r>
      <w:r>
        <w:t>Connects mineral scaling in porous media and pipes to a rate-based description. The presentation treats thermodynamics, kinetics, and transport as coupled contributors.</w:t>
      </w:r>
    </w:p>
    <w:p>
      <w:pPr>
        <w:pStyle w:val="RefBody"/>
      </w:pPr>
      <w:r>
        <w:rPr>
          <w:b/>
        </w:rPr>
        <w:t xml:space="preserve">Methodology. </w:t>
      </w:r>
      <w:r>
        <w:t>The slides describe coupled equilibrium, reaction-rate, and transport equations for reservoir and pipe-flow settings. The original equations, calibration ranges, and validation datasets were not accessible for inspection.</w:t>
      </w:r>
    </w:p>
    <w:p>
      <w:pPr>
        <w:pStyle w:val="RefBody"/>
      </w:pPr>
      <w:r>
        <w:rPr>
          <w:b/>
        </w:rPr>
        <w:t xml:space="preserve">Strengths. </w:t>
      </w:r>
      <w:r>
        <w:t>A potentially useful starting point for linking chemical driving force to deposited material rather than reporting saturation alone.</w:t>
      </w:r>
    </w:p>
    <w:p>
      <w:pPr>
        <w:pStyle w:val="RefBody"/>
      </w:pPr>
      <w:r>
        <w:rPr>
          <w:b/>
        </w:rPr>
        <w:t xml:space="preserve">Weaknesses / limits. </w:t>
      </w:r>
      <w:r>
        <w:t>Transfer between porous media and a pipe wall requires different geometry and transport closures. Parameter identifiability and independent validation cannot be judged from the slides.</w:t>
      </w:r>
    </w:p>
    <w:p>
      <w:pPr>
        <w:pStyle w:val="RefBody"/>
      </w:pPr>
      <w:r>
        <w:rPr>
          <w:b/>
        </w:rPr>
        <w:t xml:space="preserve">Project gap / next test. </w:t>
      </w:r>
      <w:r>
        <w:t>Extract the pipe-specific deposition law and test whether its parameters can be estimated from thickness measurements and operating data.</w:t>
      </w:r>
    </w:p>
    <w:p>
      <w:pPr>
        <w:pStyle w:val="RefMeta"/>
      </w:pPr>
      <w:r>
        <w:t xml:space="preserve">Source: </w:t>
      </w:r>
      <w:hyperlink r:id="rId13">
        <w:r>
          <w:rPr>
            <w:color w:val="187B8D"/>
            <w:u w:val="single"/>
          </w:rPr>
          <w:t>Presentation only; original paper not read</w:t>
        </w:r>
      </w:hyperlink>
      <w:r>
        <w:t xml:space="preserve">  |  </w:t>
      </w:r>
      <w:hyperlink r:id="rId13">
        <w:r>
          <w:rPr>
            <w:color w:val="187B8D"/>
            <w:u w:val="single"/>
          </w:rPr>
          <w:t>DOI: 10.1016/j.petrol.2019.03.070</w:t>
        </w:r>
      </w:hyperlink>
    </w:p>
    <w:p>
      <w:pPr>
        <w:pStyle w:val="RefMeta"/>
      </w:pPr>
      <w:hyperlink r:id="rId14">
        <w:r>
          <w:rPr>
            <w:color w:val="187B8D"/>
            <w:u w:val="single"/>
          </w:rPr>
          <w:t>Search the cited title</w:t>
        </w:r>
      </w:hyperlink>
    </w:p>
    <w:p>
      <w:pPr>
        <w:pStyle w:val="RefMeta"/>
        <w:spacing w:after="160"/>
      </w:pPr>
    </w:p>
    <w:p>
      <w:bookmarkStart w:id="2" w:name="P02"/>
      <w:pPr>
        <w:pStyle w:val="PaperHeading"/>
      </w:pPr>
      <w:r>
        <w:t>P02 | Calcite kinetics on carbon steel</w:t>
      </w:r>
      <w:bookmarkEnd w:id="2"/>
    </w:p>
    <w:p>
      <w:pPr>
        <w:pStyle w:val="RefCitation"/>
      </w:pPr>
      <w:r>
        <w:t>Zhang, N., Kan, A., Shi, W., Alsaiari, H., &amp; Tomson, M. B. (2012, May). A novel approach to the study of CaCO3 precipitation kinetics on carbon steel pipe. In SPE International Oilfield Scale Conference and Exhibition (pp. SPE-155263). SPE.</w:t>
      </w:r>
    </w:p>
    <w:p>
      <w:pPr>
        <w:pStyle w:val="RefMeta"/>
      </w:pPr>
      <w:r>
        <w:t>C — Provisional; original paper not read  •  Presentation reference slide 8</w:t>
      </w:r>
    </w:p>
    <w:p>
      <w:pPr>
        <w:pStyle w:val="RefBody"/>
      </w:pPr>
      <w:r>
        <w:rPr>
          <w:b/>
        </w:rPr>
        <w:t xml:space="preserve">Introduction. </w:t>
      </w:r>
      <w:r>
        <w:t>Examines calcium carbonate precipitation on a material relevant to production tubing. Surface interactions matter because dissolved mineral availability does not uniquely determine attachment.</w:t>
      </w:r>
    </w:p>
    <w:p>
      <w:pPr>
        <w:pStyle w:val="RefBody"/>
      </w:pPr>
      <w:r>
        <w:rPr>
          <w:b/>
        </w:rPr>
        <w:t xml:space="preserve">Methodology. </w:t>
      </w:r>
      <w:r>
        <w:t>Presentation 4 describes a flowing pipe reactor, plug-flow and mass-transfer interpretation, and inhibitor pretreatment/protection-time observations, including a reported retention or memory effect.</w:t>
      </w:r>
    </w:p>
    <w:p>
      <w:pPr>
        <w:pStyle w:val="RefBody"/>
      </w:pPr>
      <w:r>
        <w:rPr>
          <w:b/>
        </w:rPr>
        <w:t xml:space="preserve">Strengths. </w:t>
      </w:r>
      <w:r>
        <w:t>Connects a realistic substrate with flowing experiments and the duration of inhibitor protection.</w:t>
      </w:r>
    </w:p>
    <w:p>
      <w:pPr>
        <w:pStyle w:val="RefBody"/>
      </w:pPr>
      <w:r>
        <w:rPr>
          <w:b/>
        </w:rPr>
        <w:t xml:space="preserve">Weaknesses / limits. </w:t>
      </w:r>
      <w:r>
        <w:t>A small reactor may not represent multiphase wetting, aged roughness, or field residence-time distributions. The detailed evidence for the memory effect remains unverified.</w:t>
      </w:r>
    </w:p>
    <w:p>
      <w:pPr>
        <w:pStyle w:val="RefBody"/>
      </w:pPr>
      <w:r>
        <w:rPr>
          <w:b/>
        </w:rPr>
        <w:t xml:space="preserve">Project gap / next test. </w:t>
      </w:r>
      <w:r>
        <w:t>Include inhibitor surface coverage as a possible dynamic state; establish whether adding it improves prediction beyond a concentration-only model.</w:t>
      </w:r>
    </w:p>
    <w:p>
      <w:pPr>
        <w:pStyle w:val="RefMeta"/>
      </w:pPr>
      <w:r>
        <w:t xml:space="preserve">Source: </w:t>
      </w:r>
      <w:hyperlink r:id="rId15">
        <w:r>
          <w:rPr>
            <w:color w:val="187B8D"/>
            <w:u w:val="single"/>
          </w:rPr>
          <w:t>Presentation only; original paper not read</w:t>
        </w:r>
      </w:hyperlink>
    </w:p>
    <w:p>
      <w:pPr>
        <w:pStyle w:val="RefMeta"/>
      </w:pPr>
      <w:hyperlink r:id="rId15">
        <w:r>
          <w:rPr>
            <w:color w:val="187B8D"/>
            <w:u w:val="single"/>
          </w:rPr>
          <w:t>Search the cited title</w:t>
        </w:r>
      </w:hyperlink>
    </w:p>
    <w:p>
      <w:pPr>
        <w:pStyle w:val="Heading1"/>
        <w:pageBreakBefore/>
      </w:pPr>
      <w:r>
        <w:t>Individual paper reviews</w:t>
      </w:r>
    </w:p>
    <w:p>
      <w:bookmarkStart w:id="3" w:name="P03"/>
      <w:pPr>
        <w:pStyle w:val="PaperHeading"/>
      </w:pPr>
      <w:r>
        <w:t>P03 | Calcium–bicarbonate balance and inhibitor response</w:t>
      </w:r>
      <w:bookmarkEnd w:id="3"/>
    </w:p>
    <w:p>
      <w:pPr>
        <w:pStyle w:val="RefCitation"/>
      </w:pPr>
      <w:r>
        <w:t>Xu, B., Chen, T., Chen, P., Montgomerie, H., Hagen, T., Guo, Q., &amp; Yang, X. (2014, May). Influence of Calcium and Bicarbonate Ions on the Kinetics of CaCO3 Formation at High Temperature in the Absence and Presence of Scale Inhibitors. In SPE International Oilfield Scale Conference and Exhibition (p. D021S007R002). SPE.</w:t>
      </w:r>
    </w:p>
    <w:p>
      <w:pPr>
        <w:pStyle w:val="RefMeta"/>
      </w:pPr>
      <w:r>
        <w:t>C — Provisional; original paper not read  •  Presentation reference slide 8</w:t>
      </w:r>
    </w:p>
    <w:p>
      <w:pPr>
        <w:pStyle w:val="RefBody"/>
      </w:pPr>
      <w:r>
        <w:rPr>
          <w:b/>
        </w:rPr>
        <w:t xml:space="preserve">Introduction. </w:t>
      </w:r>
      <w:r>
        <w:t>Addresses how changing reactant composition can alter calcite onset and inhibitor performance at high temperature.</w:t>
      </w:r>
    </w:p>
    <w:p>
      <w:pPr>
        <w:pStyle w:val="RefBody"/>
      </w:pPr>
      <w:r>
        <w:rPr>
          <w:b/>
        </w:rPr>
        <w:t xml:space="preserve">Methodology. </w:t>
      </w:r>
      <w:r>
        <w:t>The presentation describes dynamic tube-blocking experiments with varied calcium and bicarbonate concentrations, blank runs, and inhibitor dose sweeps to identify the minimum passing concentration.</w:t>
      </w:r>
    </w:p>
    <w:p>
      <w:pPr>
        <w:pStyle w:val="RefBody"/>
      </w:pPr>
      <w:r>
        <w:rPr>
          <w:b/>
        </w:rPr>
        <w:t xml:space="preserve">Strengths. </w:t>
      </w:r>
      <w:r>
        <w:t>Makes chemistry-dependent inhibitor ranking explicit and offers a reproducible operational endpoint.</w:t>
      </w:r>
    </w:p>
    <w:p>
      <w:pPr>
        <w:pStyle w:val="RefBody"/>
      </w:pPr>
      <w:r>
        <w:rPr>
          <w:b/>
        </w:rPr>
        <w:t xml:space="preserve">Weaknesses / limits. </w:t>
      </w:r>
      <w:r>
        <w:t>Time to blockage combines precipitation, attachment, flow restriction, and apparatus geometry. It does not directly measure local deposit thickness. Test duration and pass criteria need the original paper.</w:t>
      </w:r>
    </w:p>
    <w:p>
      <w:pPr>
        <w:pStyle w:val="RefBody"/>
      </w:pPr>
      <w:r>
        <w:rPr>
          <w:b/>
        </w:rPr>
        <w:t xml:space="preserve">Project gap / next test. </w:t>
      </w:r>
      <w:r>
        <w:t>Use tube-blocking results to constrain onset, but obtain independent wall-thickness data for the state estimator.</w:t>
      </w:r>
    </w:p>
    <w:p>
      <w:pPr>
        <w:pStyle w:val="RefMeta"/>
      </w:pPr>
      <w:r>
        <w:t xml:space="preserve">Source: </w:t>
      </w:r>
      <w:hyperlink r:id="rId16">
        <w:r>
          <w:rPr>
            <w:color w:val="187B8D"/>
            <w:u w:val="single"/>
          </w:rPr>
          <w:t>Presentation only; original paper not read</w:t>
        </w:r>
      </w:hyperlink>
    </w:p>
    <w:p>
      <w:pPr>
        <w:pStyle w:val="RefMeta"/>
      </w:pPr>
      <w:hyperlink r:id="rId16">
        <w:r>
          <w:rPr>
            <w:color w:val="187B8D"/>
            <w:u w:val="single"/>
          </w:rPr>
          <w:t>Search the cited title</w:t>
        </w:r>
      </w:hyperlink>
    </w:p>
    <w:p>
      <w:pPr>
        <w:pStyle w:val="RefMeta"/>
        <w:spacing w:after="160"/>
      </w:pPr>
    </w:p>
    <w:p>
      <w:bookmarkStart w:id="4" w:name="P04"/>
      <w:pPr>
        <w:pStyle w:val="PaperHeading"/>
      </w:pPr>
      <w:r>
        <w:t>P04 | Direct observation of surface crystallization</w:t>
      </w:r>
      <w:bookmarkEnd w:id="4"/>
    </w:p>
    <w:p>
      <w:pPr>
        <w:pStyle w:val="RefCitation"/>
      </w:pPr>
      <w:r>
        <w:t>Sanni, O., Bukuaghangin, O., Charpentier, T., Kapur, N., &amp; Neville, A. (2016, May). Using a real-time visualisation technique for the assessment of surface scale kinetics and mechanisms of inhibition. In SPE International Oilfield Scale Conference and Exhibition (pp. SPE-179896). SPE.</w:t>
      </w:r>
    </w:p>
    <w:p>
      <w:pPr>
        <w:pStyle w:val="RefMeta"/>
      </w:pPr>
      <w:r>
        <w:t>A — Abstract-based assessment  •  Presentation reference slide 8</w:t>
      </w:r>
    </w:p>
    <w:p>
      <w:pPr>
        <w:pStyle w:val="RefBody"/>
      </w:pPr>
      <w:r>
        <w:rPr>
          <w:b/>
        </w:rPr>
        <w:t xml:space="preserve">Introduction. </w:t>
      </w:r>
      <w:r>
        <w:t>The authors investigate surface scaling separately from precipitation in the flowing liquid, addressing a central distinction for pipeline modeling.</w:t>
      </w:r>
    </w:p>
    <w:p>
      <w:pPr>
        <w:pStyle w:val="RefBody"/>
      </w:pPr>
      <w:r>
        <w:rPr>
          <w:b/>
        </w:rPr>
        <w:t xml:space="preserve">Methodology. </w:t>
      </w:r>
      <w:r>
        <w:t>The repository abstract describes a stainless-steel visualization rig, calcite and barite, saturation ratios of 10–80, flow rates of 10–60 mL/min, and tests of PPCA and DETPMP. Surface crystal number and size distinguish growth from nucleation.</w:t>
      </w:r>
    </w:p>
    <w:p>
      <w:pPr>
        <w:pStyle w:val="RefBody"/>
      </w:pPr>
      <w:r>
        <w:rPr>
          <w:b/>
        </w:rPr>
        <w:t xml:space="preserve">Strengths. </w:t>
      </w:r>
      <w:r>
        <w:t>Observes the surface process directly. The abstract reports that a bulk MIC aggravated surface scaling under the tested conditions.</w:t>
      </w:r>
    </w:p>
    <w:p>
      <w:pPr>
        <w:pStyle w:val="RefBody"/>
      </w:pPr>
      <w:r>
        <w:rPr>
          <w:b/>
        </w:rPr>
        <w:t xml:space="preserve">Weaknesses / limits. </w:t>
      </w:r>
      <w:r>
        <w:t>The result is conditional on these chemicals and conditions; it is not a universal statement that inhibitors increase scale. Full experimental uncertainty and reproducibility were unavailable.</w:t>
      </w:r>
    </w:p>
    <w:p>
      <w:pPr>
        <w:pStyle w:val="RefBody"/>
      </w:pPr>
      <w:r>
        <w:rPr>
          <w:b/>
        </w:rPr>
        <w:t xml:space="preserve">Project gap / next test. </w:t>
      </w:r>
      <w:r>
        <w:t>Validate wall protection directly. Keep bulk precipitation and wall growth as separate mechanisms and separate endpoints.</w:t>
      </w:r>
    </w:p>
    <w:p>
      <w:pPr>
        <w:pStyle w:val="RefMeta"/>
      </w:pPr>
      <w:r>
        <w:t xml:space="preserve">Source: </w:t>
      </w:r>
      <w:hyperlink r:id="rId17">
        <w:r>
          <w:rPr>
            <w:color w:val="187B8D"/>
            <w:u w:val="single"/>
          </w:rPr>
          <w:t>Author abstract in institutional repository</w:t>
        </w:r>
      </w:hyperlink>
      <w:r>
        <w:t xml:space="preserve">  |  </w:t>
      </w:r>
      <w:hyperlink r:id="rId18">
        <w:r>
          <w:rPr>
            <w:color w:val="187B8D"/>
            <w:u w:val="single"/>
          </w:rPr>
          <w:t>DOI: 10.2118/179896-MS</w:t>
        </w:r>
      </w:hyperlink>
    </w:p>
    <w:p>
      <w:pPr>
        <w:pStyle w:val="Heading1"/>
        <w:pageBreakBefore/>
      </w:pPr>
      <w:r>
        <w:t>Individual paper reviews</w:t>
      </w:r>
    </w:p>
    <w:p>
      <w:bookmarkStart w:id="5" w:name="P05"/>
      <w:pPr>
        <w:pStyle w:val="PaperHeading"/>
      </w:pPr>
      <w:r>
        <w:t>P05 | Turbulence and barite control</w:t>
      </w:r>
      <w:bookmarkEnd w:id="5"/>
    </w:p>
    <w:p>
      <w:pPr>
        <w:pStyle w:val="RefCitation"/>
      </w:pPr>
      <w:r>
        <w:t>Yan, F., Zhang, F., Bhandari, N., Ruan, G., Alsaiari, H., Dai, Z., ... &amp; Tomson, M. (2017, April). The effect of turbulence on mineral scale control in oilfield. In SPE International Conference on Oilfield Chemistry (p. D021S006R002). SPE.</w:t>
      </w:r>
    </w:p>
    <w:p>
      <w:pPr>
        <w:pStyle w:val="RefMeta"/>
      </w:pPr>
      <w:r>
        <w:t>C — Provisional; original paper not read  •  Presentation reference slide 8</w:t>
      </w:r>
    </w:p>
    <w:p>
      <w:pPr>
        <w:pStyle w:val="RefBody"/>
      </w:pPr>
      <w:r>
        <w:rPr>
          <w:b/>
        </w:rPr>
        <w:t xml:space="preserve">Introduction. </w:t>
      </w:r>
      <w:r>
        <w:t>The presentation asks how turbulence near restrictions changes barite precipitation and inhibition.</w:t>
      </w:r>
    </w:p>
    <w:p>
      <w:pPr>
        <w:pStyle w:val="RefBody"/>
      </w:pPr>
      <w:r>
        <w:rPr>
          <w:b/>
        </w:rPr>
        <w:t xml:space="preserve">Methodology. </w:t>
      </w:r>
      <w:r>
        <w:t>It describes tubing experiments with high flow and valves, comparing precipitation thresholds under different flow conditions and inhibitor concentrations. Detailed experimental procedures were not verified from the original paper.</w:t>
      </w:r>
    </w:p>
    <w:p>
      <w:pPr>
        <w:pStyle w:val="RefBody"/>
      </w:pPr>
      <w:r>
        <w:rPr>
          <w:b/>
        </w:rPr>
        <w:t xml:space="preserve">Strengths. </w:t>
      </w:r>
      <w:r>
        <w:t>Recognizes flow conditions as an input to chemical treatment performance.</w:t>
      </w:r>
    </w:p>
    <w:p>
      <w:pPr>
        <w:pStyle w:val="RefBody"/>
      </w:pPr>
      <w:r>
        <w:rPr>
          <w:b/>
        </w:rPr>
        <w:t xml:space="preserve">Weaknesses / limits. </w:t>
      </w:r>
      <w:r>
        <w:t>Turbulence can affect mixing, mass transfer, detachment, and inhibitor interaction differently. A universal monotonic dose-versus-turbulence rule is unjustified from the slides.</w:t>
      </w:r>
    </w:p>
    <w:p>
      <w:pPr>
        <w:pStyle w:val="RefBody"/>
      </w:pPr>
      <w:r>
        <w:rPr>
          <w:b/>
        </w:rPr>
        <w:t xml:space="preserve">Project gap / next test. </w:t>
      </w:r>
      <w:r>
        <w:t>Vary flow independently of chemistry and fit a regime-dependent deposition law; test both increased attachment and increased removal.</w:t>
      </w:r>
    </w:p>
    <w:p>
      <w:pPr>
        <w:pStyle w:val="RefMeta"/>
      </w:pPr>
      <w:r>
        <w:t xml:space="preserve">Source: </w:t>
      </w:r>
      <w:hyperlink r:id="rId19">
        <w:r>
          <w:rPr>
            <w:color w:val="187B8D"/>
            <w:u w:val="single"/>
          </w:rPr>
          <w:t>Presentation only; original paper not read</w:t>
        </w:r>
      </w:hyperlink>
      <w:r>
        <w:t xml:space="preserve">  |  </w:t>
      </w:r>
      <w:hyperlink r:id="rId19">
        <w:r>
          <w:rPr>
            <w:color w:val="187B8D"/>
            <w:u w:val="single"/>
          </w:rPr>
          <w:t>DOI: 10.2118/184524-MS</w:t>
        </w:r>
      </w:hyperlink>
    </w:p>
    <w:p>
      <w:pPr>
        <w:pStyle w:val="RefMeta"/>
      </w:pPr>
      <w:hyperlink r:id="rId20">
        <w:r>
          <w:rPr>
            <w:color w:val="187B8D"/>
            <w:u w:val="single"/>
          </w:rPr>
          <w:t>Search the cited title</w:t>
        </w:r>
      </w:hyperlink>
    </w:p>
    <w:p>
      <w:pPr>
        <w:pStyle w:val="RefMeta"/>
        <w:spacing w:after="160"/>
      </w:pPr>
    </w:p>
    <w:p>
      <w:bookmarkStart w:id="6" w:name="P06"/>
      <w:pPr>
        <w:pStyle w:val="PaperHeading"/>
      </w:pPr>
      <w:r>
        <w:t>P06 | Induction time and inhibitor dosage theory</w:t>
      </w:r>
      <w:bookmarkEnd w:id="6"/>
    </w:p>
    <w:p>
      <w:pPr>
        <w:pStyle w:val="RefCitation"/>
      </w:pPr>
      <w:r>
        <w:t>Dai, Z., Zhang, F., Yan, F., Bhandari, N., Ruan, G., Zhang, Z., ... &amp; Tomson, M. (2017, April). A new theoretical model for the induction time and scale inhibitor dosage predictions for calcite and barite over wide ranges of temperature, inhibition concentration and saturation index. In SPE International Conference on Oilfield Chemistry (p. D031S009R004). SPE.</w:t>
      </w:r>
    </w:p>
    <w:p>
      <w:pPr>
        <w:pStyle w:val="RefMeta"/>
      </w:pPr>
      <w:r>
        <w:t>S — Related author slides; original paper unavailable  •  Presentation reference slide 8</w:t>
      </w:r>
    </w:p>
    <w:p>
      <w:pPr>
        <w:pStyle w:val="RefBody"/>
      </w:pPr>
      <w:r>
        <w:rPr>
          <w:b/>
        </w:rPr>
        <w:t xml:space="preserve">Introduction. </w:t>
      </w:r>
      <w:r>
        <w:t>Seeks a mechanistic connection between supersaturation, temperature, inhibitor concentration, and the delay before detectable crystallization.</w:t>
      </w:r>
    </w:p>
    <w:p>
      <w:pPr>
        <w:pStyle w:val="RefBody"/>
      </w:pPr>
      <w:r>
        <w:rPr>
          <w:b/>
        </w:rPr>
        <w:t xml:space="preserve">Methodology. </w:t>
      </w:r>
      <w:r>
        <w:t>The slides describe a classical-nucleation-theory-based model for calcite and barite. A related Rice author presentation supports the use of controlled precipitation experiments and induction-time modeling, but is not the cited paper.</w:t>
      </w:r>
    </w:p>
    <w:p>
      <w:pPr>
        <w:pStyle w:val="RefBody"/>
      </w:pPr>
      <w:r>
        <w:rPr>
          <w:b/>
        </w:rPr>
        <w:t xml:space="preserve">Strengths. </w:t>
      </w:r>
      <w:r>
        <w:t>Offers a physically interpretable route from chemistry to a required protection time.</w:t>
      </w:r>
    </w:p>
    <w:p>
      <w:pPr>
        <w:pStyle w:val="RefBody"/>
      </w:pPr>
      <w:r>
        <w:rPr>
          <w:b/>
        </w:rPr>
        <w:t xml:space="preserve">Weaknesses / limits. </w:t>
      </w:r>
      <w:r>
        <w:t>Induction time depends on detection threshold and test conditions. Delayed bulk crystallization does not establish an absence of wall deposition.</w:t>
      </w:r>
    </w:p>
    <w:p>
      <w:pPr>
        <w:pStyle w:val="RefBody"/>
      </w:pPr>
      <w:r>
        <w:rPr>
          <w:b/>
        </w:rPr>
        <w:t xml:space="preserve">Project gap / next test. </w:t>
      </w:r>
      <w:r>
        <w:t>Compare predicted induction time with fluid residence time and independently measured wall-growth onset. Calibrate surface and bulk delays separately where needed.</w:t>
      </w:r>
    </w:p>
    <w:p>
      <w:pPr>
        <w:pStyle w:val="RefMeta"/>
      </w:pPr>
      <w:r>
        <w:t xml:space="preserve">Source: </w:t>
      </w:r>
      <w:hyperlink r:id="rId21">
        <w:r>
          <w:rPr>
            <w:color w:val="187B8D"/>
            <w:u w:val="single"/>
          </w:rPr>
          <w:t>Related author presentation; cited conference paper not read</w:t>
        </w:r>
      </w:hyperlink>
    </w:p>
    <w:p>
      <w:pPr>
        <w:pStyle w:val="Heading1"/>
        <w:pageBreakBefore/>
      </w:pPr>
      <w:r>
        <w:t>Individual paper reviews</w:t>
      </w:r>
    </w:p>
    <w:p>
      <w:bookmarkStart w:id="7" w:name="P07"/>
      <w:pPr>
        <w:pStyle w:val="PaperHeading"/>
      </w:pPr>
      <w:r>
        <w:t>P07 | Kinetic prediction at production-system scale</w:t>
      </w:r>
      <w:bookmarkEnd w:id="7"/>
    </w:p>
    <w:p>
      <w:pPr>
        <w:pStyle w:val="RefCitation"/>
      </w:pPr>
      <w:r>
        <w:t>Stalker, R., Nichols, D., Fyfe, A., Zarareh, A., Boyde, D., &amp; Graham, G. (2024, November). Advances in inorganic scale prediction–development and validation of a kinetic model. In Abu Dhabi International Petroleum Exhibition and Conference (p. D021S045R001). SPE.</w:t>
      </w:r>
    </w:p>
    <w:p>
      <w:pPr>
        <w:pStyle w:val="RefMeta"/>
      </w:pPr>
      <w:r>
        <w:t>C — Provisional; original paper not read  •  Presentation reference slide 8</w:t>
      </w:r>
    </w:p>
    <w:p>
      <w:pPr>
        <w:pStyle w:val="RefBody"/>
      </w:pPr>
      <w:r>
        <w:rPr>
          <w:b/>
        </w:rPr>
        <w:t xml:space="preserve">Introduction. </w:t>
      </w:r>
      <w:r>
        <w:t>The presentation presents this recent study as an attempt to bring kinetic scaling predictions into production-system flow modeling.</w:t>
      </w:r>
    </w:p>
    <w:p>
      <w:pPr>
        <w:pStyle w:val="RefBody"/>
      </w:pPr>
      <w:r>
        <w:rPr>
          <w:b/>
        </w:rPr>
        <w:t xml:space="preserve">Methodology. </w:t>
      </w:r>
      <w:r>
        <w:t>It reports coupling kinetics with flow dynamics and CFD, with laboratory and field validation. The original publication and details of those validations were not verified in this review.</w:t>
      </w:r>
    </w:p>
    <w:p>
      <w:pPr>
        <w:pStyle w:val="RefBody"/>
      </w:pPr>
      <w:r>
        <w:rPr>
          <w:b/>
        </w:rPr>
        <w:t xml:space="preserve">Strengths. </w:t>
      </w:r>
      <w:r>
        <w:t>If substantiated, its combination of kinetics, flow, and field comparison is directly relevant to the proposed mechanistic baseline.</w:t>
      </w:r>
    </w:p>
    <w:p>
      <w:pPr>
        <w:pStyle w:val="RefBody"/>
      </w:pPr>
      <w:r>
        <w:rPr>
          <w:b/>
        </w:rPr>
        <w:t xml:space="preserve">Weaknesses / limits. </w:t>
      </w:r>
      <w:r>
        <w:t>The slide summary does not reveal computational cost, spatial resolution, calibration dependence, uncertainty, or sensor assimilation. These cannot be assumed absent.</w:t>
      </w:r>
    </w:p>
    <w:p>
      <w:pPr>
        <w:pStyle w:val="RefBody"/>
      </w:pPr>
      <w:r>
        <w:rPr>
          <w:b/>
        </w:rPr>
        <w:t xml:space="preserve">Project gap / next test. </w:t>
      </w:r>
      <w:r>
        <w:t>Treat this as a priority novelty-check paper: determine precisely which states it predicts and whether it updates them from live observations.</w:t>
      </w:r>
    </w:p>
    <w:p>
      <w:pPr>
        <w:pStyle w:val="RefMeta"/>
      </w:pPr>
      <w:r>
        <w:t xml:space="preserve">Source: </w:t>
      </w:r>
      <w:hyperlink r:id="rId22">
        <w:r>
          <w:rPr>
            <w:color w:val="187B8D"/>
            <w:u w:val="single"/>
          </w:rPr>
          <w:t>Presentation only; original paper not read</w:t>
        </w:r>
      </w:hyperlink>
    </w:p>
    <w:p>
      <w:pPr>
        <w:pStyle w:val="RefMeta"/>
      </w:pPr>
      <w:hyperlink r:id="rId22">
        <w:r>
          <w:rPr>
            <w:color w:val="187B8D"/>
            <w:u w:val="single"/>
          </w:rPr>
          <w:t>Search the cited title</w:t>
        </w:r>
      </w:hyperlink>
    </w:p>
    <w:p>
      <w:pPr>
        <w:pStyle w:val="RefMeta"/>
        <w:spacing w:after="160"/>
      </w:pPr>
    </w:p>
    <w:p>
      <w:bookmarkStart w:id="8" w:name="P08"/>
      <w:pPr>
        <w:pStyle w:val="PaperHeading"/>
      </w:pPr>
      <w:r>
        <w:t>P08 | Iron scale buildup in gas production pipes</w:t>
      </w:r>
      <w:bookmarkEnd w:id="8"/>
    </w:p>
    <w:p>
      <w:pPr>
        <w:pStyle w:val="RefCitation"/>
      </w:pPr>
      <w:r>
        <w:t>Santoso, R. K., Rahmawati, S. D., Gadesa, A., &amp; Wahyuningrum, D. (2017, July). Scale build-up prediction of FeS and FeCO3 in gas production pipes. In Journal of Physics: Conference Series (Vol. 877, No. 1, p. 012029). IOP Publishing.</w:t>
      </w:r>
    </w:p>
    <w:p>
      <w:pPr>
        <w:pStyle w:val="RefMeta"/>
      </w:pPr>
      <w:r>
        <w:t>C — Provisional; original paper not read  •  Presentation reference slide 13</w:t>
      </w:r>
    </w:p>
    <w:p>
      <w:pPr>
        <w:pStyle w:val="RefBody"/>
      </w:pPr>
      <w:r>
        <w:rPr>
          <w:b/>
        </w:rPr>
        <w:t xml:space="preserve">Introduction. </w:t>
      </w:r>
      <w:r>
        <w:t>Addresses FeS and FeCO3, whose formation can interact with corrosion and gas chemistry.</w:t>
      </w:r>
    </w:p>
    <w:p>
      <w:pPr>
        <w:pStyle w:val="RefBody"/>
      </w:pPr>
      <w:r>
        <w:rPr>
          <w:b/>
        </w:rPr>
        <w:t xml:space="preserve">Methodology. </w:t>
      </w:r>
      <w:r>
        <w:t>Presentation 4 describes a semi-empirical/mechanistic balance involving corrosion, precipitation, and erosion, summarized through a scaling-tendency ratio.</w:t>
      </w:r>
    </w:p>
    <w:p>
      <w:pPr>
        <w:pStyle w:val="RefBody"/>
      </w:pPr>
      <w:r>
        <w:rPr>
          <w:b/>
        </w:rPr>
        <w:t xml:space="preserve">Strengths. </w:t>
      </w:r>
      <w:r>
        <w:t>Draws attention to competing buildup and removal processes rather than accumulation alone.</w:t>
      </w:r>
    </w:p>
    <w:p>
      <w:pPr>
        <w:pStyle w:val="RefBody"/>
      </w:pPr>
      <w:r>
        <w:rPr>
          <w:b/>
        </w:rPr>
        <w:t xml:space="preserve">Weaknesses / limits. </w:t>
      </w:r>
      <w:r>
        <w:t>Iron-scale chemistry and corrosion products differ from the initial calcite use case. Surface roughness and metal loss may also alter pressure or acoustic signals.</w:t>
      </w:r>
    </w:p>
    <w:p>
      <w:pPr>
        <w:pStyle w:val="RefBody"/>
      </w:pPr>
      <w:r>
        <w:rPr>
          <w:b/>
        </w:rPr>
        <w:t xml:space="preserve">Project gap / next test. </w:t>
      </w:r>
      <w:r>
        <w:t>Keep corrosion as a competing explanation for sensor changes. Extend the model to iron scales only with suitable chemical and mineralogical evidence.</w:t>
      </w:r>
    </w:p>
    <w:p>
      <w:pPr>
        <w:pStyle w:val="RefMeta"/>
      </w:pPr>
      <w:r>
        <w:t xml:space="preserve">Source: </w:t>
      </w:r>
      <w:hyperlink r:id="rId23">
        <w:r>
          <w:rPr>
            <w:color w:val="187B8D"/>
            <w:u w:val="single"/>
          </w:rPr>
          <w:t>Presentation only; original paper not read</w:t>
        </w:r>
      </w:hyperlink>
    </w:p>
    <w:p>
      <w:pPr>
        <w:pStyle w:val="RefMeta"/>
      </w:pPr>
      <w:hyperlink r:id="rId23">
        <w:r>
          <w:rPr>
            <w:color w:val="187B8D"/>
            <w:u w:val="single"/>
          </w:rPr>
          <w:t>Search the cited title</w:t>
        </w:r>
      </w:hyperlink>
    </w:p>
    <w:p>
      <w:pPr>
        <w:pStyle w:val="Heading1"/>
        <w:pageBreakBefore/>
      </w:pPr>
      <w:r>
        <w:t>Individual paper reviews</w:t>
      </w:r>
    </w:p>
    <w:p>
      <w:bookmarkStart w:id="9" w:name="P09"/>
      <w:pPr>
        <w:pStyle w:val="PaperHeading"/>
      </w:pPr>
      <w:r>
        <w:t>P09 | Testing inhibitors under turbulent conditions</w:t>
      </w:r>
      <w:bookmarkEnd w:id="9"/>
    </w:p>
    <w:p>
      <w:pPr>
        <w:pStyle w:val="RefCitation"/>
      </w:pPr>
      <w:r>
        <w:t>Chen, T., Chen, P., Montgomerie, H., Hagen, T., Benvie, R., Guo, Q., ... &amp; Yang, X. (2014, May). Do we need higher dose scale inhibitors to inhibit scale under turbulent conditions? Insight into mechanisms and new test methodology. In SPE International Oilfield Scale Conference and Exhibition (p. D011S004R003). SPE.</w:t>
      </w:r>
    </w:p>
    <w:p>
      <w:pPr>
        <w:pStyle w:val="RefMeta"/>
      </w:pPr>
      <w:r>
        <w:t>C — Provisional; original paper not read  •  Presentation reference slide 13</w:t>
      </w:r>
    </w:p>
    <w:p>
      <w:pPr>
        <w:pStyle w:val="RefBody"/>
      </w:pPr>
      <w:r>
        <w:rPr>
          <w:b/>
        </w:rPr>
        <w:t xml:space="preserve">Introduction. </w:t>
      </w:r>
      <w:r>
        <w:t>Asks whether greater turbulence necessarily requires a larger inhibitor dose.</w:t>
      </w:r>
    </w:p>
    <w:p>
      <w:pPr>
        <w:pStyle w:val="RefBody"/>
      </w:pPr>
      <w:r>
        <w:rPr>
          <w:b/>
        </w:rPr>
        <w:t xml:space="preserve">Methodology. </w:t>
      </w:r>
      <w:r>
        <w:t>The slide summary describes turbulent testing, including rotating-cylinder/high-Reynolds-number methods, to examine deposition and inhibition mechanisms.</w:t>
      </w:r>
    </w:p>
    <w:p>
      <w:pPr>
        <w:pStyle w:val="RefBody"/>
      </w:pPr>
      <w:r>
        <w:rPr>
          <w:b/>
        </w:rPr>
        <w:t xml:space="preserve">Strengths. </w:t>
      </w:r>
      <w:r>
        <w:t>Challenges the assumption that a single laboratory MIC can be transferred unchanged across flow regimes.</w:t>
      </w:r>
    </w:p>
    <w:p>
      <w:pPr>
        <w:pStyle w:val="RefBody"/>
      </w:pPr>
      <w:r>
        <w:rPr>
          <w:b/>
        </w:rPr>
        <w:t xml:space="preserve">Weaknesses / limits. </w:t>
      </w:r>
      <w:r>
        <w:t>A rotating-cylinder shear field is not identical to flow through pipe bends, valves, or mixed-phase sections. Quantitative transfer rules need the original paper.</w:t>
      </w:r>
    </w:p>
    <w:p>
      <w:pPr>
        <w:pStyle w:val="RefBody"/>
      </w:pPr>
      <w:r>
        <w:rPr>
          <w:b/>
        </w:rPr>
        <w:t xml:space="preserve">Project gap / next test. </w:t>
      </w:r>
      <w:r>
        <w:t>Characterize wall shear and mass transfer explicitly, then test whether laboratory-derived inhibitor effects survive a change in geometry.</w:t>
      </w:r>
    </w:p>
    <w:p>
      <w:pPr>
        <w:pStyle w:val="RefMeta"/>
      </w:pPr>
      <w:r>
        <w:t xml:space="preserve">Source: </w:t>
      </w:r>
      <w:hyperlink r:id="rId24">
        <w:r>
          <w:rPr>
            <w:color w:val="187B8D"/>
            <w:u w:val="single"/>
          </w:rPr>
          <w:t>Presentation only; original paper not read</w:t>
        </w:r>
      </w:hyperlink>
    </w:p>
    <w:p>
      <w:pPr>
        <w:pStyle w:val="RefMeta"/>
      </w:pPr>
      <w:hyperlink r:id="rId24">
        <w:r>
          <w:rPr>
            <w:color w:val="187B8D"/>
            <w:u w:val="single"/>
          </w:rPr>
          <w:t>Search the cited title</w:t>
        </w:r>
      </w:hyperlink>
    </w:p>
    <w:p>
      <w:pPr>
        <w:pStyle w:val="RefMeta"/>
        <w:spacing w:after="160"/>
      </w:pPr>
    </w:p>
    <w:p>
      <w:bookmarkStart w:id="10" w:name="P10"/>
      <w:pPr>
        <w:pStyle w:val="PaperHeading"/>
      </w:pPr>
      <w:r>
        <w:t>P10 | Integrated deposition and inhibition model</w:t>
      </w:r>
      <w:bookmarkEnd w:id="10"/>
    </w:p>
    <w:p>
      <w:pPr>
        <w:pStyle w:val="RefCitation"/>
      </w:pPr>
      <w:r>
        <w:t>Dai, Z. J., Kan, A., Lu, Y. T. A., Leschied, C., Zhao, Y., Dai, C., ... &amp; Tomson, M. (2021, November). Novel Mineral Scale Deposition Model Under Different Flow Conditions with or Without Scale Inhibitors. In SPE International Conference on Oilfield Chemistry (p. D021S009R002). SPE.</w:t>
      </w:r>
    </w:p>
    <w:p>
      <w:pPr>
        <w:pStyle w:val="RefMeta"/>
      </w:pPr>
      <w:r>
        <w:t>C — Provisional; original paper not read  •  Presentation reference slide 13</w:t>
      </w:r>
    </w:p>
    <w:p>
      <w:pPr>
        <w:pStyle w:val="RefBody"/>
      </w:pPr>
      <w:r>
        <w:rPr>
          <w:b/>
        </w:rPr>
        <w:t xml:space="preserve">Introduction. </w:t>
      </w:r>
      <w:r>
        <w:t>Targets mineral deposition under different flow conditions, both with and without inhibitors.</w:t>
      </w:r>
    </w:p>
    <w:p>
      <w:pPr>
        <w:pStyle w:val="RefBody"/>
      </w:pPr>
      <w:r>
        <w:rPr>
          <w:b/>
        </w:rPr>
        <w:t xml:space="preserve">Methodology. </w:t>
      </w:r>
      <w:r>
        <w:t>The slides describe a hybrid of thermodynamics, kinetics, transport, and Langmuir-type adsorption, with inhibitor demand calculated against a protection criterion.</w:t>
      </w:r>
    </w:p>
    <w:p>
      <w:pPr>
        <w:pStyle w:val="RefBody"/>
      </w:pPr>
      <w:r>
        <w:rPr>
          <w:b/>
        </w:rPr>
        <w:t xml:space="preserve">Strengths. </w:t>
      </w:r>
      <w:r>
        <w:t>Potentially supplies the physical core connecting local chemistry, transport, surface coverage, and inhibitor response.</w:t>
      </w:r>
    </w:p>
    <w:p>
      <w:pPr>
        <w:pStyle w:val="RefBody"/>
      </w:pPr>
      <w:r>
        <w:rPr>
          <w:b/>
        </w:rPr>
        <w:t xml:space="preserve">Weaknesses / limits. </w:t>
      </w:r>
      <w:r>
        <w:t>Several uncertain parameters may produce similar deposition rates. Original equations, validation conditions, and possible overlap with related journal work need checking.</w:t>
      </w:r>
    </w:p>
    <w:p>
      <w:pPr>
        <w:pStyle w:val="RefBody"/>
      </w:pPr>
      <w:r>
        <w:rPr>
          <w:b/>
        </w:rPr>
        <w:t xml:space="preserve">Project gap / next test. </w:t>
      </w:r>
      <w:r>
        <w:t>Use this as a priority mechanistic comparator. Test whether sensor-based parameter/state updating adds demonstrable benefit.</w:t>
      </w:r>
    </w:p>
    <w:p>
      <w:pPr>
        <w:pStyle w:val="RefMeta"/>
      </w:pPr>
      <w:r>
        <w:t xml:space="preserve">Source: </w:t>
      </w:r>
      <w:hyperlink r:id="rId25">
        <w:r>
          <w:rPr>
            <w:color w:val="187B8D"/>
            <w:u w:val="single"/>
          </w:rPr>
          <w:t>Presentation only; original paper not read</w:t>
        </w:r>
      </w:hyperlink>
    </w:p>
    <w:p>
      <w:pPr>
        <w:pStyle w:val="RefMeta"/>
      </w:pPr>
      <w:hyperlink r:id="rId25">
        <w:r>
          <w:rPr>
            <w:color w:val="187B8D"/>
            <w:u w:val="single"/>
          </w:rPr>
          <w:t>Search the cited title</w:t>
        </w:r>
      </w:hyperlink>
    </w:p>
    <w:p>
      <w:pPr>
        <w:pStyle w:val="Heading1"/>
        <w:pageBreakBefore/>
      </w:pPr>
      <w:r>
        <w:t>Individual paper reviews</w:t>
      </w:r>
    </w:p>
    <w:p>
      <w:bookmarkStart w:id="11" w:name="P11"/>
      <w:pPr>
        <w:pStyle w:val="PaperHeading"/>
      </w:pPr>
      <w:r>
        <w:t>P11 | Calcite inhibitor testing for turbulent subsea flow</w:t>
      </w:r>
      <w:bookmarkEnd w:id="11"/>
    </w:p>
    <w:p>
      <w:pPr>
        <w:pStyle w:val="RefCitation"/>
      </w:pPr>
      <w:r>
        <w:t>Pimentel, D., Kan, A., Ye, Y., Wang, X., Reiss, A., Deng, G., ... &amp; Tomson, M. (2024, June). Methodology to Evaluate Calcite Scale Inhibitors Under Turbulent Flow for Subsea Oilfield Production Applications. In SPE International Oilfield Scale Conference and Exhibition (p. D023S009R004). SPE.</w:t>
      </w:r>
    </w:p>
    <w:p>
      <w:pPr>
        <w:pStyle w:val="RefMeta"/>
      </w:pPr>
      <w:r>
        <w:t>S — Related author slides; original paper unavailable  •  Presentation reference slide 13</w:t>
      </w:r>
    </w:p>
    <w:p>
      <w:pPr>
        <w:pStyle w:val="RefBody"/>
      </w:pPr>
      <w:r>
        <w:rPr>
          <w:b/>
        </w:rPr>
        <w:t xml:space="preserve">Introduction. </w:t>
      </w:r>
      <w:r>
        <w:t>Focuses on the mismatch between conventional inhibitor tests and turbulent subsea production conditions.</w:t>
      </w:r>
    </w:p>
    <w:p>
      <w:pPr>
        <w:pStyle w:val="RefBody"/>
      </w:pPr>
      <w:r>
        <w:rPr>
          <w:b/>
        </w:rPr>
        <w:t xml:space="preserve">Methodology. </w:t>
      </w:r>
      <w:r>
        <w:t>The cited paper was unavailable. The presentation and a related Rice author presentation describe a laboratory methodology intended to reproduce turbulent calcite-deposition conditions and improve dose selection.</w:t>
      </w:r>
    </w:p>
    <w:p>
      <w:pPr>
        <w:pStyle w:val="RefBody"/>
      </w:pPr>
      <w:r>
        <w:rPr>
          <w:b/>
        </w:rPr>
        <w:t xml:space="preserve">Strengths. </w:t>
      </w:r>
      <w:r>
        <w:t>Makes field-relevant flow conditions central to laboratory qualification.</w:t>
      </w:r>
    </w:p>
    <w:p>
      <w:pPr>
        <w:pStyle w:val="RefBody"/>
      </w:pPr>
      <w:r>
        <w:rPr>
          <w:b/>
        </w:rPr>
        <w:t xml:space="preserve">Weaknesses / limits. </w:t>
      </w:r>
      <w:r>
        <w:t>The author presentation is supporting material, not verification of every claim in the conference paper. Multiphase flow, high-pressure chemistry, and operating envelopes require inspection.</w:t>
      </w:r>
    </w:p>
    <w:p>
      <w:pPr>
        <w:pStyle w:val="RefBody"/>
      </w:pPr>
      <w:r>
        <w:rPr>
          <w:b/>
        </w:rPr>
        <w:t xml:space="preserve">Project gap / next test. </w:t>
      </w:r>
      <w:r>
        <w:t>Use its test design to plan flow-loop experiments and quantify when laminar-test MIC fails to predict wall protection.</w:t>
      </w:r>
    </w:p>
    <w:p>
      <w:pPr>
        <w:pStyle w:val="RefMeta"/>
      </w:pPr>
      <w:r>
        <w:t xml:space="preserve">Source: </w:t>
      </w:r>
      <w:hyperlink r:id="rId26">
        <w:r>
          <w:rPr>
            <w:color w:val="187B8D"/>
            <w:u w:val="single"/>
          </w:rPr>
          <w:t>Related author presentation; cited conference paper not read</w:t>
        </w:r>
      </w:hyperlink>
    </w:p>
    <w:p>
      <w:pPr>
        <w:pStyle w:val="RefMeta"/>
        <w:spacing w:after="160"/>
      </w:pPr>
    </w:p>
    <w:p>
      <w:bookmarkStart w:id="12" w:name="P12"/>
      <w:pPr>
        <w:pStyle w:val="PaperHeading"/>
      </w:pPr>
      <w:r>
        <w:t>P12 | Transient inhibitor distribution in connected flowlines</w:t>
      </w:r>
      <w:bookmarkEnd w:id="12"/>
    </w:p>
    <w:p>
      <w:pPr>
        <w:pStyle w:val="RefCitation"/>
      </w:pPr>
      <w:r>
        <w:t>Liu, M., Chen, T., Rached, R., &amp; Zhao, W. (2025, April). Numerical Simulation of Transient Transport of Scale Inhibitor in an Oil-Water Trunkline with Multiple Flowlines. In SPE Gas &amp; Oil Technology Showcase and Conference (p. D012S006R002). SPE.</w:t>
      </w:r>
    </w:p>
    <w:p>
      <w:pPr>
        <w:pStyle w:val="RefMeta"/>
      </w:pPr>
      <w:r>
        <w:t>C — Provisional; original paper not read  •  Presentation reference slide 13</w:t>
      </w:r>
    </w:p>
    <w:p>
      <w:pPr>
        <w:pStyle w:val="RefBody"/>
      </w:pPr>
      <w:r>
        <w:rPr>
          <w:b/>
        </w:rPr>
        <w:t xml:space="preserve">Introduction. </w:t>
      </w:r>
      <w:r>
        <w:t>Studies how inhibitor injected into an oil–water network reaches different locations over time.</w:t>
      </w:r>
    </w:p>
    <w:p>
      <w:pPr>
        <w:pStyle w:val="RefBody"/>
      </w:pPr>
      <w:r>
        <w:rPr>
          <w:b/>
        </w:rPr>
        <w:t xml:space="preserve">Methodology. </w:t>
      </w:r>
      <w:r>
        <w:t>The slides describe CFD of an oil–water trunkline connected to several flowlines, with transient inhibitor transport as the prediction target.</w:t>
      </w:r>
    </w:p>
    <w:p>
      <w:pPr>
        <w:pStyle w:val="RefBody"/>
      </w:pPr>
      <w:r>
        <w:rPr>
          <w:b/>
        </w:rPr>
        <w:t xml:space="preserve">Strengths. </w:t>
      </w:r>
      <w:r>
        <w:t>Distinguishes injected dose from local delivered concentration, which is essential for meaningful dosing recommendations.</w:t>
      </w:r>
    </w:p>
    <w:p>
      <w:pPr>
        <w:pStyle w:val="RefBody"/>
      </w:pPr>
      <w:r>
        <w:rPr>
          <w:b/>
        </w:rPr>
        <w:t xml:space="preserve">Weaknesses / limits. </w:t>
      </w:r>
      <w:r>
        <w:t>Transport prediction alone does not prove that local scale deposition is controlled. Model validation, phase partitioning, and adsorption assumptions remain unverified.</w:t>
      </w:r>
    </w:p>
    <w:p>
      <w:pPr>
        <w:pStyle w:val="RefBody"/>
      </w:pPr>
      <w:r>
        <w:rPr>
          <w:b/>
        </w:rPr>
        <w:t xml:space="preserve">Project gap / next test. </w:t>
      </w:r>
      <w:r>
        <w:t>Represent transport delay and local concentration explicitly; do not feed the injection-pump setting directly into every section’s deposition law.</w:t>
      </w:r>
    </w:p>
    <w:p>
      <w:pPr>
        <w:pStyle w:val="RefMeta"/>
      </w:pPr>
      <w:r>
        <w:t xml:space="preserve">Source: </w:t>
      </w:r>
      <w:hyperlink r:id="rId27">
        <w:r>
          <w:rPr>
            <w:color w:val="187B8D"/>
            <w:u w:val="single"/>
          </w:rPr>
          <w:t>Presentation only; original paper not read</w:t>
        </w:r>
      </w:hyperlink>
    </w:p>
    <w:p>
      <w:pPr>
        <w:pStyle w:val="RefMeta"/>
      </w:pPr>
      <w:hyperlink r:id="rId27">
        <w:r>
          <w:rPr>
            <w:color w:val="187B8D"/>
            <w:u w:val="single"/>
          </w:rPr>
          <w:t>Search the cited title</w:t>
        </w:r>
      </w:hyperlink>
    </w:p>
    <w:p>
      <w:pPr>
        <w:pStyle w:val="Heading1"/>
        <w:pageBreakBefore/>
      </w:pPr>
      <w:r>
        <w:t>Individual paper reviews</w:t>
      </w:r>
    </w:p>
    <w:p>
      <w:bookmarkStart w:id="13" w:name="P13"/>
      <w:pPr>
        <w:pStyle w:val="PaperHeading"/>
      </w:pPr>
      <w:r>
        <w:t>P13 | Joint transport of inhibitor and scale-forming ions</w:t>
      </w:r>
      <w:bookmarkEnd w:id="13"/>
    </w:p>
    <w:p>
      <w:pPr>
        <w:pStyle w:val="RefCitation"/>
      </w:pPr>
      <w:r>
        <w:t>Rodriguez-Hernandez, C. D., Chen, T., Liu, M., Shafi, M., Rached, R., Alfaleh, K., &amp; Zhao, W. (2025, November). Transport Modeling of Scale Inhibitor and Scaling Ions in an Oil-Water Trunkline with Multiple Flowlines. In Abu Dhabi International Petroleum Exhibition and Conference (p. D021S067R005). SPE.</w:t>
      </w:r>
    </w:p>
    <w:p>
      <w:pPr>
        <w:pStyle w:val="RefMeta"/>
      </w:pPr>
      <w:r>
        <w:t>C — Provisional; original paper not read  •  Presentation reference slide 13</w:t>
      </w:r>
    </w:p>
    <w:p>
      <w:pPr>
        <w:pStyle w:val="RefBody"/>
      </w:pPr>
      <w:r>
        <w:rPr>
          <w:b/>
        </w:rPr>
        <w:t xml:space="preserve">Introduction. </w:t>
      </w:r>
      <w:r>
        <w:t>Extends the network problem to the spatial encounter between inhibitor and incompatible waters or scaling ions.</w:t>
      </w:r>
    </w:p>
    <w:p>
      <w:pPr>
        <w:pStyle w:val="RefBody"/>
      </w:pPr>
      <w:r>
        <w:rPr>
          <w:b/>
        </w:rPr>
        <w:t xml:space="preserve">Methodology. </w:t>
      </w:r>
      <w:r>
        <w:t>Presentation 4 describes CFD transport of inhibitor and ions in an oil–water trunkline with multiple flowlines, supporting injection-rate and location decisions.</w:t>
      </w:r>
    </w:p>
    <w:p>
      <w:pPr>
        <w:pStyle w:val="RefBody"/>
      </w:pPr>
      <w:r>
        <w:rPr>
          <w:b/>
        </w:rPr>
        <w:t xml:space="preserve">Strengths. </w:t>
      </w:r>
      <w:r>
        <w:t>Co-locating inhibitor availability and chemical driving force is more informative than considering either alone.</w:t>
      </w:r>
    </w:p>
    <w:p>
      <w:pPr>
        <w:pStyle w:val="RefBody"/>
      </w:pPr>
      <w:r>
        <w:rPr>
          <w:b/>
        </w:rPr>
        <w:t xml:space="preserve">Weaknesses / limits. </w:t>
      </w:r>
      <w:r>
        <w:t>The original paper was not accessible. Whether it also resolves precipitation, surface deposition, or sensor correction cannot be inferred from its title.</w:t>
      </w:r>
    </w:p>
    <w:p>
      <w:pPr>
        <w:pStyle w:val="RefBody"/>
      </w:pPr>
      <w:r>
        <w:rPr>
          <w:b/>
        </w:rPr>
        <w:t xml:space="preserve">Project gap / next test. </w:t>
      </w:r>
      <w:r>
        <w:t>Prioritize full-text retrieval before claiming integrated chemistry/transport is novel. The proposed distinction must concern validated state estimation or control.</w:t>
      </w:r>
    </w:p>
    <w:p>
      <w:pPr>
        <w:pStyle w:val="RefMeta"/>
      </w:pPr>
      <w:r>
        <w:t xml:space="preserve">Source: </w:t>
      </w:r>
      <w:hyperlink r:id="rId28">
        <w:r>
          <w:rPr>
            <w:color w:val="187B8D"/>
            <w:u w:val="single"/>
          </w:rPr>
          <w:t>Presentation only; original paper not read</w:t>
        </w:r>
      </w:hyperlink>
    </w:p>
    <w:p>
      <w:pPr>
        <w:pStyle w:val="RefMeta"/>
      </w:pPr>
      <w:hyperlink r:id="rId28">
        <w:r>
          <w:rPr>
            <w:color w:val="187B8D"/>
            <w:u w:val="single"/>
          </w:rPr>
          <w:t>Search the cited title</w:t>
        </w:r>
      </w:hyperlink>
    </w:p>
    <w:p>
      <w:pPr>
        <w:pStyle w:val="RefMeta"/>
        <w:spacing w:after="160"/>
      </w:pPr>
    </w:p>
    <w:p>
      <w:bookmarkStart w:id="14" w:name="P14"/>
      <w:pPr>
        <w:pStyle w:val="PaperHeading"/>
      </w:pPr>
      <w:r>
        <w:t>P14 | Surface scaling as a management problem</w:t>
      </w:r>
      <w:bookmarkEnd w:id="14"/>
    </w:p>
    <w:p>
      <w:pPr>
        <w:pStyle w:val="RefCitation"/>
      </w:pPr>
      <w:r>
        <w:t>Neville, A. (2012). Surface scaling in the oil and gas sector: Understanding the process and means of management. Energy &amp; fuels, 26(7), 4158-4166.</w:t>
      </w:r>
    </w:p>
    <w:p>
      <w:pPr>
        <w:pStyle w:val="RefMeta"/>
      </w:pPr>
      <w:r>
        <w:t>C — Provisional; original paper not read  •  Presentation reference slide 13</w:t>
      </w:r>
    </w:p>
    <w:p>
      <w:pPr>
        <w:pStyle w:val="RefBody"/>
      </w:pPr>
      <w:r>
        <w:rPr>
          <w:b/>
        </w:rPr>
        <w:t xml:space="preserve">Introduction. </w:t>
      </w:r>
      <w:r>
        <w:t>This review is presented as explaining why surface scaling and bulk precipitation can follow different mechanisms and inhibition responses.</w:t>
      </w:r>
    </w:p>
    <w:p>
      <w:pPr>
        <w:pStyle w:val="RefBody"/>
      </w:pPr>
      <w:r>
        <w:rPr>
          <w:b/>
        </w:rPr>
        <w:t xml:space="preserve">Methodology. </w:t>
      </w:r>
      <w:r>
        <w:t>The slides characterize it as a mechanistic/experimental review of nucleation, crystal growth, and the distinction between bulk and surface MIC.</w:t>
      </w:r>
    </w:p>
    <w:p>
      <w:pPr>
        <w:pStyle w:val="RefBody"/>
      </w:pPr>
      <w:r>
        <w:rPr>
          <w:b/>
        </w:rPr>
        <w:t xml:space="preserve">Strengths. </w:t>
      </w:r>
      <w:r>
        <w:t>Provides a conceptual foundation for defining the actual object of prediction: material attached to the pipe wall.</w:t>
      </w:r>
    </w:p>
    <w:p>
      <w:pPr>
        <w:pStyle w:val="RefBody"/>
      </w:pPr>
      <w:r>
        <w:rPr>
          <w:b/>
        </w:rPr>
        <w:t xml:space="preserve">Weaknesses / limits. </w:t>
      </w:r>
      <w:r>
        <w:t>A review organizes prior evidence but does not itself provide a calibrated model for the selected flowline. The breadth and currency of its coverage need the full text.</w:t>
      </w:r>
    </w:p>
    <w:p>
      <w:pPr>
        <w:pStyle w:val="RefBody"/>
      </w:pPr>
      <w:r>
        <w:rPr>
          <w:b/>
        </w:rPr>
        <w:t xml:space="preserve">Project gap / next test. </w:t>
      </w:r>
      <w:r>
        <w:t>Build separate observation and process models for suspended solids and attached scale; use surface-specific validation when selecting an inhibitor.</w:t>
      </w:r>
    </w:p>
    <w:p>
      <w:pPr>
        <w:pStyle w:val="RefMeta"/>
      </w:pPr>
      <w:r>
        <w:t xml:space="preserve">Source: </w:t>
      </w:r>
      <w:hyperlink r:id="rId29">
        <w:r>
          <w:rPr>
            <w:color w:val="187B8D"/>
            <w:u w:val="single"/>
          </w:rPr>
          <w:t>Presentation only; original paper not read</w:t>
        </w:r>
      </w:hyperlink>
    </w:p>
    <w:p>
      <w:pPr>
        <w:pStyle w:val="RefMeta"/>
      </w:pPr>
      <w:hyperlink r:id="rId29">
        <w:r>
          <w:rPr>
            <w:color w:val="187B8D"/>
            <w:u w:val="single"/>
          </w:rPr>
          <w:t>Search the cited title</w:t>
        </w:r>
      </w:hyperlink>
    </w:p>
    <w:p>
      <w:pPr>
        <w:pStyle w:val="Heading1"/>
        <w:pageBreakBefore/>
      </w:pPr>
      <w:r>
        <w:t>Individual paper reviews</w:t>
      </w:r>
    </w:p>
    <w:p>
      <w:bookmarkStart w:id="15" w:name="P15"/>
      <w:pPr>
        <w:pStyle w:val="PaperHeading"/>
      </w:pPr>
      <w:r>
        <w:t>P15 | CFD prediction of calcite scaling rate</w:t>
      </w:r>
      <w:bookmarkEnd w:id="15"/>
    </w:p>
    <w:p>
      <w:pPr>
        <w:pStyle w:val="RefCitation"/>
      </w:pPr>
      <w:r>
        <w:t>Li, C., Wang, B., Jia, W., &amp; Li, G. (2020). Predicting the scaling rate of calcium carbonate in wet-gas pipes via a CFD method. Desalination and Water Treatment, 197, 14-29.</w:t>
      </w:r>
    </w:p>
    <w:p>
      <w:pPr>
        <w:pStyle w:val="RefMeta"/>
      </w:pPr>
      <w:r>
        <w:t>C — Provisional; original paper not read  •  Presentation reference slide 13</w:t>
      </w:r>
    </w:p>
    <w:p>
      <w:pPr>
        <w:pStyle w:val="RefBody"/>
      </w:pPr>
      <w:r>
        <w:rPr>
          <w:b/>
        </w:rPr>
        <w:t xml:space="preserve">Introduction. </w:t>
      </w:r>
      <w:r>
        <w:t>Targets the spatial deposition rate of calcium carbonate in wet-gas pipes.</w:t>
      </w:r>
    </w:p>
    <w:p>
      <w:pPr>
        <w:pStyle w:val="RefBody"/>
      </w:pPr>
      <w:r>
        <w:rPr>
          <w:b/>
        </w:rPr>
        <w:t xml:space="preserve">Methodology. </w:t>
      </w:r>
      <w:r>
        <w:t>The presentation describes CFD, reaction kinetics, and particle transport. The citation title specifically concerns calcium carbonate; the slide’s broader sulfate list should not be treated as verified paper scope.</w:t>
      </w:r>
    </w:p>
    <w:p>
      <w:pPr>
        <w:pStyle w:val="RefBody"/>
      </w:pPr>
      <w:r>
        <w:rPr>
          <w:b/>
        </w:rPr>
        <w:t xml:space="preserve">Strengths. </w:t>
      </w:r>
      <w:r>
        <w:t>Offers a route to resolve where flow conditions make deposition more likely.</w:t>
      </w:r>
    </w:p>
    <w:p>
      <w:pPr>
        <w:pStyle w:val="RefBody"/>
      </w:pPr>
      <w:r>
        <w:rPr>
          <w:b/>
        </w:rPr>
        <w:t xml:space="preserve">Weaknesses / limits. </w:t>
      </w:r>
      <w:r>
        <w:t>CFD boundary conditions and deposition closures can dominate the output; a detailed spatial prediction does not establish field accuracy. The original implementation was unavailable.</w:t>
      </w:r>
    </w:p>
    <w:p>
      <w:pPr>
        <w:pStyle w:val="RefBody"/>
      </w:pPr>
      <w:r>
        <w:rPr>
          <w:b/>
        </w:rPr>
        <w:t xml:space="preserve">Project gap / next test. </w:t>
      </w:r>
      <w:r>
        <w:t>Use CFD offline to suggest reduced-model structure and experiment locations; validate the reduced model against measured deposits.</w:t>
      </w:r>
    </w:p>
    <w:p>
      <w:pPr>
        <w:pStyle w:val="RefMeta"/>
      </w:pPr>
      <w:r>
        <w:t xml:space="preserve">Source: </w:t>
      </w:r>
      <w:hyperlink r:id="rId30">
        <w:r>
          <w:rPr>
            <w:color w:val="187B8D"/>
            <w:u w:val="single"/>
          </w:rPr>
          <w:t>Presentation only; original paper not read</w:t>
        </w:r>
      </w:hyperlink>
    </w:p>
    <w:p>
      <w:pPr>
        <w:pStyle w:val="RefMeta"/>
      </w:pPr>
      <w:hyperlink r:id="rId30">
        <w:r>
          <w:rPr>
            <w:color w:val="187B8D"/>
            <w:u w:val="single"/>
          </w:rPr>
          <w:t>Search the cited title</w:t>
        </w:r>
      </w:hyperlink>
    </w:p>
    <w:p>
      <w:pPr>
        <w:pStyle w:val="RefMeta"/>
        <w:spacing w:after="160"/>
      </w:pPr>
    </w:p>
    <w:p>
      <w:bookmarkStart w:id="16" w:name="P16"/>
      <w:pPr>
        <w:pStyle w:val="PaperHeading"/>
      </w:pPr>
      <w:r>
        <w:t>P16 | A kinetic description of scaling and inhibition</w:t>
      </w:r>
      <w:bookmarkEnd w:id="16"/>
    </w:p>
    <w:p>
      <w:pPr>
        <w:pStyle w:val="RefCitation"/>
      </w:pPr>
      <w:r>
        <w:t>Al-Roomi, Y. M., &amp; Hussain, K. F. (2016). Potential kinetic model for scaling and scale inhibition mechanism. Desalination, 393, 186-195.</w:t>
      </w:r>
    </w:p>
    <w:p>
      <w:pPr>
        <w:pStyle w:val="RefMeta"/>
      </w:pPr>
      <w:r>
        <w:t>C — Provisional; original paper not read  •  Presentation reference slide 17</w:t>
      </w:r>
    </w:p>
    <w:p>
      <w:pPr>
        <w:pStyle w:val="RefBody"/>
      </w:pPr>
      <w:r>
        <w:rPr>
          <w:b/>
        </w:rPr>
        <w:t xml:space="preserve">Introduction. </w:t>
      </w:r>
      <w:r>
        <w:t>Seeks a kinetic explanation of scale buildup and how inhibitors modify it.</w:t>
      </w:r>
    </w:p>
    <w:p>
      <w:pPr>
        <w:pStyle w:val="RefBody"/>
      </w:pPr>
      <w:r>
        <w:rPr>
          <w:b/>
        </w:rPr>
        <w:t xml:space="preserve">Methodology. </w:t>
      </w:r>
      <w:r>
        <w:t>The slides attribute a nucleation/growth/adsorption model to pipe-flow experiments and identify rate constants, activation energy, and scale mass over time as outputs.</w:t>
      </w:r>
    </w:p>
    <w:p>
      <w:pPr>
        <w:pStyle w:val="RefBody"/>
      </w:pPr>
      <w:r>
        <w:rPr>
          <w:b/>
        </w:rPr>
        <w:t xml:space="preserve">Strengths. </w:t>
      </w:r>
      <w:r>
        <w:t>A rate-based formulation can support a dynamic simulator and parameter sensitivity analysis.</w:t>
      </w:r>
    </w:p>
    <w:p>
      <w:pPr>
        <w:pStyle w:val="RefBody"/>
      </w:pPr>
      <w:r>
        <w:rPr>
          <w:b/>
        </w:rPr>
        <w:t xml:space="preserve">Weaknesses / limits. </w:t>
      </w:r>
      <w:r>
        <w:t>The available material does not establish which mechanism dominates or whether alternative parameter sets fit equally well. Total scale mass need not reveal local thickness.</w:t>
      </w:r>
    </w:p>
    <w:p>
      <w:pPr>
        <w:pStyle w:val="RefBody"/>
      </w:pPr>
      <w:r>
        <w:rPr>
          <w:b/>
        </w:rPr>
        <w:t xml:space="preserve">Project gap / next test. </w:t>
      </w:r>
      <w:r>
        <w:t>Check structural and practical identifiability before fitting many kinetic parameters; add spatial measurements if total mass is insufficient.</w:t>
      </w:r>
    </w:p>
    <w:p>
      <w:pPr>
        <w:pStyle w:val="RefMeta"/>
      </w:pPr>
      <w:r>
        <w:t xml:space="preserve">Source: </w:t>
      </w:r>
      <w:hyperlink r:id="rId31">
        <w:r>
          <w:rPr>
            <w:color w:val="187B8D"/>
            <w:u w:val="single"/>
          </w:rPr>
          <w:t>Presentation only; original paper not read</w:t>
        </w:r>
      </w:hyperlink>
    </w:p>
    <w:p>
      <w:pPr>
        <w:pStyle w:val="RefMeta"/>
      </w:pPr>
      <w:hyperlink r:id="rId31">
        <w:r>
          <w:rPr>
            <w:color w:val="187B8D"/>
            <w:u w:val="single"/>
          </w:rPr>
          <w:t>Search the cited title</w:t>
        </w:r>
      </w:hyperlink>
    </w:p>
    <w:p>
      <w:pPr>
        <w:pStyle w:val="Heading1"/>
        <w:pageBreakBefore/>
      </w:pPr>
      <w:r>
        <w:t>Individual paper reviews</w:t>
      </w:r>
    </w:p>
    <w:p>
      <w:bookmarkStart w:id="17" w:name="P17"/>
      <w:pPr>
        <w:pStyle w:val="PaperHeading"/>
      </w:pPr>
      <w:r>
        <w:t>P17 | Unified inhibition experiments and modeling</w:t>
      </w:r>
      <w:bookmarkEnd w:id="17"/>
    </w:p>
    <w:p>
      <w:pPr>
        <w:pStyle w:val="RefCitation"/>
      </w:pPr>
      <w:r>
        <w:t>Dai, C., Dai, Z., Zhang, F., Zhao, Y., Deng, G., Harouaka, K., ... &amp; Tomson, M. (2019, March). A unified experimental method and model for predicting scale inhibition. In SPE International Conference on Oilfield Chemistry (p. D011S006R004). SPE.</w:t>
      </w:r>
    </w:p>
    <w:p>
      <w:pPr>
        <w:pStyle w:val="RefMeta"/>
      </w:pPr>
      <w:r>
        <w:t>C — Provisional; original paper not read  •  Presentation reference slide 17</w:t>
      </w:r>
    </w:p>
    <w:p>
      <w:pPr>
        <w:pStyle w:val="RefBody"/>
      </w:pPr>
      <w:r>
        <w:rPr>
          <w:b/>
        </w:rPr>
        <w:t xml:space="preserve">Introduction. </w:t>
      </w:r>
      <w:r>
        <w:t>Attempts to connect inhibitor evaluation to a common predictive model rather than isolated screening tests.</w:t>
      </w:r>
    </w:p>
    <w:p>
      <w:pPr>
        <w:pStyle w:val="RefBody"/>
      </w:pPr>
      <w:r>
        <w:rPr>
          <w:b/>
        </w:rPr>
        <w:t xml:space="preserve">Methodology. </w:t>
      </w:r>
      <w:r>
        <w:t>Presentation 4 describes an experimental and semi-empirical/theoretical framework for induction time and minimum inhibitor concentration, with laboratory and field comparisons reported in the slides.</w:t>
      </w:r>
    </w:p>
    <w:p>
      <w:pPr>
        <w:pStyle w:val="RefBody"/>
      </w:pPr>
      <w:r>
        <w:rPr>
          <w:b/>
        </w:rPr>
        <w:t xml:space="preserve">Strengths. </w:t>
      </w:r>
      <w:r>
        <w:t>A common framework can reduce inconsistent interpretation of different inhibitor tests.</w:t>
      </w:r>
    </w:p>
    <w:p>
      <w:pPr>
        <w:pStyle w:val="RefBody"/>
      </w:pPr>
      <w:r>
        <w:rPr>
          <w:b/>
        </w:rPr>
        <w:t xml:space="preserve">Weaknesses / limits. </w:t>
      </w:r>
      <w:r>
        <w:t>The original paper’s validation data, error measures, chemical coverage, and transfer limits were not inspected. A unified formulation still needs condition-specific calibration.</w:t>
      </w:r>
    </w:p>
    <w:p>
      <w:pPr>
        <w:pStyle w:val="RefBody"/>
      </w:pPr>
      <w:r>
        <w:rPr>
          <w:b/>
        </w:rPr>
        <w:t xml:space="preserve">Project gap / next test. </w:t>
      </w:r>
      <w:r>
        <w:t>Define a common dataset with chemistry, dose, residence time, surface condition, and observed endpoint, then test transfer between experiments.</w:t>
      </w:r>
    </w:p>
    <w:p>
      <w:pPr>
        <w:pStyle w:val="RefMeta"/>
      </w:pPr>
      <w:r>
        <w:t xml:space="preserve">Source: </w:t>
      </w:r>
      <w:hyperlink r:id="rId32">
        <w:r>
          <w:rPr>
            <w:color w:val="187B8D"/>
            <w:u w:val="single"/>
          </w:rPr>
          <w:t>Presentation only; original paper not read</w:t>
        </w:r>
      </w:hyperlink>
    </w:p>
    <w:p>
      <w:pPr>
        <w:pStyle w:val="RefMeta"/>
      </w:pPr>
      <w:hyperlink r:id="rId32">
        <w:r>
          <w:rPr>
            <w:color w:val="187B8D"/>
            <w:u w:val="single"/>
          </w:rPr>
          <w:t>Search the cited title</w:t>
        </w:r>
      </w:hyperlink>
    </w:p>
    <w:p>
      <w:pPr>
        <w:pStyle w:val="RefMeta"/>
        <w:spacing w:after="160"/>
      </w:pPr>
    </w:p>
    <w:p>
      <w:bookmarkStart w:id="18" w:name="P18"/>
      <w:pPr>
        <w:pStyle w:val="PaperHeading"/>
      </w:pPr>
      <w:r>
        <w:t>P18 | Calcium sulfate prediction and control</w:t>
      </w:r>
      <w:bookmarkEnd w:id="18"/>
    </w:p>
    <w:p>
      <w:pPr>
        <w:pStyle w:val="RefCitation"/>
      </w:pPr>
      <w:r>
        <w:t>Paudyal, S., Mateen, S., Dai, C., Ko, S., Wang, X., Deng, G., ... &amp; Tomson, M. B. (2020, June). Developments on calcium sulfate scaling prediction and control in oil and gas production. In SPE International Oilfield Scale Conference and Exhibition (p. D031S005R001). SPE.</w:t>
      </w:r>
    </w:p>
    <w:p>
      <w:pPr>
        <w:pStyle w:val="RefMeta"/>
      </w:pPr>
      <w:r>
        <w:t>C — Provisional; original paper not read  •  Presentation reference slide 17</w:t>
      </w:r>
    </w:p>
    <w:p>
      <w:pPr>
        <w:pStyle w:val="RefBody"/>
      </w:pPr>
      <w:r>
        <w:rPr>
          <w:b/>
        </w:rPr>
        <w:t xml:space="preserve">Introduction. </w:t>
      </w:r>
      <w:r>
        <w:t>Addresses calcium sulfate scaling and the need for useful inhibitor tests under production-relevant conditions.</w:t>
      </w:r>
    </w:p>
    <w:p>
      <w:pPr>
        <w:pStyle w:val="RefBody"/>
      </w:pPr>
      <w:r>
        <w:rPr>
          <w:b/>
        </w:rPr>
        <w:t xml:space="preserve">Methodology. </w:t>
      </w:r>
      <w:r>
        <w:t>The slides describe modified kinetic-turbidity and continuous-stirred-tank methods, relating inhibitor concentration to induction time and dose selection. The original conference paper was not read.</w:t>
      </w:r>
    </w:p>
    <w:p>
      <w:pPr>
        <w:pStyle w:val="RefBody"/>
      </w:pPr>
      <w:r>
        <w:rPr>
          <w:b/>
        </w:rPr>
        <w:t xml:space="preserve">Strengths. </w:t>
      </w:r>
      <w:r>
        <w:t>Provides a different experimental route when tube-blocking residence times are too short to expose delayed precipitation.</w:t>
      </w:r>
    </w:p>
    <w:p>
      <w:pPr>
        <w:pStyle w:val="RefBody"/>
      </w:pPr>
      <w:r>
        <w:rPr>
          <w:b/>
        </w:rPr>
        <w:t xml:space="preserve">Weaknesses / limits. </w:t>
      </w:r>
      <w:r>
        <w:t>Gypsum, anhydrite, and related phases must be distinguished under temperature changes. Mixed-reactor behavior does not directly reconstruct a pipe-wall profile.</w:t>
      </w:r>
    </w:p>
    <w:p>
      <w:pPr>
        <w:pStyle w:val="RefBody"/>
      </w:pPr>
      <w:r>
        <w:rPr>
          <w:b/>
        </w:rPr>
        <w:t xml:space="preserve">Project gap / next test. </w:t>
      </w:r>
      <w:r>
        <w:t>Use phase-specific chemistry and retain test residence time as a variable. Do not transfer a gypsum dose rule directly to calcite or barite.</w:t>
      </w:r>
    </w:p>
    <w:p>
      <w:pPr>
        <w:pStyle w:val="RefMeta"/>
      </w:pPr>
      <w:r>
        <w:t xml:space="preserve">Source: </w:t>
      </w:r>
      <w:hyperlink r:id="rId33">
        <w:r>
          <w:rPr>
            <w:color w:val="187B8D"/>
            <w:u w:val="single"/>
          </w:rPr>
          <w:t>Presentation only; original paper not read</w:t>
        </w:r>
      </w:hyperlink>
      <w:r>
        <w:t xml:space="preserve">  |  </w:t>
      </w:r>
      <w:hyperlink r:id="rId33">
        <w:r>
          <w:rPr>
            <w:color w:val="187B8D"/>
            <w:u w:val="single"/>
          </w:rPr>
          <w:t>DOI: 10.2118/200671-MS</w:t>
        </w:r>
      </w:hyperlink>
    </w:p>
    <w:p>
      <w:pPr>
        <w:pStyle w:val="RefMeta"/>
      </w:pPr>
      <w:hyperlink r:id="rId34">
        <w:r>
          <w:rPr>
            <w:color w:val="187B8D"/>
            <w:u w:val="single"/>
          </w:rPr>
          <w:t>Search the cited title</w:t>
        </w:r>
      </w:hyperlink>
    </w:p>
    <w:p>
      <w:pPr>
        <w:pStyle w:val="Heading1"/>
        <w:pageBreakBefore/>
      </w:pPr>
      <w:r>
        <w:t>Individual paper reviews</w:t>
      </w:r>
    </w:p>
    <w:p>
      <w:bookmarkStart w:id="19" w:name="P19"/>
      <w:pPr>
        <w:pStyle w:val="PaperHeading"/>
      </w:pPr>
      <w:r>
        <w:t>P19 | Barite surface inhibition and dose prediction</w:t>
      </w:r>
      <w:bookmarkEnd w:id="19"/>
    </w:p>
    <w:p>
      <w:pPr>
        <w:pStyle w:val="RefCitation"/>
      </w:pPr>
      <w:r>
        <w:t>Lu, A. Y. T., Shi, W., Wang, J., Venkatesan, R., Harouaka, K., Paudyal, S., ... &amp; Tomson, M. (2019). The mechanism of barium sulfate deposition inhibition and the prediction of inhibitor dosage. Journal of Chemical &amp; Engineering Data, 64(11), 4968-4976.</w:t>
      </w:r>
    </w:p>
    <w:p>
      <w:pPr>
        <w:pStyle w:val="RefMeta"/>
      </w:pPr>
      <w:r>
        <w:t>C — Provisional; original paper not read  •  Presentation reference slide 17</w:t>
      </w:r>
    </w:p>
    <w:p>
      <w:pPr>
        <w:pStyle w:val="RefBody"/>
      </w:pPr>
      <w:r>
        <w:rPr>
          <w:b/>
        </w:rPr>
        <w:t xml:space="preserve">Introduction. </w:t>
      </w:r>
      <w:r>
        <w:t>Focuses on the mechanism by which an inhibitor reduces barium sulfate deposition and the implications for dosage.</w:t>
      </w:r>
    </w:p>
    <w:p>
      <w:pPr>
        <w:pStyle w:val="RefBody"/>
      </w:pPr>
      <w:r>
        <w:rPr>
          <w:b/>
        </w:rPr>
        <w:t xml:space="preserve">Methodology. </w:t>
      </w:r>
      <w:r>
        <w:t>The slides describe flowing deposition experiments and a Langmuir adsorption interpretation of inhibition efficiency. An ACS supporting-information record was located; the cited article text was not available.</w:t>
      </w:r>
    </w:p>
    <w:p>
      <w:pPr>
        <w:pStyle w:val="RefBody"/>
      </w:pPr>
      <w:r>
        <w:rPr>
          <w:b/>
        </w:rPr>
        <w:t xml:space="preserve">Strengths. </w:t>
      </w:r>
      <w:r>
        <w:t>Connects dose to a surface mechanism rather than treating MIC as a universal constant.</w:t>
      </w:r>
    </w:p>
    <w:p>
      <w:pPr>
        <w:pStyle w:val="RefBody"/>
      </w:pPr>
      <w:r>
        <w:rPr>
          <w:b/>
        </w:rPr>
        <w:t xml:space="preserve">Weaknesses / limits. </w:t>
      </w:r>
      <w:r>
        <w:t>Adsorption parameters can depend on mineral, substrate, temperature, and competing species. Supporting information must not be mistaken for the full article.</w:t>
      </w:r>
    </w:p>
    <w:p>
      <w:pPr>
        <w:pStyle w:val="RefBody"/>
      </w:pPr>
      <w:r>
        <w:rPr>
          <w:b/>
        </w:rPr>
        <w:t xml:space="preserve">Project gap / next test. </w:t>
      </w:r>
      <w:r>
        <w:t>Compare a surface-coverage model with a simpler empirical concentration factor using inhibitor step-change experiments.</w:t>
      </w:r>
    </w:p>
    <w:p>
      <w:pPr>
        <w:pStyle w:val="RefMeta"/>
      </w:pPr>
      <w:r>
        <w:t xml:space="preserve">Source: </w:t>
      </w:r>
      <w:hyperlink r:id="rId35">
        <w:r>
          <w:rPr>
            <w:color w:val="187B8D"/>
            <w:u w:val="single"/>
          </w:rPr>
          <w:t>Supporting-information record only; original paper not read</w:t>
        </w:r>
      </w:hyperlink>
    </w:p>
    <w:p>
      <w:pPr>
        <w:pStyle w:val="RefMeta"/>
      </w:pPr>
      <w:hyperlink r:id="rId36">
        <w:r>
          <w:rPr>
            <w:color w:val="187B8D"/>
            <w:u w:val="single"/>
          </w:rPr>
          <w:t>Search the cited title</w:t>
        </w:r>
      </w:hyperlink>
    </w:p>
    <w:p>
      <w:pPr>
        <w:pStyle w:val="RefMeta"/>
        <w:spacing w:after="160"/>
      </w:pPr>
    </w:p>
    <w:p>
      <w:bookmarkStart w:id="20" w:name="P20"/>
      <w:pPr>
        <w:pStyle w:val="PaperHeading"/>
      </w:pPr>
      <w:r>
        <w:t>P20 | Machine learning linked to inhibition economics</w:t>
      </w:r>
      <w:bookmarkEnd w:id="20"/>
    </w:p>
    <w:p>
      <w:pPr>
        <w:pStyle w:val="RefCitation"/>
      </w:pPr>
      <w:r>
        <w:t>Al-Hajri, N. M., Al-Ghamdi, A., Tariq, Z., &amp; Mahmoud, M. (2020). Scale-prediction/inhibition design using machine-learning techniques and probabilistic approach. SPE Prod Oper 35: 0987–1009.</w:t>
      </w:r>
    </w:p>
    <w:p>
      <w:pPr>
        <w:pStyle w:val="RefMeta"/>
      </w:pPr>
      <w:r>
        <w:t>A — Abstract-based assessment  •  Presentation reference slide 20</w:t>
      </w:r>
    </w:p>
    <w:p>
      <w:pPr>
        <w:pStyle w:val="RefBody"/>
      </w:pPr>
      <w:r>
        <w:rPr>
          <w:b/>
        </w:rPr>
        <w:t xml:space="preserve">Introduction. </w:t>
      </w:r>
      <w:r>
        <w:t>This work predicts calcite scaling and uses prediction uncertainty to design an inhibition program.</w:t>
      </w:r>
    </w:p>
    <w:p>
      <w:pPr>
        <w:pStyle w:val="RefBody"/>
      </w:pPr>
      <w:r>
        <w:rPr>
          <w:b/>
        </w:rPr>
        <w:t xml:space="preserve">Methodology. </w:t>
      </w:r>
      <w:r>
        <w:t>The institutional abstract describes water-chemistry features, scale indices, several classifiers, an 80/20 split, and a probabilistic cost model informed by confusion-matrix outcomes.</w:t>
      </w:r>
    </w:p>
    <w:p>
      <w:pPr>
        <w:pStyle w:val="RefBody"/>
      </w:pPr>
      <w:r>
        <w:rPr>
          <w:b/>
        </w:rPr>
        <w:t xml:space="preserve">Strengths. </w:t>
      </w:r>
      <w:r>
        <w:t>Already integrates chemistry, surveillance, machine learning, uncertainty, and economic decisions. It is a close comparator for the project’s broad integration claim.</w:t>
      </w:r>
    </w:p>
    <w:p>
      <w:pPr>
        <w:pStyle w:val="RefBody"/>
      </w:pPr>
      <w:r>
        <w:rPr>
          <w:b/>
        </w:rPr>
        <w:t xml:space="preserve">Weaknesses / limits. </w:t>
      </w:r>
      <w:r>
        <w:t>Event classification and expected program cost do not by themselves provide local thickness trajectories. The abstract does not establish validation on future periods or unseen wells.</w:t>
      </w:r>
    </w:p>
    <w:p>
      <w:pPr>
        <w:pStyle w:val="RefBody"/>
      </w:pPr>
      <w:r>
        <w:rPr>
          <w:b/>
        </w:rPr>
        <w:t xml:space="preserve">Project gap / next test. </w:t>
      </w:r>
      <w:r>
        <w:t>Position the new contribution around spatial state estimation and temporal validation, then test its added decision value against this class of workflow.</w:t>
      </w:r>
    </w:p>
    <w:p>
      <w:pPr>
        <w:pStyle w:val="RefMeta"/>
      </w:pPr>
      <w:r>
        <w:t xml:space="preserve">Source: </w:t>
      </w:r>
      <w:hyperlink r:id="rId37">
        <w:r>
          <w:rPr>
            <w:color w:val="187B8D"/>
            <w:u w:val="single"/>
          </w:rPr>
          <w:t>Author abstract in institutional repository</w:t>
        </w:r>
      </w:hyperlink>
      <w:r>
        <w:t xml:space="preserve">  |  </w:t>
      </w:r>
      <w:hyperlink r:id="rId38">
        <w:r>
          <w:rPr>
            <w:color w:val="187B8D"/>
            <w:u w:val="single"/>
          </w:rPr>
          <w:t>DOI: 10.2118/198646-PA</w:t>
        </w:r>
      </w:hyperlink>
    </w:p>
    <w:p>
      <w:pPr>
        <w:pStyle w:val="Heading1"/>
        <w:pageBreakBefore/>
      </w:pPr>
      <w:r>
        <w:t>Individual paper reviews</w:t>
      </w:r>
    </w:p>
    <w:p>
      <w:bookmarkStart w:id="21" w:name="P21"/>
      <w:pPr>
        <w:pStyle w:val="PaperHeading"/>
      </w:pPr>
      <w:r>
        <w:t>P21 | Thermodynamic-property learning for precipitation</w:t>
      </w:r>
      <w:bookmarkEnd w:id="21"/>
    </w:p>
    <w:p>
      <w:pPr>
        <w:pStyle w:val="RefCitation"/>
      </w:pPr>
      <w:r>
        <w:t>Ugoyah, J. C., Ajienka, J. A., Wachikwu-Elechi, V. U., &amp; Ikiensikimama, S. S. (2022, August). Prediction of scale precipitation by modelling its thermodynamic properties using machine learning engineering. In SPE Nigeria Annual International Conference and Exhibition (p. D021S007R005). SPE.</w:t>
      </w:r>
    </w:p>
    <w:p>
      <w:pPr>
        <w:pStyle w:val="RefMeta"/>
      </w:pPr>
      <w:r>
        <w:t>C — Provisional; original paper not read  •  Presentation reference slide 20</w:t>
      </w:r>
    </w:p>
    <w:p>
      <w:pPr>
        <w:pStyle w:val="RefBody"/>
      </w:pPr>
      <w:r>
        <w:rPr>
          <w:b/>
        </w:rPr>
        <w:t xml:space="preserve">Introduction. </w:t>
      </w:r>
      <w:r>
        <w:t>The presentation places this work among machine-learning approaches for scale/no-scale prediction.</w:t>
      </w:r>
    </w:p>
    <w:p>
      <w:pPr>
        <w:pStyle w:val="RefBody"/>
      </w:pPr>
      <w:r>
        <w:rPr>
          <w:b/>
        </w:rPr>
        <w:t xml:space="preserve">Methodology. </w:t>
      </w:r>
      <w:r>
        <w:t>The slides group several algorithms across five references, so individual algorithm choices and data-processing details cannot be reliably assigned to this paper without its text.</w:t>
      </w:r>
    </w:p>
    <w:p>
      <w:pPr>
        <w:pStyle w:val="RefBody"/>
      </w:pPr>
      <w:r>
        <w:rPr>
          <w:b/>
        </w:rPr>
        <w:t xml:space="preserve">Strengths. </w:t>
      </w:r>
      <w:r>
        <w:t>Learning chemistry–outcome relationships may supply a rapid screening baseline.</w:t>
      </w:r>
    </w:p>
    <w:p>
      <w:pPr>
        <w:pStyle w:val="RefBody"/>
      </w:pPr>
      <w:r>
        <w:rPr>
          <w:b/>
        </w:rPr>
        <w:t xml:space="preserve">Weaknesses / limits. </w:t>
      </w:r>
      <w:r>
        <w:t>A model trained on thermodynamic labels may mainly reproduce its label generator. Class balance, missing-data treatment, and measurement provenance must be checked.</w:t>
      </w:r>
    </w:p>
    <w:p>
      <w:pPr>
        <w:pStyle w:val="RefBody"/>
      </w:pPr>
      <w:r>
        <w:rPr>
          <w:b/>
        </w:rPr>
        <w:t xml:space="preserve">Project gap / next test. </w:t>
      </w:r>
      <w:r>
        <w:t>Record whether every target is a measured event or a simulator output. Benchmark chemistry-only screening separately from measured thickness estimation.</w:t>
      </w:r>
    </w:p>
    <w:p>
      <w:pPr>
        <w:pStyle w:val="RefMeta"/>
      </w:pPr>
      <w:r>
        <w:t xml:space="preserve">Source: </w:t>
      </w:r>
      <w:hyperlink r:id="rId39">
        <w:r>
          <w:rPr>
            <w:color w:val="187B8D"/>
            <w:u w:val="single"/>
          </w:rPr>
          <w:t>Presentation only; original paper not read</w:t>
        </w:r>
      </w:hyperlink>
    </w:p>
    <w:p>
      <w:pPr>
        <w:pStyle w:val="RefMeta"/>
      </w:pPr>
      <w:hyperlink r:id="rId39">
        <w:r>
          <w:rPr>
            <w:color w:val="187B8D"/>
            <w:u w:val="single"/>
          </w:rPr>
          <w:t>Search the cited title</w:t>
        </w:r>
      </w:hyperlink>
    </w:p>
    <w:p>
      <w:pPr>
        <w:pStyle w:val="RefMeta"/>
        <w:spacing w:after="160"/>
      </w:pPr>
    </w:p>
    <w:p>
      <w:bookmarkStart w:id="22" w:name="P22"/>
      <w:pPr>
        <w:pStyle w:val="PaperHeading"/>
      </w:pPr>
      <w:r>
        <w:t>P22 | Comparing machine learning under harsh conditions</w:t>
      </w:r>
      <w:bookmarkEnd w:id="22"/>
    </w:p>
    <w:p>
      <w:pPr>
        <w:pStyle w:val="RefCitation"/>
      </w:pPr>
      <w:r>
        <w:t>Yousefzadeh, R., Bemani, A., Kazemi, A., &amp; Ahmadi, M. (2023). An insight into the prediction of scale precipitation in harsh conditions using different machine learning algorithms. SPE Production &amp; Operations, 38(02), 286-304.</w:t>
      </w:r>
    </w:p>
    <w:p>
      <w:pPr>
        <w:pStyle w:val="RefMeta"/>
      </w:pPr>
      <w:r>
        <w:t>C — Provisional; original paper not read  •  Presentation reference slide 20</w:t>
      </w:r>
    </w:p>
    <w:p>
      <w:pPr>
        <w:pStyle w:val="RefBody"/>
      </w:pPr>
      <w:r>
        <w:rPr>
          <w:b/>
        </w:rPr>
        <w:t xml:space="preserve">Introduction. </w:t>
      </w:r>
      <w:r>
        <w:t>Examines data-driven prediction of mineral precipitation in challenging production-water conditions.</w:t>
      </w:r>
    </w:p>
    <w:p>
      <w:pPr>
        <w:pStyle w:val="RefBody"/>
      </w:pPr>
      <w:r>
        <w:rPr>
          <w:b/>
        </w:rPr>
        <w:t xml:space="preserve">Methodology. </w:t>
      </w:r>
      <w:r>
        <w:t>Presentation 4 lists it within comparative scale/no-scale learning studies. Its DOI was cross-checked through a later paper’s bibliography, but its own methods were not read.</w:t>
      </w:r>
    </w:p>
    <w:p>
      <w:pPr>
        <w:pStyle w:val="RefBody"/>
      </w:pPr>
      <w:r>
        <w:rPr>
          <w:b/>
        </w:rPr>
        <w:t xml:space="preserve">Strengths. </w:t>
      </w:r>
      <w:r>
        <w:t>Potentially provides a strong conventional ML baseline and useful evidence about nonlinear chemistry relationships.</w:t>
      </w:r>
    </w:p>
    <w:p>
      <w:pPr>
        <w:pStyle w:val="RefBody"/>
      </w:pPr>
      <w:r>
        <w:rPr>
          <w:b/>
        </w:rPr>
        <w:t xml:space="preserve">Weaknesses / limits. </w:t>
      </w:r>
      <w:r>
        <w:t>The phrase “harsh conditions” does not establish coverage of the intended flowline. Pressure, temperature, salinity, and independent-test ranges need direct verification.</w:t>
      </w:r>
    </w:p>
    <w:p>
      <w:pPr>
        <w:pStyle w:val="RefBody"/>
      </w:pPr>
      <w:r>
        <w:rPr>
          <w:b/>
        </w:rPr>
        <w:t xml:space="preserve">Project gap / next test. </w:t>
      </w:r>
      <w:r>
        <w:t>Use the paper to define an explicit training domain and test out-of-domain behavior rather than relying on aggregate classification accuracy.</w:t>
      </w:r>
    </w:p>
    <w:p>
      <w:pPr>
        <w:pStyle w:val="RefMeta"/>
      </w:pPr>
      <w:r>
        <w:t xml:space="preserve">Source: </w:t>
      </w:r>
      <w:hyperlink r:id="rId40">
        <w:r>
          <w:rPr>
            <w:color w:val="187B8D"/>
            <w:u w:val="single"/>
          </w:rPr>
          <w:t>Presentation only; original paper not read</w:t>
        </w:r>
      </w:hyperlink>
      <w:r>
        <w:t xml:space="preserve">  |  </w:t>
      </w:r>
      <w:hyperlink r:id="rId40">
        <w:r>
          <w:rPr>
            <w:color w:val="187B8D"/>
            <w:u w:val="single"/>
          </w:rPr>
          <w:t>DOI: 10.2118/212846-PA</w:t>
        </w:r>
      </w:hyperlink>
    </w:p>
    <w:p>
      <w:pPr>
        <w:pStyle w:val="RefMeta"/>
      </w:pPr>
      <w:hyperlink r:id="rId41">
        <w:r>
          <w:rPr>
            <w:color w:val="187B8D"/>
            <w:u w:val="single"/>
          </w:rPr>
          <w:t>Search the cited title</w:t>
        </w:r>
      </w:hyperlink>
    </w:p>
    <w:p>
      <w:pPr>
        <w:pStyle w:val="Heading1"/>
        <w:pageBreakBefore/>
      </w:pPr>
      <w:r>
        <w:t>Individual paper reviews</w:t>
      </w:r>
    </w:p>
    <w:p>
      <w:bookmarkStart w:id="23" w:name="P23"/>
      <w:pPr>
        <w:pStyle w:val="PaperHeading"/>
      </w:pPr>
      <w:r>
        <w:t>P23 | Machine learning in a sandstone-reservoir case</w:t>
      </w:r>
      <w:bookmarkEnd w:id="23"/>
    </w:p>
    <w:p>
      <w:pPr>
        <w:pStyle w:val="RefCitation"/>
      </w:pPr>
      <w:r>
        <w:t>Al-Hatmi, A. R. (2023). Application of Machine Learning Techniques For Inorganic Scale Precipitation Prediction in a Sandstone Reservoir. Sultan Qaboos University (Oman).</w:t>
      </w:r>
    </w:p>
    <w:p>
      <w:pPr>
        <w:pStyle w:val="RefMeta"/>
      </w:pPr>
      <w:r>
        <w:t>C — Provisional; original paper not read  •  Presentation reference slide 20</w:t>
      </w:r>
    </w:p>
    <w:p>
      <w:pPr>
        <w:pStyle w:val="RefBody"/>
      </w:pPr>
      <w:r>
        <w:rPr>
          <w:b/>
        </w:rPr>
        <w:t xml:space="preserve">Introduction. </w:t>
      </w:r>
      <w:r>
        <w:t>A 2023 Sultan Qaboos University thesis concerned with inorganic scale precipitation in a sandstone reservoir.</w:t>
      </w:r>
    </w:p>
    <w:p>
      <w:pPr>
        <w:pStyle w:val="RefBody"/>
      </w:pPr>
      <w:r>
        <w:rPr>
          <w:b/>
        </w:rPr>
        <w:t xml:space="preserve">Methodology. </w:t>
      </w:r>
      <w:r>
        <w:t>The citation and university repository record were located. The slides place it in scale-tendency learning; thesis-specific algorithms, datasets, and results were not accessible.</w:t>
      </w:r>
    </w:p>
    <w:p>
      <w:pPr>
        <w:pStyle w:val="RefBody"/>
      </w:pPr>
      <w:r>
        <w:rPr>
          <w:b/>
        </w:rPr>
        <w:t xml:space="preserve">Strengths. </w:t>
      </w:r>
      <w:r>
        <w:t>A thesis may provide fuller implementation detail and data provenance than a short conference paper.</w:t>
      </w:r>
    </w:p>
    <w:p>
      <w:pPr>
        <w:pStyle w:val="RefBody"/>
      </w:pPr>
      <w:r>
        <w:rPr>
          <w:b/>
        </w:rPr>
        <w:t xml:space="preserve">Weaknesses / limits. </w:t>
      </w:r>
      <w:r>
        <w:t>It is a thesis, not a journal article. Reservoir-specific prediction is not direct evidence for real-time surface-flowline localization.</w:t>
      </w:r>
    </w:p>
    <w:p>
      <w:pPr>
        <w:pStyle w:val="RefBody"/>
      </w:pPr>
      <w:r>
        <w:rPr>
          <w:b/>
        </w:rPr>
        <w:t xml:space="preserve">Project gap / next test. </w:t>
      </w:r>
      <w:r>
        <w:t>Retrieve the thesis and extract its data schema and validation design. Assess which variables transfer to the surface-flowline problem.</w:t>
      </w:r>
    </w:p>
    <w:p>
      <w:pPr>
        <w:pStyle w:val="RefMeta"/>
      </w:pPr>
      <w:r>
        <w:t xml:space="preserve">Source: </w:t>
      </w:r>
      <w:hyperlink r:id="rId42">
        <w:r>
          <w:rPr>
            <w:color w:val="187B8D"/>
            <w:u w:val="single"/>
          </w:rPr>
          <w:t>Thesis record located; full text not read</w:t>
        </w:r>
      </w:hyperlink>
    </w:p>
    <w:p>
      <w:pPr>
        <w:pStyle w:val="RefMeta"/>
      </w:pPr>
      <w:hyperlink r:id="rId43">
        <w:r>
          <w:rPr>
            <w:color w:val="187B8D"/>
            <w:u w:val="single"/>
          </w:rPr>
          <w:t>Search the cited title</w:t>
        </w:r>
      </w:hyperlink>
    </w:p>
    <w:p>
      <w:pPr>
        <w:pStyle w:val="RefMeta"/>
        <w:spacing w:after="160"/>
      </w:pPr>
    </w:p>
    <w:p>
      <w:bookmarkStart w:id="24" w:name="P24"/>
      <w:pPr>
        <w:pStyle w:val="PaperHeading"/>
      </w:pPr>
      <w:r>
        <w:t>P24 | Neural simulation of calcite tube blocking with MEG</w:t>
      </w:r>
      <w:bookmarkEnd w:id="24"/>
    </w:p>
    <w:p>
      <w:pPr>
        <w:pStyle w:val="RefCitation"/>
      </w:pPr>
      <w:r>
        <w:t>Ferreira, B. X., Barbosa, C. R. H., Cajaiba, J., Kartnaller, V., &amp; Santos, B. F. (2022). Development of artificial neural network models for the simulation of a CaCO3 Scale formation process in the presence of monoethylene glycol (MEG) in dynamic tube blocking test equipment. Energy &amp; Fuels, 36(4), 2288-2299.</w:t>
      </w:r>
    </w:p>
    <w:p>
      <w:pPr>
        <w:pStyle w:val="RefMeta"/>
      </w:pPr>
      <w:r>
        <w:t>C — Provisional; original paper not read  •  Presentation reference slide 20</w:t>
      </w:r>
    </w:p>
    <w:p>
      <w:pPr>
        <w:pStyle w:val="RefBody"/>
      </w:pPr>
      <w:r>
        <w:rPr>
          <w:b/>
        </w:rPr>
        <w:t xml:space="preserve">Introduction. </w:t>
      </w:r>
      <w:r>
        <w:t>Explores neural modeling of calcium carbonate formation when monoethylene glycol is present in a dynamic test system.</w:t>
      </w:r>
    </w:p>
    <w:p>
      <w:pPr>
        <w:pStyle w:val="RefBody"/>
      </w:pPr>
      <w:r>
        <w:rPr>
          <w:b/>
        </w:rPr>
        <w:t xml:space="preserve">Methodology. </w:t>
      </w:r>
      <w:r>
        <w:t>The title and slides indicate ANN modeling of a dynamic tube-blocking process with MEG. The exact outputs, training design, and inhibitor treatment require the original article.</w:t>
      </w:r>
    </w:p>
    <w:p>
      <w:pPr>
        <w:pStyle w:val="RefBody"/>
      </w:pPr>
      <w:r>
        <w:rPr>
          <w:b/>
        </w:rPr>
        <w:t xml:space="preserve">Strengths. </w:t>
      </w:r>
      <w:r>
        <w:t>Recognizes that a flow-assurance additive can alter the scaling environment and therefore the model inputs.</w:t>
      </w:r>
    </w:p>
    <w:p>
      <w:pPr>
        <w:pStyle w:val="RefBody"/>
      </w:pPr>
      <w:r>
        <w:rPr>
          <w:b/>
        </w:rPr>
        <w:t xml:space="preserve">Weaknesses / limits. </w:t>
      </w:r>
      <w:r>
        <w:t>A tube-blocking endpoint cannot automatically be translated into distributed thickness. The title does not justify reducing the whole paper to binary classification.</w:t>
      </w:r>
    </w:p>
    <w:p>
      <w:pPr>
        <w:pStyle w:val="RefBody"/>
      </w:pPr>
      <w:r>
        <w:rPr>
          <w:b/>
        </w:rPr>
        <w:t xml:space="preserve">Project gap / next test. </w:t>
      </w:r>
      <w:r>
        <w:t>Include relevant solvent/additive concentrations in the chemistry model and test whether prediction remains valid when MEG changes.</w:t>
      </w:r>
    </w:p>
    <w:p>
      <w:pPr>
        <w:pStyle w:val="RefMeta"/>
      </w:pPr>
      <w:r>
        <w:t xml:space="preserve">Source: </w:t>
      </w:r>
      <w:hyperlink r:id="rId44">
        <w:r>
          <w:rPr>
            <w:color w:val="187B8D"/>
            <w:u w:val="single"/>
          </w:rPr>
          <w:t>Presentation only; original paper not read</w:t>
        </w:r>
      </w:hyperlink>
    </w:p>
    <w:p>
      <w:pPr>
        <w:pStyle w:val="RefMeta"/>
      </w:pPr>
      <w:hyperlink r:id="rId44">
        <w:r>
          <w:rPr>
            <w:color w:val="187B8D"/>
            <w:u w:val="single"/>
          </w:rPr>
          <w:t>Search the cited title</w:t>
        </w:r>
      </w:hyperlink>
    </w:p>
    <w:p>
      <w:pPr>
        <w:pStyle w:val="Heading1"/>
        <w:pageBreakBefore/>
      </w:pPr>
      <w:r>
        <w:t>Individual paper reviews</w:t>
      </w:r>
    </w:p>
    <w:p>
      <w:bookmarkStart w:id="25" w:name="P25"/>
      <w:pPr>
        <w:pStyle w:val="PaperHeading"/>
      </w:pPr>
      <w:r>
        <w:t>P25 | Dissolved calcite concentration as an ML target</w:t>
      </w:r>
      <w:bookmarkEnd w:id="25"/>
    </w:p>
    <w:p>
      <w:pPr>
        <w:pStyle w:val="RefCitation"/>
      </w:pPr>
      <w:r>
        <w:t>Ahmadi, M. A., Bahadori, A., &amp; Shadizadeh, S. R. (2015). A rigorous model to predict the amount of dissolved calcium carbonate concentration throughout oil field brines: side effect of pressure and temperature. Fuel, 139, 154-159.</w:t>
      </w:r>
    </w:p>
    <w:p>
      <w:pPr>
        <w:pStyle w:val="RefMeta"/>
      </w:pPr>
      <w:r>
        <w:t>C — Provisional; original paper not read  •  Presentation reference slide 23</w:t>
      </w:r>
    </w:p>
    <w:p>
      <w:pPr>
        <w:pStyle w:val="RefBody"/>
      </w:pPr>
      <w:r>
        <w:rPr>
          <w:b/>
        </w:rPr>
        <w:t xml:space="preserve">Introduction. </w:t>
      </w:r>
      <w:r>
        <w:t>Predicts dissolved calcium carbonate concentration in oilfield brines under changing pressure and temperature.</w:t>
      </w:r>
    </w:p>
    <w:p>
      <w:pPr>
        <w:pStyle w:val="RefBody"/>
      </w:pPr>
      <w:r>
        <w:rPr>
          <w:b/>
        </w:rPr>
        <w:t xml:space="preserve">Methodology. </w:t>
      </w:r>
      <w:r>
        <w:t>The presentation lists a least-squares support-vector approach, radial-basis functions, and genetic optimization. The regression formulation should be checked: a continuous concentration target is not inherently a classification task.</w:t>
      </w:r>
    </w:p>
    <w:p>
      <w:pPr>
        <w:pStyle w:val="RefBody"/>
      </w:pPr>
      <w:r>
        <w:rPr>
          <w:b/>
        </w:rPr>
        <w:t xml:space="preserve">Strengths. </w:t>
      </w:r>
      <w:r>
        <w:t>Can provide a fast surrogate for a chemistry calculation if trained over a suitable range.</w:t>
      </w:r>
    </w:p>
    <w:p>
      <w:pPr>
        <w:pStyle w:val="RefBody"/>
      </w:pPr>
      <w:r>
        <w:rPr>
          <w:b/>
        </w:rPr>
        <w:t xml:space="preserve">Weaknesses / limits. </w:t>
      </w:r>
      <w:r>
        <w:t>Solubility is not attached scale mass, location, or growth rate. A model using limited variables may not cover complex brine composition.</w:t>
      </w:r>
    </w:p>
    <w:p>
      <w:pPr>
        <w:pStyle w:val="RefBody"/>
      </w:pPr>
      <w:r>
        <w:rPr>
          <w:b/>
        </w:rPr>
        <w:t xml:space="preserve">Project gap / next test. </w:t>
      </w:r>
      <w:r>
        <w:t>Use predicted solubility only inside a wider chemistry/transport model and preserve uncertainty from this intermediate prediction.</w:t>
      </w:r>
    </w:p>
    <w:p>
      <w:pPr>
        <w:pStyle w:val="RefMeta"/>
      </w:pPr>
      <w:r>
        <w:t xml:space="preserve">Source: </w:t>
      </w:r>
      <w:hyperlink r:id="rId45">
        <w:r>
          <w:rPr>
            <w:color w:val="187B8D"/>
            <w:u w:val="single"/>
          </w:rPr>
          <w:t>Presentation only; original paper not read</w:t>
        </w:r>
      </w:hyperlink>
    </w:p>
    <w:p>
      <w:pPr>
        <w:pStyle w:val="RefMeta"/>
      </w:pPr>
      <w:hyperlink r:id="rId45">
        <w:r>
          <w:rPr>
            <w:color w:val="187B8D"/>
            <w:u w:val="single"/>
          </w:rPr>
          <w:t>Search the cited title</w:t>
        </w:r>
      </w:hyperlink>
    </w:p>
    <w:p>
      <w:pPr>
        <w:pStyle w:val="RefMeta"/>
        <w:spacing w:after="160"/>
      </w:pPr>
    </w:p>
    <w:p>
      <w:bookmarkStart w:id="26" w:name="P26"/>
      <w:pPr>
        <w:pStyle w:val="PaperHeading"/>
      </w:pPr>
      <w:r>
        <w:t>P26 | Machine learning for sulfate solubility</w:t>
      </w:r>
      <w:bookmarkEnd w:id="26"/>
    </w:p>
    <w:p>
      <w:pPr>
        <w:pStyle w:val="RefCitation"/>
      </w:pPr>
      <w:r>
        <w:t>Cao, Z., Hu, Y., &amp; Zhang, P. (2024). Predicting sulfate mineral scale solubility with machine learning. Journal of Cleaner Production, 461, 142655.</w:t>
      </w:r>
    </w:p>
    <w:p>
      <w:pPr>
        <w:pStyle w:val="RefMeta"/>
      </w:pPr>
      <w:r>
        <w:t>C — Provisional; original paper not read  •  Presentation reference slide 23</w:t>
      </w:r>
    </w:p>
    <w:p>
      <w:pPr>
        <w:pStyle w:val="RefBody"/>
      </w:pPr>
      <w:r>
        <w:rPr>
          <w:b/>
        </w:rPr>
        <w:t xml:space="preserve">Introduction. </w:t>
      </w:r>
      <w:r>
        <w:t>Targets solubility of sulfate scale minerals, a prerequisite for calculating their thermodynamic driving force.</w:t>
      </w:r>
    </w:p>
    <w:p>
      <w:pPr>
        <w:pStyle w:val="RefBody"/>
      </w:pPr>
      <w:r>
        <w:rPr>
          <w:b/>
        </w:rPr>
        <w:t xml:space="preserve">Methodology. </w:t>
      </w:r>
      <w:r>
        <w:t>The author’s publication record was located. The slides describe multiple statistical and ML models using temperature, pressure, electrolyte composition, and ionic strength; exact comparisons were not inspected.</w:t>
      </w:r>
    </w:p>
    <w:p>
      <w:pPr>
        <w:pStyle w:val="RefBody"/>
      </w:pPr>
      <w:r>
        <w:rPr>
          <w:b/>
        </w:rPr>
        <w:t xml:space="preserve">Strengths. </w:t>
      </w:r>
      <w:r>
        <w:t>Potentially accelerates thermodynamic calculations for repeated estimation and forecasting.</w:t>
      </w:r>
    </w:p>
    <w:p>
      <w:pPr>
        <w:pStyle w:val="RefBody"/>
      </w:pPr>
      <w:r>
        <w:rPr>
          <w:b/>
        </w:rPr>
        <w:t xml:space="preserve">Weaknesses / limits. </w:t>
      </w:r>
      <w:r>
        <w:t>Fast solubility prediction cannot independently establish precipitation timing or wall deposition. Extrapolation to new electrolyte mixtures needs separate testing.</w:t>
      </w:r>
    </w:p>
    <w:p>
      <w:pPr>
        <w:pStyle w:val="RefBody"/>
      </w:pPr>
      <w:r>
        <w:rPr>
          <w:b/>
        </w:rPr>
        <w:t xml:space="preserve">Project gap / next test. </w:t>
      </w:r>
      <w:r>
        <w:t>Benchmark any ML chemistry surrogate against an appropriate speciation model across the intended brine domain before using it online.</w:t>
      </w:r>
    </w:p>
    <w:p>
      <w:pPr>
        <w:pStyle w:val="RefMeta"/>
      </w:pPr>
      <w:r>
        <w:t xml:space="preserve">Source: </w:t>
      </w:r>
      <w:hyperlink r:id="rId46">
        <w:r>
          <w:rPr>
            <w:color w:val="187B8D"/>
            <w:u w:val="single"/>
          </w:rPr>
          <w:t>Author publication record located; full text not read</w:t>
        </w:r>
      </w:hyperlink>
    </w:p>
    <w:p>
      <w:pPr>
        <w:pStyle w:val="RefMeta"/>
      </w:pPr>
      <w:hyperlink r:id="rId47">
        <w:r>
          <w:rPr>
            <w:color w:val="187B8D"/>
            <w:u w:val="single"/>
          </w:rPr>
          <w:t>Search the cited title</w:t>
        </w:r>
      </w:hyperlink>
    </w:p>
    <w:p>
      <w:pPr>
        <w:pStyle w:val="Heading1"/>
        <w:pageBreakBefore/>
      </w:pPr>
      <w:r>
        <w:t>Individual paper reviews</w:t>
      </w:r>
    </w:p>
    <w:p>
      <w:bookmarkStart w:id="27" w:name="P27"/>
      <w:pPr>
        <w:pStyle w:val="PaperHeading"/>
      </w:pPr>
      <w:r>
        <w:t>P27 | Field-data prediction of sulfide composition</w:t>
      </w:r>
      <w:bookmarkEnd w:id="27"/>
    </w:p>
    <w:p>
      <w:pPr>
        <w:pStyle w:val="RefCitation"/>
      </w:pPr>
      <w:r>
        <w:t>Askar, M. M., Abu El Ela, M., El-Banbi, A. H., &amp; Sayyouh, M. H. M. (2025). Development of machine learning models for predicting the deposition of sulfide scales in oil production wells. Journal of King Saud University – Engineering Sciences, 37, article 43.</w:t>
      </w:r>
    </w:p>
    <w:p>
      <w:pPr>
        <w:pStyle w:val="RefMeta"/>
      </w:pPr>
      <w:r>
        <w:t>F — Original article sections read online  •  Presentation reference slide 23</w:t>
      </w:r>
    </w:p>
    <w:p>
      <w:pPr>
        <w:pStyle w:val="RefBody"/>
      </w:pPr>
      <w:r>
        <w:rPr>
          <w:b/>
        </w:rPr>
        <w:t xml:space="preserve">Introduction. </w:t>
      </w:r>
      <w:r>
        <w:t>Predicts the composition of zinc, lead, and iron sulfides in collected scale samples; this is distinct from a saturation-index model.</w:t>
      </w:r>
    </w:p>
    <w:p>
      <w:pPr>
        <w:pStyle w:val="RefBody"/>
      </w:pPr>
      <w:r>
        <w:rPr>
          <w:b/>
        </w:rPr>
        <w:t xml:space="preserve">Methodology. </w:t>
      </w:r>
      <w:r>
        <w:t>The paper uses 1,486 scale incidences from 347 wells in 17 fields over 22 years, comparing neural networks and conventional ML after a random 80/20 split.</w:t>
      </w:r>
    </w:p>
    <w:p>
      <w:pPr>
        <w:pStyle w:val="RefBody"/>
      </w:pPr>
      <w:r>
        <w:rPr>
          <w:b/>
        </w:rPr>
        <w:t xml:space="preserve">Strengths. </w:t>
      </w:r>
      <w:r>
        <w:t>Uses physically collected, analyzed scale samples. It explicitly targets mineral composition rather than only simulated chemical tendency.</w:t>
      </w:r>
    </w:p>
    <w:p>
      <w:pPr>
        <w:pStyle w:val="RefBody"/>
      </w:pPr>
      <w:r>
        <w:rPr>
          <w:b/>
        </w:rPr>
        <w:t xml:space="preserve">Weaknesses / limits. </w:t>
      </w:r>
      <w:r>
        <w:t>Random splitting does not establish transfer to unseen wells or future periods. Reported testing R² for iron-sulfide models is about 0.30 despite much higher training fit; data are not openly available.</w:t>
      </w:r>
    </w:p>
    <w:p>
      <w:pPr>
        <w:pStyle w:val="RefBody"/>
      </w:pPr>
      <w:r>
        <w:rPr>
          <w:b/>
        </w:rPr>
        <w:t xml:space="preserve">Project gap / next test. </w:t>
      </w:r>
      <w:r>
        <w:t>Use grouped temporal tests and distinguish mineral composition from deposit thickness. Correct the slide citation to volume 37, article 43, DOI 10.1007/s44444-025-00045-3.</w:t>
      </w:r>
    </w:p>
    <w:p>
      <w:pPr>
        <w:pStyle w:val="RefMeta"/>
      </w:pPr>
      <w:r>
        <w:t xml:space="preserve">Source: </w:t>
      </w:r>
      <w:hyperlink r:id="rId48">
        <w:r>
          <w:rPr>
            <w:color w:val="187B8D"/>
            <w:u w:val="single"/>
          </w:rPr>
          <w:t>Original article: introduction, methods, results, conclusions consulted online</w:t>
        </w:r>
      </w:hyperlink>
      <w:r>
        <w:t xml:space="preserve">  |  </w:t>
      </w:r>
      <w:hyperlink r:id="rId49">
        <w:r>
          <w:rPr>
            <w:color w:val="187B8D"/>
            <w:u w:val="single"/>
          </w:rPr>
          <w:t>DOI: 10.1007/s44444-025-00045-3</w:t>
        </w:r>
      </w:hyperlink>
    </w:p>
    <w:p>
      <w:pPr>
        <w:pStyle w:val="RefMeta"/>
        <w:spacing w:after="160"/>
      </w:pPr>
    </w:p>
    <w:p>
      <w:bookmarkStart w:id="28" w:name="P28"/>
      <w:pPr>
        <w:pStyle w:val="PaperHeading"/>
      </w:pPr>
      <w:r>
        <w:t>P28 | Predicting barium/strontium sulfate deposits</w:t>
      </w:r>
      <w:bookmarkEnd w:id="28"/>
    </w:p>
    <w:p>
      <w:pPr>
        <w:pStyle w:val="RefCitation"/>
      </w:pPr>
      <w:r>
        <w:t>Askar, M. M., El Ela, M. A., El-Banbi, A. H., &amp; Sayyouh, M. H. (2024, November). Predicting scale depositions of barium and strontium sulfates using novel artificial neural network algorithms. In Abu Dhabi International Petroleum Exhibition and Conference (p. D021S045R006). SPE.</w:t>
      </w:r>
    </w:p>
    <w:p>
      <w:pPr>
        <w:pStyle w:val="RefMeta"/>
      </w:pPr>
      <w:r>
        <w:t>C — Provisional; original paper not read  •  Presentation reference slide 23</w:t>
      </w:r>
    </w:p>
    <w:p>
      <w:pPr>
        <w:pStyle w:val="RefBody"/>
      </w:pPr>
      <w:r>
        <w:rPr>
          <w:b/>
        </w:rPr>
        <w:t xml:space="preserve">Introduction. </w:t>
      </w:r>
      <w:r>
        <w:t>Targets sulfate deposition with neural algorithms. The author publication record and DOI identify a separate 2024 conference paper.</w:t>
      </w:r>
    </w:p>
    <w:p>
      <w:pPr>
        <w:pStyle w:val="RefBody"/>
      </w:pPr>
      <w:r>
        <w:rPr>
          <w:b/>
        </w:rPr>
        <w:t xml:space="preserve">Methodology. </w:t>
      </w:r>
      <w:r>
        <w:t>Presentation 4’s row-to-reference mapping is inconsistent here. The title supports BaSO4/SrSO4 targets, but the specific output units and network details require the paper.</w:t>
      </w:r>
    </w:p>
    <w:p>
      <w:pPr>
        <w:pStyle w:val="RefBody"/>
      </w:pPr>
      <w:r>
        <w:rPr>
          <w:b/>
        </w:rPr>
        <w:t xml:space="preserve">Strengths. </w:t>
      </w:r>
      <w:r>
        <w:t>Relevant to the later multi-mineral stage of the project and to chemistry-based scale identification.</w:t>
      </w:r>
    </w:p>
    <w:p>
      <w:pPr>
        <w:pStyle w:val="RefBody"/>
      </w:pPr>
      <w:r>
        <w:rPr>
          <w:b/>
        </w:rPr>
        <w:t xml:space="preserve">Weaknesses / limits. </w:t>
      </w:r>
      <w:r>
        <w:t>Do not assign a neighboring slide row’s mineral list, algorithm, or target to this paper without checking. Composition prediction would still differ from thickness reconstruction.</w:t>
      </w:r>
    </w:p>
    <w:p>
      <w:pPr>
        <w:pStyle w:val="RefBody"/>
      </w:pPr>
      <w:r>
        <w:rPr>
          <w:b/>
        </w:rPr>
        <w:t xml:space="preserve">Project gap / next test. </w:t>
      </w:r>
      <w:r>
        <w:t>Retrieve it before choosing the mineral-identification model; verify whether its labels describe occurrence, composition, or deposited quantity.</w:t>
      </w:r>
    </w:p>
    <w:p>
      <w:pPr>
        <w:pStyle w:val="RefMeta"/>
      </w:pPr>
      <w:r>
        <w:t xml:space="preserve">Source: </w:t>
      </w:r>
      <w:hyperlink r:id="rId50">
        <w:r>
          <w:rPr>
            <w:color w:val="187B8D"/>
            <w:u w:val="single"/>
          </w:rPr>
          <w:t>Author publication record located; full text not read</w:t>
        </w:r>
      </w:hyperlink>
      <w:r>
        <w:t xml:space="preserve">  |  </w:t>
      </w:r>
      <w:hyperlink r:id="rId51">
        <w:r>
          <w:rPr>
            <w:color w:val="187B8D"/>
            <w:u w:val="single"/>
          </w:rPr>
          <w:t>DOI: 10.2118/222123-MS</w:t>
        </w:r>
      </w:hyperlink>
    </w:p>
    <w:p>
      <w:pPr>
        <w:pStyle w:val="RefMeta"/>
      </w:pPr>
      <w:hyperlink r:id="rId52">
        <w:r>
          <w:rPr>
            <w:color w:val="187B8D"/>
            <w:u w:val="single"/>
          </w:rPr>
          <w:t>Search the cited title</w:t>
        </w:r>
      </w:hyperlink>
    </w:p>
    <w:p>
      <w:pPr>
        <w:pStyle w:val="Heading1"/>
        <w:pageBreakBefore/>
      </w:pPr>
      <w:r>
        <w:t>Individual paper reviews</w:t>
      </w:r>
    </w:p>
    <w:p>
      <w:bookmarkStart w:id="29" w:name="P29"/>
      <w:pPr>
        <w:pStyle w:val="PaperHeading"/>
      </w:pPr>
      <w:r>
        <w:t>P29 | AI optimization for barite prediction and inhibition</w:t>
      </w:r>
      <w:bookmarkEnd w:id="29"/>
    </w:p>
    <w:p>
      <w:pPr>
        <w:pStyle w:val="RefCitation"/>
      </w:pPr>
      <w:r>
        <w:t>Belkacem, O., Rezrazi, A., Aizi, K., Abdelouahed, L., Laidi, M., Touil, A., ... &amp; Hanini, S. (2025). Prediction of barite scale formation and inhibition in hydrocarbon reservoirs using AI modeling: Focus on different optimization algorithms. Results in engineering, 26, 105222.</w:t>
      </w:r>
    </w:p>
    <w:p>
      <w:pPr>
        <w:pStyle w:val="RefMeta"/>
      </w:pPr>
      <w:r>
        <w:t>C — Provisional; original paper not read  •  Presentation reference slide 23</w:t>
      </w:r>
    </w:p>
    <w:p>
      <w:pPr>
        <w:pStyle w:val="RefBody"/>
      </w:pPr>
      <w:r>
        <w:rPr>
          <w:b/>
        </w:rPr>
        <w:t xml:space="preserve">Introduction. </w:t>
      </w:r>
      <w:r>
        <w:t>Addresses barite scaling in hydrocarbon reservoirs and the effect of alternative optimization algorithms on AI modeling.</w:t>
      </w:r>
    </w:p>
    <w:p>
      <w:pPr>
        <w:pStyle w:val="RefBody"/>
      </w:pPr>
      <w:r>
        <w:rPr>
          <w:b/>
        </w:rPr>
        <w:t xml:space="preserve">Methodology. </w:t>
      </w:r>
      <w:r>
        <w:t>A matching open-access article record and repository PDF link were located. The original text could not be read; therefore specific architectures, data volume, and performance are not asserted.</w:t>
      </w:r>
    </w:p>
    <w:p>
      <w:pPr>
        <w:pStyle w:val="RefBody"/>
      </w:pPr>
      <w:r>
        <w:rPr>
          <w:b/>
        </w:rPr>
        <w:t xml:space="preserve">Strengths. </w:t>
      </w:r>
      <w:r>
        <w:t>Potentially provides a recent comparator for AI-assisted barite prediction and inhibitor-related modeling.</w:t>
      </w:r>
    </w:p>
    <w:p>
      <w:pPr>
        <w:pStyle w:val="RefBody"/>
      </w:pPr>
      <w:r>
        <w:rPr>
          <w:b/>
        </w:rPr>
        <w:t xml:space="preserve">Weaknesses / limits. </w:t>
      </w:r>
      <w:r>
        <w:t>Optimizing model parameters is not the same as optimizing a time-varying chemical dose. The title alone cannot establish closed-loop control.</w:t>
      </w:r>
    </w:p>
    <w:p>
      <w:pPr>
        <w:pStyle w:val="RefBody"/>
      </w:pPr>
      <w:r>
        <w:rPr>
          <w:b/>
        </w:rPr>
        <w:t xml:space="preserve">Project gap / next test. </w:t>
      </w:r>
      <w:r>
        <w:t>Check the optimization decision variables carefully and compare its actual target with the proposed dynamic state-and-dose problem.</w:t>
      </w:r>
    </w:p>
    <w:p>
      <w:pPr>
        <w:pStyle w:val="RefMeta"/>
      </w:pPr>
      <w:r>
        <w:t xml:space="preserve">Source: </w:t>
      </w:r>
      <w:hyperlink r:id="rId53">
        <w:r>
          <w:rPr>
            <w:color w:val="187B8D"/>
            <w:u w:val="single"/>
          </w:rPr>
          <w:t>Repository record/PDF located; access blocked</w:t>
        </w:r>
      </w:hyperlink>
      <w:r>
        <w:t xml:space="preserve">  |  </w:t>
      </w:r>
      <w:hyperlink r:id="rId54">
        <w:r>
          <w:rPr>
            <w:color w:val="187B8D"/>
            <w:u w:val="single"/>
          </w:rPr>
          <w:t>DOI: 10.1016/j.rineng.2025.105222</w:t>
        </w:r>
      </w:hyperlink>
    </w:p>
    <w:p>
      <w:pPr>
        <w:pStyle w:val="RefMeta"/>
      </w:pPr>
      <w:hyperlink r:id="rId55">
        <w:r>
          <w:rPr>
            <w:color w:val="187B8D"/>
            <w:u w:val="single"/>
          </w:rPr>
          <w:t>Search the cited title</w:t>
        </w:r>
      </w:hyperlink>
    </w:p>
    <w:p>
      <w:pPr>
        <w:pStyle w:val="RefMeta"/>
        <w:spacing w:after="160"/>
      </w:pPr>
    </w:p>
    <w:p>
      <w:bookmarkStart w:id="30" w:name="P30"/>
      <w:pPr>
        <w:pStyle w:val="PaperHeading"/>
      </w:pPr>
      <w:r>
        <w:t>P30 | Calcite thickness in annular three-phase flow</w:t>
      </w:r>
      <w:bookmarkEnd w:id="30"/>
    </w:p>
    <w:p>
      <w:pPr>
        <w:pStyle w:val="RefCitation"/>
      </w:pPr>
      <w:r>
        <w:t>Carvalho, A. C. L., Salgado, W. L., Dam, R. D. F., Conti, C. C., &amp; Salgado, C. M. (2024). Calcium carbonate scale thickness prediction in annular three-phase flow using gamma-ray densitometry and artificial neural networks. Radiation Physics and Chemistry, 223, 112018.</w:t>
      </w:r>
    </w:p>
    <w:p>
      <w:pPr>
        <w:pStyle w:val="RefMeta"/>
      </w:pPr>
      <w:r>
        <w:t>C — Provisional; original paper not read  •  Presentation reference slide 26</w:t>
      </w:r>
    </w:p>
    <w:p>
      <w:pPr>
        <w:pStyle w:val="RefBody"/>
      </w:pPr>
      <w:r>
        <w:rPr>
          <w:b/>
        </w:rPr>
        <w:t xml:space="preserve">Introduction. </w:t>
      </w:r>
      <w:r>
        <w:t>Uses radiation-based sensing and neural modeling to estimate calcium carbonate thickness in an annular gas–oil–water configuration.</w:t>
      </w:r>
    </w:p>
    <w:p>
      <w:pPr>
        <w:pStyle w:val="RefBody"/>
      </w:pPr>
      <w:r>
        <w:rPr>
          <w:b/>
        </w:rPr>
        <w:t xml:space="preserve">Methodology. </w:t>
      </w:r>
      <w:r>
        <w:t>The title and presentation identify gamma-ray densitometry with ANN inference; the original experimental/simulation split and measurement geometry were not inspected.</w:t>
      </w:r>
    </w:p>
    <w:p>
      <w:pPr>
        <w:pStyle w:val="RefBody"/>
      </w:pPr>
      <w:r>
        <w:rPr>
          <w:b/>
        </w:rPr>
        <w:t xml:space="preserve">Strengths. </w:t>
      </w:r>
      <w:r>
        <w:t>Directly targets thickness while acknowledging multiple fluid phases.</w:t>
      </w:r>
    </w:p>
    <w:p>
      <w:pPr>
        <w:pStyle w:val="RefBody"/>
      </w:pPr>
      <w:r>
        <w:rPr>
          <w:b/>
        </w:rPr>
        <w:t xml:space="preserve">Weaknesses / limits. </w:t>
      </w:r>
      <w:r>
        <w:t>Annular-flow performance does not establish robustness to stratified or slug flow, eccentric deposits, changed composition, or aging sensors.</w:t>
      </w:r>
    </w:p>
    <w:p>
      <w:pPr>
        <w:pStyle w:val="RefBody"/>
      </w:pPr>
      <w:r>
        <w:rPr>
          <w:b/>
        </w:rPr>
        <w:t xml:space="preserve">Project gap / next test. </w:t>
      </w:r>
      <w:r>
        <w:t>Treat the sensor model as conditional on geometry and flow regime; test those changes as explicit out-of-distribution cases.</w:t>
      </w:r>
    </w:p>
    <w:p>
      <w:pPr>
        <w:pStyle w:val="RefMeta"/>
      </w:pPr>
      <w:r>
        <w:t xml:space="preserve">Source: </w:t>
      </w:r>
      <w:hyperlink r:id="rId56">
        <w:r>
          <w:rPr>
            <w:color w:val="187B8D"/>
            <w:u w:val="single"/>
          </w:rPr>
          <w:t>Presentation only; original paper not read</w:t>
        </w:r>
      </w:hyperlink>
    </w:p>
    <w:p>
      <w:pPr>
        <w:pStyle w:val="RefMeta"/>
      </w:pPr>
      <w:hyperlink r:id="rId56">
        <w:r>
          <w:rPr>
            <w:color w:val="187B8D"/>
            <w:u w:val="single"/>
          </w:rPr>
          <w:t>Search the cited title</w:t>
        </w:r>
      </w:hyperlink>
    </w:p>
    <w:p>
      <w:pPr>
        <w:pStyle w:val="Heading1"/>
        <w:pageBreakBefore/>
      </w:pPr>
      <w:r>
        <w:t>Individual paper reviews</w:t>
      </w:r>
    </w:p>
    <w:p>
      <w:bookmarkStart w:id="31" w:name="P31"/>
      <w:pPr>
        <w:pStyle w:val="PaperHeading"/>
      </w:pPr>
      <w:r>
        <w:t>P31 | Gamma scattering for scale estimation</w:t>
      </w:r>
      <w:bookmarkEnd w:id="31"/>
    </w:p>
    <w:p>
      <w:pPr>
        <w:pStyle w:val="RefCitation"/>
      </w:pPr>
      <w:r>
        <w:t>Salgado, C. M., Salgado, W. L., de Freitas Dam, R. S., &amp; Conti, C. C. (2021). Calculation of scales in oil pipeline using gamma-ray scattering and artificial intelligence. Measurement, 179, 109455.</w:t>
      </w:r>
    </w:p>
    <w:p>
      <w:pPr>
        <w:pStyle w:val="RefMeta"/>
      </w:pPr>
      <w:r>
        <w:t>C — Provisional; original paper not read  •  Presentation reference slide 26</w:t>
      </w:r>
    </w:p>
    <w:p>
      <w:pPr>
        <w:pStyle w:val="RefBody"/>
      </w:pPr>
      <w:r>
        <w:rPr>
          <w:b/>
        </w:rPr>
        <w:t xml:space="preserve">Introduction. </w:t>
      </w:r>
      <w:r>
        <w:t>Studies radiation-based inference of deposited scale inside an oil pipeline.</w:t>
      </w:r>
    </w:p>
    <w:p>
      <w:pPr>
        <w:pStyle w:val="RefBody"/>
      </w:pPr>
      <w:r>
        <w:rPr>
          <w:b/>
        </w:rPr>
        <w:t xml:space="preserve">Methodology. </w:t>
      </w:r>
      <w:r>
        <w:t>Presentation 4 groups it with gamma-sensing and neural models. A matching DOI was located, but the publisher’s full methods were unavailable.</w:t>
      </w:r>
    </w:p>
    <w:p>
      <w:pPr>
        <w:pStyle w:val="RefBody"/>
      </w:pPr>
      <w:r>
        <w:rPr>
          <w:b/>
        </w:rPr>
        <w:t xml:space="preserve">Strengths. </w:t>
      </w:r>
      <w:r>
        <w:t>Provides a potential non-invasive observation model for an otherwise hidden deposit.</w:t>
      </w:r>
    </w:p>
    <w:p>
      <w:pPr>
        <w:pStyle w:val="RefBody"/>
      </w:pPr>
      <w:r>
        <w:rPr>
          <w:b/>
        </w:rPr>
        <w:t xml:space="preserve">Weaknesses / limits. </w:t>
      </w:r>
      <w:r>
        <w:t>The slide group overgeneralizes minerals and flow regimes. Detector geometry, deposit eccentricity, and fluid fractions must be checked for this specific paper.</w:t>
      </w:r>
    </w:p>
    <w:p>
      <w:pPr>
        <w:pStyle w:val="RefBody"/>
      </w:pPr>
      <w:r>
        <w:rPr>
          <w:b/>
        </w:rPr>
        <w:t xml:space="preserve">Project gap / next test. </w:t>
      </w:r>
      <w:r>
        <w:t>Reproduce a simple sensing baseline before combining it with a dynamic estimator; preserve geometric assumptions in the observation equation.</w:t>
      </w:r>
    </w:p>
    <w:p>
      <w:pPr>
        <w:pStyle w:val="RefMeta"/>
      </w:pPr>
      <w:r>
        <w:t xml:space="preserve">Source: </w:t>
      </w:r>
      <w:hyperlink r:id="rId57">
        <w:r>
          <w:rPr>
            <w:color w:val="187B8D"/>
            <w:u w:val="single"/>
          </w:rPr>
          <w:t>Presentation only; original paper not read</w:t>
        </w:r>
      </w:hyperlink>
      <w:r>
        <w:t xml:space="preserve">  |  </w:t>
      </w:r>
      <w:hyperlink r:id="rId57">
        <w:r>
          <w:rPr>
            <w:color w:val="187B8D"/>
            <w:u w:val="single"/>
          </w:rPr>
          <w:t>DOI: 10.1016/j.measurement.2021.109455</w:t>
        </w:r>
      </w:hyperlink>
    </w:p>
    <w:p>
      <w:pPr>
        <w:pStyle w:val="RefMeta"/>
      </w:pPr>
      <w:hyperlink r:id="rId58">
        <w:r>
          <w:rPr>
            <w:color w:val="187B8D"/>
            <w:u w:val="single"/>
          </w:rPr>
          <w:t>Search the cited title</w:t>
        </w:r>
      </w:hyperlink>
    </w:p>
    <w:p>
      <w:pPr>
        <w:pStyle w:val="RefMeta"/>
        <w:spacing w:after="160"/>
      </w:pPr>
    </w:p>
    <w:p>
      <w:bookmarkStart w:id="32" w:name="P32"/>
      <w:pPr>
        <w:pStyle w:val="PaperHeading"/>
      </w:pPr>
      <w:r>
        <w:t>P32 | Neutron-based thickness inference</w:t>
      </w:r>
      <w:bookmarkEnd w:id="32"/>
    </w:p>
    <w:p>
      <w:pPr>
        <w:pStyle w:val="RefCitation"/>
      </w:pPr>
      <w:r>
        <w:t>Salgado, W. L., de Freitas Dam, R. S., Puertas, E. J. A., &amp; Salgado, C. M. (2025). Predicting scale thickness in three-phase flow using neutron activation analysis and deep learning. Measurement, 242, 115880.</w:t>
      </w:r>
    </w:p>
    <w:p>
      <w:pPr>
        <w:pStyle w:val="RefMeta"/>
      </w:pPr>
      <w:r>
        <w:t>C — Provisional; original paper not read  •  Presentation reference slide 26</w:t>
      </w:r>
    </w:p>
    <w:p>
      <w:pPr>
        <w:pStyle w:val="RefBody"/>
      </w:pPr>
      <w:r>
        <w:rPr>
          <w:b/>
        </w:rPr>
        <w:t xml:space="preserve">Introduction. </w:t>
      </w:r>
      <w:r>
        <w:t>Examines neutron activation analysis and deep learning for thickness prediction in three-phase flow.</w:t>
      </w:r>
    </w:p>
    <w:p>
      <w:pPr>
        <w:pStyle w:val="RefBody"/>
      </w:pPr>
      <w:r>
        <w:rPr>
          <w:b/>
        </w:rPr>
        <w:t xml:space="preserve">Methodology. </w:t>
      </w:r>
      <w:r>
        <w:t>The cited publication was identified through its bibliographic record. The title defines the sensing modality and target; detailed simulations, calibration, and detector configuration were not inspected.</w:t>
      </w:r>
    </w:p>
    <w:p>
      <w:pPr>
        <w:pStyle w:val="RefBody"/>
      </w:pPr>
      <w:r>
        <w:rPr>
          <w:b/>
        </w:rPr>
        <w:t xml:space="preserve">Strengths. </w:t>
      </w:r>
      <w:r>
        <w:t>A complementary sensing principle could help separate scale information from fluid-phase effects.</w:t>
      </w:r>
    </w:p>
    <w:p>
      <w:pPr>
        <w:pStyle w:val="RefBody"/>
      </w:pPr>
      <w:r>
        <w:rPr>
          <w:b/>
        </w:rPr>
        <w:t xml:space="preserve">Weaknesses / limits. </w:t>
      </w:r>
      <w:r>
        <w:t>Deployment depends on instrumentation, calibration, acquisition time, and practical access to the measurement setup. Simulation accuracy alone would not establish a usable field sensor.</w:t>
      </w:r>
    </w:p>
    <w:p>
      <w:pPr>
        <w:pStyle w:val="RefBody"/>
      </w:pPr>
      <w:r>
        <w:rPr>
          <w:b/>
        </w:rPr>
        <w:t xml:space="preserve">Project gap / next test. </w:t>
      </w:r>
      <w:r>
        <w:t>Compare achievable sensitivity and measurement rate with ultrasound before adopting a more complex sensing system.</w:t>
      </w:r>
    </w:p>
    <w:p>
      <w:pPr>
        <w:pStyle w:val="RefMeta"/>
      </w:pPr>
      <w:r>
        <w:t xml:space="preserve">Source: </w:t>
      </w:r>
      <w:hyperlink r:id="rId59">
        <w:r>
          <w:rPr>
            <w:color w:val="187B8D"/>
            <w:u w:val="single"/>
          </w:rPr>
          <w:t>Bibliographic record located; original article not read</w:t>
        </w:r>
      </w:hyperlink>
      <w:r>
        <w:t xml:space="preserve">  |  </w:t>
      </w:r>
      <w:hyperlink r:id="rId60">
        <w:r>
          <w:rPr>
            <w:color w:val="187B8D"/>
            <w:u w:val="single"/>
          </w:rPr>
          <w:t>DOI: 10.1016/j.measurement.2024.115880</w:t>
        </w:r>
      </w:hyperlink>
    </w:p>
    <w:p>
      <w:pPr>
        <w:pStyle w:val="RefMeta"/>
      </w:pPr>
      <w:hyperlink r:id="rId61">
        <w:r>
          <w:rPr>
            <w:color w:val="187B8D"/>
            <w:u w:val="single"/>
          </w:rPr>
          <w:t>Search the cited title</w:t>
        </w:r>
      </w:hyperlink>
    </w:p>
    <w:p>
      <w:pPr>
        <w:pStyle w:val="Heading1"/>
        <w:pageBreakBefore/>
      </w:pPr>
      <w:r>
        <w:t>Individual paper reviews</w:t>
      </w:r>
    </w:p>
    <w:p>
      <w:bookmarkStart w:id="33" w:name="P33"/>
      <w:pPr>
        <w:pStyle w:val="PaperHeading"/>
      </w:pPr>
      <w:r>
        <w:t>P33 | Eccentric scale and fluid-fraction confounding</w:t>
      </w:r>
      <w:bookmarkEnd w:id="33"/>
    </w:p>
    <w:p>
      <w:pPr>
        <w:pStyle w:val="RefCitation"/>
      </w:pPr>
      <w:r>
        <w:t>de Freitas Dam, R. S., Salgado, W. L., Schirru, R., &amp; Salgado, C. M. (2022). Application of deep neural network and gamma-ray scattering in eccentric scale calculation regardless of the fluids volume fraction inside a pipeline. Applied Radiation and Isotopes, 188, 110353.</w:t>
      </w:r>
    </w:p>
    <w:p>
      <w:pPr>
        <w:pStyle w:val="RefMeta"/>
      </w:pPr>
      <w:r>
        <w:t>C — Provisional; original paper not read  •  Presentation reference slide 26</w:t>
      </w:r>
    </w:p>
    <w:p>
      <w:pPr>
        <w:pStyle w:val="RefBody"/>
      </w:pPr>
      <w:r>
        <w:rPr>
          <w:b/>
        </w:rPr>
        <w:t xml:space="preserve">Introduction. </w:t>
      </w:r>
      <w:r>
        <w:t>Targets eccentric scale geometry while reducing dependence on changing fluid volume fractions.</w:t>
      </w:r>
    </w:p>
    <w:p>
      <w:pPr>
        <w:pStyle w:val="RefBody"/>
      </w:pPr>
      <w:r>
        <w:rPr>
          <w:b/>
        </w:rPr>
        <w:t xml:space="preserve">Methodology. </w:t>
      </w:r>
      <w:r>
        <w:t>The title and slide group describe gamma-ray scattering with a deep neural network. The original paper’s training envelope and evidence for independence were unavailable.</w:t>
      </w:r>
    </w:p>
    <w:p>
      <w:pPr>
        <w:pStyle w:val="RefBody"/>
      </w:pPr>
      <w:r>
        <w:rPr>
          <w:b/>
        </w:rPr>
        <w:t xml:space="preserve">Strengths. </w:t>
      </w:r>
      <w:r>
        <w:t>Explicitly addresses a confounder: similar radiation signals can arise from deposits or fluid composition changes.</w:t>
      </w:r>
    </w:p>
    <w:p>
      <w:pPr>
        <w:pStyle w:val="RefBody"/>
      </w:pPr>
      <w:r>
        <w:rPr>
          <w:b/>
        </w:rPr>
        <w:t xml:space="preserve">Weaknesses / limits. </w:t>
      </w:r>
      <w:r>
        <w:t>“Regardless of fluid fraction” should be read within the studied domain, not as a universal guarantee. Unknown shapes and mineral densities may remain ambiguous.</w:t>
      </w:r>
    </w:p>
    <w:p>
      <w:pPr>
        <w:pStyle w:val="RefBody"/>
      </w:pPr>
      <w:r>
        <w:rPr>
          <w:b/>
        </w:rPr>
        <w:t xml:space="preserve">Project gap / next test. </w:t>
      </w:r>
      <w:r>
        <w:t>Design observability tests that vary both deposit shape and phase fractions, including combinations absent from training.</w:t>
      </w:r>
    </w:p>
    <w:p>
      <w:pPr>
        <w:pStyle w:val="RefMeta"/>
      </w:pPr>
      <w:r>
        <w:t xml:space="preserve">Source: </w:t>
      </w:r>
      <w:hyperlink r:id="rId62">
        <w:r>
          <w:rPr>
            <w:color w:val="187B8D"/>
            <w:u w:val="single"/>
          </w:rPr>
          <w:t>Presentation only; original paper not read</w:t>
        </w:r>
      </w:hyperlink>
    </w:p>
    <w:p>
      <w:pPr>
        <w:pStyle w:val="RefMeta"/>
      </w:pPr>
      <w:hyperlink r:id="rId62">
        <w:r>
          <w:rPr>
            <w:color w:val="187B8D"/>
            <w:u w:val="single"/>
          </w:rPr>
          <w:t>Search the cited title</w:t>
        </w:r>
      </w:hyperlink>
    </w:p>
    <w:p>
      <w:pPr>
        <w:pStyle w:val="RefMeta"/>
        <w:spacing w:after="160"/>
      </w:pPr>
    </w:p>
    <w:p>
      <w:bookmarkStart w:id="34" w:name="P34"/>
      <w:pPr>
        <w:pStyle w:val="PaperHeading"/>
      </w:pPr>
      <w:r>
        <w:t>P34 | Joint fluid fractions and barite estimation</w:t>
      </w:r>
      <w:bookmarkEnd w:id="34"/>
    </w:p>
    <w:p>
      <w:pPr>
        <w:pStyle w:val="RefCitation"/>
      </w:pPr>
      <w:r>
        <w:t>de Freitas Dam, R. S., Dos Santos, M. C., Salgado, W. L., da Cruz, B. L., Schirru, R., &amp; Salgado, C. M. (2023). Prediction of fluids volume fraction and barium sulfate scale in a multiphase system using gamma radiation and deep neural network. Applied Radiation and Isotopes, 201, 111021.</w:t>
      </w:r>
    </w:p>
    <w:p>
      <w:pPr>
        <w:pStyle w:val="RefMeta"/>
      </w:pPr>
      <w:r>
        <w:t>C — Provisional; original paper not read  •  Presentation reference slide 26</w:t>
      </w:r>
    </w:p>
    <w:p>
      <w:pPr>
        <w:pStyle w:val="RefBody"/>
      </w:pPr>
      <w:r>
        <w:rPr>
          <w:b/>
        </w:rPr>
        <w:t xml:space="preserve">Introduction. </w:t>
      </w:r>
      <w:r>
        <w:t>Attempts to infer both multiphase fluid composition and barium sulfate scale from radiation measurements.</w:t>
      </w:r>
    </w:p>
    <w:p>
      <w:pPr>
        <w:pStyle w:val="RefBody"/>
      </w:pPr>
      <w:r>
        <w:rPr>
          <w:b/>
        </w:rPr>
        <w:t xml:space="preserve">Methodology. </w:t>
      </w:r>
      <w:r>
        <w:t>A matching article record was located. The title supports gamma radiation and deep neural networks with multiple outputs; the detailed architecture and validation remain unverified.</w:t>
      </w:r>
    </w:p>
    <w:p>
      <w:pPr>
        <w:pStyle w:val="RefBody"/>
      </w:pPr>
      <w:r>
        <w:rPr>
          <w:b/>
        </w:rPr>
        <w:t xml:space="preserve">Strengths. </w:t>
      </w:r>
      <w:r>
        <w:t>Joint estimation can prevent fluid changes from being misinterpreted as scale growth.</w:t>
      </w:r>
    </w:p>
    <w:p>
      <w:pPr>
        <w:pStyle w:val="RefBody"/>
      </w:pPr>
      <w:r>
        <w:rPr>
          <w:b/>
        </w:rPr>
        <w:t xml:space="preserve">Weaknesses / limits. </w:t>
      </w:r>
      <w:r>
        <w:t>Multiple unknowns may be weakly identifiable from limited detector channels. Good average errors can conceal trade-offs between fluid and deposit estimates.</w:t>
      </w:r>
    </w:p>
    <w:p>
      <w:pPr>
        <w:pStyle w:val="RefBody"/>
      </w:pPr>
      <w:r>
        <w:rPr>
          <w:b/>
        </w:rPr>
        <w:t xml:space="preserve">Project gap / next test. </w:t>
      </w:r>
      <w:r>
        <w:t>Quantify cross-correlation of estimation errors and add independent flow/phase measurements if the inverse problem is poorly conditioned.</w:t>
      </w:r>
    </w:p>
    <w:p>
      <w:pPr>
        <w:pStyle w:val="RefMeta"/>
      </w:pPr>
      <w:r>
        <w:t xml:space="preserve">Source: </w:t>
      </w:r>
      <w:hyperlink r:id="rId63">
        <w:r>
          <w:rPr>
            <w:color w:val="187B8D"/>
            <w:u w:val="single"/>
          </w:rPr>
          <w:t>Bibliographic record located; original article not read</w:t>
        </w:r>
      </w:hyperlink>
    </w:p>
    <w:p>
      <w:pPr>
        <w:pStyle w:val="RefMeta"/>
      </w:pPr>
      <w:hyperlink r:id="rId64">
        <w:r>
          <w:rPr>
            <w:color w:val="187B8D"/>
            <w:u w:val="single"/>
          </w:rPr>
          <w:t>Search the cited title</w:t>
        </w:r>
      </w:hyperlink>
    </w:p>
    <w:p>
      <w:pPr>
        <w:pStyle w:val="Heading1"/>
        <w:pageBreakBefore/>
      </w:pPr>
      <w:r>
        <w:t>Individual paper reviews</w:t>
      </w:r>
    </w:p>
    <w:p>
      <w:bookmarkStart w:id="35" w:name="P35"/>
      <w:pPr>
        <w:pStyle w:val="PaperHeading"/>
      </w:pPr>
      <w:r>
        <w:t>P35 | Frequency features with a GMDH network</w:t>
      </w:r>
      <w:bookmarkEnd w:id="35"/>
    </w:p>
    <w:p>
      <w:pPr>
        <w:pStyle w:val="RefCitation"/>
      </w:pPr>
      <w:r>
        <w:t>Iliyasu, A. M., Mayet, A. M., Hanus, R., El-Latif, A. A. A., &amp; Salama, A. S. (2022). Employing GMDH-type neural network and signal frequency feature extraction approaches for detection of scale thickness inside oil pipelines. Energies, 15(12), 4500.</w:t>
      </w:r>
    </w:p>
    <w:p>
      <w:pPr>
        <w:pStyle w:val="RefMeta"/>
      </w:pPr>
      <w:r>
        <w:t>C — Provisional; original paper not read  •  Presentation reference slide 26</w:t>
      </w:r>
    </w:p>
    <w:p>
      <w:pPr>
        <w:pStyle w:val="RefBody"/>
      </w:pPr>
      <w:r>
        <w:rPr>
          <w:b/>
        </w:rPr>
        <w:t xml:space="preserve">Introduction. </w:t>
      </w:r>
      <w:r>
        <w:t>Predicts scale thickness using processed sensor signals and a self-organizing neural model.</w:t>
      </w:r>
    </w:p>
    <w:p>
      <w:pPr>
        <w:pStyle w:val="RefBody"/>
      </w:pPr>
      <w:r>
        <w:rPr>
          <w:b/>
        </w:rPr>
        <w:t xml:space="preserve">Methodology. </w:t>
      </w:r>
      <w:r>
        <w:t>The publisher article and a PDF link were located, but readable full text was unavailable. The title and slides identify frequency-feature extraction and a GMDH-type network.</w:t>
      </w:r>
    </w:p>
    <w:p>
      <w:pPr>
        <w:pStyle w:val="RefBody"/>
      </w:pPr>
      <w:r>
        <w:rPr>
          <w:b/>
        </w:rPr>
        <w:t xml:space="preserve">Strengths. </w:t>
      </w:r>
      <w:r>
        <w:t>Feature reduction and a compact network can make a sensor model easier to deploy.</w:t>
      </w:r>
    </w:p>
    <w:p>
      <w:pPr>
        <w:pStyle w:val="RefBody"/>
      </w:pPr>
      <w:r>
        <w:rPr>
          <w:b/>
        </w:rPr>
        <w:t xml:space="preserve">Weaknesses / limits. </w:t>
      </w:r>
      <w:r>
        <w:t>Network performance must be tested against a simple regression baseline and real measurement noise. The original mineral, geometry, and train/test separation need checking.</w:t>
      </w:r>
    </w:p>
    <w:p>
      <w:pPr>
        <w:pStyle w:val="RefBody"/>
      </w:pPr>
      <w:r>
        <w:rPr>
          <w:b/>
        </w:rPr>
        <w:t xml:space="preserve">Project gap / next test. </w:t>
      </w:r>
      <w:r>
        <w:t>Use this as a feature-engineering comparator, then determine whether physics-based temporal estimation improves reliability.</w:t>
      </w:r>
    </w:p>
    <w:p>
      <w:pPr>
        <w:pStyle w:val="RefMeta"/>
      </w:pPr>
      <w:r>
        <w:t xml:space="preserve">Source: </w:t>
      </w:r>
      <w:hyperlink r:id="rId65">
        <w:r>
          <w:rPr>
            <w:color w:val="187B8D"/>
            <w:u w:val="single"/>
          </w:rPr>
          <w:t>Publisher record/PDF located; readable full text blocked</w:t>
        </w:r>
      </w:hyperlink>
      <w:r>
        <w:t xml:space="preserve">  |  </w:t>
      </w:r>
      <w:hyperlink r:id="rId66">
        <w:r>
          <w:rPr>
            <w:color w:val="187B8D"/>
            <w:u w:val="single"/>
          </w:rPr>
          <w:t>DOI: 10.3390/en15124500</w:t>
        </w:r>
      </w:hyperlink>
    </w:p>
    <w:p>
      <w:pPr>
        <w:pStyle w:val="RefMeta"/>
      </w:pPr>
      <w:hyperlink r:id="rId67">
        <w:r>
          <w:rPr>
            <w:color w:val="187B8D"/>
            <w:u w:val="single"/>
          </w:rPr>
          <w:t>Search the cited title</w:t>
        </w:r>
      </w:hyperlink>
    </w:p>
    <w:p>
      <w:pPr>
        <w:pStyle w:val="RefMeta"/>
        <w:spacing w:after="160"/>
      </w:pPr>
    </w:p>
    <w:p>
      <w:bookmarkStart w:id="36" w:name="P36"/>
      <w:pPr>
        <w:pStyle w:val="PaperHeading"/>
      </w:pPr>
      <w:r>
        <w:t>P36 | One-detector gamma thickness prediction</w:t>
      </w:r>
      <w:bookmarkEnd w:id="36"/>
    </w:p>
    <w:p>
      <w:pPr>
        <w:pStyle w:val="RefCitation"/>
      </w:pPr>
      <w:r>
        <w:t>Chen, T. C., Iliyasu, A. M., Hanus, R., Salama, A. S., &amp; Hirota, K. (2022). Predicting scale thickness in oil pipelines using frequency characteristics and an artificial neural network in a stratified flow regime. Energies, 15(20), 7564.</w:t>
      </w:r>
    </w:p>
    <w:p>
      <w:pPr>
        <w:pStyle w:val="RefMeta"/>
      </w:pPr>
      <w:r>
        <w:t>F — Original article sections read online  •  Presentation reference slide 26</w:t>
      </w:r>
    </w:p>
    <w:p>
      <w:pPr>
        <w:pStyle w:val="RefBody"/>
      </w:pPr>
      <w:r>
        <w:rPr>
          <w:b/>
        </w:rPr>
        <w:t xml:space="preserve">Introduction. </w:t>
      </w:r>
      <w:r>
        <w:t>Estimates barite thickness in a stratified three-phase system, rather than forecasting the chemistry of future growth.</w:t>
      </w:r>
    </w:p>
    <w:p>
      <w:pPr>
        <w:pStyle w:val="RefBody"/>
      </w:pPr>
      <w:r>
        <w:rPr>
          <w:b/>
        </w:rPr>
        <w:t xml:space="preserve">Methodology. </w:t>
      </w:r>
      <w:r>
        <w:t>MCNP generates 252 cases for seven thickness levels from 0–3 cm. Four frequency features feed a 20-neuron MLP. Table 1 reports test RMSE of 0.14 cm, rather than the 0.13 cm overall figure highlighted in the abstract.</w:t>
      </w:r>
    </w:p>
    <w:p>
      <w:pPr>
        <w:pStyle w:val="RefBody"/>
      </w:pPr>
      <w:r>
        <w:rPr>
          <w:b/>
        </w:rPr>
        <w:t xml:space="preserve">Strengths. </w:t>
      </w:r>
      <w:r>
        <w:t>A clear thickness target and compact detector/network design make a useful sensor-inversion example.</w:t>
      </w:r>
    </w:p>
    <w:p>
      <w:pPr>
        <w:pStyle w:val="RefBody"/>
      </w:pPr>
      <w:r>
        <w:rPr>
          <w:b/>
        </w:rPr>
        <w:t xml:space="preserve">Weaknesses / limits. </w:t>
      </w:r>
      <w:r>
        <w:t>Validation uses simulated cases; one geometry and stratified flow do not establish field transfer or submillimeter detection. Scale evolution is not modeled.</w:t>
      </w:r>
    </w:p>
    <w:p>
      <w:pPr>
        <w:pStyle w:val="RefBody"/>
      </w:pPr>
      <w:r>
        <w:rPr>
          <w:b/>
        </w:rPr>
        <w:t xml:space="preserve">Project gap / next test. </w:t>
      </w:r>
      <w:r>
        <w:t>Separate instantaneous sensor inversion from growth forecasting and validate on measured deposits under withheld regimes.</w:t>
      </w:r>
    </w:p>
    <w:p>
      <w:pPr>
        <w:pStyle w:val="RefMeta"/>
      </w:pPr>
      <w:r>
        <w:t xml:space="preserve">Source: </w:t>
      </w:r>
      <w:hyperlink r:id="rId68">
        <w:r>
          <w:rPr>
            <w:color w:val="187B8D"/>
            <w:u w:val="single"/>
          </w:rPr>
          <w:t>Original article sections consulted online in open PDF</w:t>
        </w:r>
      </w:hyperlink>
      <w:r>
        <w:t xml:space="preserve">  |  </w:t>
      </w:r>
      <w:hyperlink r:id="rId69">
        <w:r>
          <w:rPr>
            <w:color w:val="187B8D"/>
            <w:u w:val="single"/>
          </w:rPr>
          <w:t>DOI: 10.3390/en15207564</w:t>
        </w:r>
      </w:hyperlink>
    </w:p>
    <w:p>
      <w:pPr>
        <w:pStyle w:val="Heading1"/>
        <w:pageBreakBefore/>
      </w:pPr>
      <w:r>
        <w:t>Individual paper reviews</w:t>
      </w:r>
    </w:p>
    <w:p>
      <w:bookmarkStart w:id="37" w:name="P37"/>
      <w:pPr>
        <w:pStyle w:val="PaperHeading"/>
      </w:pPr>
      <w:r>
        <w:t>P37 | Thickness estimation across two-phase regimes</w:t>
      </w:r>
      <w:bookmarkEnd w:id="37"/>
    </w:p>
    <w:p>
      <w:pPr>
        <w:pStyle w:val="RefCitation"/>
      </w:pPr>
      <w:r>
        <w:t>Alamoudi, M., Sattari, M. A., Balubaid, M., Eftekhari-Zadeh, E., Nazemi, E., Taylan, O., &amp; Kalmoun, E. M. (2021). Application of gamma attenuation technique and artificial intelligence to detect scale thickness in pipelines in which two-phase flows with different flow regimes and void fractions exist. Symmetry, 13(7), 1198.</w:t>
      </w:r>
    </w:p>
    <w:p>
      <w:pPr>
        <w:pStyle w:val="RefMeta"/>
      </w:pPr>
      <w:r>
        <w:t>F — Original article sections read online  •  Presentation reference slide 26</w:t>
      </w:r>
    </w:p>
    <w:p>
      <w:pPr>
        <w:pStyle w:val="RefBody"/>
      </w:pPr>
      <w:r>
        <w:rPr>
          <w:b/>
        </w:rPr>
        <w:t xml:space="preserve">Introduction. </w:t>
      </w:r>
      <w:r>
        <w:t>Addresses the influence of flow pattern and void fraction on radiation-based scale measurements.</w:t>
      </w:r>
    </w:p>
    <w:p>
      <w:pPr>
        <w:pStyle w:val="RefBody"/>
      </w:pPr>
      <w:r>
        <w:rPr>
          <w:b/>
        </w:rPr>
        <w:t xml:space="preserve">Methodology. </w:t>
      </w:r>
      <w:r>
        <w:t>The paper combines Ba-133/Cs-137 dual-energy radiation, transmitted/scattered counts from two NaI detectors, MCNP simulations, and an RBF neural network to infer thickness.</w:t>
      </w:r>
    </w:p>
    <w:p>
      <w:pPr>
        <w:pStyle w:val="RefBody"/>
      </w:pPr>
      <w:r>
        <w:rPr>
          <w:b/>
        </w:rPr>
        <w:t xml:space="preserve">Strengths. </w:t>
      </w:r>
      <w:r>
        <w:t>Multiple measurement channels and varied two-phase conditions help address fluid/deposit ambiguity.</w:t>
      </w:r>
    </w:p>
    <w:p>
      <w:pPr>
        <w:pStyle w:val="RefBody"/>
      </w:pPr>
      <w:r>
        <w:rPr>
          <w:b/>
        </w:rPr>
        <w:t xml:space="preserve">Weaknesses / limits. </w:t>
      </w:r>
      <w:r>
        <w:t>The inference remains tied to simulated material and geometry assumptions. Two-phase validation does not establish performance in three-phase slugging or mixed deposits.</w:t>
      </w:r>
    </w:p>
    <w:p>
      <w:pPr>
        <w:pStyle w:val="RefBody"/>
      </w:pPr>
      <w:r>
        <w:rPr>
          <w:b/>
        </w:rPr>
        <w:t xml:space="preserve">Project gap / next test. </w:t>
      </w:r>
      <w:r>
        <w:t>Use realistic flow disturbances and independent thickness measurements to test how much robustness carries into the intended flowline.</w:t>
      </w:r>
    </w:p>
    <w:p>
      <w:pPr>
        <w:pStyle w:val="RefMeta"/>
      </w:pPr>
      <w:r>
        <w:t xml:space="preserve">Source: </w:t>
      </w:r>
      <w:hyperlink r:id="rId70">
        <w:r>
          <w:rPr>
            <w:color w:val="187B8D"/>
            <w:u w:val="single"/>
          </w:rPr>
          <w:t>Original open article sections consulted online</w:t>
        </w:r>
      </w:hyperlink>
      <w:r>
        <w:t xml:space="preserve">  |  </w:t>
      </w:r>
      <w:hyperlink r:id="rId71">
        <w:r>
          <w:rPr>
            <w:color w:val="187B8D"/>
            <w:u w:val="single"/>
          </w:rPr>
          <w:t>DOI: 10.3390/sym13071198</w:t>
        </w:r>
      </w:hyperlink>
    </w:p>
    <w:p>
      <w:pPr>
        <w:pStyle w:val="RefMeta"/>
        <w:spacing w:after="160"/>
      </w:pPr>
    </w:p>
    <w:p>
      <w:bookmarkStart w:id="38" w:name="P38"/>
      <w:pPr>
        <w:pStyle w:val="PaperHeading"/>
      </w:pPr>
      <w:r>
        <w:t>P38 | Fluid-fraction estimation despite scale</w:t>
      </w:r>
      <w:bookmarkEnd w:id="38"/>
    </w:p>
    <w:p>
      <w:pPr>
        <w:pStyle w:val="RefCitation"/>
      </w:pPr>
      <w:r>
        <w:t>Chen, T. C., Iliyasu, A. M., Alizadeh, S. M., Salama, A. S., Eftekhari-Zadeh, E., &amp; Hirota, K. (2023). The use of artificial intelligence and time characteristics in the optimization of the structure of the volumetric percentage detection system independent of the scale value inside the pipe. Applied Artificial Intelligence, 37(1), 2166225.</w:t>
      </w:r>
    </w:p>
    <w:p>
      <w:pPr>
        <w:pStyle w:val="RefMeta"/>
      </w:pPr>
      <w:r>
        <w:t>F — Original article sections read online  •  Presentation reference slide 26</w:t>
      </w:r>
    </w:p>
    <w:p>
      <w:pPr>
        <w:pStyle w:val="RefBody"/>
      </w:pPr>
      <w:r>
        <w:rPr>
          <w:b/>
        </w:rPr>
        <w:t xml:space="preserve">Introduction. </w:t>
      </w:r>
      <w:r>
        <w:t>This paper’s main target is fluid volume fraction, not scale thickness. It is misplaced if counted simply as a thickness-prediction study.</w:t>
      </w:r>
    </w:p>
    <w:p>
      <w:pPr>
        <w:pStyle w:val="RefBody"/>
      </w:pPr>
      <w:r>
        <w:rPr>
          <w:b/>
        </w:rPr>
        <w:t xml:space="preserve">Methodology. </w:t>
      </w:r>
      <w:r>
        <w:t>A simulated stratified gas–oil–water pipe with variable barite thickness is observed through dual-energy gamma attenuation. Four time-domain features feed separate GMDH networks for water and gas fractions.</w:t>
      </w:r>
    </w:p>
    <w:p>
      <w:pPr>
        <w:pStyle w:val="RefBody"/>
      </w:pPr>
      <w:r>
        <w:rPr>
          <w:b/>
        </w:rPr>
        <w:t xml:space="preserve">Strengths. </w:t>
      </w:r>
      <w:r>
        <w:t>Demonstrates a strategy for treating scale as a nuisance variable when estimating fluid fractions.</w:t>
      </w:r>
    </w:p>
    <w:p>
      <w:pPr>
        <w:pStyle w:val="RefBody"/>
      </w:pPr>
      <w:r>
        <w:rPr>
          <w:b/>
        </w:rPr>
        <w:t xml:space="preserve">Weaknesses / limits. </w:t>
      </w:r>
      <w:r>
        <w:t>It does not provide the requested evolving wall-thickness state. Independence from scale is conditional on the modeled range and geometry.</w:t>
      </w:r>
    </w:p>
    <w:p>
      <w:pPr>
        <w:pStyle w:val="RefBody"/>
      </w:pPr>
      <w:r>
        <w:rPr>
          <w:b/>
        </w:rPr>
        <w:t xml:space="preserve">Project gap / next test. </w:t>
      </w:r>
      <w:r>
        <w:t>Use it to understand cross-sensitivity between phase fractions and scale, and design a joint or independently constrained observation model.</w:t>
      </w:r>
    </w:p>
    <w:p>
      <w:pPr>
        <w:pStyle w:val="RefMeta"/>
      </w:pPr>
      <w:r>
        <w:t xml:space="preserve">Source: </w:t>
      </w:r>
      <w:hyperlink r:id="rId72">
        <w:r>
          <w:rPr>
            <w:color w:val="187B8D"/>
            <w:u w:val="single"/>
          </w:rPr>
          <w:t>Original article introduction, methods and conclusion section consulted online</w:t>
        </w:r>
      </w:hyperlink>
      <w:r>
        <w:t xml:space="preserve">  |  </w:t>
      </w:r>
      <w:hyperlink r:id="rId73">
        <w:r>
          <w:rPr>
            <w:color w:val="187B8D"/>
            <w:u w:val="single"/>
          </w:rPr>
          <w:t>DOI: 10.1080/08839514.2023.2166225</w:t>
        </w:r>
      </w:hyperlink>
    </w:p>
    <w:p>
      <w:pPr>
        <w:pStyle w:val="Heading1"/>
        <w:pageBreakBefore/>
      </w:pPr>
      <w:r>
        <w:t>Individual paper reviews</w:t>
      </w:r>
    </w:p>
    <w:p>
      <w:bookmarkStart w:id="39" w:name="P39"/>
      <w:pPr>
        <w:pStyle w:val="PaperHeading"/>
      </w:pPr>
      <w:r>
        <w:t>P39 | A broad machine-learning prevention framework</w:t>
      </w:r>
      <w:bookmarkEnd w:id="39"/>
    </w:p>
    <w:p>
      <w:pPr>
        <w:pStyle w:val="RefCitation"/>
      </w:pPr>
      <w:r>
        <w:t>Arukhe, J. O., Ghamdi, K. A., &amp; Anazi, A. F. (2025, April). Machine Learning Framework for Treating and Preventing Scale Formation. In Offshore Technology Conference (p. D041S056R002). OTC.</w:t>
      </w:r>
    </w:p>
    <w:p>
      <w:pPr>
        <w:pStyle w:val="RefMeta"/>
      </w:pPr>
      <w:r>
        <w:t>C — Provisional; original paper not read  •  Presentation reference slide 30</w:t>
      </w:r>
    </w:p>
    <w:p>
      <w:pPr>
        <w:pStyle w:val="RefBody"/>
      </w:pPr>
      <w:r>
        <w:rPr>
          <w:b/>
        </w:rPr>
        <w:t xml:space="preserve">Introduction. </w:t>
      </w:r>
      <w:r>
        <w:t>The presentation describes a combined prediction/prevention framework, making this a potentially close industrial prior-art reference.</w:t>
      </w:r>
    </w:p>
    <w:p>
      <w:pPr>
        <w:pStyle w:val="RefBody"/>
      </w:pPr>
      <w:r>
        <w:rPr>
          <w:b/>
        </w:rPr>
        <w:t xml:space="preserve">Methodology. </w:t>
      </w:r>
      <w:r>
        <w:t>The slides attribute a GAN-based approach, sensor integration, and SCADA connectivity to the OTC paper. A similarly titled patent record was found, but it is not substituted for the conference paper.</w:t>
      </w:r>
    </w:p>
    <w:p>
      <w:pPr>
        <w:pStyle w:val="RefBody"/>
      </w:pPr>
      <w:r>
        <w:rPr>
          <w:b/>
        </w:rPr>
        <w:t xml:space="preserve">Strengths. </w:t>
      </w:r>
      <w:r>
        <w:t>Its stated scope overlaps the intended system-level architecture and therefore deserves early attention.</w:t>
      </w:r>
    </w:p>
    <w:p>
      <w:pPr>
        <w:pStyle w:val="RefBody"/>
      </w:pPr>
      <w:r>
        <w:rPr>
          <w:b/>
        </w:rPr>
        <w:t xml:space="preserve">Weaknesses / limits. </w:t>
      </w:r>
      <w:r>
        <w:t>The original conference text, training data, field results, and specific dosing mechanism were not verified. The slide’s scale-type list also needs checking.</w:t>
      </w:r>
    </w:p>
    <w:p>
      <w:pPr>
        <w:pStyle w:val="RefBody"/>
      </w:pPr>
      <w:r>
        <w:rPr>
          <w:b/>
        </w:rPr>
        <w:t xml:space="preserve">Project gap / next test. </w:t>
      </w:r>
      <w:r>
        <w:t>Resolve the conference paper and compare its implemented functions directly before claiming that integration or digital connectivity is new.</w:t>
      </w:r>
    </w:p>
    <w:p>
      <w:pPr>
        <w:pStyle w:val="RefMeta"/>
      </w:pPr>
      <w:r>
        <w:t xml:space="preserve">Source: </w:t>
      </w:r>
      <w:hyperlink r:id="rId74">
        <w:r>
          <w:rPr>
            <w:color w:val="187B8D"/>
            <w:u w:val="single"/>
          </w:rPr>
          <w:t>Presentation only; original paper not read</w:t>
        </w:r>
      </w:hyperlink>
    </w:p>
    <w:p>
      <w:pPr>
        <w:pStyle w:val="RefMeta"/>
      </w:pPr>
      <w:hyperlink r:id="rId74">
        <w:r>
          <w:rPr>
            <w:color w:val="187B8D"/>
            <w:u w:val="single"/>
          </w:rPr>
          <w:t>Search the cited title</w:t>
        </w:r>
      </w:hyperlink>
    </w:p>
    <w:p>
      <w:pPr>
        <w:pStyle w:val="RefMeta"/>
        <w:spacing w:after="160"/>
      </w:pPr>
    </w:p>
    <w:p>
      <w:bookmarkStart w:id="40" w:name="P40"/>
      <w:pPr>
        <w:pStyle w:val="PaperHeading"/>
      </w:pPr>
      <w:r>
        <w:t>P40 | Near-real-time deposition monitoring</w:t>
      </w:r>
      <w:bookmarkEnd w:id="40"/>
    </w:p>
    <w:p>
      <w:pPr>
        <w:pStyle w:val="RefCitation"/>
      </w:pPr>
      <w:r>
        <w:t>Emmons, D. H., Graham, G. C., Holt, S. P., Jordan, M. M., Locardel, L. P., &amp; Locardel, B. (1999, October). On-site, near-real-time monitoring of scale deposition. In SPE Annual Technical Conference and Exhibition (pp. SPE-56776). SPE.</w:t>
      </w:r>
    </w:p>
    <w:p>
      <w:pPr>
        <w:pStyle w:val="RefMeta"/>
      </w:pPr>
      <w:r>
        <w:t>C — Provisional; original paper not read  •  Presentation reference slide 30</w:t>
      </w:r>
    </w:p>
    <w:p>
      <w:pPr>
        <w:pStyle w:val="RefBody"/>
      </w:pPr>
      <w:r>
        <w:rPr>
          <w:b/>
        </w:rPr>
        <w:t xml:space="preserve">Introduction. </w:t>
      </w:r>
      <w:r>
        <w:t>Reports an early attempt to measure scale deposition at the operating site.</w:t>
      </w:r>
    </w:p>
    <w:p>
      <w:pPr>
        <w:pStyle w:val="RefBody"/>
      </w:pPr>
      <w:r>
        <w:rPr>
          <w:b/>
        </w:rPr>
        <w:t xml:space="preserve">Methodology. </w:t>
      </w:r>
      <w:r>
        <w:t>Presentation 4 describes a thickness-shear-mode resonator for monitoring barite deposition. The cited SPE paper was not accessible for detailed review.</w:t>
      </w:r>
    </w:p>
    <w:p>
      <w:pPr>
        <w:pStyle w:val="RefBody"/>
      </w:pPr>
      <w:r>
        <w:rPr>
          <w:b/>
        </w:rPr>
        <w:t xml:space="preserve">Strengths. </w:t>
      </w:r>
      <w:r>
        <w:t>Shows that rapid scale monitoring is an established research direction rather than a new project claim.</w:t>
      </w:r>
    </w:p>
    <w:p>
      <w:pPr>
        <w:pStyle w:val="RefBody"/>
      </w:pPr>
      <w:r>
        <w:rPr>
          <w:b/>
        </w:rPr>
        <w:t xml:space="preserve">Weaknesses / limits. </w:t>
      </w:r>
      <w:r>
        <w:t>Deposition on a sensor surface may differ from deposition on the actual pipe because of shear, substrate, and temperature differences.</w:t>
      </w:r>
    </w:p>
    <w:p>
      <w:pPr>
        <w:pStyle w:val="RefBody"/>
      </w:pPr>
      <w:r>
        <w:rPr>
          <w:b/>
        </w:rPr>
        <w:t xml:space="preserve">Project gap / next test. </w:t>
      </w:r>
      <w:r>
        <w:t>Calibrate the sensor-to-pipe relationship and use a spatial estimator to combine point measurements with process information.</w:t>
      </w:r>
    </w:p>
    <w:p>
      <w:pPr>
        <w:pStyle w:val="RefMeta"/>
      </w:pPr>
      <w:r>
        <w:t xml:space="preserve">Source: </w:t>
      </w:r>
      <w:hyperlink r:id="rId75">
        <w:r>
          <w:rPr>
            <w:color w:val="187B8D"/>
            <w:u w:val="single"/>
          </w:rPr>
          <w:t>Presentation only; original paper not read</w:t>
        </w:r>
      </w:hyperlink>
    </w:p>
    <w:p>
      <w:pPr>
        <w:pStyle w:val="RefMeta"/>
      </w:pPr>
      <w:hyperlink r:id="rId75">
        <w:r>
          <w:rPr>
            <w:color w:val="187B8D"/>
            <w:u w:val="single"/>
          </w:rPr>
          <w:t>Search the cited title</w:t>
        </w:r>
      </w:hyperlink>
    </w:p>
    <w:p>
      <w:pPr>
        <w:pStyle w:val="Heading1"/>
        <w:pageBreakBefore/>
      </w:pPr>
      <w:r>
        <w:t>Individual paper reviews</w:t>
      </w:r>
    </w:p>
    <w:p>
      <w:bookmarkStart w:id="41" w:name="P41"/>
      <w:pPr>
        <w:pStyle w:val="PaperHeading"/>
      </w:pPr>
      <w:r>
        <w:t>P41 | Combined scale/corrosion inhibitor deployment</w:t>
      </w:r>
      <w:bookmarkEnd w:id="41"/>
    </w:p>
    <w:p>
      <w:pPr>
        <w:pStyle w:val="RefCitation"/>
      </w:pPr>
      <w:r>
        <w:t>Jordan, M. M., Archibald, I., Donaldson, L., Stevens, K., &amp; Kemp, S. (2003, February). Deployment, Monitoring and Optimisation of a Combined Scale/Corrosion Inhibitor within a Subsea Facility in the North Sea Basin. In SPE International Conference on Oilfield Chemistry (pp. SPE-80214). SPE.</w:t>
      </w:r>
    </w:p>
    <w:p>
      <w:pPr>
        <w:pStyle w:val="RefMeta"/>
      </w:pPr>
      <w:r>
        <w:t>C — Provisional; original paper not read  •  Presentation reference slide 30</w:t>
      </w:r>
    </w:p>
    <w:p>
      <w:pPr>
        <w:pStyle w:val="RefBody"/>
      </w:pPr>
      <w:r>
        <w:rPr>
          <w:b/>
        </w:rPr>
        <w:t xml:space="preserve">Introduction. </w:t>
      </w:r>
      <w:r>
        <w:t>A North Sea subsea case concerned with implementing and improving a combined chemical treatment.</w:t>
      </w:r>
    </w:p>
    <w:p>
      <w:pPr>
        <w:pStyle w:val="RefBody"/>
      </w:pPr>
      <w:r>
        <w:rPr>
          <w:b/>
        </w:rPr>
        <w:t xml:space="preserve">Methodology. </w:t>
      </w:r>
      <w:r>
        <w:t>The slides describe field monitoring, laboratory evaluation, and resonator measurements to support scale/corrosion inhibitor optimization.</w:t>
      </w:r>
    </w:p>
    <w:p>
      <w:pPr>
        <w:pStyle w:val="RefBody"/>
      </w:pPr>
      <w:r>
        <w:rPr>
          <w:b/>
        </w:rPr>
        <w:t xml:space="preserve">Strengths. </w:t>
      </w:r>
      <w:r>
        <w:t>Connects chemical selection to operating evidence and recognizes interactions between treatment objectives.</w:t>
      </w:r>
    </w:p>
    <w:p>
      <w:pPr>
        <w:pStyle w:val="RefBody"/>
      </w:pPr>
      <w:r>
        <w:rPr>
          <w:b/>
        </w:rPr>
        <w:t xml:space="preserve">Weaknesses / limits. </w:t>
      </w:r>
      <w:r>
        <w:t>A specific facility and formulation may not transfer to a different water chemistry or material. Full economic and validation details were unavailable.</w:t>
      </w:r>
    </w:p>
    <w:p>
      <w:pPr>
        <w:pStyle w:val="RefBody"/>
      </w:pPr>
      <w:r>
        <w:rPr>
          <w:b/>
        </w:rPr>
        <w:t xml:space="preserve">Project gap / next test. </w:t>
      </w:r>
      <w:r>
        <w:t>Carry chemical compatibility and corrosion performance as constraints in the later optimization stage, rather than optimizing scale alone.</w:t>
      </w:r>
    </w:p>
    <w:p>
      <w:pPr>
        <w:pStyle w:val="RefMeta"/>
      </w:pPr>
      <w:r>
        <w:t xml:space="preserve">Source: </w:t>
      </w:r>
      <w:hyperlink r:id="rId76">
        <w:r>
          <w:rPr>
            <w:color w:val="187B8D"/>
            <w:u w:val="single"/>
          </w:rPr>
          <w:t>Presentation only; original paper not read</w:t>
        </w:r>
      </w:hyperlink>
    </w:p>
    <w:p>
      <w:pPr>
        <w:pStyle w:val="RefMeta"/>
      </w:pPr>
      <w:hyperlink r:id="rId76">
        <w:r>
          <w:rPr>
            <w:color w:val="187B8D"/>
            <w:u w:val="single"/>
          </w:rPr>
          <w:t>Search the cited title</w:t>
        </w:r>
      </w:hyperlink>
    </w:p>
    <w:p>
      <w:pPr>
        <w:pStyle w:val="RefMeta"/>
        <w:spacing w:after="160"/>
      </w:pPr>
    </w:p>
    <w:p>
      <w:bookmarkStart w:id="42" w:name="P42"/>
      <w:pPr>
        <w:pStyle w:val="PaperHeading"/>
      </w:pPr>
      <w:r>
        <w:t>P42 | Field detection of calcium carbonate</w:t>
      </w:r>
      <w:bookmarkEnd w:id="42"/>
    </w:p>
    <w:p>
      <w:pPr>
        <w:pStyle w:val="RefCitation"/>
      </w:pPr>
      <w:r>
        <w:t>Smith, J. K., Yuan, M., Lopez, T. H., Means, M., &amp; Przybylinski, J. L. (2004). Real-time and in-situ detection of calcium carbonate scale in a west Texas oil field. SPE Production &amp; Facilities, 19(02), 94-99.</w:t>
      </w:r>
    </w:p>
    <w:p>
      <w:pPr>
        <w:pStyle w:val="RefMeta"/>
      </w:pPr>
      <w:r>
        <w:t>C — Provisional; original paper not read  •  Presentation reference slide 30</w:t>
      </w:r>
    </w:p>
    <w:p>
      <w:pPr>
        <w:pStyle w:val="RefBody"/>
      </w:pPr>
      <w:r>
        <w:rPr>
          <w:b/>
        </w:rPr>
        <w:t xml:space="preserve">Introduction. </w:t>
      </w:r>
      <w:r>
        <w:t>Reports real-time, in-situ scale detection in a West Texas oilfield.</w:t>
      </w:r>
    </w:p>
    <w:p>
      <w:pPr>
        <w:pStyle w:val="RefBody"/>
      </w:pPr>
      <w:r>
        <w:rPr>
          <w:b/>
        </w:rPr>
        <w:t xml:space="preserve">Methodology. </w:t>
      </w:r>
      <w:r>
        <w:t>The slides identify attenuated-total-reflectance spectroscopy as the sensing approach. A society-index record for the cited paper was found; the experimental details were not inspected.</w:t>
      </w:r>
    </w:p>
    <w:p>
      <w:pPr>
        <w:pStyle w:val="RefBody"/>
      </w:pPr>
      <w:r>
        <w:rPr>
          <w:b/>
        </w:rPr>
        <w:t xml:space="preserve">Strengths. </w:t>
      </w:r>
      <w:r>
        <w:t>Field-oriented sensing is directly relevant to obtaining observable evidence of scale formation.</w:t>
      </w:r>
    </w:p>
    <w:p>
      <w:pPr>
        <w:pStyle w:val="RefBody"/>
      </w:pPr>
      <w:r>
        <w:rPr>
          <w:b/>
        </w:rPr>
        <w:t xml:space="preserve">Weaknesses / limits. </w:t>
      </w:r>
      <w:r>
        <w:t>A local optical interface can foul and may sample a different environment from the pipe wall. Detection does not by itself localize deposits along the entire line.</w:t>
      </w:r>
    </w:p>
    <w:p>
      <w:pPr>
        <w:pStyle w:val="RefBody"/>
      </w:pPr>
      <w:r>
        <w:rPr>
          <w:b/>
        </w:rPr>
        <w:t xml:space="preserve">Project gap / next test. </w:t>
      </w:r>
      <w:r>
        <w:t>Evaluate sensor representativeness, drift, and cleaning effects before treating the signal as a direct thickness or mineral-type measurement.</w:t>
      </w:r>
    </w:p>
    <w:p>
      <w:pPr>
        <w:pStyle w:val="RefMeta"/>
      </w:pPr>
      <w:r>
        <w:t xml:space="preserve">Source: </w:t>
      </w:r>
      <w:hyperlink r:id="rId77">
        <w:r>
          <w:rPr>
            <w:color w:val="187B8D"/>
            <w:u w:val="single"/>
          </w:rPr>
          <w:t>Society index record located; original paper not read</w:t>
        </w:r>
      </w:hyperlink>
    </w:p>
    <w:p>
      <w:pPr>
        <w:pStyle w:val="RefMeta"/>
      </w:pPr>
      <w:hyperlink r:id="rId78">
        <w:r>
          <w:rPr>
            <w:color w:val="187B8D"/>
            <w:u w:val="single"/>
          </w:rPr>
          <w:t>Search the cited title</w:t>
        </w:r>
      </w:hyperlink>
    </w:p>
    <w:p>
      <w:pPr>
        <w:pStyle w:val="Heading1"/>
        <w:pageBreakBefore/>
      </w:pPr>
      <w:r>
        <w:t>Individual paper reviews</w:t>
      </w:r>
    </w:p>
    <w:p>
      <w:bookmarkStart w:id="43" w:name="P43"/>
      <w:pPr>
        <w:pStyle w:val="PaperHeading"/>
      </w:pPr>
      <w:r>
        <w:t>P43 | Software for fieldwide flow assurance</w:t>
      </w:r>
      <w:bookmarkEnd w:id="43"/>
    </w:p>
    <w:p>
      <w:pPr>
        <w:pStyle w:val="RefCitation"/>
      </w:pPr>
      <w:r>
        <w:t>Jain, A., Patel, N., Hammonds, P., &amp; Pandey, S. (2018, October). A smart software system for flow assurance management. In SPE Asia Pacific Oil and Gas Conference and Exhibition (p. D022S006R007). SPE.</w:t>
      </w:r>
    </w:p>
    <w:p>
      <w:pPr>
        <w:pStyle w:val="RefMeta"/>
      </w:pPr>
      <w:r>
        <w:t>C — Provisional; original paper not read  •  Presentation reference slide 30</w:t>
      </w:r>
    </w:p>
    <w:p>
      <w:pPr>
        <w:pStyle w:val="RefBody"/>
      </w:pPr>
      <w:r>
        <w:rPr>
          <w:b/>
        </w:rPr>
        <w:t xml:space="preserve">Introduction. </w:t>
      </w:r>
      <w:r>
        <w:t>The presentation describes an integrated flow-assurance software system and dashboards across a large well population.</w:t>
      </w:r>
    </w:p>
    <w:p>
      <w:pPr>
        <w:pStyle w:val="RefBody"/>
      </w:pPr>
      <w:r>
        <w:rPr>
          <w:b/>
        </w:rPr>
        <w:t xml:space="preserve">Methodology. </w:t>
      </w:r>
      <w:r>
        <w:t>The original conference paper was not read. A society magazine article discussing the work was located, but the review here retains the slide-level description rather than treating that article as the full paper.</w:t>
      </w:r>
    </w:p>
    <w:p>
      <w:pPr>
        <w:pStyle w:val="RefBody"/>
      </w:pPr>
      <w:r>
        <w:rPr>
          <w:b/>
        </w:rPr>
        <w:t xml:space="preserve">Strengths. </w:t>
      </w:r>
      <w:r>
        <w:t>Provides a practical comparator for data integration, visualization, and operational workflow.</w:t>
      </w:r>
    </w:p>
    <w:p>
      <w:pPr>
        <w:pStyle w:val="RefBody"/>
      </w:pPr>
      <w:r>
        <w:rPr>
          <w:b/>
        </w:rPr>
        <w:t xml:space="preserve">Weaknesses / limits. </w:t>
      </w:r>
      <w:r>
        <w:t>A dashboard can display model results without proving local deposit-state accuracy. The implementation, uncertainty treatment, and validation need direct review.</w:t>
      </w:r>
    </w:p>
    <w:p>
      <w:pPr>
        <w:pStyle w:val="RefBody"/>
      </w:pPr>
      <w:r>
        <w:rPr>
          <w:b/>
        </w:rPr>
        <w:t xml:space="preserve">Project gap / next test. </w:t>
      </w:r>
      <w:r>
        <w:t>Use digital integration as a delivery layer; make the estimator’s measurable improvement the scientific contribution.</w:t>
      </w:r>
    </w:p>
    <w:p>
      <w:pPr>
        <w:pStyle w:val="RefMeta"/>
      </w:pPr>
      <w:r>
        <w:t xml:space="preserve">Source: </w:t>
      </w:r>
      <w:hyperlink r:id="rId79">
        <w:r>
          <w:rPr>
            <w:color w:val="187B8D"/>
            <w:u w:val="single"/>
          </w:rPr>
          <w:t>Related society magazine summary; original conference paper not read</w:t>
        </w:r>
      </w:hyperlink>
    </w:p>
    <w:p>
      <w:pPr>
        <w:pStyle w:val="RefMeta"/>
      </w:pPr>
      <w:hyperlink r:id="rId80">
        <w:r>
          <w:rPr>
            <w:color w:val="187B8D"/>
            <w:u w:val="single"/>
          </w:rPr>
          <w:t>Search the cited title</w:t>
        </w:r>
      </w:hyperlink>
    </w:p>
    <w:p>
      <w:pPr>
        <w:pStyle w:val="RefMeta"/>
        <w:spacing w:after="160"/>
      </w:pPr>
    </w:p>
    <w:p>
      <w:bookmarkStart w:id="44" w:name="P44"/>
      <w:pPr>
        <w:pStyle w:val="PaperHeading"/>
      </w:pPr>
      <w:r>
        <w:t>P44 | A machine-learning water-chemistry surrogate</w:t>
      </w:r>
      <w:bookmarkEnd w:id="44"/>
    </w:p>
    <w:p>
      <w:pPr>
        <w:pStyle w:val="RefCitation"/>
      </w:pPr>
      <w:r>
        <w:t>Farrell, J., &amp; Makarychev-Mikhailov, S. (2023, June). Water digital avatar—where chemistry is mixed with machine learning. In SPE International Conference on Oilfield Chemistry (p. D011S004R006). SPE.</w:t>
      </w:r>
    </w:p>
    <w:p>
      <w:pPr>
        <w:pStyle w:val="RefMeta"/>
      </w:pPr>
      <w:r>
        <w:t>C — Provisional; original paper not read  •  Presentation reference slide 30</w:t>
      </w:r>
    </w:p>
    <w:p>
      <w:pPr>
        <w:pStyle w:val="RefBody"/>
      </w:pPr>
      <w:r>
        <w:rPr>
          <w:b/>
        </w:rPr>
        <w:t xml:space="preserve">Introduction. </w:t>
      </w:r>
      <w:r>
        <w:t>The presentation describes a digital representation of water chemistry intended to accelerate thermodynamic predictions.</w:t>
      </w:r>
    </w:p>
    <w:p>
      <w:pPr>
        <w:pStyle w:val="RefBody"/>
      </w:pPr>
      <w:r>
        <w:rPr>
          <w:b/>
        </w:rPr>
        <w:t xml:space="preserve">Methodology. </w:t>
      </w:r>
      <w:r>
        <w:t>It attributes CatBoost reduced-order models trained on thermodynamic simulations and coverage of multiple minerals to this paper. The original publication was not verified.</w:t>
      </w:r>
    </w:p>
    <w:p>
      <w:pPr>
        <w:pStyle w:val="RefBody"/>
      </w:pPr>
      <w:r>
        <w:rPr>
          <w:b/>
        </w:rPr>
        <w:t xml:space="preserve">Strengths. </w:t>
      </w:r>
      <w:r>
        <w:t>A fast chemistry surrogate could reduce the repeated computation needed by an online estimator.</w:t>
      </w:r>
    </w:p>
    <w:p>
      <w:pPr>
        <w:pStyle w:val="RefBody"/>
      </w:pPr>
      <w:r>
        <w:rPr>
          <w:b/>
        </w:rPr>
        <w:t xml:space="preserve">Weaknesses / limits. </w:t>
      </w:r>
      <w:r>
        <w:t>A surrogate can inherit systematic errors and domain limits from its training simulator. The title does not demonstrate wall deposition, state assimilation, or feedback control.</w:t>
      </w:r>
    </w:p>
    <w:p>
      <w:pPr>
        <w:pStyle w:val="RefBody"/>
      </w:pPr>
      <w:r>
        <w:rPr>
          <w:b/>
        </w:rPr>
        <w:t xml:space="preserve">Project gap / next test. </w:t>
      </w:r>
      <w:r>
        <w:t>Separate chemistry-model error from estimation error and retain a validated chemistry solver as a benchmark.</w:t>
      </w:r>
    </w:p>
    <w:p>
      <w:pPr>
        <w:pStyle w:val="RefMeta"/>
      </w:pPr>
      <w:r>
        <w:t xml:space="preserve">Source: </w:t>
      </w:r>
      <w:hyperlink r:id="rId81">
        <w:r>
          <w:rPr>
            <w:color w:val="187B8D"/>
            <w:u w:val="single"/>
          </w:rPr>
          <w:t>Presentation only; original paper not read</w:t>
        </w:r>
      </w:hyperlink>
    </w:p>
    <w:p>
      <w:pPr>
        <w:pStyle w:val="RefMeta"/>
      </w:pPr>
      <w:hyperlink r:id="rId81">
        <w:r>
          <w:rPr>
            <w:color w:val="187B8D"/>
            <w:u w:val="single"/>
          </w:rPr>
          <w:t>Search the cited title</w:t>
        </w:r>
      </w:hyperlink>
    </w:p>
    <w:p>
      <w:pPr>
        <w:pStyle w:val="Heading1"/>
        <w:pageBreakBefore/>
      </w:pPr>
      <w:r>
        <w:t>Individual paper reviews</w:t>
      </w:r>
    </w:p>
    <w:p>
      <w:bookmarkStart w:id="45" w:name="P45"/>
      <w:pPr>
        <w:pStyle w:val="PaperHeading"/>
      </w:pPr>
      <w:r>
        <w:t>P45 | Scale risk factor and chemical management</w:t>
      </w:r>
      <w:bookmarkEnd w:id="45"/>
    </w:p>
    <w:p>
      <w:pPr>
        <w:pStyle w:val="RefCitation"/>
      </w:pPr>
      <w:r>
        <w:t>Ness, G., Langvik, M., &amp; Ree, L. S. (2024, June). How to Develop a Comprehensive Scale Management Strategy and Use the Scale Risk Factor (SRF) for Chemical Optimisation. In SPE International Oilfield Scale Conference and Exhibition (p. D013S004R001). SPE.</w:t>
      </w:r>
    </w:p>
    <w:p>
      <w:pPr>
        <w:pStyle w:val="RefMeta"/>
      </w:pPr>
      <w:r>
        <w:t>C — Provisional; original paper not read  •  Presentation reference slide 30</w:t>
      </w:r>
    </w:p>
    <w:p>
      <w:pPr>
        <w:pStyle w:val="RefBody"/>
      </w:pPr>
      <w:r>
        <w:rPr>
          <w:b/>
        </w:rPr>
        <w:t xml:space="preserve">Introduction. </w:t>
      </w:r>
      <w:r>
        <w:t>Describes a comprehensive scale-management strategy using a scale risk factor for chemical optimization.</w:t>
      </w:r>
    </w:p>
    <w:p>
      <w:pPr>
        <w:pStyle w:val="RefBody"/>
      </w:pPr>
      <w:r>
        <w:rPr>
          <w:b/>
        </w:rPr>
        <w:t xml:space="preserve">Methodology. </w:t>
      </w:r>
      <w:r>
        <w:t>The conference contents confirm the title and authors. Presentation 4 describes scale prediction, risk ranking, and Power BI support; detailed performance evidence was unavailable.</w:t>
      </w:r>
    </w:p>
    <w:p>
      <w:pPr>
        <w:pStyle w:val="RefBody"/>
      </w:pPr>
      <w:r>
        <w:rPr>
          <w:b/>
        </w:rPr>
        <w:t xml:space="preserve">Strengths. </w:t>
      </w:r>
      <w:r>
        <w:t>Makes risk communication and chemical decisions explicit, providing a close operational comparator.</w:t>
      </w:r>
    </w:p>
    <w:p>
      <w:pPr>
        <w:pStyle w:val="RefBody"/>
      </w:pPr>
      <w:r>
        <w:rPr>
          <w:b/>
        </w:rPr>
        <w:t xml:space="preserve">Weaknesses / limits. </w:t>
      </w:r>
      <w:r>
        <w:t>A risk score may combine heterogeneous quantities and may not identify thickness or growth. Calibration and evidence of chemical savings require the paper.</w:t>
      </w:r>
    </w:p>
    <w:p>
      <w:pPr>
        <w:pStyle w:val="RefBody"/>
      </w:pPr>
      <w:r>
        <w:rPr>
          <w:b/>
        </w:rPr>
        <w:t xml:space="preserve">Project gap / next test. </w:t>
      </w:r>
      <w:r>
        <w:t>Define risk from measurable outcomes and uncertainty; compare the proposed dynamic estimates against a static or rule-based risk factor.</w:t>
      </w:r>
    </w:p>
    <w:p>
      <w:pPr>
        <w:pStyle w:val="RefMeta"/>
      </w:pPr>
      <w:r>
        <w:t xml:space="preserve">Source: </w:t>
      </w:r>
      <w:hyperlink r:id="rId82">
        <w:r>
          <w:rPr>
            <w:color w:val="187B8D"/>
            <w:u w:val="single"/>
          </w:rPr>
          <w:t>Conference contents confirm citation; not the full paper</w:t>
        </w:r>
      </w:hyperlink>
    </w:p>
    <w:p>
      <w:pPr>
        <w:pStyle w:val="RefMeta"/>
      </w:pPr>
      <w:hyperlink r:id="rId83">
        <w:r>
          <w:rPr>
            <w:color w:val="187B8D"/>
            <w:u w:val="single"/>
          </w:rPr>
          <w:t>Search the cited title</w:t>
        </w:r>
      </w:hyperlink>
    </w:p>
    <w:p>
      <w:pPr>
        <w:pStyle w:val="RefMeta"/>
        <w:spacing w:after="160"/>
      </w:pPr>
    </w:p>
    <w:p>
      <w:bookmarkStart w:id="46" w:name="P46"/>
      <w:pPr>
        <w:pStyle w:val="PaperHeading"/>
      </w:pPr>
      <w:r>
        <w:t>P46 | Plant evaluation of two antiscalants</w:t>
      </w:r>
      <w:bookmarkEnd w:id="46"/>
    </w:p>
    <w:p>
      <w:pPr>
        <w:pStyle w:val="RefCitation"/>
      </w:pPr>
      <w:r>
        <w:t>Al-Shammiri, M., Safar, M., &amp; Al-Dawas, M. (2000). Evaluation of two different antiscalants in real operation at the Doha research plant. Desalination, 128(1), 1-16.</w:t>
      </w:r>
    </w:p>
    <w:p>
      <w:pPr>
        <w:pStyle w:val="RefMeta"/>
      </w:pPr>
      <w:r>
        <w:t>A — Abstract-based assessment  •  Presentation reference slide 31</w:t>
      </w:r>
    </w:p>
    <w:p>
      <w:pPr>
        <w:pStyle w:val="RefBody"/>
      </w:pPr>
      <w:r>
        <w:rPr>
          <w:b/>
        </w:rPr>
        <w:t xml:space="preserve">Introduction. </w:t>
      </w:r>
      <w:r>
        <w:t>Evaluates practical antiscalant performance in a seawater reverse-osmosis plant.</w:t>
      </w:r>
    </w:p>
    <w:p>
      <w:pPr>
        <w:pStyle w:val="RefBody"/>
      </w:pPr>
      <w:r>
        <w:rPr>
          <w:b/>
        </w:rPr>
        <w:t xml:space="preserve">Methodology. </w:t>
      </w:r>
      <w:r>
        <w:t>The publisher abstract describes bench screening followed by operation of a 300 m³/day unit, comparing water chemistry, product conductivity, membrane pressure difference, product flow, rejection, cleaning, and cost.</w:t>
      </w:r>
    </w:p>
    <w:p>
      <w:pPr>
        <w:pStyle w:val="RefBody"/>
      </w:pPr>
      <w:r>
        <w:rPr>
          <w:b/>
        </w:rPr>
        <w:t xml:space="preserve">Strengths. </w:t>
      </w:r>
      <w:r>
        <w:t>Links laboratory selection with multiple operating and economic measures.</w:t>
      </w:r>
    </w:p>
    <w:p>
      <w:pPr>
        <w:pStyle w:val="RefBody"/>
      </w:pPr>
      <w:r>
        <w:rPr>
          <w:b/>
        </w:rPr>
        <w:t xml:space="preserve">Weaknesses / limits. </w:t>
      </w:r>
      <w:r>
        <w:t>A membrane plant differs from a multiphase flowline. The abstract does not reveal a randomized comparison or isolation of all operating confounders.</w:t>
      </w:r>
    </w:p>
    <w:p>
      <w:pPr>
        <w:pStyle w:val="RefBody"/>
      </w:pPr>
      <w:r>
        <w:rPr>
          <w:b/>
        </w:rPr>
        <w:t xml:space="preserve">Project gap / next test. </w:t>
      </w:r>
      <w:r>
        <w:t>Borrow the multi-metric validation approach, but recalibrate chemistry and transport for the target pipe system.</w:t>
      </w:r>
    </w:p>
    <w:p>
      <w:pPr>
        <w:pStyle w:val="RefMeta"/>
      </w:pPr>
      <w:r>
        <w:t xml:space="preserve">Source: </w:t>
      </w:r>
      <w:hyperlink r:id="rId84">
        <w:r>
          <w:rPr>
            <w:color w:val="187B8D"/>
            <w:u w:val="single"/>
          </w:rPr>
          <w:t>Publisher abstract consulted</w:t>
        </w:r>
      </w:hyperlink>
      <w:r>
        <w:t xml:space="preserve">  |  </w:t>
      </w:r>
      <w:hyperlink r:id="rId85">
        <w:r>
          <w:rPr>
            <w:color w:val="187B8D"/>
            <w:u w:val="single"/>
          </w:rPr>
          <w:t>DOI: 10.1016/S0011-9164(00)00019-9</w:t>
        </w:r>
      </w:hyperlink>
    </w:p>
    <w:p>
      <w:pPr>
        <w:pStyle w:val="Heading1"/>
        <w:pageBreakBefore/>
      </w:pPr>
      <w:r>
        <w:t>Individual paper reviews</w:t>
      </w:r>
    </w:p>
    <w:p>
      <w:bookmarkStart w:id="47" w:name="P47"/>
      <w:pPr>
        <w:pStyle w:val="PaperHeading"/>
      </w:pPr>
      <w:r>
        <w:t>P47 | Adaptive antiscalant dosing with pilot validation</w:t>
      </w:r>
      <w:bookmarkEnd w:id="47"/>
    </w:p>
    <w:p>
      <w:pPr>
        <w:pStyle w:val="RefCitation"/>
      </w:pPr>
      <w:r>
        <w:t>Mangal, M. N., Yangali-Quintanilla, V. A., Salinas-Rodriguez, S. G., Dusseldorp, J., Blankert, B., Kemperman, A. J., ... &amp; van der Meer, W. G. (2022). Application of a smart dosing pump algorithm in identifying real-time optimum dose of antiscalant in reverse osmosis systems. Journal of membrane science, 658, 120717.</w:t>
      </w:r>
    </w:p>
    <w:p>
      <w:pPr>
        <w:pStyle w:val="RefMeta"/>
      </w:pPr>
      <w:r>
        <w:t>F — Original article sections read online  •  Presentation reference slide 31</w:t>
      </w:r>
    </w:p>
    <w:p>
      <w:pPr>
        <w:pStyle w:val="RefBody"/>
      </w:pPr>
      <w:r>
        <w:rPr>
          <w:b/>
        </w:rPr>
        <w:t xml:space="preserve">Introduction. </w:t>
      </w:r>
      <w:r>
        <w:t>Demonstrates that real-time dose adaptation is already established in a related scaling application.</w:t>
      </w:r>
    </w:p>
    <w:p>
      <w:pPr>
        <w:pStyle w:val="RefBody"/>
      </w:pPr>
      <w:r>
        <w:rPr>
          <w:b/>
        </w:rPr>
        <w:t xml:space="preserve">Methodology. </w:t>
      </w:r>
      <w:r>
        <w:t>Batch, laboratory-RO, and two pilot-RO systems test dose changes. A feedback algorithm reduces dose, detects worsening net-driving-pressure trends, and increases dose until the trend stabilizes.</w:t>
      </w:r>
    </w:p>
    <w:p>
      <w:pPr>
        <w:pStyle w:val="RefBody"/>
      </w:pPr>
      <w:r>
        <w:rPr>
          <w:b/>
        </w:rPr>
        <w:t xml:space="preserve">Strengths. </w:t>
      </w:r>
      <w:r>
        <w:t>Connects feedback logic to physical experiments; it examines both underdosing and overdose-related deposits.</w:t>
      </w:r>
    </w:p>
    <w:p>
      <w:pPr>
        <w:pStyle w:val="RefBody"/>
      </w:pPr>
      <w:r>
        <w:rPr>
          <w:b/>
        </w:rPr>
        <w:t xml:space="preserve">Weaknesses / limits. </w:t>
      </w:r>
      <w:r>
        <w:t>Results concern selected RO waters and a tested antiscalant. Temporary underdosing in a pilot or guard unit cannot be transferred directly to a production flowline.</w:t>
      </w:r>
    </w:p>
    <w:p>
      <w:pPr>
        <w:pStyle w:val="RefBody"/>
      </w:pPr>
      <w:r>
        <w:rPr>
          <w:b/>
        </w:rPr>
        <w:t xml:space="preserve">Project gap / next test. </w:t>
      </w:r>
      <w:r>
        <w:t>Use this as a control comparator. The PhD extension should address flowline transport delay, spatial uncertainty, and constrained decisions.</w:t>
      </w:r>
    </w:p>
    <w:p>
      <w:pPr>
        <w:pStyle w:val="RefMeta"/>
      </w:pPr>
      <w:r>
        <w:t xml:space="preserve">Source: </w:t>
      </w:r>
      <w:hyperlink r:id="rId86">
        <w:r>
          <w:rPr>
            <w:color w:val="187B8D"/>
            <w:u w:val="single"/>
          </w:rPr>
          <w:t>Original article sections consulted online in institutional PDF</w:t>
        </w:r>
      </w:hyperlink>
      <w:r>
        <w:t xml:space="preserve">  |  </w:t>
      </w:r>
      <w:hyperlink r:id="rId87">
        <w:r>
          <w:rPr>
            <w:color w:val="187B8D"/>
            <w:u w:val="single"/>
          </w:rPr>
          <w:t>DOI: 10.1016/j.memsci.2022.120717</w:t>
        </w:r>
      </w:hyperlink>
    </w:p>
    <w:p>
      <w:pPr>
        <w:pStyle w:val="RefMeta"/>
        <w:spacing w:after="160"/>
      </w:pPr>
    </w:p>
    <w:p>
      <w:bookmarkStart w:id="48" w:name="P48"/>
      <w:pPr>
        <w:pStyle w:val="PaperHeading"/>
      </w:pPr>
      <w:r>
        <w:t>P48 | Chemistry and dosage models for membrane systems</w:t>
      </w:r>
      <w:bookmarkEnd w:id="48"/>
    </w:p>
    <w:p>
      <w:pPr>
        <w:pStyle w:val="RefCitation"/>
      </w:pPr>
      <w:r>
        <w:t>Ferguson, R. J., Ferguson, B. R., &amp; Stancavage, R. F. (2011). Modeling scale formation and optimizing scale inhibitor dosages in Membrane Systems. In RJ Ferguson, BR Ferguson, RF Stancavage/AWWA Membrane Technology Conference.—2011.</w:t>
      </w:r>
    </w:p>
    <w:p>
      <w:pPr>
        <w:pStyle w:val="RefMeta"/>
      </w:pPr>
      <w:r>
        <w:t>F — Original article sections read online  •  Presentation reference slide 31</w:t>
      </w:r>
    </w:p>
    <w:p>
      <w:pPr>
        <w:pStyle w:val="RefBody"/>
      </w:pPr>
      <w:r>
        <w:rPr>
          <w:b/>
        </w:rPr>
        <w:t xml:space="preserve">Introduction. </w:t>
      </w:r>
      <w:r>
        <w:t>Explains why simple indices can mislead scale prediction and inhibitor selection, especially when water composition changes.</w:t>
      </w:r>
    </w:p>
    <w:p>
      <w:pPr>
        <w:pStyle w:val="RefBody"/>
      </w:pPr>
      <w:r>
        <w:rPr>
          <w:b/>
        </w:rPr>
        <w:t xml:space="preserve">Methodology. </w:t>
      </w:r>
      <w:r>
        <w:t>The author-hosted conference paper combines ion association/speciation, free-ion saturation calculations, and induction-time-based dose models, with discussion of open/closed CO2 conditions and alkalinity.</w:t>
      </w:r>
    </w:p>
    <w:p>
      <w:pPr>
        <w:pStyle w:val="RefBody"/>
      </w:pPr>
      <w:r>
        <w:rPr>
          <w:b/>
        </w:rPr>
        <w:t xml:space="preserve">Strengths. </w:t>
      </w:r>
      <w:r>
        <w:t>Connects chemistry assumptions to the predicted treatment requirement and distinguishes thermodynamic tendency from timing.</w:t>
      </w:r>
    </w:p>
    <w:p>
      <w:pPr>
        <w:pStyle w:val="RefBody"/>
      </w:pPr>
      <w:r>
        <w:rPr>
          <w:b/>
        </w:rPr>
        <w:t xml:space="preserve">Weaknesses / limits. </w:t>
      </w:r>
      <w:r>
        <w:t>It is an application-oriented conference paper from software developers. Dataset transparency, independent validation, and local pipe-wall dynamics remain separate questions.</w:t>
      </w:r>
    </w:p>
    <w:p>
      <w:pPr>
        <w:pStyle w:val="RefBody"/>
      </w:pPr>
      <w:r>
        <w:rPr>
          <w:b/>
        </w:rPr>
        <w:t xml:space="preserve">Project gap / next test. </w:t>
      </w:r>
      <w:r>
        <w:t>Use proper speciation and explicit residence/protection time. Document chemistry assumptions rather than fitting a dose directly to TDS alone.</w:t>
      </w:r>
    </w:p>
    <w:p>
      <w:pPr>
        <w:pStyle w:val="RefMeta"/>
      </w:pPr>
      <w:r>
        <w:t xml:space="preserve">Source: </w:t>
      </w:r>
      <w:hyperlink r:id="rId88">
        <w:r>
          <w:rPr>
            <w:color w:val="187B8D"/>
            <w:u w:val="single"/>
          </w:rPr>
          <w:t>Original author-hosted conference paper sections consulted online</w:t>
        </w:r>
      </w:hyperlink>
    </w:p>
    <w:p>
      <w:pPr>
        <w:pStyle w:val="Heading1"/>
        <w:pageBreakBefore/>
      </w:pPr>
      <w:r>
        <w:t>Individual paper reviews</w:t>
      </w:r>
    </w:p>
    <w:p>
      <w:bookmarkStart w:id="49" w:name="P49"/>
      <w:pPr>
        <w:pStyle w:val="PaperHeading"/>
      </w:pPr>
      <w:r>
        <w:t>P49 | Spatial wax prediction as an analogy</w:t>
      </w:r>
      <w:bookmarkEnd w:id="49"/>
    </w:p>
    <w:p>
      <w:pPr>
        <w:pStyle w:val="RefCitation"/>
      </w:pPr>
      <w:r>
        <w:t>Kim, J., Han, S., Seo, Y., Moon, B., &amp; Lee, Y. (2022). The development of an AI-based model to predict the location and amount of wax in oil pipelines. Journal of Petroleum Science and Engineering, 209, 109813.</w:t>
      </w:r>
    </w:p>
    <w:p>
      <w:pPr>
        <w:pStyle w:val="RefMeta"/>
      </w:pPr>
      <w:r>
        <w:t>A — Abstract-based assessment  •  Presentation reference slide 31</w:t>
      </w:r>
    </w:p>
    <w:p>
      <w:pPr>
        <w:pStyle w:val="RefBody"/>
      </w:pPr>
      <w:r>
        <w:rPr>
          <w:b/>
        </w:rPr>
        <w:t xml:space="preserve">Introduction. </w:t>
      </w:r>
      <w:r>
        <w:t>Predicts wax deposition along an oil pipeline; it is useful methodologically but concerns a different deposit mechanism.</w:t>
      </w:r>
    </w:p>
    <w:p>
      <w:pPr>
        <w:pStyle w:val="RefBody"/>
      </w:pPr>
      <w:r>
        <w:rPr>
          <w:b/>
        </w:rPr>
        <w:t xml:space="preserve">Methodology. </w:t>
      </w:r>
      <w:r>
        <w:t>The institutional abstract describes OLGA/RRR-generated learning data and a stacked autoencoder trained to predict gridwise behavior over time.</w:t>
      </w:r>
    </w:p>
    <w:p>
      <w:pPr>
        <w:pStyle w:val="RefBody"/>
      </w:pPr>
      <w:r>
        <w:rPr>
          <w:b/>
        </w:rPr>
        <w:t xml:space="preserve">Strengths. </w:t>
      </w:r>
      <w:r>
        <w:t>Provides an example of spatial surrogate modeling and identifies both deposit amount and location as targets.</w:t>
      </w:r>
    </w:p>
    <w:p>
      <w:pPr>
        <w:pStyle w:val="RefBody"/>
      </w:pPr>
      <w:r>
        <w:rPr>
          <w:b/>
        </w:rPr>
        <w:t xml:space="preserve">Weaknesses / limits. </w:t>
      </w:r>
      <w:r>
        <w:t>The authors acknowledge inaccurate thickness comparisons and a 650 m location error equal to one grid. Wax physics and synthetic training do not validate mineral-scale prediction.</w:t>
      </w:r>
    </w:p>
    <w:p>
      <w:pPr>
        <w:pStyle w:val="RefBody"/>
      </w:pPr>
      <w:r>
        <w:rPr>
          <w:b/>
        </w:rPr>
        <w:t xml:space="preserve">Project gap / next test. </w:t>
      </w:r>
      <w:r>
        <w:t>Borrow the spatial representation, but use mineral chemistry and independent wall-deposit measurements; report location error in meters and section units.</w:t>
      </w:r>
    </w:p>
    <w:p>
      <w:pPr>
        <w:pStyle w:val="RefMeta"/>
      </w:pPr>
      <w:r>
        <w:t xml:space="preserve">Source: </w:t>
      </w:r>
      <w:hyperlink r:id="rId89">
        <w:r>
          <w:rPr>
            <w:color w:val="187B8D"/>
            <w:u w:val="single"/>
          </w:rPr>
          <w:t>Author abstract in institutional repository</w:t>
        </w:r>
      </w:hyperlink>
      <w:r>
        <w:t xml:space="preserve">  |  </w:t>
      </w:r>
      <w:hyperlink r:id="rId90">
        <w:r>
          <w:rPr>
            <w:color w:val="187B8D"/>
            <w:u w:val="single"/>
          </w:rPr>
          <w:t>DOI: 10.1016/j.petrol.2021.109813</w:t>
        </w:r>
      </w:hyperlink>
    </w:p>
    <w:p>
      <w:pPr>
        <w:pStyle w:val="RefMeta"/>
        <w:spacing w:after="160"/>
      </w:pPr>
    </w:p>
    <w:p>
      <w:bookmarkStart w:id="50" w:name="P50"/>
      <w:pPr>
        <w:pStyle w:val="PaperHeading"/>
      </w:pPr>
      <w:r>
        <w:t>P50 | False alarms in guided-wave monitoring</w:t>
      </w:r>
      <w:bookmarkEnd w:id="50"/>
    </w:p>
    <w:p>
      <w:pPr>
        <w:pStyle w:val="RefCitation"/>
      </w:pPr>
      <w:r>
        <w:t>El Mountassir, M., Yaacoubi, S., &amp; Dahmene, F. (2020). Reducing false alarms in guided waves structural health monitoring of pipelines: Review synthesis and debate. International Journal of Pressure Vessels and Piping, 188, 104210.</w:t>
      </w:r>
    </w:p>
    <w:p>
      <w:pPr>
        <w:pStyle w:val="RefMeta"/>
      </w:pPr>
      <w:r>
        <w:t>C — Provisional; original paper not read  •  Presentation reference slide 35</w:t>
      </w:r>
    </w:p>
    <w:p>
      <w:pPr>
        <w:pStyle w:val="RefBody"/>
      </w:pPr>
      <w:r>
        <w:rPr>
          <w:b/>
        </w:rPr>
        <w:t xml:space="preserve">Introduction. </w:t>
      </w:r>
      <w:r>
        <w:t>A review of how environmental and operational changes affect reliable pipeline monitoring.</w:t>
      </w:r>
    </w:p>
    <w:p>
      <w:pPr>
        <w:pStyle w:val="RefBody"/>
      </w:pPr>
      <w:r>
        <w:rPr>
          <w:b/>
        </w:rPr>
        <w:t xml:space="preserve">Methodology. </w:t>
      </w:r>
      <w:r>
        <w:t>The slides describe baseline compensation, signal processing, feature reduction, and learning methods for guided-wave structural health monitoring. An author-associated PDF link was located, but the review text was not inspected.</w:t>
      </w:r>
    </w:p>
    <w:p>
      <w:pPr>
        <w:pStyle w:val="RefBody"/>
      </w:pPr>
      <w:r>
        <w:rPr>
          <w:b/>
        </w:rPr>
        <w:t xml:space="preserve">Strengths. </w:t>
      </w:r>
      <w:r>
        <w:t>Makes changing operating conditions and false alarms central to sensor interpretation.</w:t>
      </w:r>
    </w:p>
    <w:p>
      <w:pPr>
        <w:pStyle w:val="RefBody"/>
      </w:pPr>
      <w:r>
        <w:rPr>
          <w:b/>
        </w:rPr>
        <w:t xml:space="preserve">Weaknesses / limits. </w:t>
      </w:r>
      <w:r>
        <w:t>Guided-wave sensitivity to defects does not automatically imply accurate mineral-layer thickness or type identification.</w:t>
      </w:r>
    </w:p>
    <w:p>
      <w:pPr>
        <w:pStyle w:val="RefBody"/>
      </w:pPr>
      <w:r>
        <w:rPr>
          <w:b/>
        </w:rPr>
        <w:t xml:space="preserve">Project gap / next test. </w:t>
      </w:r>
      <w:r>
        <w:t>Collect temperature, loading, coupling, and flow disturbances during clean-pipe tests; separate those effects from deposit-related signals.</w:t>
      </w:r>
    </w:p>
    <w:p>
      <w:pPr>
        <w:pStyle w:val="RefMeta"/>
      </w:pPr>
      <w:r>
        <w:t xml:space="preserve">Source: </w:t>
      </w:r>
      <w:hyperlink r:id="rId91">
        <w:r>
          <w:rPr>
            <w:color w:val="187B8D"/>
            <w:u w:val="single"/>
          </w:rPr>
          <w:t>Author-associated PDF link located; text not inspected</w:t>
        </w:r>
      </w:hyperlink>
    </w:p>
    <w:p>
      <w:pPr>
        <w:pStyle w:val="RefMeta"/>
      </w:pPr>
      <w:hyperlink r:id="rId92">
        <w:r>
          <w:rPr>
            <w:color w:val="187B8D"/>
            <w:u w:val="single"/>
          </w:rPr>
          <w:t>Search the cited title</w:t>
        </w:r>
      </w:hyperlink>
    </w:p>
    <w:p>
      <w:pPr>
        <w:pStyle w:val="Heading1"/>
        <w:pageBreakBefore/>
      </w:pPr>
      <w:r>
        <w:t>Individual paper reviews</w:t>
      </w:r>
    </w:p>
    <w:p>
      <w:bookmarkStart w:id="51" w:name="P51"/>
      <w:pPr>
        <w:pStyle w:val="PaperHeading"/>
      </w:pPr>
      <w:r>
        <w:t>P51 | Pipeline inspection, monitoring, and assessment</w:t>
      </w:r>
      <w:bookmarkEnd w:id="51"/>
    </w:p>
    <w:p>
      <w:pPr>
        <w:pStyle w:val="RefCitation"/>
      </w:pPr>
      <w:r>
        <w:t>Chen, P. (2025). Advancements and future outlook of safety monitoring, inspection and assessment technologies for oil and gas pipeline networks. Journal of Pipeline Science and Engineering, 5, 100267.</w:t>
      </w:r>
    </w:p>
    <w:p>
      <w:pPr>
        <w:pStyle w:val="RefMeta"/>
      </w:pPr>
      <w:r>
        <w:t>F — Original article sections read online  •  Presentation reference slide 35</w:t>
      </w:r>
    </w:p>
    <w:p>
      <w:pPr>
        <w:pStyle w:val="RefBody"/>
      </w:pPr>
      <w:r>
        <w:rPr>
          <w:b/>
        </w:rPr>
        <w:t xml:space="preserve">Introduction. </w:t>
      </w:r>
      <w:r>
        <w:t>Reviews pipeline integrity technology across inspection, environmental threats, and fitness-for-service assessment.</w:t>
      </w:r>
    </w:p>
    <w:p>
      <w:pPr>
        <w:pStyle w:val="RefBody"/>
      </w:pPr>
      <w:r>
        <w:rPr>
          <w:b/>
        </w:rPr>
        <w:t xml:space="preserve">Methodology. </w:t>
      </w:r>
      <w:r>
        <w:t>The accessible pre-proof surveys in-line and external inspection, leakage/geohazard monitoring, and defect assessment, including multi-source sensing and SCADA-related approaches.</w:t>
      </w:r>
    </w:p>
    <w:p>
      <w:pPr>
        <w:pStyle w:val="RefBody"/>
      </w:pPr>
      <w:r>
        <w:rPr>
          <w:b/>
        </w:rPr>
        <w:t xml:space="preserve">Strengths. </w:t>
      </w:r>
      <w:r>
        <w:t>Supplies broad context for instrument choice and already recognizes sensor fusion in pipeline monitoring.</w:t>
      </w:r>
    </w:p>
    <w:p>
      <w:pPr>
        <w:pStyle w:val="RefBody"/>
      </w:pPr>
      <w:r>
        <w:rPr>
          <w:b/>
        </w:rPr>
        <w:t xml:space="preserve">Weaknesses / limits. </w:t>
      </w:r>
      <w:r>
        <w:t>Its focus is structural integrity and threats, not a calibrated mineral-deposition estimator. Broad technology reviews do not prove a specific scale sensor will work.</w:t>
      </w:r>
    </w:p>
    <w:p>
      <w:pPr>
        <w:pStyle w:val="RefBody"/>
      </w:pPr>
      <w:r>
        <w:rPr>
          <w:b/>
        </w:rPr>
        <w:t xml:space="preserve">Project gap / next test. </w:t>
      </w:r>
      <w:r>
        <w:t>Narrow the project’s novelty to scale-specific states and validation; avoid claiming that pipeline sensor fusion itself is new.</w:t>
      </w:r>
    </w:p>
    <w:p>
      <w:pPr>
        <w:pStyle w:val="RefMeta"/>
      </w:pPr>
      <w:r>
        <w:t xml:space="preserve">Source: </w:t>
      </w:r>
      <w:hyperlink r:id="rId93">
        <w:r>
          <w:rPr>
            <w:color w:val="187B8D"/>
            <w:u w:val="single"/>
          </w:rPr>
          <w:t>Original article pre-proof sections consulted online</w:t>
        </w:r>
      </w:hyperlink>
      <w:r>
        <w:t xml:space="preserve">  |  </w:t>
      </w:r>
      <w:hyperlink r:id="rId94">
        <w:r>
          <w:rPr>
            <w:color w:val="187B8D"/>
            <w:u w:val="single"/>
          </w:rPr>
          <w:t>DOI: 10.1016/j.jpse.2025.100267</w:t>
        </w:r>
      </w:hyperlink>
    </w:p>
    <w:p>
      <w:pPr>
        <w:pStyle w:val="RefMeta"/>
        <w:spacing w:after="160"/>
      </w:pPr>
    </w:p>
    <w:p>
      <w:bookmarkStart w:id="52" w:name="P52"/>
      <w:pPr>
        <w:pStyle w:val="PaperHeading"/>
      </w:pPr>
      <w:r>
        <w:t>P52 | Ultrasonic measurement of internal scale thickness</w:t>
      </w:r>
      <w:bookmarkEnd w:id="52"/>
    </w:p>
    <w:p>
      <w:pPr>
        <w:pStyle w:val="RefCitation"/>
      </w:pPr>
      <w:r>
        <w:t>Lee, K. I. (2010). Ultrasonic technique for measuring the thickness of scale on the inner surfaces of pipes. Journal of the Korean Physical Society, 56(2), 558–561</w:t>
      </w:r>
    </w:p>
    <w:p>
      <w:pPr>
        <w:pStyle w:val="RefMeta"/>
      </w:pPr>
      <w:r>
        <w:t>A — Abstract-based assessment  •  Presentation reference slide 35</w:t>
      </w:r>
    </w:p>
    <w:p>
      <w:pPr>
        <w:pStyle w:val="RefBody"/>
      </w:pPr>
      <w:r>
        <w:rPr>
          <w:b/>
        </w:rPr>
        <w:t xml:space="preserve">Introduction. </w:t>
      </w:r>
      <w:r>
        <w:t>A directly relevant study of nondestructive scale-thickness measurement from outside a pipe.</w:t>
      </w:r>
    </w:p>
    <w:p>
      <w:pPr>
        <w:pStyle w:val="RefBody"/>
      </w:pPr>
      <w:r>
        <w:rPr>
          <w:b/>
        </w:rPr>
        <w:t xml:space="preserve">Methodology. </w:t>
      </w:r>
      <w:r>
        <w:t>The author abstract reproduced in OSTI describes laboratory tests on PP, PVC, and steel pipes. It reports successful thickness determination on PP/PVC but says the method was not applicable to the steel pipe. The original full text was unavailable.</w:t>
      </w:r>
    </w:p>
    <w:p>
      <w:pPr>
        <w:pStyle w:val="RefBody"/>
      </w:pPr>
      <w:r>
        <w:rPr>
          <w:b/>
        </w:rPr>
        <w:t xml:space="preserve">Strengths. </w:t>
      </w:r>
      <w:r>
        <w:t>Tests different pipe materials and exposes an important feasibility limitation for sensor selection.</w:t>
      </w:r>
    </w:p>
    <w:p>
      <w:pPr>
        <w:pStyle w:val="RefBody"/>
      </w:pPr>
      <w:r>
        <w:rPr>
          <w:b/>
        </w:rPr>
        <w:t xml:space="preserve">Weaknesses / limits. </w:t>
      </w:r>
      <w:r>
        <w:t>Presentation 4’s description of validation on all three materials is misleading. The indexed abstract also contains an anomalous scale-formula rendering, so the original article is needed before assigning mineral-specific properties.</w:t>
      </w:r>
    </w:p>
    <w:p>
      <w:pPr>
        <w:pStyle w:val="RefBody"/>
      </w:pPr>
      <w:r>
        <w:rPr>
          <w:b/>
        </w:rPr>
        <w:t xml:space="preserve">Project gap / next test. </w:t>
      </w:r>
      <w:r>
        <w:t>Make ultrasonic feasibility on the actual steel/scale combination the first experimental gate. Use calibrated coupons or another independent thickness measurement if echoes cannot be resolved.</w:t>
      </w:r>
    </w:p>
    <w:p>
      <w:pPr>
        <w:pStyle w:val="RefMeta"/>
      </w:pPr>
      <w:r>
        <w:t xml:space="preserve">Source: </w:t>
      </w:r>
      <w:hyperlink r:id="rId95">
        <w:r>
          <w:rPr>
            <w:color w:val="187B8D"/>
            <w:u w:val="single"/>
          </w:rPr>
          <w:t>Author abstract reproduced in OSTI; full paper not read</w:t>
        </w:r>
      </w:hyperlink>
    </w:p>
    <w:p>
      <w:pPr>
        <w:pStyle w:val="Heading1"/>
        <w:pageBreakBefore/>
      </w:pPr>
      <w:r>
        <w:t>Individual paper reviews</w:t>
      </w:r>
    </w:p>
    <w:p>
      <w:bookmarkStart w:id="53" w:name="P53"/>
      <w:pPr>
        <w:pStyle w:val="PaperHeading"/>
      </w:pPr>
      <w:r>
        <w:t>P53 | Ultrasonic blockage profiling in a flow loop</w:t>
      </w:r>
      <w:bookmarkEnd w:id="53"/>
    </w:p>
    <w:p>
      <w:pPr>
        <w:pStyle w:val="RefCitation"/>
      </w:pPr>
      <w:r>
        <w:t>Li, X., Liu, Y., Liu, Z., Chu, J., Song, Y., Yu, T., &amp; Zhao, J. (2020). A hydrate blockage detection apparatus for gas pipeline using ultrasonic focused transducer and its application on a flow loop. Energy Science &amp; Engineering, 8, 1770–1780</w:t>
      </w:r>
    </w:p>
    <w:p>
      <w:pPr>
        <w:pStyle w:val="RefMeta"/>
      </w:pPr>
      <w:r>
        <w:t>C — Provisional; original paper not read  •  Presentation reference slide 35</w:t>
      </w:r>
    </w:p>
    <w:p>
      <w:pPr>
        <w:pStyle w:val="RefBody"/>
      </w:pPr>
      <w:r>
        <w:rPr>
          <w:b/>
        </w:rPr>
        <w:t xml:space="preserve">Introduction. </w:t>
      </w:r>
      <w:r>
        <w:t>Uses focused ultrasound to detect hydrate blockage, providing an adjacent sensing example.</w:t>
      </w:r>
    </w:p>
    <w:p>
      <w:pPr>
        <w:pStyle w:val="RefBody"/>
      </w:pPr>
      <w:r>
        <w:rPr>
          <w:b/>
        </w:rPr>
        <w:t xml:space="preserve">Methodology. </w:t>
      </w:r>
      <w:r>
        <w:t>The slides describe time-of-flight measurements, circumferential scanning, and flow-loop validation. A matching open-access article record and DOI were located; the full original methods were not read.</w:t>
      </w:r>
    </w:p>
    <w:p>
      <w:pPr>
        <w:pStyle w:val="RefBody"/>
      </w:pPr>
      <w:r>
        <w:rPr>
          <w:b/>
        </w:rPr>
        <w:t xml:space="preserve">Strengths. </w:t>
      </w:r>
      <w:r>
        <w:t>Shows how an external sensor can be arranged for geometric blockage information.</w:t>
      </w:r>
    </w:p>
    <w:p>
      <w:pPr>
        <w:pStyle w:val="RefBody"/>
      </w:pPr>
      <w:r>
        <w:rPr>
          <w:b/>
        </w:rPr>
        <w:t xml:space="preserve">Weaknesses / limits. </w:t>
      </w:r>
      <w:r>
        <w:t>Hydrate or ice calibration cannot be assumed valid for crystalline mineral scale. Acoustic speed, bonding, attenuation, and thickness ranges differ.</w:t>
      </w:r>
    </w:p>
    <w:p>
      <w:pPr>
        <w:pStyle w:val="RefBody"/>
      </w:pPr>
      <w:r>
        <w:rPr>
          <w:b/>
        </w:rPr>
        <w:t xml:space="preserve">Project gap / next test. </w:t>
      </w:r>
      <w:r>
        <w:t>Adapt the instrument concept only after testing actual scale materials; do not transfer reported hydrate accuracy directly.</w:t>
      </w:r>
    </w:p>
    <w:p>
      <w:pPr>
        <w:pStyle w:val="RefMeta"/>
      </w:pPr>
      <w:r>
        <w:t xml:space="preserve">Source: </w:t>
      </w:r>
      <w:hyperlink r:id="rId96">
        <w:r>
          <w:rPr>
            <w:color w:val="187B8D"/>
            <w:u w:val="single"/>
          </w:rPr>
          <w:t>Open article record located; original full text not read</w:t>
        </w:r>
      </w:hyperlink>
      <w:r>
        <w:t xml:space="preserve">  |  </w:t>
      </w:r>
      <w:hyperlink r:id="rId96">
        <w:r>
          <w:rPr>
            <w:color w:val="187B8D"/>
            <w:u w:val="single"/>
          </w:rPr>
          <w:t>DOI: 10.1002/ese3.631</w:t>
        </w:r>
      </w:hyperlink>
    </w:p>
    <w:p>
      <w:pPr>
        <w:pStyle w:val="RefMeta"/>
      </w:pPr>
      <w:hyperlink r:id="rId97">
        <w:r>
          <w:rPr>
            <w:color w:val="187B8D"/>
            <w:u w:val="single"/>
          </w:rPr>
          <w:t>Search the cited title</w:t>
        </w:r>
      </w:hyperlink>
    </w:p>
    <w:p>
      <w:pPr>
        <w:pStyle w:val="RefMeta"/>
        <w:spacing w:after="160"/>
      </w:pPr>
    </w:p>
    <w:p>
      <w:bookmarkStart w:id="54" w:name="P54"/>
      <w:pPr>
        <w:pStyle w:val="PaperHeading"/>
      </w:pPr>
      <w:r>
        <w:t>P54 | Guided-wave pipeline inspection review</w:t>
      </w:r>
      <w:bookmarkEnd w:id="54"/>
    </w:p>
    <w:p>
      <w:pPr>
        <w:pStyle w:val="RefCitation"/>
      </w:pPr>
      <w:r>
        <w:t>Zang, X., Xu, Z.-D., Lu, H., Zhu, C., &amp; Zhang, Z. (2023). Ultrasonic guided wave techniques and applications in pipeline defect detection: A review. International Journal of Pressure Vessels and Piping, 206, 105033.</w:t>
      </w:r>
    </w:p>
    <w:p>
      <w:pPr>
        <w:pStyle w:val="RefMeta"/>
      </w:pPr>
      <w:r>
        <w:t>C — Provisional; original paper not read  •  Presentation reference slide 35</w:t>
      </w:r>
    </w:p>
    <w:p>
      <w:pPr>
        <w:pStyle w:val="RefBody"/>
      </w:pPr>
      <w:r>
        <w:rPr>
          <w:b/>
        </w:rPr>
        <w:t xml:space="preserve">Introduction. </w:t>
      </w:r>
      <w:r>
        <w:t>Reviews long-range ultrasonic guided-wave techniques and their pipeline applications.</w:t>
      </w:r>
    </w:p>
    <w:p>
      <w:pPr>
        <w:pStyle w:val="RefBody"/>
      </w:pPr>
      <w:r>
        <w:rPr>
          <w:b/>
        </w:rPr>
        <w:t xml:space="preserve">Methodology. </w:t>
      </w:r>
      <w:r>
        <w:t>Presentation 4 summarizes transducers, wave processing, localization, and structural-health-monitoring methods. The cited review’s full text was unavailable.</w:t>
      </w:r>
    </w:p>
    <w:p>
      <w:pPr>
        <w:pStyle w:val="RefBody"/>
      </w:pPr>
      <w:r>
        <w:rPr>
          <w:b/>
        </w:rPr>
        <w:t xml:space="preserve">Strengths. </w:t>
      </w:r>
      <w:r>
        <w:t>Useful for understanding sensor coverage and the trade-off between long-range detection and local characterization.</w:t>
      </w:r>
    </w:p>
    <w:p>
      <w:pPr>
        <w:pStyle w:val="RefBody"/>
      </w:pPr>
      <w:r>
        <w:rPr>
          <w:b/>
        </w:rPr>
        <w:t xml:space="preserve">Weaknesses / limits. </w:t>
      </w:r>
      <w:r>
        <w:t>Defect detection and localization are different inverse problems from quantifying a thin, adherent mineral deposit.</w:t>
      </w:r>
    </w:p>
    <w:p>
      <w:pPr>
        <w:pStyle w:val="RefBody"/>
      </w:pPr>
      <w:r>
        <w:rPr>
          <w:b/>
        </w:rPr>
        <w:t xml:space="preserve">Project gap / next test. </w:t>
      </w:r>
      <w:r>
        <w:t>Compare guided-wave screening with local pulse-echo thickness measurements and determine whether their information is complementary.</w:t>
      </w:r>
    </w:p>
    <w:p>
      <w:pPr>
        <w:pStyle w:val="RefMeta"/>
      </w:pPr>
      <w:r>
        <w:t xml:space="preserve">Source: </w:t>
      </w:r>
      <w:hyperlink r:id="rId98">
        <w:r>
          <w:rPr>
            <w:color w:val="187B8D"/>
            <w:u w:val="single"/>
          </w:rPr>
          <w:t>Presentation only; original paper not read</w:t>
        </w:r>
      </w:hyperlink>
      <w:r>
        <w:t xml:space="preserve">  |  </w:t>
      </w:r>
      <w:hyperlink r:id="rId98">
        <w:r>
          <w:rPr>
            <w:color w:val="187B8D"/>
            <w:u w:val="single"/>
          </w:rPr>
          <w:t>DOI: 10.1016/j.ijpvp.2023.105033</w:t>
        </w:r>
      </w:hyperlink>
    </w:p>
    <w:p>
      <w:pPr>
        <w:pStyle w:val="RefMeta"/>
      </w:pPr>
      <w:hyperlink r:id="rId99">
        <w:r>
          <w:rPr>
            <w:color w:val="187B8D"/>
            <w:u w:val="single"/>
          </w:rPr>
          <w:t>Search the cited title</w:t>
        </w:r>
      </w:hyperlink>
    </w:p>
    <w:p>
      <w:pPr>
        <w:pStyle w:val="Heading1"/>
        <w:pageBreakBefore/>
      </w:pPr>
      <w:r>
        <w:t>Individual paper reviews</w:t>
      </w:r>
    </w:p>
    <w:p>
      <w:bookmarkStart w:id="55" w:name="P55"/>
      <w:pPr>
        <w:pStyle w:val="PaperHeading"/>
      </w:pPr>
      <w:r>
        <w:t>P55 | Electrical tomography of deposited slurry solids</w:t>
      </w:r>
      <w:bookmarkEnd w:id="55"/>
    </w:p>
    <w:p>
      <w:pPr>
        <w:pStyle w:val="RefCitation"/>
      </w:pPr>
      <w:r>
        <w:t>Fangary, Y. S., Williams, R. A., Neil, W. A., Bond, J., &amp; Faulks, I. (1998). Application of electrical resistance tomography to detect deposition in hydraulic conveying systems. Powder Technology, 95, 61–66.</w:t>
      </w:r>
    </w:p>
    <w:p>
      <w:pPr>
        <w:pStyle w:val="RefMeta"/>
      </w:pPr>
      <w:r>
        <w:t>A — Abstract-based assessment  •  Presentation reference slide 35</w:t>
      </w:r>
    </w:p>
    <w:p>
      <w:pPr>
        <w:pStyle w:val="RefBody"/>
      </w:pPr>
      <w:r>
        <w:rPr>
          <w:b/>
        </w:rPr>
        <w:t xml:space="preserve">Introduction. </w:t>
      </w:r>
      <w:r>
        <w:t>Demonstrates monitoring of solids accumulation during horizontal slurry conveying.</w:t>
      </w:r>
    </w:p>
    <w:p>
      <w:pPr>
        <w:pStyle w:val="RefBody"/>
      </w:pPr>
      <w:r>
        <w:rPr>
          <w:b/>
        </w:rPr>
        <w:t xml:space="preserve">Methodology. </w:t>
      </w:r>
      <w:r>
        <w:t>The institutional abstract describes 16 electrodes around the inner bore, reconstruction of cross-sectional conductivity, and tests under static and flowing conditions with different velocities and solids loadings.</w:t>
      </w:r>
    </w:p>
    <w:p>
      <w:pPr>
        <w:pStyle w:val="RefBody"/>
      </w:pPr>
      <w:r>
        <w:rPr>
          <w:b/>
        </w:rPr>
        <w:t xml:space="preserve">Strengths. </w:t>
      </w:r>
      <w:r>
        <w:t>Provides spatial information within a pipe cross-section and explicitly studies flowing conditions.</w:t>
      </w:r>
    </w:p>
    <w:p>
      <w:pPr>
        <w:pStyle w:val="RefBody"/>
      </w:pPr>
      <w:r>
        <w:rPr>
          <w:b/>
        </w:rPr>
        <w:t xml:space="preserve">Weaknesses / limits. </w:t>
      </w:r>
      <w:r>
        <w:t>Conductivity depends on fluid chemistry and solids loading. A settled slurry bed is not the same as an adherent mineral layer on steel.</w:t>
      </w:r>
    </w:p>
    <w:p>
      <w:pPr>
        <w:pStyle w:val="RefBody"/>
      </w:pPr>
      <w:r>
        <w:rPr>
          <w:b/>
        </w:rPr>
        <w:t xml:space="preserve">Project gap / next test. </w:t>
      </w:r>
      <w:r>
        <w:t>Use tomography as an optional later modality only after accounting for conductivity changes, electrode access, and the deposit mechanism.</w:t>
      </w:r>
    </w:p>
    <w:p>
      <w:pPr>
        <w:pStyle w:val="RefMeta"/>
      </w:pPr>
      <w:r>
        <w:t xml:space="preserve">Source: </w:t>
      </w:r>
      <w:hyperlink r:id="rId100">
        <w:r>
          <w:rPr>
            <w:color w:val="187B8D"/>
            <w:u w:val="single"/>
          </w:rPr>
          <w:t>Author abstract in institutional repository</w:t>
        </w:r>
      </w:hyperlink>
      <w:r>
        <w:t xml:space="preserve">  |  </w:t>
      </w:r>
      <w:hyperlink r:id="rId101">
        <w:r>
          <w:rPr>
            <w:color w:val="187B8D"/>
            <w:u w:val="single"/>
          </w:rPr>
          <w:t>DOI: 10.1016/S0032-5910(97)03317-2</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SCALE FORMATION  /  LITERATURE &amp; RESEARCH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23647"/>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36E7F"/>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36E7F"/>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20" w:line="264" w:lineRule="auto" w:before="0"/>
      <w:contextualSpacing/>
    </w:pPr>
    <w:rPr>
      <w:rFonts w:asciiTheme="majorHAnsi" w:eastAsiaTheme="majorEastAsia" w:hAnsiTheme="majorHAnsi" w:cstheme="majorBidi" w:ascii="Calibri" w:hAnsi="Calibri"/>
      <w:b/>
      <w:color w:val="1738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36E7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300" w:lineRule="auto"/>
      <w:ind w:left="360" w:hanging="216"/>
      <w:contextualSpacing/>
    </w:pPr>
    <w:rPr>
      <w:rFonts w:ascii="Calibri" w:hAnsi="Calibri"/>
      <w:b w:val="0"/>
      <w:color w:val="22364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300" w:lineRule="auto"/>
      <w:ind w:left="360" w:hanging="216"/>
      <w:contextualSpacing/>
    </w:pPr>
    <w:rPr>
      <w:rFonts w:ascii="Calibri" w:hAnsi="Calibri"/>
      <w:b w:val="0"/>
      <w:color w:val="22364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60" w:after="120"/>
    </w:pPr>
    <w:rPr>
      <w:rFonts w:ascii="Calibri" w:hAnsi="Calibri"/>
      <w:b w:val="0"/>
      <w:bCs/>
      <w:color w:val="536E7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widowControl/>
      <w:spacing w:before="1000" w:after="320" w:line="259" w:lineRule="auto"/>
    </w:pPr>
    <w:rPr>
      <w:rFonts w:ascii="Calibri" w:hAnsi="Calibri"/>
      <w:b/>
      <w:color w:val="17384E"/>
      <w:sz w:val="60"/>
    </w:rPr>
  </w:style>
  <w:style w:type="paragraph" w:customStyle="1" w:styleId="CoverKicker">
    <w:name w:val="CoverKicker"/>
    <w:pPr>
      <w:widowControl/>
      <w:spacing w:before="0" w:after="160" w:line="276" w:lineRule="auto"/>
    </w:pPr>
    <w:rPr>
      <w:rFonts w:ascii="Calibri" w:hAnsi="Calibri"/>
      <w:b/>
      <w:color w:val="187B8D"/>
      <w:sz w:val="22"/>
    </w:rPr>
  </w:style>
  <w:style w:type="paragraph" w:customStyle="1" w:styleId="RefBody">
    <w:name w:val="RefBody"/>
    <w:pPr>
      <w:widowControl/>
      <w:spacing w:before="0" w:after="60" w:line="264" w:lineRule="auto"/>
    </w:pPr>
    <w:rPr>
      <w:rFonts w:ascii="Calibri" w:hAnsi="Calibri"/>
      <w:b w:val="0"/>
      <w:color w:val="223647"/>
      <w:sz w:val="21"/>
    </w:rPr>
  </w:style>
  <w:style w:type="paragraph" w:customStyle="1" w:styleId="PaperHeading">
    <w:name w:val="PaperHeading"/>
    <w:basedOn w:val="Heading2"/>
    <w:pPr>
      <w:keepNext/>
      <w:widowControl/>
      <w:spacing w:before="200" w:after="100" w:line="264" w:lineRule="auto"/>
    </w:pPr>
    <w:rPr>
      <w:rFonts w:ascii="Calibri" w:hAnsi="Calibri"/>
      <w:b/>
      <w:color w:val="2E74B5"/>
      <w:sz w:val="26"/>
    </w:rPr>
  </w:style>
  <w:style w:type="paragraph" w:customStyle="1" w:styleId="TableSpacer">
    <w:name w:val="TableSpacer"/>
    <w:pPr>
      <w:widowControl/>
      <w:spacing w:before="0" w:after="0" w:line="240" w:lineRule="auto"/>
    </w:pPr>
    <w:rPr>
      <w:rFonts w:ascii="Calibri" w:hAnsi="Calibri"/>
      <w:b w:val="0"/>
      <w:color w:val="223647"/>
      <w:sz w:val="4"/>
    </w:rPr>
  </w:style>
  <w:style w:type="paragraph" w:customStyle="1" w:styleId="RefCitation">
    <w:name w:val="RefCitation"/>
    <w:pPr>
      <w:widowControl/>
      <w:spacing w:before="0" w:after="100" w:line="264" w:lineRule="auto"/>
    </w:pPr>
    <w:rPr>
      <w:rFonts w:ascii="Calibri" w:hAnsi="Calibri"/>
      <w:b w:val="0"/>
      <w:color w:val="243E50"/>
      <w:sz w:val="21"/>
    </w:rPr>
  </w:style>
  <w:style w:type="paragraph" w:customStyle="1" w:styleId="RefMeta">
    <w:name w:val="RefMeta"/>
    <w:pPr>
      <w:widowControl/>
      <w:spacing w:before="0" w:after="100" w:line="264" w:lineRule="auto"/>
    </w:pPr>
    <w:rPr>
      <w:rFonts w:ascii="Calibri" w:hAnsi="Calibri"/>
      <w:b w:val="0"/>
      <w:color w:val="536E7F"/>
      <w:sz w:val="18"/>
    </w:rPr>
  </w:style>
  <w:style w:type="paragraph" w:customStyle="1" w:styleId="Equation">
    <w:name w:val="Equation"/>
    <w:pPr>
      <w:widowControl/>
      <w:spacing w:before="60" w:after="140" w:line="276" w:lineRule="auto"/>
    </w:pPr>
    <w:rPr>
      <w:rFonts w:ascii="Calibri" w:hAnsi="Calibri"/>
      <w:b w:val="0"/>
      <w:color w:val="17384E"/>
      <w:sz w:val="22"/>
    </w:rPr>
  </w:style>
  <w:style w:type="paragraph" w:customStyle="1" w:styleId="TableBody">
    <w:name w:val="TableBody"/>
    <w:pPr>
      <w:widowControl/>
      <w:spacing w:before="0" w:after="60" w:line="269" w:lineRule="auto"/>
    </w:pPr>
    <w:rPr>
      <w:rFonts w:ascii="Calibri" w:hAnsi="Calibri"/>
      <w:b w:val="0"/>
      <w:color w:val="22364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016/j.petrol.2019.03.070" TargetMode="External"/><Relationship Id="rId14" Type="http://schemas.openxmlformats.org/officeDocument/2006/relationships/hyperlink" Target="https://scholar.google.com/scholar?q=Development%20of%20modeling%20approaches%20to%20describe%20mineral%20scale%20deposition%20kinetics%20in%20porous%20medium%20and%20pipe%20flow%20system" TargetMode="External"/><Relationship Id="rId15" Type="http://schemas.openxmlformats.org/officeDocument/2006/relationships/hyperlink" Target="https://scholar.google.com/scholar?q=A%20novel%20approach%20to%20the%20study%20of%20CaCO3%20precipitation%20kinetics%20on%20carbon%20steel%20pipe" TargetMode="External"/><Relationship Id="rId16" Type="http://schemas.openxmlformats.org/officeDocument/2006/relationships/hyperlink" Target="https://scholar.google.com/scholar?q=Influence%20of%20Calcium%20and%20Bicarbonate%20Ions%20on%20the%20Kinetics%20of%20CaCO3%20Formation%20at%20High%20Temperature%20in%20the%20Absence%20and%20Presence%20of%20Scale%20Inhibitors" TargetMode="External"/><Relationship Id="rId17" Type="http://schemas.openxmlformats.org/officeDocument/2006/relationships/hyperlink" Target="https://eprints.whiterose.ac.uk/id/eprint/104448/" TargetMode="External"/><Relationship Id="rId18" Type="http://schemas.openxmlformats.org/officeDocument/2006/relationships/hyperlink" Target="https://doi.org/10.2118/179896-MS" TargetMode="External"/><Relationship Id="rId19" Type="http://schemas.openxmlformats.org/officeDocument/2006/relationships/hyperlink" Target="https://doi.org/10.2118/184524-MS" TargetMode="External"/><Relationship Id="rId20" Type="http://schemas.openxmlformats.org/officeDocument/2006/relationships/hyperlink" Target="https://scholar.google.com/scholar?q=The%20effect%20of%20turbulence%20on%20mineral%20scale%20control%20in%20oilfield" TargetMode="External"/><Relationship Id="rId21" Type="http://schemas.openxmlformats.org/officeDocument/2006/relationships/hyperlink" Target="https://bcc.rice.edu/sites/g/files/bxs4581/files/inline-files/3.%20Inhibition%20model_0.pdf" TargetMode="External"/><Relationship Id="rId22" Type="http://schemas.openxmlformats.org/officeDocument/2006/relationships/hyperlink" Target="https://scholar.google.com/scholar?q=Advances%20in%20inorganic%20scale%20prediction%E2%80%93development%20and%20validation%20of%20a%20kinetic%20model" TargetMode="External"/><Relationship Id="rId23" Type="http://schemas.openxmlformats.org/officeDocument/2006/relationships/hyperlink" Target="https://scholar.google.com/scholar?q=Scale%20build-up%20prediction%20of%20FeS%20and%20FeCO3%20in%20gas%20production%20pipes" TargetMode="External"/><Relationship Id="rId24" Type="http://schemas.openxmlformats.org/officeDocument/2006/relationships/hyperlink" Target="https://scholar.google.com/scholar?q=Do%20we%20need%20higher%20dose%20scale%20inhibitors%20to%20inhibit%20scale%20under%20turbulent%20conditions%3F%20Insight%20into%20mechanisms%20and%20new%20test%20methodology" TargetMode="External"/><Relationship Id="rId25" Type="http://schemas.openxmlformats.org/officeDocument/2006/relationships/hyperlink" Target="https://scholar.google.com/scholar?q=Novel%20Mineral%20Scale%20Deposition%20Model%20Under%20Different%20Flow%20Conditions%20with%20or%20Without%20Scale%20Inhibitors" TargetMode="External"/><Relationship Id="rId26" Type="http://schemas.openxmlformats.org/officeDocument/2006/relationships/hyperlink" Target="https://bcc.rice.edu/sites/g/files/bxs4581/files/inline-files/6%20Calcite%20under%20turbulent%20flow.pdf" TargetMode="External"/><Relationship Id="rId27" Type="http://schemas.openxmlformats.org/officeDocument/2006/relationships/hyperlink" Target="https://scholar.google.com/scholar?q=Numerical%20Simulation%20of%20Transient%20Transport%20of%20Scale%20Inhibitor%20in%20an%20Oil-Water%20Trunkline%20with%20Multiple%20Flowlines" TargetMode="External"/><Relationship Id="rId28" Type="http://schemas.openxmlformats.org/officeDocument/2006/relationships/hyperlink" Target="https://scholar.google.com/scholar?q=Transport%20Modeling%20of%20Scale%20Inhibitor%20and%20Scaling%20Ions%20in%20an%20Oil-Water%20Trunkline%20with%20Multiple%20Flowlines" TargetMode="External"/><Relationship Id="rId29" Type="http://schemas.openxmlformats.org/officeDocument/2006/relationships/hyperlink" Target="https://scholar.google.com/scholar?q=Surface%20scaling%20in%20the%20oil%20and%20gas%20sector%3A%20Understanding%20the%20process%20and%20means%20of%20management" TargetMode="External"/><Relationship Id="rId30" Type="http://schemas.openxmlformats.org/officeDocument/2006/relationships/hyperlink" Target="https://scholar.google.com/scholar?q=Predicting%20the%20scaling%20rate%20of%20calcium%20carbonate%20in%20wet-gas%20pipes%20via%20a%20CFD%20method" TargetMode="External"/><Relationship Id="rId31" Type="http://schemas.openxmlformats.org/officeDocument/2006/relationships/hyperlink" Target="https://scholar.google.com/scholar?q=Potential%20kinetic%20model%20for%20scaling%20and%20scale%20inhibition%20mechanism" TargetMode="External"/><Relationship Id="rId32" Type="http://schemas.openxmlformats.org/officeDocument/2006/relationships/hyperlink" Target="https://scholar.google.com/scholar?q=A%20unified%20experimental%20method%20and%20model%20for%20predicting%20scale%20inhibition" TargetMode="External"/><Relationship Id="rId33" Type="http://schemas.openxmlformats.org/officeDocument/2006/relationships/hyperlink" Target="https://doi.org/10.2118/200671-MS" TargetMode="External"/><Relationship Id="rId34" Type="http://schemas.openxmlformats.org/officeDocument/2006/relationships/hyperlink" Target="https://scholar.google.com/scholar?q=Developments%20on%20calcium%20sulfate%20scaling%20prediction%20and%20control%20in%20oil%20and%20gas%20production" TargetMode="External"/><Relationship Id="rId35" Type="http://schemas.openxmlformats.org/officeDocument/2006/relationships/hyperlink" Target="https://acs.figshare.com/articles/journal_contribution/The_Mechanism_of_Barium_Sulfate_Deposition_Inhibition_and_the_Prediction_of_Inhibitor_Dosage/10253027" TargetMode="External"/><Relationship Id="rId36" Type="http://schemas.openxmlformats.org/officeDocument/2006/relationships/hyperlink" Target="https://scholar.google.com/scholar?q=The%20mechanism%20of%20barium%20sulfate%20deposition%20inhibition%20and%20the%20prediction%20of%20inhibitor%20dosage" TargetMode="External"/><Relationship Id="rId37" Type="http://schemas.openxmlformats.org/officeDocument/2006/relationships/hyperlink" Target="https://pure.kfupm.edu.sa/en/publications/scale-predictioninhibition-design-using-machine-learning-techniqu/" TargetMode="External"/><Relationship Id="rId38" Type="http://schemas.openxmlformats.org/officeDocument/2006/relationships/hyperlink" Target="https://doi.org/10.2118/198646-PA" TargetMode="External"/><Relationship Id="rId39" Type="http://schemas.openxmlformats.org/officeDocument/2006/relationships/hyperlink" Target="https://scholar.google.com/scholar?q=Prediction%20of%20scale%20precipitation%20by%20modelling%20its%20thermodynamic%20properties%20using%20machine%20learning%20engineering" TargetMode="External"/><Relationship Id="rId40" Type="http://schemas.openxmlformats.org/officeDocument/2006/relationships/hyperlink" Target="https://doi.org/10.2118/212846-PA" TargetMode="External"/><Relationship Id="rId41" Type="http://schemas.openxmlformats.org/officeDocument/2006/relationships/hyperlink" Target="https://scholar.google.com/scholar?q=An%20insight%20into%20the%20prediction%20of%20scale%20precipitation%20in%20harsh%20conditions%20using%20different%20machine%20learning%20algorithms" TargetMode="External"/><Relationship Id="rId42" Type="http://schemas.openxmlformats.org/officeDocument/2006/relationships/hyperlink" Target="https://www.shuaa.om/ar/node/17588/printable/print" TargetMode="External"/><Relationship Id="rId43" Type="http://schemas.openxmlformats.org/officeDocument/2006/relationships/hyperlink" Target="https://scholar.google.com/scholar?q=Application%20of%20Machine%20Learning%20Techniques%20For%20Inorganic%20Scale%20Precipitation%20Prediction%20in%20a%20Sandstone%20Reservoir" TargetMode="External"/><Relationship Id="rId44" Type="http://schemas.openxmlformats.org/officeDocument/2006/relationships/hyperlink" Target="https://scholar.google.com/scholar?q=Development%20of%20artificial%20neural%20network%20models%20for%20the%20simulation%20of%20a%20CaCO3%20Scale%20formation%20process%20in%20the%20presence%20of%20monoethylene%20glycol%20%28MEG%29%20in%20dynamic%20tube%20blocking%20test%20equipment" TargetMode="External"/><Relationship Id="rId45" Type="http://schemas.openxmlformats.org/officeDocument/2006/relationships/hyperlink" Target="https://scholar.google.com/scholar?q=A%20rigorous%20model%20to%20predict%20the%20amount%20of%20dissolved%20calcium%20carbonate%20concentration%20throughout%20oil%20field%20brines%3A%20side%20effect%20of%20pressure%20and%20temperature" TargetMode="External"/><Relationship Id="rId46" Type="http://schemas.openxmlformats.org/officeDocument/2006/relationships/hyperlink" Target="https://scholar.pku.edu.cn/huyandi/publications/predicting-sulfate-mineral-scale-solubility-machine-learning" TargetMode="External"/><Relationship Id="rId47" Type="http://schemas.openxmlformats.org/officeDocument/2006/relationships/hyperlink" Target="https://scholar.google.com/scholar?q=Predicting%20sulfate%20mineral%20scale%20solubility%20with%20machine%20learning" TargetMode="External"/><Relationship Id="rId48" Type="http://schemas.openxmlformats.org/officeDocument/2006/relationships/hyperlink" Target="https://link.springer.com/article/10.1007/s44444-025-00045-3" TargetMode="External"/><Relationship Id="rId49" Type="http://schemas.openxmlformats.org/officeDocument/2006/relationships/hyperlink" Target="https://doi.org/10.1007/s44444-025-00045-3" TargetMode="External"/><Relationship Id="rId50" Type="http://schemas.openxmlformats.org/officeDocument/2006/relationships/hyperlink" Target="https://scholar.cu.edu.eg/?q=sayyouh%2Fpublications%2Fpredicting-scale-depositions-barium-and-strontium-sulfates-using-novel-artifi-0" TargetMode="External"/><Relationship Id="rId51" Type="http://schemas.openxmlformats.org/officeDocument/2006/relationships/hyperlink" Target="https://doi.org/10.2118/222123-MS" TargetMode="External"/><Relationship Id="rId52" Type="http://schemas.openxmlformats.org/officeDocument/2006/relationships/hyperlink" Target="https://scholar.google.com/scholar?q=Predicting%20scale%20depositions%20of%20barium%20and%20strontium%20sulfates%20using%20novel%20artificial%20neural%20network%20algorithms" TargetMode="External"/><Relationship Id="rId53" Type="http://schemas.openxmlformats.org/officeDocument/2006/relationships/hyperlink" Target="https://hal.science/hal-05313834" TargetMode="External"/><Relationship Id="rId54" Type="http://schemas.openxmlformats.org/officeDocument/2006/relationships/hyperlink" Target="https://doi.org/10.1016/j.rineng.2025.105222" TargetMode="External"/><Relationship Id="rId55" Type="http://schemas.openxmlformats.org/officeDocument/2006/relationships/hyperlink" Target="https://scholar.google.com/scholar?q=Prediction%20of%20barite%20scale%20formation%20and%20inhibition%20in%20hydrocarbon%20reservoirs%20using%20AI%20modeling%3A%20Focus%20on%20different%20optimization%20algorithms" TargetMode="External"/><Relationship Id="rId56" Type="http://schemas.openxmlformats.org/officeDocument/2006/relationships/hyperlink" Target="https://scholar.google.com/scholar?q=Calcium%20carbonate%20scale%20thickness%20prediction%20in%20annular%20three-phase%20flow%20using%20gamma-ray%20densitometry%20and%20artificial%20neural%20networks" TargetMode="External"/><Relationship Id="rId57" Type="http://schemas.openxmlformats.org/officeDocument/2006/relationships/hyperlink" Target="https://doi.org/10.1016/j.measurement.2021.109455" TargetMode="External"/><Relationship Id="rId58" Type="http://schemas.openxmlformats.org/officeDocument/2006/relationships/hyperlink" Target="https://scholar.google.com/scholar?q=Calculation%20of%20scales%20in%20oil%20pipeline%20using%20gamma-ray%20scattering%20and%20artificial%20intelligence" TargetMode="External"/><Relationship Id="rId59" Type="http://schemas.openxmlformats.org/officeDocument/2006/relationships/hyperlink" Target="https://scixplorer.org/abs/2025Meas..24215880S/abstract" TargetMode="External"/><Relationship Id="rId60" Type="http://schemas.openxmlformats.org/officeDocument/2006/relationships/hyperlink" Target="https://doi.org/10.1016/j.measurement.2024.115880" TargetMode="External"/><Relationship Id="rId61" Type="http://schemas.openxmlformats.org/officeDocument/2006/relationships/hyperlink" Target="https://scholar.google.com/scholar?q=Predicting%20scale%20thickness%20in%20three-phase%20flow%20using%20neutron%20activation%20analysis%20and%20deep%20learning" TargetMode="External"/><Relationship Id="rId62" Type="http://schemas.openxmlformats.org/officeDocument/2006/relationships/hyperlink" Target="https://scholar.google.com/scholar?q=Application%20of%20deep%20neural%20network%20and%20gamma-ray%20scattering%20in%20eccentric%20scale%20calculation%20regardless%20of%20the%20fluids%20volume%20fraction%20inside%20a%20pipeline" TargetMode="External"/><Relationship Id="rId63" Type="http://schemas.openxmlformats.org/officeDocument/2006/relationships/hyperlink" Target="https://pubmed.ncbi.nlm.nih.gov/37699325/" TargetMode="External"/><Relationship Id="rId64" Type="http://schemas.openxmlformats.org/officeDocument/2006/relationships/hyperlink" Target="https://scholar.google.com/scholar?q=Prediction%20of%20fluids%20volume%20fraction%20and%20barium%20sulfate%20scale%20in%20a%20multiphase%20system%20using%20gamma%20radiation%20and%20deep%20neural%20network" TargetMode="External"/><Relationship Id="rId65" Type="http://schemas.openxmlformats.org/officeDocument/2006/relationships/hyperlink" Target="https://www.mdpi.com/1996-1073/15/12/4500" TargetMode="External"/><Relationship Id="rId66" Type="http://schemas.openxmlformats.org/officeDocument/2006/relationships/hyperlink" Target="https://doi.org/10.3390/en15124500" TargetMode="External"/><Relationship Id="rId67" Type="http://schemas.openxmlformats.org/officeDocument/2006/relationships/hyperlink" Target="https://scholar.google.com/scholar?q=Employing%20GMDH-type%20neural%20network%20and%20signal%20frequency%20feature%20extraction%20approaches%20for%20detection%20of%20scale%20thickness%20inside%20oil%20pipelines" TargetMode="External"/><Relationship Id="rId68" Type="http://schemas.openxmlformats.org/officeDocument/2006/relationships/hyperlink" Target="https://psecommunity.org/wp-content/plugins/wpor/includes/file/2302/LAPSE-2023.8726-1v1.pdf" TargetMode="External"/><Relationship Id="rId69" Type="http://schemas.openxmlformats.org/officeDocument/2006/relationships/hyperlink" Target="https://doi.org/10.3390/en15207564" TargetMode="External"/><Relationship Id="rId70" Type="http://schemas.openxmlformats.org/officeDocument/2006/relationships/hyperlink" Target="https://pdfs.semanticscholar.org/275a/4c5e4c79ac39e35204297b60219286e7053c.pdf" TargetMode="External"/><Relationship Id="rId71" Type="http://schemas.openxmlformats.org/officeDocument/2006/relationships/hyperlink" Target="https://doi.org/10.3390/sym13071198" TargetMode="External"/><Relationship Id="rId72" Type="http://schemas.openxmlformats.org/officeDocument/2006/relationships/hyperlink" Target="https://www.tandfonline.com/doi/pdf/10.1080/08839514.2023.2166225" TargetMode="External"/><Relationship Id="rId73" Type="http://schemas.openxmlformats.org/officeDocument/2006/relationships/hyperlink" Target="https://doi.org/10.1080/08839514.2023.2166225" TargetMode="External"/><Relationship Id="rId74" Type="http://schemas.openxmlformats.org/officeDocument/2006/relationships/hyperlink" Target="https://scholar.google.com/scholar?q=Machine%20Learning%20Framework%20for%20Treating%20and%20Preventing%20Scale%20Formation" TargetMode="External"/><Relationship Id="rId75" Type="http://schemas.openxmlformats.org/officeDocument/2006/relationships/hyperlink" Target="https://scholar.google.com/scholar?q=On-site%2C%20near-real-time%20monitoring%20of%20scale%20deposition" TargetMode="External"/><Relationship Id="rId76" Type="http://schemas.openxmlformats.org/officeDocument/2006/relationships/hyperlink" Target="https://scholar.google.com/scholar?q=Deployment%2C%20Monitoring%20and%20Optimisation%20of%20a%20Combined%20Scale/Corrosion%20Inhibitor%20within%20a%20Subsea%20Facility%20in%20the%20North%20Sea%20Basin" TargetMode="External"/><Relationship Id="rId77" Type="http://schemas.openxmlformats.org/officeDocument/2006/relationships/hyperlink" Target="https://search.seg.org/i2kweb/SPE/doc/onepetro%3A18BDFB06" TargetMode="External"/><Relationship Id="rId78" Type="http://schemas.openxmlformats.org/officeDocument/2006/relationships/hyperlink" Target="https://scholar.google.com/scholar?q=Real-time%20and%20in-situ%20detection%20of%20calcium%20carbonate%20scale%20in%20a%20west%20Texas%20oil%20field" TargetMode="External"/><Relationship Id="rId79" Type="http://schemas.openxmlformats.org/officeDocument/2006/relationships/hyperlink" Target="https://jpt.spe.org/software-system-enables-effective-flow-assurance-management" TargetMode="External"/><Relationship Id="rId80" Type="http://schemas.openxmlformats.org/officeDocument/2006/relationships/hyperlink" Target="https://scholar.google.com/scholar?q=A%20smart%20software%20system%20for%20flow%20assurance%20management" TargetMode="External"/><Relationship Id="rId81" Type="http://schemas.openxmlformats.org/officeDocument/2006/relationships/hyperlink" Target="https://scholar.google.com/scholar?q=Water%20digital%20avatar%E2%80%94where%20chemistry%20is%20mixed%20with%20machine%20learning" TargetMode="External"/><Relationship Id="rId82" Type="http://schemas.openxmlformats.org/officeDocument/2006/relationships/hyperlink" Target="https://www.proceedings.com/content/075/075085webtoc.pdf" TargetMode="External"/><Relationship Id="rId83" Type="http://schemas.openxmlformats.org/officeDocument/2006/relationships/hyperlink" Target="https://scholar.google.com/scholar?q=How%20to%20Develop%20a%20Comprehensive%20Scale%20Management%20Strategy%20and%20Use%20the%20Scale%20Risk%20Factor%20%28SRF%29%20for%20Chemical%20Optimisation" TargetMode="External"/><Relationship Id="rId84" Type="http://schemas.openxmlformats.org/officeDocument/2006/relationships/hyperlink" Target="https://www.sciencedirect.com/science/article/pii/S0011916400000199" TargetMode="External"/><Relationship Id="rId85" Type="http://schemas.openxmlformats.org/officeDocument/2006/relationships/hyperlink" Target="https://doi.org/10.1016/S0011-9164(00)00019-9" TargetMode="External"/><Relationship Id="rId86" Type="http://schemas.openxmlformats.org/officeDocument/2006/relationships/hyperlink" Target="https://ris.utwente.nl/ws/portalfiles/portal/282737669/1_s2.0_S0376738822004628_main.pdf" TargetMode="External"/><Relationship Id="rId87" Type="http://schemas.openxmlformats.org/officeDocument/2006/relationships/hyperlink" Target="https://doi.org/10.1016/j.memsci.2022.120717" TargetMode="External"/><Relationship Id="rId88" Type="http://schemas.openxmlformats.org/officeDocument/2006/relationships/hyperlink" Target="https://www.frenchcreeksoftware.com/AWWA-2011/Modeling_Scale_Formation_and_Optimizing_Scale_Inhibitor_Dosages_in_Membrane_Systems.pdf" TargetMode="External"/><Relationship Id="rId89" Type="http://schemas.openxmlformats.org/officeDocument/2006/relationships/hyperlink" Target="https://pure.jbnu.ac.kr/en/publications/the-development-of-an-ai-based-model-to-predict-the-location-and-/" TargetMode="External"/><Relationship Id="rId90" Type="http://schemas.openxmlformats.org/officeDocument/2006/relationships/hyperlink" Target="https://doi.org/10.1016/j.petrol.2021.109813" TargetMode="External"/><Relationship Id="rId91" Type="http://schemas.openxmlformats.org/officeDocument/2006/relationships/hyperlink" Target="https://www.researchgate.net/profile/Mahjoub-El-Mountassir-2/publication/344238256_Reducing_false_alarms_in_guided_waves_structural_health_monitoring_of_pipelines_Review_synthesis_and_debate/links/639c6da6e42faa7e75cae54d/Reducing-false-alarms-in-guided-waves-structural-health-monitoring-of-pipelines-Review-synthesis-and-debate.pdf" TargetMode="External"/><Relationship Id="rId92" Type="http://schemas.openxmlformats.org/officeDocument/2006/relationships/hyperlink" Target="https://scholar.google.com/scholar?q=Reducing%20false%20alarms%20in%20guided%20waves%20structural%20health%20monitoring%20of%20pipelines%3A%20Review%20synthesis%20and%20debate" TargetMode="External"/><Relationship Id="rId93" Type="http://schemas.openxmlformats.org/officeDocument/2006/relationships/hyperlink" Target="https://www.newswise.com/pdf_docs/174972732880942_1-s2.0-S2667143325000149-main.pdf" TargetMode="External"/><Relationship Id="rId94" Type="http://schemas.openxmlformats.org/officeDocument/2006/relationships/hyperlink" Target="https://doi.org/10.1016/j.jpse.2025.100267" TargetMode="External"/><Relationship Id="rId95" Type="http://schemas.openxmlformats.org/officeDocument/2006/relationships/hyperlink" Target="https://www.osti.gov/etdeweb/biblio/22077098" TargetMode="External"/><Relationship Id="rId96" Type="http://schemas.openxmlformats.org/officeDocument/2006/relationships/hyperlink" Target="https://doi.org/10.1002/ese3.631" TargetMode="External"/><Relationship Id="rId97" Type="http://schemas.openxmlformats.org/officeDocument/2006/relationships/hyperlink" Target="https://scholar.google.com/scholar?q=A%20hydrate%20blockage%20detection%20apparatus%20for%20gas%20pipeline%20using%20ultrasonic%20focused%20transducer%20and%20its%20application%20on%20a%20flow%20loop" TargetMode="External"/><Relationship Id="rId98" Type="http://schemas.openxmlformats.org/officeDocument/2006/relationships/hyperlink" Target="https://doi.org/10.1016/j.ijpvp.2023.105033" TargetMode="External"/><Relationship Id="rId99" Type="http://schemas.openxmlformats.org/officeDocument/2006/relationships/hyperlink" Target="https://scholar.google.com/scholar?q=Ultrasonic%20guided%20wave%20techniques%20and%20applications%20in%20pipeline%20defect%20detection%3A%20A%20review" TargetMode="External"/><Relationship Id="rId100" Type="http://schemas.openxmlformats.org/officeDocument/2006/relationships/hyperlink" Target="https://researchportal.hw.ac.uk/en/publications/application-of-electrical-resistance-tomography-to-detect-deposit/" TargetMode="External"/><Relationship Id="rId101" Type="http://schemas.openxmlformats.org/officeDocument/2006/relationships/hyperlink" Target="https://doi.org/10.1016/S0032-5910(97)033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Formation: Literature Review and Directed Research Model</dc:title>
  <dc:subject>55 references, evidence assessment, model formulation and PhD research pathway</dc:subject>
  <dc:creator>Research working document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