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65793" w14:textId="0F864DF1" w:rsidR="00DF1831" w:rsidRPr="00DF1831" w:rsidRDefault="00DF1831" w:rsidP="00DF1831">
      <w:r w:rsidRPr="00DF1831">
        <w:rPr>
          <w:b/>
          <w:bCs/>
        </w:rPr>
        <w:t>World Development Indicators Dataset</w:t>
      </w:r>
    </w:p>
    <w:p w14:paraId="505A7AF8" w14:textId="77777777" w:rsidR="00DF1831" w:rsidRPr="00DF1831" w:rsidRDefault="00DF1831" w:rsidP="00DF1831">
      <w:r w:rsidRPr="00DF1831">
        <w:t xml:space="preserve">This dataset is derived from the </w:t>
      </w:r>
      <w:r w:rsidRPr="00DF1831">
        <w:rPr>
          <w:b/>
          <w:bCs/>
        </w:rPr>
        <w:t>World Development Indicators (WDI)</w:t>
      </w:r>
      <w:r w:rsidRPr="00DF1831">
        <w:t xml:space="preserve"> database published by the World Bank, one of the most widely used sources of international macroeconomic statistics. The complete WDI database contains hundreds of indicators describing economic performance, financial development, trade, and the structure of national economies for countries around the world.</w:t>
      </w:r>
    </w:p>
    <w:p w14:paraId="3A2C4A65" w14:textId="77777777" w:rsidR="00DF1831" w:rsidRPr="00DF1831" w:rsidRDefault="00DF1831" w:rsidP="00DF1831">
      <w:r w:rsidRPr="00DF1831">
        <w:t xml:space="preserve">The proposed dataset includes </w:t>
      </w:r>
      <w:r w:rsidRPr="00DF1831">
        <w:rPr>
          <w:b/>
          <w:bCs/>
        </w:rPr>
        <w:t>217 countries and territories</w:t>
      </w:r>
      <w:r w:rsidRPr="00DF1831">
        <w:t xml:space="preserve"> and reports the values observed in </w:t>
      </w:r>
      <w:r w:rsidRPr="00DF1831">
        <w:rPr>
          <w:b/>
          <w:bCs/>
        </w:rPr>
        <w:t>2022</w:t>
      </w:r>
      <w:r w:rsidRPr="00DF1831">
        <w:t xml:space="preserve"> for a selection of indicators related mainly to </w:t>
      </w:r>
      <w:r w:rsidRPr="00DF1831">
        <w:rPr>
          <w:b/>
          <w:bCs/>
        </w:rPr>
        <w:t>international trade, services, financial flows, and macroeconomic conditions</w:t>
      </w:r>
      <w:r w:rsidRPr="00DF1831">
        <w:t xml:space="preserve">. </w:t>
      </w:r>
    </w:p>
    <w:p w14:paraId="502ED769" w14:textId="04C5F282" w:rsidR="00DF1831" w:rsidRPr="00DF1831" w:rsidRDefault="00DF1831" w:rsidP="00DF1831">
      <w:r w:rsidRPr="00DF1831">
        <w:t xml:space="preserve">Each row corresponds to a </w:t>
      </w:r>
      <w:r w:rsidRPr="00DF1831">
        <w:rPr>
          <w:b/>
          <w:bCs/>
        </w:rPr>
        <w:t>country observation</w:t>
      </w:r>
      <w:r w:rsidRPr="00DF1831">
        <w:t>, while columns contain the country identifiers and the selected economic indicators.</w:t>
      </w:r>
    </w:p>
    <w:p w14:paraId="300AC55E" w14:textId="77777777" w:rsidR="00DF1831" w:rsidRPr="00DF1831" w:rsidRDefault="00DF1831" w:rsidP="00DF1831">
      <w:r w:rsidRPr="00DF1831">
        <w:rPr>
          <w:b/>
          <w:bCs/>
        </w:rPr>
        <w:t>Country identifiers</w:t>
      </w:r>
    </w:p>
    <w:p w14:paraId="2842620B" w14:textId="77777777" w:rsidR="00DF1831" w:rsidRPr="00DF1831" w:rsidRDefault="00DF1831" w:rsidP="00DF1831">
      <w:pPr>
        <w:numPr>
          <w:ilvl w:val="0"/>
          <w:numId w:val="1"/>
        </w:numPr>
      </w:pPr>
      <w:r w:rsidRPr="00DF1831">
        <w:rPr>
          <w:b/>
          <w:bCs/>
        </w:rPr>
        <w:t>country</w:t>
      </w:r>
      <w:r w:rsidRPr="00DF1831">
        <w:t xml:space="preserve"> – Country name.</w:t>
      </w:r>
    </w:p>
    <w:p w14:paraId="15B810FF" w14:textId="77777777" w:rsidR="00DF1831" w:rsidRPr="00DF1831" w:rsidRDefault="00DF1831" w:rsidP="00DF1831">
      <w:pPr>
        <w:numPr>
          <w:ilvl w:val="0"/>
          <w:numId w:val="1"/>
        </w:numPr>
      </w:pPr>
      <w:r w:rsidRPr="00DF1831">
        <w:rPr>
          <w:b/>
          <w:bCs/>
        </w:rPr>
        <w:t>iso3c</w:t>
      </w:r>
      <w:r w:rsidRPr="00DF1831">
        <w:t xml:space="preserve"> – Three-letter ISO country code.</w:t>
      </w:r>
    </w:p>
    <w:p w14:paraId="5170C7AC" w14:textId="77777777" w:rsidR="00DF1831" w:rsidRPr="00DF1831" w:rsidRDefault="00DF1831" w:rsidP="00DF1831">
      <w:pPr>
        <w:numPr>
          <w:ilvl w:val="0"/>
          <w:numId w:val="1"/>
        </w:numPr>
      </w:pPr>
      <w:r w:rsidRPr="00DF1831">
        <w:rPr>
          <w:b/>
          <w:bCs/>
        </w:rPr>
        <w:t>region</w:t>
      </w:r>
      <w:r w:rsidRPr="00DF1831">
        <w:t xml:space="preserve"> – World Bank geographic region.</w:t>
      </w:r>
    </w:p>
    <w:p w14:paraId="6EA904CC" w14:textId="77777777" w:rsidR="00DF1831" w:rsidRPr="00DF1831" w:rsidRDefault="00DF1831" w:rsidP="00DF1831">
      <w:pPr>
        <w:numPr>
          <w:ilvl w:val="0"/>
          <w:numId w:val="1"/>
        </w:numPr>
      </w:pPr>
      <w:r w:rsidRPr="00DF1831">
        <w:rPr>
          <w:b/>
          <w:bCs/>
        </w:rPr>
        <w:t>income</w:t>
      </w:r>
      <w:r w:rsidRPr="00DF1831">
        <w:t xml:space="preserve"> – World Bank income classification (e.g., low income, upper middle income).</w:t>
      </w:r>
    </w:p>
    <w:p w14:paraId="6529F4DA" w14:textId="77777777" w:rsidR="00DF1831" w:rsidRPr="00DF1831" w:rsidRDefault="00DF1831" w:rsidP="00DF1831">
      <w:pPr>
        <w:numPr>
          <w:ilvl w:val="0"/>
          <w:numId w:val="1"/>
        </w:numPr>
      </w:pPr>
      <w:r w:rsidRPr="00DF1831">
        <w:rPr>
          <w:b/>
          <w:bCs/>
        </w:rPr>
        <w:t>year</w:t>
      </w:r>
      <w:r w:rsidRPr="00DF1831">
        <w:t xml:space="preserve"> – Year of observation (2022).</w:t>
      </w:r>
    </w:p>
    <w:p w14:paraId="15A33B05" w14:textId="77777777" w:rsidR="00DF1831" w:rsidRPr="00DF1831" w:rsidRDefault="00DF1831" w:rsidP="00DF1831">
      <w:r w:rsidRPr="00DF1831">
        <w:rPr>
          <w:b/>
          <w:bCs/>
        </w:rPr>
        <w:t>Economic and financial indicators</w:t>
      </w:r>
    </w:p>
    <w:p w14:paraId="321BF0E8" w14:textId="77777777" w:rsidR="00DF1831" w:rsidRPr="00DF1831" w:rsidRDefault="00DF1831" w:rsidP="00DF1831">
      <w:r w:rsidRPr="00DF1831">
        <w:t>The remaining variables correspond to indicators from the WDI database describing several aspects of economic activity. These include:</w:t>
      </w:r>
    </w:p>
    <w:p w14:paraId="74F5AFB2" w14:textId="77777777" w:rsidR="00DF1831" w:rsidRPr="00DF1831" w:rsidRDefault="00DF1831" w:rsidP="00DF1831">
      <w:pPr>
        <w:numPr>
          <w:ilvl w:val="0"/>
          <w:numId w:val="2"/>
        </w:numPr>
      </w:pPr>
      <w:r w:rsidRPr="00DF1831">
        <w:rPr>
          <w:b/>
          <w:bCs/>
        </w:rPr>
        <w:t>Foreign direct investment (FDI)</w:t>
      </w:r>
      <w:r w:rsidRPr="00DF1831">
        <w:t xml:space="preserve"> indicators, measuring inward and outward investment flows and their importance relative to GDP.</w:t>
      </w:r>
    </w:p>
    <w:p w14:paraId="10624171" w14:textId="77777777" w:rsidR="00DF1831" w:rsidRPr="00DF1831" w:rsidRDefault="00DF1831" w:rsidP="00DF1831">
      <w:pPr>
        <w:numPr>
          <w:ilvl w:val="0"/>
          <w:numId w:val="2"/>
        </w:numPr>
      </w:pPr>
      <w:r w:rsidRPr="00DF1831">
        <w:rPr>
          <w:b/>
          <w:bCs/>
        </w:rPr>
        <w:t>Trade indicators</w:t>
      </w:r>
      <w:r w:rsidRPr="00DF1831">
        <w:t>, including exports, imports, and trade in goods and services expressed in current dollars, constant dollars, or as a percentage of GDP.</w:t>
      </w:r>
    </w:p>
    <w:p w14:paraId="2475569B" w14:textId="77777777" w:rsidR="00DF1831" w:rsidRPr="00DF1831" w:rsidRDefault="00DF1831" w:rsidP="00DF1831">
      <w:pPr>
        <w:numPr>
          <w:ilvl w:val="0"/>
          <w:numId w:val="2"/>
        </w:numPr>
      </w:pPr>
      <w:r w:rsidRPr="00DF1831">
        <w:rPr>
          <w:b/>
          <w:bCs/>
        </w:rPr>
        <w:t>Services sector indicators</w:t>
      </w:r>
      <w:r w:rsidRPr="00DF1831">
        <w:t>, describing the value added and size of the services sector in the economy.</w:t>
      </w:r>
    </w:p>
    <w:p w14:paraId="448847E2" w14:textId="77777777" w:rsidR="00DF1831" w:rsidRPr="00DF1831" w:rsidRDefault="00DF1831" w:rsidP="00DF1831">
      <w:pPr>
        <w:numPr>
          <w:ilvl w:val="0"/>
          <w:numId w:val="2"/>
        </w:numPr>
      </w:pPr>
      <w:r w:rsidRPr="00DF1831">
        <w:rPr>
          <w:b/>
          <w:bCs/>
        </w:rPr>
        <w:t>Government finance indicators</w:t>
      </w:r>
      <w:r w:rsidRPr="00DF1831">
        <w:t>, measuring government revenue and expenditure related to goods and services.</w:t>
      </w:r>
    </w:p>
    <w:p w14:paraId="3B3A7F32" w14:textId="77777777" w:rsidR="00DF1831" w:rsidRPr="00DF1831" w:rsidRDefault="00DF1831" w:rsidP="00DF1831">
      <w:pPr>
        <w:numPr>
          <w:ilvl w:val="0"/>
          <w:numId w:val="2"/>
        </w:numPr>
      </w:pPr>
      <w:r w:rsidRPr="00DF1831">
        <w:rPr>
          <w:b/>
          <w:bCs/>
        </w:rPr>
        <w:t>Debt and external finance indicators</w:t>
      </w:r>
      <w:r w:rsidRPr="00DF1831">
        <w:t>, describing external debt service and international financial flows.</w:t>
      </w:r>
    </w:p>
    <w:p w14:paraId="4E2E6FB0" w14:textId="77777777" w:rsidR="00DF1831" w:rsidRPr="00DF1831" w:rsidRDefault="00DF1831" w:rsidP="00DF1831">
      <w:pPr>
        <w:numPr>
          <w:ilvl w:val="0"/>
          <w:numId w:val="2"/>
        </w:numPr>
      </w:pPr>
      <w:r w:rsidRPr="00DF1831">
        <w:rPr>
          <w:b/>
          <w:bCs/>
        </w:rPr>
        <w:t>Macroeconomic indicators</w:t>
      </w:r>
      <w:r w:rsidRPr="00DF1831">
        <w:t>, including inflation and GDP deflator growth.</w:t>
      </w:r>
    </w:p>
    <w:p w14:paraId="2C502B55" w14:textId="5D135F41" w:rsidR="001407D7" w:rsidRDefault="00DF1831">
      <w:r w:rsidRPr="00DF1831">
        <w:t xml:space="preserve">These indicators capture different aspects of </w:t>
      </w:r>
      <w:r w:rsidRPr="00DF1831">
        <w:rPr>
          <w:b/>
          <w:bCs/>
        </w:rPr>
        <w:t>economic openness, sectoral structure, and financial integration</w:t>
      </w:r>
      <w:r w:rsidRPr="00DF1831">
        <w:t xml:space="preserve">, and they can be used to </w:t>
      </w:r>
      <w:proofErr w:type="spellStart"/>
      <w:r w:rsidRPr="00DF1831">
        <w:t>analyze</w:t>
      </w:r>
      <w:proofErr w:type="spellEnd"/>
      <w:r w:rsidRPr="00DF1831">
        <w:t xml:space="preserve"> similarities and differences across countries</w:t>
      </w:r>
      <w:r w:rsidR="00B33CDE">
        <w:t>.</w:t>
      </w:r>
      <w:r w:rsidR="00CC044B">
        <w:t xml:space="preserve"> Their detailed description is reported in the file “</w:t>
      </w:r>
      <w:r w:rsidR="00CC044B" w:rsidRPr="00CC044B">
        <w:rPr>
          <w:b/>
          <w:bCs/>
        </w:rPr>
        <w:t>dictionary_2022</w:t>
      </w:r>
      <w:r w:rsidR="00CC044B">
        <w:t>”.</w:t>
      </w:r>
    </w:p>
    <w:sectPr w:rsidR="001407D7" w:rsidSect="0021235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22F6C"/>
    <w:multiLevelType w:val="multilevel"/>
    <w:tmpl w:val="0BF2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F77229"/>
    <w:multiLevelType w:val="multilevel"/>
    <w:tmpl w:val="C334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449517">
    <w:abstractNumId w:val="0"/>
  </w:num>
  <w:num w:numId="2" w16cid:durableId="1278756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D85"/>
    <w:rsid w:val="001407D7"/>
    <w:rsid w:val="001F55D3"/>
    <w:rsid w:val="00212353"/>
    <w:rsid w:val="00231D8E"/>
    <w:rsid w:val="004125BE"/>
    <w:rsid w:val="00426628"/>
    <w:rsid w:val="00512622"/>
    <w:rsid w:val="00690983"/>
    <w:rsid w:val="009A4D85"/>
    <w:rsid w:val="00B33CDE"/>
    <w:rsid w:val="00CC044B"/>
    <w:rsid w:val="00CC7A19"/>
    <w:rsid w:val="00D05F2E"/>
    <w:rsid w:val="00DF1831"/>
    <w:rsid w:val="00E17C1E"/>
    <w:rsid w:val="00EF6B72"/>
    <w:rsid w:val="00F04752"/>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F0A2D"/>
  <w15:chartTrackingRefBased/>
  <w15:docId w15:val="{6EB99343-181E-41C0-9F21-E91F021EE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A4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A4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A4D8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A4D8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A4D8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A4D8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A4D8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A4D8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A4D8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A4D8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A4D8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A4D8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A4D8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A4D8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A4D8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A4D8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A4D8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A4D85"/>
    <w:rPr>
      <w:rFonts w:eastAsiaTheme="majorEastAsia" w:cstheme="majorBidi"/>
      <w:color w:val="272727" w:themeColor="text1" w:themeTint="D8"/>
    </w:rPr>
  </w:style>
  <w:style w:type="paragraph" w:styleId="Titolo">
    <w:name w:val="Title"/>
    <w:basedOn w:val="Normale"/>
    <w:next w:val="Normale"/>
    <w:link w:val="TitoloCarattere"/>
    <w:uiPriority w:val="10"/>
    <w:qFormat/>
    <w:rsid w:val="009A4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A4D8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A4D8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A4D8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A4D8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A4D85"/>
    <w:rPr>
      <w:i/>
      <w:iCs/>
      <w:color w:val="404040" w:themeColor="text1" w:themeTint="BF"/>
    </w:rPr>
  </w:style>
  <w:style w:type="paragraph" w:styleId="Paragrafoelenco">
    <w:name w:val="List Paragraph"/>
    <w:basedOn w:val="Normale"/>
    <w:uiPriority w:val="34"/>
    <w:qFormat/>
    <w:rsid w:val="009A4D85"/>
    <w:pPr>
      <w:ind w:left="720"/>
      <w:contextualSpacing/>
    </w:pPr>
  </w:style>
  <w:style w:type="character" w:styleId="Enfasiintensa">
    <w:name w:val="Intense Emphasis"/>
    <w:basedOn w:val="Carpredefinitoparagrafo"/>
    <w:uiPriority w:val="21"/>
    <w:qFormat/>
    <w:rsid w:val="009A4D85"/>
    <w:rPr>
      <w:i/>
      <w:iCs/>
      <w:color w:val="0F4761" w:themeColor="accent1" w:themeShade="BF"/>
    </w:rPr>
  </w:style>
  <w:style w:type="paragraph" w:styleId="Citazioneintensa">
    <w:name w:val="Intense Quote"/>
    <w:basedOn w:val="Normale"/>
    <w:next w:val="Normale"/>
    <w:link w:val="CitazioneintensaCarattere"/>
    <w:uiPriority w:val="30"/>
    <w:qFormat/>
    <w:rsid w:val="009A4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A4D85"/>
    <w:rPr>
      <w:i/>
      <w:iCs/>
      <w:color w:val="0F4761" w:themeColor="accent1" w:themeShade="BF"/>
    </w:rPr>
  </w:style>
  <w:style w:type="character" w:styleId="Riferimentointenso">
    <w:name w:val="Intense Reference"/>
    <w:basedOn w:val="Carpredefinitoparagrafo"/>
    <w:uiPriority w:val="32"/>
    <w:qFormat/>
    <w:rsid w:val="009A4D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705322">
      <w:bodyDiv w:val="1"/>
      <w:marLeft w:val="0"/>
      <w:marRight w:val="0"/>
      <w:marTop w:val="0"/>
      <w:marBottom w:val="0"/>
      <w:divBdr>
        <w:top w:val="none" w:sz="0" w:space="0" w:color="auto"/>
        <w:left w:val="none" w:sz="0" w:space="0" w:color="auto"/>
        <w:bottom w:val="none" w:sz="0" w:space="0" w:color="auto"/>
        <w:right w:val="none" w:sz="0" w:space="0" w:color="auto"/>
      </w:divBdr>
    </w:div>
    <w:div w:id="544372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282</Words>
  <Characters>1834</Characters>
  <Application>Microsoft Office Word</Application>
  <DocSecurity>0</DocSecurity>
  <Lines>33</Lines>
  <Paragraphs>19</Paragraphs>
  <ScaleCrop>false</ScaleCrop>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Perillo</dc:creator>
  <cp:keywords/>
  <dc:description/>
  <cp:lastModifiedBy>Silvia Cagnone</cp:lastModifiedBy>
  <cp:revision>8</cp:revision>
  <dcterms:created xsi:type="dcterms:W3CDTF">2026-03-13T16:19:00Z</dcterms:created>
  <dcterms:modified xsi:type="dcterms:W3CDTF">2026-04-10T15:09:00Z</dcterms:modified>
</cp:coreProperties>
</file>