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3C03D">
      <w:pPr>
        <w:spacing w:line="360" w:lineRule="auto"/>
        <w:ind w:firstLine="480"/>
        <w:rPr>
          <w:szCs w:val="32"/>
        </w:rPr>
      </w:pPr>
      <w:r>
        <w:rPr>
          <w:szCs w:val="32"/>
        </w:rPr>
        <mc:AlternateContent>
          <mc:Choice Requires="wps">
            <w:drawing>
              <wp:anchor distT="0" distB="0" distL="114300" distR="114300" simplePos="0" relativeHeight="251660288" behindDoc="0" locked="0" layoutInCell="1" allowOverlap="1">
                <wp:simplePos x="0" y="0"/>
                <wp:positionH relativeFrom="column">
                  <wp:posOffset>-60325</wp:posOffset>
                </wp:positionH>
                <wp:positionV relativeFrom="paragraph">
                  <wp:posOffset>4857115</wp:posOffset>
                </wp:positionV>
                <wp:extent cx="5895975" cy="223139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896051" cy="22311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7094B">
                            <w:pPr>
                              <w:ind w:firstLine="723"/>
                              <w:jc w:val="left"/>
                              <w:rPr>
                                <w:rFonts w:hint="eastAsia" w:ascii="汉仪雅酷黑 75W" w:hAnsi="汉仪雅酷黑 75W" w:eastAsia="汉仪雅酷黑 75W" w:cs="汉仪雅酷黑 75W"/>
                                <w:b/>
                                <w:bCs/>
                                <w:color w:val="187B84"/>
                                <w:sz w:val="36"/>
                                <w:szCs w:val="36"/>
                              </w:rPr>
                            </w:pPr>
                            <w:r>
                              <w:rPr>
                                <w:rFonts w:hint="eastAsia" w:ascii="汉仪雅酷黑 75W" w:hAnsi="汉仪雅酷黑 75W" w:eastAsia="汉仪雅酷黑 75W" w:cs="汉仪雅酷黑 75W"/>
                                <w:b/>
                                <w:bCs/>
                                <w:color w:val="187B84"/>
                                <w:sz w:val="36"/>
                                <w:szCs w:val="36"/>
                              </w:rPr>
                              <w:t>赛道：产业赛道</w:t>
                            </w:r>
                            <w:r>
                              <w:rPr>
                                <w:rFonts w:hint="eastAsia" w:ascii="汉仪雅酷黑 75W" w:hAnsi="汉仪雅酷黑 75W" w:eastAsia="汉仪雅酷黑 75W" w:cs="汉仪雅酷黑 75W"/>
                                <w:b/>
                                <w:bCs/>
                                <w:color w:val="187B84"/>
                                <w:sz w:val="36"/>
                                <w:szCs w:val="36"/>
                              </w:rPr>
                              <w:br w:type="textWrapping"/>
                            </w:r>
                            <w:r>
                              <w:rPr>
                                <w:rFonts w:hint="eastAsia" w:ascii="汉仪雅酷黑 75W" w:hAnsi="汉仪雅酷黑 75W" w:eastAsia="汉仪雅酷黑 75W" w:cs="汉仪雅酷黑 75W"/>
                                <w:b/>
                                <w:bCs/>
                                <w:color w:val="187B84"/>
                                <w:sz w:val="36"/>
                                <w:szCs w:val="36"/>
                              </w:rPr>
                              <w:t>指导教师：蒋合领、丁红发、刘文江、杨滋荣</w:t>
                            </w:r>
                            <w:r>
                              <w:rPr>
                                <w:rFonts w:hint="eastAsia" w:ascii="汉仪雅酷黑 75W" w:hAnsi="汉仪雅酷黑 75W" w:eastAsia="汉仪雅酷黑 75W" w:cs="汉仪雅酷黑 75W"/>
                                <w:b/>
                                <w:bCs/>
                                <w:color w:val="187B84"/>
                                <w:sz w:val="36"/>
                                <w:szCs w:val="36"/>
                              </w:rPr>
                              <w:br w:type="textWrapping"/>
                            </w:r>
                            <w:r>
                              <w:rPr>
                                <w:rFonts w:hint="eastAsia" w:ascii="汉仪雅酷黑 75W" w:hAnsi="汉仪雅酷黑 75W" w:eastAsia="汉仪雅酷黑 75W" w:cs="汉仪雅酷黑 75W"/>
                                <w:b/>
                                <w:bCs/>
                                <w:color w:val="187B84"/>
                                <w:sz w:val="36"/>
                                <w:szCs w:val="36"/>
                              </w:rPr>
                              <w:t>团队成员：丁艳、喻沐然、周妍君、吴林江、罗颖萱、陈祥伟、曾跃、张菀辰、王艺、罗浩杰、郑诗雨、罗依、冯昌举、何世云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5pt;margin-top:382.45pt;height:175.7pt;width:464.25pt;z-index:251660288;mso-width-relative:page;mso-height-relative:page;" filled="f" stroked="f" coordsize="21600,21600" o:gfxdata="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6wxRPcAAAACwEAAA8AAAAAAAAAAQAgAAAAIgAA&#10;AGRycy9kb3ducmV2LnhtbFBLAQIUABQAAAAIAIdO4kCYuGSWPQIAAGcEAAAOAAAAAAAAAAEAIAAA&#10;ACsBAABkcnMvZTJvRG9jLnhtbFBLBQYAAAAABgAGAFkBAADaBQAAAAA=&#10;">
                <v:fill on="f" focussize="0,0"/>
                <v:stroke on="f" weight="0.5pt"/>
                <v:imagedata o:title=""/>
                <o:lock v:ext="edit" aspectratio="f"/>
                <v:textbox>
                  <w:txbxContent>
                    <w:p w14:paraId="2277094B">
                      <w:pPr>
                        <w:ind w:firstLine="723"/>
                        <w:jc w:val="left"/>
                        <w:rPr>
                          <w:rFonts w:hint="eastAsia" w:ascii="汉仪雅酷黑 75W" w:hAnsi="汉仪雅酷黑 75W" w:eastAsia="汉仪雅酷黑 75W" w:cs="汉仪雅酷黑 75W"/>
                          <w:b/>
                          <w:bCs/>
                          <w:color w:val="187B84"/>
                          <w:sz w:val="36"/>
                          <w:szCs w:val="36"/>
                        </w:rPr>
                      </w:pPr>
                      <w:r>
                        <w:rPr>
                          <w:rFonts w:hint="eastAsia" w:ascii="汉仪雅酷黑 75W" w:hAnsi="汉仪雅酷黑 75W" w:eastAsia="汉仪雅酷黑 75W" w:cs="汉仪雅酷黑 75W"/>
                          <w:b/>
                          <w:bCs/>
                          <w:color w:val="187B84"/>
                          <w:sz w:val="36"/>
                          <w:szCs w:val="36"/>
                        </w:rPr>
                        <w:t>赛道：产业赛道</w:t>
                      </w:r>
                      <w:r>
                        <w:rPr>
                          <w:rFonts w:hint="eastAsia" w:ascii="汉仪雅酷黑 75W" w:hAnsi="汉仪雅酷黑 75W" w:eastAsia="汉仪雅酷黑 75W" w:cs="汉仪雅酷黑 75W"/>
                          <w:b/>
                          <w:bCs/>
                          <w:color w:val="187B84"/>
                          <w:sz w:val="36"/>
                          <w:szCs w:val="36"/>
                        </w:rPr>
                        <w:br w:type="textWrapping"/>
                      </w:r>
                      <w:r>
                        <w:rPr>
                          <w:rFonts w:hint="eastAsia" w:ascii="汉仪雅酷黑 75W" w:hAnsi="汉仪雅酷黑 75W" w:eastAsia="汉仪雅酷黑 75W" w:cs="汉仪雅酷黑 75W"/>
                          <w:b/>
                          <w:bCs/>
                          <w:color w:val="187B84"/>
                          <w:sz w:val="36"/>
                          <w:szCs w:val="36"/>
                        </w:rPr>
                        <w:t>指导教师：蒋合领、丁红发、刘文江、杨滋荣</w:t>
                      </w:r>
                      <w:r>
                        <w:rPr>
                          <w:rFonts w:hint="eastAsia" w:ascii="汉仪雅酷黑 75W" w:hAnsi="汉仪雅酷黑 75W" w:eastAsia="汉仪雅酷黑 75W" w:cs="汉仪雅酷黑 75W"/>
                          <w:b/>
                          <w:bCs/>
                          <w:color w:val="187B84"/>
                          <w:sz w:val="36"/>
                          <w:szCs w:val="36"/>
                        </w:rPr>
                        <w:br w:type="textWrapping"/>
                      </w:r>
                      <w:r>
                        <w:rPr>
                          <w:rFonts w:hint="eastAsia" w:ascii="汉仪雅酷黑 75W" w:hAnsi="汉仪雅酷黑 75W" w:eastAsia="汉仪雅酷黑 75W" w:cs="汉仪雅酷黑 75W"/>
                          <w:b/>
                          <w:bCs/>
                          <w:color w:val="187B84"/>
                          <w:sz w:val="36"/>
                          <w:szCs w:val="36"/>
                        </w:rPr>
                        <w:t>团队成员：丁艳、喻沐然、周妍君、吴林江、罗颖萱、陈祥伟、曾跃、张菀辰、王艺、罗浩杰、郑诗雨、罗依、冯昌举、何世云</w:t>
                      </w:r>
                    </w:p>
                  </w:txbxContent>
                </v:textbox>
              </v:shape>
            </w:pict>
          </mc:Fallback>
        </mc:AlternateContent>
      </w:r>
      <w:r>
        <w:rPr>
          <w:szCs w:val="32"/>
        </w:rPr>
        <mc:AlternateContent>
          <mc:Choice Requires="wps">
            <w:drawing>
              <wp:anchor distT="0" distB="0" distL="114300" distR="114300" simplePos="0" relativeHeight="251659264" behindDoc="0" locked="0" layoutInCell="1" allowOverlap="1">
                <wp:simplePos x="0" y="0"/>
                <wp:positionH relativeFrom="column">
                  <wp:posOffset>-1273810</wp:posOffset>
                </wp:positionH>
                <wp:positionV relativeFrom="paragraph">
                  <wp:posOffset>1631950</wp:posOffset>
                </wp:positionV>
                <wp:extent cx="7679055" cy="217360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79055" cy="217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B423D1">
                            <w:pPr>
                              <w:ind w:firstLine="1446"/>
                              <w:jc w:val="center"/>
                              <w:rPr>
                                <w:rFonts w:hint="eastAsia" w:ascii="汉仪雅酷黑 75W" w:hAnsi="汉仪雅酷黑 75W" w:eastAsia="汉仪雅酷黑 75W" w:cs="汉仪雅酷黑 75W"/>
                                <w:b/>
                                <w:bCs/>
                                <w:color w:val="187B84"/>
                                <w:sz w:val="72"/>
                                <w:szCs w:val="72"/>
                                <w:lang w:eastAsia="zh"/>
                              </w:rPr>
                            </w:pPr>
                            <w:r>
                              <w:rPr>
                                <w:rFonts w:hint="eastAsia" w:ascii="汉仪雅酷黑 75W" w:hAnsi="汉仪雅酷黑 75W" w:eastAsia="汉仪雅酷黑 75W" w:cs="汉仪雅酷黑 75W"/>
                                <w:b/>
                                <w:bCs/>
                                <w:color w:val="187B84"/>
                                <w:sz w:val="72"/>
                                <w:szCs w:val="72"/>
                                <w:lang w:eastAsia="zh"/>
                              </w:rPr>
                              <w:t>数智安行—数据可信治理与</w:t>
                            </w:r>
                          </w:p>
                          <w:p w14:paraId="72CEDCEB">
                            <w:pPr>
                              <w:ind w:firstLine="1446"/>
                              <w:jc w:val="center"/>
                              <w:rPr>
                                <w:rFonts w:hint="eastAsia" w:ascii="汉仪雅酷黑 75W" w:hAnsi="汉仪雅酷黑 75W" w:eastAsia="汉仪雅酷黑 75W" w:cs="汉仪雅酷黑 75W"/>
                                <w:b/>
                                <w:bCs/>
                                <w:color w:val="187B84"/>
                                <w:sz w:val="72"/>
                                <w:szCs w:val="72"/>
                              </w:rPr>
                            </w:pPr>
                            <w:r>
                              <w:rPr>
                                <w:rFonts w:hint="eastAsia" w:ascii="汉仪雅酷黑 75W" w:hAnsi="汉仪雅酷黑 75W" w:eastAsia="汉仪雅酷黑 75W" w:cs="汉仪雅酷黑 75W"/>
                                <w:b/>
                                <w:bCs/>
                                <w:color w:val="187B84"/>
                                <w:sz w:val="72"/>
                                <w:szCs w:val="72"/>
                                <w:lang w:eastAsia="zh"/>
                              </w:rPr>
                              <w:t>智能流通平台设计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3pt;margin-top:128.5pt;height:171.15pt;width:604.65pt;z-index:251659264;mso-width-relative:page;mso-height-relative:page;" filled="f" stroked="f" coordsize="21600,21600" o:gfxdata="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hUGcHcAAAADQEAAA8AAAAAAAAAAQAgAAAAIgAA&#10;AGRycy9kb3ducmV2LnhtbFBLAQIUABQAAAAIAIdO4kDBD0eMPQIAAGcEAAAOAAAAAAAAAAEAIAAA&#10;ACsBAABkcnMvZTJvRG9jLnhtbFBLBQYAAAAABgAGAFkBAADaBQAAAAA=&#10;">
                <v:fill on="f" focussize="0,0"/>
                <v:stroke on="f" weight="0.5pt"/>
                <v:imagedata o:title=""/>
                <o:lock v:ext="edit" aspectratio="f"/>
                <v:textbox>
                  <w:txbxContent>
                    <w:p w14:paraId="2DB423D1">
                      <w:pPr>
                        <w:ind w:firstLine="1446"/>
                        <w:jc w:val="center"/>
                        <w:rPr>
                          <w:rFonts w:hint="eastAsia" w:ascii="汉仪雅酷黑 75W" w:hAnsi="汉仪雅酷黑 75W" w:eastAsia="汉仪雅酷黑 75W" w:cs="汉仪雅酷黑 75W"/>
                          <w:b/>
                          <w:bCs/>
                          <w:color w:val="187B84"/>
                          <w:sz w:val="72"/>
                          <w:szCs w:val="72"/>
                          <w:lang w:eastAsia="zh"/>
                        </w:rPr>
                      </w:pPr>
                      <w:r>
                        <w:rPr>
                          <w:rFonts w:hint="eastAsia" w:ascii="汉仪雅酷黑 75W" w:hAnsi="汉仪雅酷黑 75W" w:eastAsia="汉仪雅酷黑 75W" w:cs="汉仪雅酷黑 75W"/>
                          <w:b/>
                          <w:bCs/>
                          <w:color w:val="187B84"/>
                          <w:sz w:val="72"/>
                          <w:szCs w:val="72"/>
                          <w:lang w:eastAsia="zh"/>
                        </w:rPr>
                        <w:t>数智安行—数据可信治理与</w:t>
                      </w:r>
                    </w:p>
                    <w:p w14:paraId="72CEDCEB">
                      <w:pPr>
                        <w:ind w:firstLine="1446"/>
                        <w:jc w:val="center"/>
                        <w:rPr>
                          <w:rFonts w:hint="eastAsia" w:ascii="汉仪雅酷黑 75W" w:hAnsi="汉仪雅酷黑 75W" w:eastAsia="汉仪雅酷黑 75W" w:cs="汉仪雅酷黑 75W"/>
                          <w:b/>
                          <w:bCs/>
                          <w:color w:val="187B84"/>
                          <w:sz w:val="72"/>
                          <w:szCs w:val="72"/>
                        </w:rPr>
                      </w:pPr>
                      <w:r>
                        <w:rPr>
                          <w:rFonts w:hint="eastAsia" w:ascii="汉仪雅酷黑 75W" w:hAnsi="汉仪雅酷黑 75W" w:eastAsia="汉仪雅酷黑 75W" w:cs="汉仪雅酷黑 75W"/>
                          <w:b/>
                          <w:bCs/>
                          <w:color w:val="187B84"/>
                          <w:sz w:val="72"/>
                          <w:szCs w:val="72"/>
                          <w:lang w:eastAsia="zh"/>
                        </w:rPr>
                        <w:t>智能流通平台设计</w:t>
                      </w:r>
                    </w:p>
                  </w:txbxContent>
                </v:textbox>
              </v:shape>
            </w:pict>
          </mc:Fallback>
        </mc:AlternateContent>
      </w:r>
      <w:r>
        <w:rPr>
          <w:szCs w:val="32"/>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4613275</wp:posOffset>
                </wp:positionV>
                <wp:extent cx="836930" cy="148590"/>
                <wp:effectExtent l="0" t="0" r="1270" b="3810"/>
                <wp:wrapNone/>
                <wp:docPr id="7" name="矩形 7"/>
                <wp:cNvGraphicFramePr/>
                <a:graphic xmlns:a="http://schemas.openxmlformats.org/drawingml/2006/main">
                  <a:graphicData uri="http://schemas.microsoft.com/office/word/2010/wordprocessingShape">
                    <wps:wsp>
                      <wps:cNvSpPr/>
                      <wps:spPr>
                        <a:xfrm>
                          <a:off x="1120775" y="5109210"/>
                          <a:ext cx="836930" cy="148590"/>
                        </a:xfrm>
                        <a:prstGeom prst="rect">
                          <a:avLst/>
                        </a:prstGeom>
                        <a:solidFill>
                          <a:srgbClr val="1D939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363.25pt;height:11.7pt;width:65.9pt;z-index:251661312;v-text-anchor:middle;mso-width-relative:page;mso-height-relative:page;" fillcolor="#1D939F" filled="t" stroked="f" coordsize="21600,21600" o:gfxdata="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1GlmnXAAAACQEAAA8AAAAAAAAAAQAgAAAAIgAAAGRy&#10;cy9kb3ducmV2LnhtbFBLAQIUABQAAAAIAIdO4kDIwXU8eAIAANYEAAAOAAAAAAAAAAEAIAAAACYB&#10;AABkcnMvZTJvRG9jLnhtbFBLBQYAAAAABgAGAFkBAAAQBgAAAAA=&#10;">
                <v:fill on="t" focussize="0,0"/>
                <v:stroke on="f" weight="1pt" miterlimit="8" joinstyle="miter"/>
                <v:imagedata o:title=""/>
                <o:lock v:ext="edit" aspectratio="f"/>
              </v:rect>
            </w:pict>
          </mc:Fallback>
        </mc:AlternateContent>
      </w:r>
      <w:r>
        <w:rPr>
          <w:szCs w:val="32"/>
        </w:rPr>
        <mc:AlternateContent>
          <mc:Choice Requires="wps">
            <w:drawing>
              <wp:anchor distT="0" distB="0" distL="114300" distR="114300" simplePos="0" relativeHeight="251659264" behindDoc="0" locked="0" layoutInCell="1" allowOverlap="1">
                <wp:simplePos x="0" y="0"/>
                <wp:positionH relativeFrom="column">
                  <wp:posOffset>-883920</wp:posOffset>
                </wp:positionH>
                <wp:positionV relativeFrom="paragraph">
                  <wp:posOffset>74930</wp:posOffset>
                </wp:positionV>
                <wp:extent cx="6257290" cy="818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6ADEF">
                            <w:pPr>
                              <w:spacing w:after="200" w:line="480" w:lineRule="auto"/>
                              <w:ind w:firstLine="723"/>
                              <w:rPr>
                                <w:rFonts w:hint="eastAsia" w:ascii="宋体" w:hAnsi="宋体" w:eastAsia="宋体" w:cs="宋体"/>
                                <w:b/>
                                <w:sz w:val="52"/>
                                <w:szCs w:val="52"/>
                              </w:rPr>
                            </w:pPr>
                            <w:r>
                              <w:rPr>
                                <w:rFonts w:hint="eastAsia" w:ascii="汉仪雅酷黑 75W" w:hAnsi="汉仪雅酷黑 75W" w:eastAsia="汉仪雅酷黑 75W" w:cs="汉仪雅酷黑 75W"/>
                                <w:b/>
                                <w:bCs/>
                                <w:color w:val="7B9DCA"/>
                                <w:sz w:val="36"/>
                                <w:szCs w:val="36"/>
                              </w:rPr>
                              <w:t>中国国际大学生创新大赛(2025)</w:t>
                            </w:r>
                          </w:p>
                          <w:p w14:paraId="6B7B71C1">
                            <w:pPr>
                              <w:ind w:firstLine="723"/>
                              <w:jc w:val="left"/>
                              <w:rPr>
                                <w:rFonts w:hint="eastAsia" w:ascii="汉仪雅酷黑 75W" w:hAnsi="汉仪雅酷黑 75W" w:eastAsia="汉仪雅酷黑 75W" w:cs="汉仪雅酷黑 75W"/>
                                <w:b/>
                                <w:bCs/>
                                <w:color w:val="7B9DCA"/>
                                <w:sz w:val="36"/>
                                <w:szCs w:val="36"/>
                              </w:rPr>
                            </w:pPr>
                          </w:p>
                          <w:p w14:paraId="79C7E156">
                            <w:pPr>
                              <w:ind w:firstLine="723"/>
                              <w:jc w:val="left"/>
                              <w:rPr>
                                <w:rFonts w:hint="eastAsia" w:ascii="汉仪雅酷黑 75W" w:hAnsi="汉仪雅酷黑 75W" w:eastAsia="汉仪雅酷黑 75W" w:cs="汉仪雅酷黑 75W"/>
                                <w:b/>
                                <w:bCs/>
                                <w:color w:val="7B9DCA"/>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6pt;margin-top:5.9pt;height:64.45pt;width:492.7pt;z-index:251659264;mso-width-relative:page;mso-height-relative:page;" filled="f" stroked="f" coordsize="21600,21600" o:gfxdata="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9UlDaNsAAAALAQAADwAAAAAAAAABACAAAAAiAAAAZHJz&#10;L2Rvd25yZXYueG1sUEsBAhQAFAAAAAgAh07iQJTVKFI6AgAAZgQAAA4AAAAAAAAAAQAgAAAAKgEA&#10;AGRycy9lMm9Eb2MueG1sUEsFBgAAAAAGAAYAWQEAANYFAAAAAA==&#10;">
                <v:fill on="f" focussize="0,0"/>
                <v:stroke on="f" weight="0.5pt"/>
                <v:imagedata o:title=""/>
                <o:lock v:ext="edit" aspectratio="f"/>
                <v:textbox>
                  <w:txbxContent>
                    <w:p w14:paraId="2DF6ADEF">
                      <w:pPr>
                        <w:spacing w:after="200" w:line="480" w:lineRule="auto"/>
                        <w:ind w:firstLine="723"/>
                        <w:rPr>
                          <w:rFonts w:hint="eastAsia" w:ascii="宋体" w:hAnsi="宋体" w:eastAsia="宋体" w:cs="宋体"/>
                          <w:b/>
                          <w:sz w:val="52"/>
                          <w:szCs w:val="52"/>
                        </w:rPr>
                      </w:pPr>
                      <w:r>
                        <w:rPr>
                          <w:rFonts w:hint="eastAsia" w:ascii="汉仪雅酷黑 75W" w:hAnsi="汉仪雅酷黑 75W" w:eastAsia="汉仪雅酷黑 75W" w:cs="汉仪雅酷黑 75W"/>
                          <w:b/>
                          <w:bCs/>
                          <w:color w:val="7B9DCA"/>
                          <w:sz w:val="36"/>
                          <w:szCs w:val="36"/>
                        </w:rPr>
                        <w:t>中国国际大学生创新大赛(2025)</w:t>
                      </w:r>
                    </w:p>
                    <w:p w14:paraId="6B7B71C1">
                      <w:pPr>
                        <w:ind w:firstLine="723"/>
                        <w:jc w:val="left"/>
                        <w:rPr>
                          <w:rFonts w:hint="eastAsia" w:ascii="汉仪雅酷黑 75W" w:hAnsi="汉仪雅酷黑 75W" w:eastAsia="汉仪雅酷黑 75W" w:cs="汉仪雅酷黑 75W"/>
                          <w:b/>
                          <w:bCs/>
                          <w:color w:val="7B9DCA"/>
                          <w:sz w:val="36"/>
                          <w:szCs w:val="36"/>
                        </w:rPr>
                      </w:pPr>
                    </w:p>
                    <w:p w14:paraId="79C7E156">
                      <w:pPr>
                        <w:ind w:firstLine="723"/>
                        <w:jc w:val="left"/>
                        <w:rPr>
                          <w:rFonts w:hint="eastAsia" w:ascii="汉仪雅酷黑 75W" w:hAnsi="汉仪雅酷黑 75W" w:eastAsia="汉仪雅酷黑 75W" w:cs="汉仪雅酷黑 75W"/>
                          <w:b/>
                          <w:bCs/>
                          <w:color w:val="7B9DCA"/>
                          <w:sz w:val="36"/>
                          <w:szCs w:val="36"/>
                        </w:rPr>
                      </w:pPr>
                    </w:p>
                  </w:txbxContent>
                </v:textbox>
              </v:shape>
            </w:pict>
          </mc:Fallback>
        </mc:AlternateContent>
      </w:r>
      <w:r>
        <w:rPr>
          <w:szCs w:val="32"/>
        </w:rPr>
        <w:drawing>
          <wp:anchor distT="0" distB="0" distL="114300" distR="114300" simplePos="0" relativeHeight="251661312" behindDoc="0" locked="0" layoutInCell="1" allowOverlap="1">
            <wp:simplePos x="0" y="0"/>
            <wp:positionH relativeFrom="column">
              <wp:posOffset>-866775</wp:posOffset>
            </wp:positionH>
            <wp:positionV relativeFrom="paragraph">
              <wp:posOffset>-171450</wp:posOffset>
            </wp:positionV>
            <wp:extent cx="1787525" cy="234315"/>
            <wp:effectExtent l="0" t="0" r="317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1787525" cy="234315"/>
                    </a:xfrm>
                    <a:prstGeom prst="rect">
                      <a:avLst/>
                    </a:prstGeom>
                    <a:noFill/>
                    <a:ln>
                      <a:noFill/>
                    </a:ln>
                  </pic:spPr>
                </pic:pic>
              </a:graphicData>
            </a:graphic>
          </wp:anchor>
        </w:drawing>
      </w:r>
      <w:r>
        <w:rPr>
          <w:szCs w:val="32"/>
        </w:rPr>
        <w:drawing>
          <wp:anchor distT="0" distB="0" distL="114300" distR="114300" simplePos="0" relativeHeight="251660288" behindDoc="1" locked="0" layoutInCell="1" allowOverlap="1">
            <wp:simplePos x="0" y="0"/>
            <wp:positionH relativeFrom="column">
              <wp:posOffset>-1150620</wp:posOffset>
            </wp:positionH>
            <wp:positionV relativeFrom="paragraph">
              <wp:posOffset>-925195</wp:posOffset>
            </wp:positionV>
            <wp:extent cx="7630160" cy="10722610"/>
            <wp:effectExtent l="0" t="0" r="2540" b="889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7630160" cy="10722610"/>
                    </a:xfrm>
                    <a:prstGeom prst="rect">
                      <a:avLst/>
                    </a:prstGeom>
                    <a:noFill/>
                    <a:ln>
                      <a:noFill/>
                    </a:ln>
                  </pic:spPr>
                </pic:pic>
              </a:graphicData>
            </a:graphic>
          </wp:anchor>
        </w:drawing>
      </w:r>
    </w:p>
    <w:p w14:paraId="3D02A5DF">
      <w:pPr>
        <w:spacing w:after="200" w:line="360" w:lineRule="auto"/>
        <w:ind w:firstLine="1124"/>
        <w:rPr>
          <w:rFonts w:hint="eastAsia" w:ascii="宋体" w:hAnsi="宋体" w:eastAsia="宋体" w:cs="宋体"/>
          <w:b/>
          <w:sz w:val="56"/>
          <w:szCs w:val="56"/>
        </w:rPr>
        <w:sectPr>
          <w:footerReference r:id="rId5" w:type="default"/>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58409"/>
        <w15:color w:val="DBDBDB"/>
        <w:docPartObj>
          <w:docPartGallery w:val="Table of Contents"/>
          <w:docPartUnique/>
        </w:docPartObj>
      </w:sdtPr>
      <w:sdtEndPr>
        <w:rPr>
          <w:rFonts w:ascii="Times New Roman" w:hAnsi="Times New Roman" w:eastAsia="黑体" w:cstheme="minorBidi"/>
          <w:b/>
          <w:bCs/>
          <w:kern w:val="44"/>
          <w:sz w:val="30"/>
          <w:szCs w:val="44"/>
          <w:lang w:val="en-US" w:eastAsia="zh-CN" w:bidi="ar-SA"/>
        </w:rPr>
      </w:sdtEndPr>
      <w:sdtContent>
        <w:p w14:paraId="43D8274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FE057D">
          <w:pPr>
            <w:pStyle w:val="10"/>
            <w:tabs>
              <w:tab w:val="right" w:leader="dot" w:pos="8306"/>
            </w:tabs>
          </w:pPr>
          <w:r>
            <w:fldChar w:fldCharType="begin"/>
          </w:r>
          <w:r>
            <w:instrText xml:space="preserve">TOC \o "1-2" \h \u </w:instrText>
          </w:r>
          <w:r>
            <w:fldChar w:fldCharType="separate"/>
          </w:r>
          <w:r>
            <w:fldChar w:fldCharType="begin"/>
          </w:r>
          <w:r>
            <w:instrText xml:space="preserve"> HYPERLINK \l _Toc8117 </w:instrText>
          </w:r>
          <w:r>
            <w:fldChar w:fldCharType="separate"/>
          </w:r>
          <w:r>
            <w:rPr>
              <w:rFonts w:hint="eastAsia"/>
            </w:rPr>
            <w:t>一、 项目摘要</w:t>
          </w:r>
          <w:r>
            <w:tab/>
          </w:r>
          <w:r>
            <w:fldChar w:fldCharType="begin"/>
          </w:r>
          <w:r>
            <w:instrText xml:space="preserve"> PAGEREF _Toc8117 \h </w:instrText>
          </w:r>
          <w:r>
            <w:fldChar w:fldCharType="separate"/>
          </w:r>
          <w:r>
            <w:t>1</w:t>
          </w:r>
          <w:r>
            <w:fldChar w:fldCharType="end"/>
          </w:r>
          <w:r>
            <w:fldChar w:fldCharType="end"/>
          </w:r>
        </w:p>
        <w:p w14:paraId="1D264DC6">
          <w:pPr>
            <w:pStyle w:val="11"/>
            <w:tabs>
              <w:tab w:val="right" w:leader="dot" w:pos="8306"/>
            </w:tabs>
          </w:pPr>
          <w:r>
            <w:fldChar w:fldCharType="begin"/>
          </w:r>
          <w:r>
            <w:instrText xml:space="preserve"> HYPERLINK \l _Toc7956 </w:instrText>
          </w:r>
          <w:r>
            <w:fldChar w:fldCharType="separate"/>
          </w:r>
          <w:r>
            <w:t xml:space="preserve">(一) </w:t>
          </w:r>
          <w:r>
            <w:rPr>
              <w:rFonts w:hint="eastAsia"/>
            </w:rPr>
            <w:t>项目概述</w:t>
          </w:r>
          <w:r>
            <w:tab/>
          </w:r>
          <w:r>
            <w:fldChar w:fldCharType="begin"/>
          </w:r>
          <w:r>
            <w:instrText xml:space="preserve"> PAGEREF _Toc7956 \h </w:instrText>
          </w:r>
          <w:r>
            <w:fldChar w:fldCharType="separate"/>
          </w:r>
          <w:r>
            <w:t>1</w:t>
          </w:r>
          <w:r>
            <w:fldChar w:fldCharType="end"/>
          </w:r>
          <w:r>
            <w:fldChar w:fldCharType="end"/>
          </w:r>
        </w:p>
        <w:p w14:paraId="5B01B7F5">
          <w:pPr>
            <w:pStyle w:val="11"/>
            <w:tabs>
              <w:tab w:val="right" w:leader="dot" w:pos="8306"/>
            </w:tabs>
          </w:pPr>
          <w:r>
            <w:fldChar w:fldCharType="begin"/>
          </w:r>
          <w:r>
            <w:instrText xml:space="preserve"> HYPERLINK \l _Toc6498 </w:instrText>
          </w:r>
          <w:r>
            <w:fldChar w:fldCharType="separate"/>
          </w:r>
          <w:r>
            <w:t xml:space="preserve">(二) </w:t>
          </w:r>
          <w:r>
            <w:rPr>
              <w:rFonts w:hint="eastAsia"/>
            </w:rPr>
            <w:t>市场机遇与前景</w:t>
          </w:r>
          <w:r>
            <w:tab/>
          </w:r>
          <w:r>
            <w:fldChar w:fldCharType="begin"/>
          </w:r>
          <w:r>
            <w:instrText xml:space="preserve"> PAGEREF _Toc6498 \h </w:instrText>
          </w:r>
          <w:r>
            <w:fldChar w:fldCharType="separate"/>
          </w:r>
          <w:r>
            <w:t>4</w:t>
          </w:r>
          <w:r>
            <w:fldChar w:fldCharType="end"/>
          </w:r>
          <w:r>
            <w:fldChar w:fldCharType="end"/>
          </w:r>
        </w:p>
        <w:p w14:paraId="6215B99F">
          <w:pPr>
            <w:pStyle w:val="11"/>
            <w:tabs>
              <w:tab w:val="right" w:leader="dot" w:pos="8306"/>
            </w:tabs>
          </w:pPr>
          <w:r>
            <w:fldChar w:fldCharType="begin"/>
          </w:r>
          <w:r>
            <w:instrText xml:space="preserve"> HYPERLINK \l _Toc8874 </w:instrText>
          </w:r>
          <w:r>
            <w:fldChar w:fldCharType="separate"/>
          </w:r>
          <w:r>
            <w:t xml:space="preserve">(三) </w:t>
          </w:r>
          <w:r>
            <w:rPr>
              <w:rFonts w:hint="eastAsia"/>
            </w:rPr>
            <w:t>项目竞争优势</w:t>
          </w:r>
          <w:r>
            <w:tab/>
          </w:r>
          <w:r>
            <w:fldChar w:fldCharType="begin"/>
          </w:r>
          <w:r>
            <w:instrText xml:space="preserve"> PAGEREF _Toc8874 \h </w:instrText>
          </w:r>
          <w:r>
            <w:fldChar w:fldCharType="separate"/>
          </w:r>
          <w:r>
            <w:t>6</w:t>
          </w:r>
          <w:r>
            <w:fldChar w:fldCharType="end"/>
          </w:r>
          <w:r>
            <w:fldChar w:fldCharType="end"/>
          </w:r>
        </w:p>
        <w:p w14:paraId="249AE616">
          <w:pPr>
            <w:pStyle w:val="11"/>
            <w:tabs>
              <w:tab w:val="right" w:leader="dot" w:pos="8306"/>
            </w:tabs>
          </w:pPr>
          <w:r>
            <w:fldChar w:fldCharType="begin"/>
          </w:r>
          <w:r>
            <w:instrText xml:space="preserve"> HYPERLINK \l _Toc14823 </w:instrText>
          </w:r>
          <w:r>
            <w:fldChar w:fldCharType="separate"/>
          </w:r>
          <w:r>
            <w:t xml:space="preserve">(四) </w:t>
          </w:r>
          <w:r>
            <w:rPr>
              <w:rFonts w:hint="eastAsia"/>
            </w:rPr>
            <w:t>项目市场策略</w:t>
          </w:r>
          <w:r>
            <w:tab/>
          </w:r>
          <w:r>
            <w:fldChar w:fldCharType="begin"/>
          </w:r>
          <w:r>
            <w:instrText xml:space="preserve"> PAGEREF _Toc14823 \h </w:instrText>
          </w:r>
          <w:r>
            <w:fldChar w:fldCharType="separate"/>
          </w:r>
          <w:r>
            <w:t>6</w:t>
          </w:r>
          <w:r>
            <w:fldChar w:fldCharType="end"/>
          </w:r>
          <w:r>
            <w:fldChar w:fldCharType="end"/>
          </w:r>
        </w:p>
        <w:p w14:paraId="6DA0CAE6">
          <w:pPr>
            <w:pStyle w:val="10"/>
            <w:tabs>
              <w:tab w:val="right" w:leader="dot" w:pos="8306"/>
            </w:tabs>
          </w:pPr>
          <w:r>
            <w:fldChar w:fldCharType="begin"/>
          </w:r>
          <w:r>
            <w:instrText xml:space="preserve"> HYPERLINK \l _Toc18397 </w:instrText>
          </w:r>
          <w:r>
            <w:fldChar w:fldCharType="separate"/>
          </w:r>
          <w:r>
            <w:rPr>
              <w:rFonts w:hint="eastAsia"/>
            </w:rPr>
            <w:t>二、 政策支持</w:t>
          </w:r>
          <w:r>
            <w:tab/>
          </w:r>
          <w:r>
            <w:fldChar w:fldCharType="begin"/>
          </w:r>
          <w:r>
            <w:instrText xml:space="preserve"> PAGEREF _Toc18397 \h </w:instrText>
          </w:r>
          <w:r>
            <w:fldChar w:fldCharType="separate"/>
          </w:r>
          <w:r>
            <w:t>21</w:t>
          </w:r>
          <w:r>
            <w:fldChar w:fldCharType="end"/>
          </w:r>
          <w:r>
            <w:fldChar w:fldCharType="end"/>
          </w:r>
        </w:p>
        <w:p w14:paraId="0BD48820">
          <w:pPr>
            <w:pStyle w:val="10"/>
            <w:tabs>
              <w:tab w:val="right" w:leader="dot" w:pos="8306"/>
            </w:tabs>
          </w:pPr>
          <w:r>
            <w:fldChar w:fldCharType="begin"/>
          </w:r>
          <w:r>
            <w:instrText xml:space="preserve"> HYPERLINK \l _Toc7207 </w:instrText>
          </w:r>
          <w:r>
            <w:fldChar w:fldCharType="separate"/>
          </w:r>
          <w:r>
            <w:rPr>
              <w:rFonts w:hint="eastAsia"/>
            </w:rPr>
            <w:t>三、 市场分析</w:t>
          </w:r>
          <w:r>
            <w:tab/>
          </w:r>
          <w:r>
            <w:fldChar w:fldCharType="begin"/>
          </w:r>
          <w:r>
            <w:instrText xml:space="preserve"> PAGEREF _Toc7207 \h </w:instrText>
          </w:r>
          <w:r>
            <w:fldChar w:fldCharType="separate"/>
          </w:r>
          <w:r>
            <w:t>23</w:t>
          </w:r>
          <w:r>
            <w:fldChar w:fldCharType="end"/>
          </w:r>
          <w:r>
            <w:fldChar w:fldCharType="end"/>
          </w:r>
        </w:p>
        <w:p w14:paraId="19249242">
          <w:pPr>
            <w:pStyle w:val="11"/>
            <w:tabs>
              <w:tab w:val="right" w:leader="dot" w:pos="8306"/>
            </w:tabs>
          </w:pPr>
          <w:r>
            <w:fldChar w:fldCharType="begin"/>
          </w:r>
          <w:r>
            <w:instrText xml:space="preserve"> HYPERLINK \l _Toc31034 </w:instrText>
          </w:r>
          <w:r>
            <w:fldChar w:fldCharType="separate"/>
          </w:r>
          <w:r>
            <w:t xml:space="preserve">(一) </w:t>
          </w:r>
          <w:r>
            <w:rPr>
              <w:rFonts w:hint="eastAsia"/>
            </w:rPr>
            <w:t>行业分析</w:t>
          </w:r>
          <w:r>
            <w:tab/>
          </w:r>
          <w:r>
            <w:fldChar w:fldCharType="begin"/>
          </w:r>
          <w:r>
            <w:instrText xml:space="preserve"> PAGEREF _Toc31034 \h </w:instrText>
          </w:r>
          <w:r>
            <w:fldChar w:fldCharType="separate"/>
          </w:r>
          <w:r>
            <w:t>23</w:t>
          </w:r>
          <w:r>
            <w:fldChar w:fldCharType="end"/>
          </w:r>
          <w:r>
            <w:fldChar w:fldCharType="end"/>
          </w:r>
        </w:p>
        <w:p w14:paraId="5BCD37A4">
          <w:pPr>
            <w:pStyle w:val="11"/>
            <w:tabs>
              <w:tab w:val="right" w:leader="dot" w:pos="8306"/>
            </w:tabs>
          </w:pPr>
          <w:r>
            <w:fldChar w:fldCharType="begin"/>
          </w:r>
          <w:r>
            <w:instrText xml:space="preserve"> HYPERLINK \l _Toc5855 </w:instrText>
          </w:r>
          <w:r>
            <w:fldChar w:fldCharType="separate"/>
          </w:r>
          <w:r>
            <w:t xml:space="preserve">(二) </w:t>
          </w:r>
          <w:r>
            <w:rPr>
              <w:rFonts w:hint="eastAsia"/>
            </w:rPr>
            <w:t>市场痛点</w:t>
          </w:r>
          <w:r>
            <w:tab/>
          </w:r>
          <w:r>
            <w:fldChar w:fldCharType="begin"/>
          </w:r>
          <w:r>
            <w:instrText xml:space="preserve"> PAGEREF _Toc5855 \h </w:instrText>
          </w:r>
          <w:r>
            <w:fldChar w:fldCharType="separate"/>
          </w:r>
          <w:r>
            <w:t>36</w:t>
          </w:r>
          <w:r>
            <w:fldChar w:fldCharType="end"/>
          </w:r>
          <w:r>
            <w:fldChar w:fldCharType="end"/>
          </w:r>
        </w:p>
        <w:p w14:paraId="061CE89C">
          <w:pPr>
            <w:pStyle w:val="10"/>
            <w:tabs>
              <w:tab w:val="right" w:leader="dot" w:pos="8306"/>
            </w:tabs>
          </w:pPr>
          <w:r>
            <w:fldChar w:fldCharType="begin"/>
          </w:r>
          <w:r>
            <w:instrText xml:space="preserve"> HYPERLINK \l _Toc5960 </w:instrText>
          </w:r>
          <w:r>
            <w:fldChar w:fldCharType="separate"/>
          </w:r>
          <w:r>
            <w:rPr>
              <w:rFonts w:hint="eastAsia"/>
            </w:rPr>
            <w:t>四、 产品服务</w:t>
          </w:r>
          <w:r>
            <w:tab/>
          </w:r>
          <w:r>
            <w:fldChar w:fldCharType="begin"/>
          </w:r>
          <w:r>
            <w:instrText xml:space="preserve"> PAGEREF _Toc5960 \h </w:instrText>
          </w:r>
          <w:r>
            <w:fldChar w:fldCharType="separate"/>
          </w:r>
          <w:r>
            <w:t>48</w:t>
          </w:r>
          <w:r>
            <w:fldChar w:fldCharType="end"/>
          </w:r>
          <w:r>
            <w:fldChar w:fldCharType="end"/>
          </w:r>
        </w:p>
        <w:p w14:paraId="2ACF6F21">
          <w:pPr>
            <w:pStyle w:val="11"/>
            <w:tabs>
              <w:tab w:val="right" w:leader="dot" w:pos="8306"/>
            </w:tabs>
          </w:pPr>
          <w:r>
            <w:fldChar w:fldCharType="begin"/>
          </w:r>
          <w:r>
            <w:instrText xml:space="preserve"> HYPERLINK \l _Toc25139 </w:instrText>
          </w:r>
          <w:r>
            <w:fldChar w:fldCharType="separate"/>
          </w:r>
          <w:r>
            <w:t xml:space="preserve">(一) </w:t>
          </w:r>
          <w:r>
            <w:rPr>
              <w:rFonts w:hint="eastAsia"/>
            </w:rPr>
            <w:t>产品概述</w:t>
          </w:r>
          <w:r>
            <w:tab/>
          </w:r>
          <w:r>
            <w:fldChar w:fldCharType="begin"/>
          </w:r>
          <w:r>
            <w:instrText xml:space="preserve"> PAGEREF _Toc25139 \h </w:instrText>
          </w:r>
          <w:r>
            <w:fldChar w:fldCharType="separate"/>
          </w:r>
          <w:r>
            <w:t>48</w:t>
          </w:r>
          <w:r>
            <w:fldChar w:fldCharType="end"/>
          </w:r>
          <w:r>
            <w:fldChar w:fldCharType="end"/>
          </w:r>
        </w:p>
        <w:p w14:paraId="32AA3A76">
          <w:pPr>
            <w:pStyle w:val="11"/>
            <w:tabs>
              <w:tab w:val="right" w:leader="dot" w:pos="8306"/>
            </w:tabs>
          </w:pPr>
          <w:r>
            <w:fldChar w:fldCharType="begin"/>
          </w:r>
          <w:r>
            <w:instrText xml:space="preserve"> HYPERLINK \l _Toc21612 </w:instrText>
          </w:r>
          <w:r>
            <w:fldChar w:fldCharType="separate"/>
          </w:r>
          <w:r>
            <w:t xml:space="preserve">(二) </w:t>
          </w:r>
          <w:r>
            <w:rPr>
              <w:rFonts w:hint="eastAsia"/>
            </w:rPr>
            <w:t>生产经营计划</w:t>
          </w:r>
          <w:r>
            <w:tab/>
          </w:r>
          <w:r>
            <w:fldChar w:fldCharType="begin"/>
          </w:r>
          <w:r>
            <w:instrText xml:space="preserve"> PAGEREF _Toc21612 \h </w:instrText>
          </w:r>
          <w:r>
            <w:fldChar w:fldCharType="separate"/>
          </w:r>
          <w:r>
            <w:t>79</w:t>
          </w:r>
          <w:r>
            <w:fldChar w:fldCharType="end"/>
          </w:r>
          <w:r>
            <w:fldChar w:fldCharType="end"/>
          </w:r>
        </w:p>
        <w:p w14:paraId="6F69F701">
          <w:pPr>
            <w:pStyle w:val="11"/>
            <w:tabs>
              <w:tab w:val="right" w:leader="dot" w:pos="8306"/>
            </w:tabs>
          </w:pPr>
          <w:r>
            <w:fldChar w:fldCharType="begin"/>
          </w:r>
          <w:r>
            <w:instrText xml:space="preserve"> HYPERLINK \l _Toc7810 </w:instrText>
          </w:r>
          <w:r>
            <w:fldChar w:fldCharType="separate"/>
          </w:r>
          <w:r>
            <w:t xml:space="preserve">(三) </w:t>
          </w:r>
          <w:r>
            <w:rPr>
              <w:rFonts w:hint="eastAsia"/>
            </w:rPr>
            <w:t>产品服务介绍</w:t>
          </w:r>
          <w:r>
            <w:tab/>
          </w:r>
          <w:r>
            <w:fldChar w:fldCharType="begin"/>
          </w:r>
          <w:r>
            <w:instrText xml:space="preserve"> PAGEREF _Toc7810 \h </w:instrText>
          </w:r>
          <w:r>
            <w:fldChar w:fldCharType="separate"/>
          </w:r>
          <w:r>
            <w:t>80</w:t>
          </w:r>
          <w:r>
            <w:fldChar w:fldCharType="end"/>
          </w:r>
          <w:r>
            <w:fldChar w:fldCharType="end"/>
          </w:r>
        </w:p>
        <w:p w14:paraId="00F9F8C6">
          <w:pPr>
            <w:pStyle w:val="10"/>
            <w:tabs>
              <w:tab w:val="right" w:leader="dot" w:pos="8306"/>
            </w:tabs>
          </w:pPr>
          <w:r>
            <w:fldChar w:fldCharType="begin"/>
          </w:r>
          <w:r>
            <w:instrText xml:space="preserve"> HYPERLINK \l _Toc20721 </w:instrText>
          </w:r>
          <w:r>
            <w:fldChar w:fldCharType="separate"/>
          </w:r>
          <w:r>
            <w:rPr>
              <w:rFonts w:hint="eastAsia"/>
            </w:rPr>
            <w:t>五、 营销策略</w:t>
          </w:r>
          <w:r>
            <w:tab/>
          </w:r>
          <w:r>
            <w:fldChar w:fldCharType="begin"/>
          </w:r>
          <w:r>
            <w:instrText xml:space="preserve"> PAGEREF _Toc20721 \h </w:instrText>
          </w:r>
          <w:r>
            <w:fldChar w:fldCharType="separate"/>
          </w:r>
          <w:r>
            <w:t>86</w:t>
          </w:r>
          <w:r>
            <w:fldChar w:fldCharType="end"/>
          </w:r>
          <w:r>
            <w:fldChar w:fldCharType="end"/>
          </w:r>
        </w:p>
        <w:p w14:paraId="2037D261">
          <w:pPr>
            <w:pStyle w:val="11"/>
            <w:tabs>
              <w:tab w:val="right" w:leader="dot" w:pos="8306"/>
            </w:tabs>
          </w:pPr>
          <w:r>
            <w:fldChar w:fldCharType="begin"/>
          </w:r>
          <w:r>
            <w:instrText xml:space="preserve"> HYPERLINK \l _Toc28354 </w:instrText>
          </w:r>
          <w:r>
            <w:fldChar w:fldCharType="separate"/>
          </w:r>
          <w:r>
            <w:t xml:space="preserve">(一) </w:t>
          </w:r>
          <w:r>
            <w:rPr>
              <w:rFonts w:hint="eastAsia"/>
            </w:rPr>
            <w:t>目标市场</w:t>
          </w:r>
          <w:r>
            <w:tab/>
          </w:r>
          <w:r>
            <w:fldChar w:fldCharType="begin"/>
          </w:r>
          <w:r>
            <w:instrText xml:space="preserve"> PAGEREF _Toc28354 \h </w:instrText>
          </w:r>
          <w:r>
            <w:fldChar w:fldCharType="separate"/>
          </w:r>
          <w:r>
            <w:t>86</w:t>
          </w:r>
          <w:r>
            <w:fldChar w:fldCharType="end"/>
          </w:r>
          <w:r>
            <w:fldChar w:fldCharType="end"/>
          </w:r>
        </w:p>
        <w:p w14:paraId="26E17952">
          <w:pPr>
            <w:pStyle w:val="11"/>
            <w:tabs>
              <w:tab w:val="right" w:leader="dot" w:pos="8306"/>
            </w:tabs>
          </w:pPr>
          <w:r>
            <w:fldChar w:fldCharType="begin"/>
          </w:r>
          <w:r>
            <w:instrText xml:space="preserve"> HYPERLINK \l _Toc96 </w:instrText>
          </w:r>
          <w:r>
            <w:fldChar w:fldCharType="separate"/>
          </w:r>
          <w:r>
            <w:t xml:space="preserve">(二) </w:t>
          </w:r>
          <w:r>
            <w:rPr>
              <w:rFonts w:hint="eastAsia"/>
            </w:rPr>
            <w:t>核心优势</w:t>
          </w:r>
          <w:r>
            <w:tab/>
          </w:r>
          <w:r>
            <w:fldChar w:fldCharType="begin"/>
          </w:r>
          <w:r>
            <w:instrText xml:space="preserve"> PAGEREF _Toc96 \h </w:instrText>
          </w:r>
          <w:r>
            <w:fldChar w:fldCharType="separate"/>
          </w:r>
          <w:r>
            <w:t>86</w:t>
          </w:r>
          <w:r>
            <w:fldChar w:fldCharType="end"/>
          </w:r>
          <w:r>
            <w:fldChar w:fldCharType="end"/>
          </w:r>
        </w:p>
        <w:p w14:paraId="59C72BC8">
          <w:pPr>
            <w:pStyle w:val="11"/>
            <w:tabs>
              <w:tab w:val="right" w:leader="dot" w:pos="8306"/>
            </w:tabs>
          </w:pPr>
          <w:r>
            <w:fldChar w:fldCharType="begin"/>
          </w:r>
          <w:r>
            <w:instrText xml:space="preserve"> HYPERLINK \l _Toc11013 </w:instrText>
          </w:r>
          <w:r>
            <w:fldChar w:fldCharType="separate"/>
          </w:r>
          <w:r>
            <w:t xml:space="preserve">(三) </w:t>
          </w:r>
          <w:r>
            <w:rPr>
              <w:rFonts w:hint="eastAsia"/>
            </w:rPr>
            <w:t>竞争分析</w:t>
          </w:r>
          <w:r>
            <w:tab/>
          </w:r>
          <w:r>
            <w:fldChar w:fldCharType="begin"/>
          </w:r>
          <w:r>
            <w:instrText xml:space="preserve"> PAGEREF _Toc11013 \h </w:instrText>
          </w:r>
          <w:r>
            <w:fldChar w:fldCharType="separate"/>
          </w:r>
          <w:r>
            <w:t>87</w:t>
          </w:r>
          <w:r>
            <w:fldChar w:fldCharType="end"/>
          </w:r>
          <w:r>
            <w:fldChar w:fldCharType="end"/>
          </w:r>
        </w:p>
        <w:p w14:paraId="2FCB9E6E">
          <w:pPr>
            <w:pStyle w:val="11"/>
            <w:tabs>
              <w:tab w:val="right" w:leader="dot" w:pos="8306"/>
            </w:tabs>
          </w:pPr>
          <w:r>
            <w:fldChar w:fldCharType="begin"/>
          </w:r>
          <w:r>
            <w:instrText xml:space="preserve"> HYPERLINK \l _Toc27274 </w:instrText>
          </w:r>
          <w:r>
            <w:fldChar w:fldCharType="separate"/>
          </w:r>
          <w:r>
            <w:t xml:space="preserve">(四) </w:t>
          </w:r>
          <w:r>
            <w:rPr>
              <w:rFonts w:hint="eastAsia"/>
            </w:rPr>
            <w:t>市场营销</w:t>
          </w:r>
          <w:r>
            <w:tab/>
          </w:r>
          <w:r>
            <w:fldChar w:fldCharType="begin"/>
          </w:r>
          <w:r>
            <w:instrText xml:space="preserve"> PAGEREF _Toc27274 \h </w:instrText>
          </w:r>
          <w:r>
            <w:fldChar w:fldCharType="separate"/>
          </w:r>
          <w:r>
            <w:t>88</w:t>
          </w:r>
          <w:r>
            <w:fldChar w:fldCharType="end"/>
          </w:r>
          <w:r>
            <w:fldChar w:fldCharType="end"/>
          </w:r>
        </w:p>
        <w:p w14:paraId="51C5ABD1">
          <w:pPr>
            <w:pStyle w:val="11"/>
            <w:tabs>
              <w:tab w:val="right" w:leader="dot" w:pos="8306"/>
            </w:tabs>
          </w:pPr>
          <w:r>
            <w:fldChar w:fldCharType="begin"/>
          </w:r>
          <w:r>
            <w:instrText xml:space="preserve"> HYPERLINK \l _Toc5071 </w:instrText>
          </w:r>
          <w:r>
            <w:fldChar w:fldCharType="separate"/>
          </w:r>
          <w:r>
            <w:t xml:space="preserve">(五) </w:t>
          </w:r>
          <w:r>
            <w:rPr>
              <w:rFonts w:hint="eastAsia"/>
            </w:rPr>
            <w:t>战略规划</w:t>
          </w:r>
          <w:r>
            <w:tab/>
          </w:r>
          <w:r>
            <w:fldChar w:fldCharType="begin"/>
          </w:r>
          <w:r>
            <w:instrText xml:space="preserve"> PAGEREF _Toc5071 \h </w:instrText>
          </w:r>
          <w:r>
            <w:fldChar w:fldCharType="separate"/>
          </w:r>
          <w:r>
            <w:t>88</w:t>
          </w:r>
          <w:r>
            <w:fldChar w:fldCharType="end"/>
          </w:r>
          <w:r>
            <w:fldChar w:fldCharType="end"/>
          </w:r>
        </w:p>
        <w:p w14:paraId="37EA9425">
          <w:pPr>
            <w:pStyle w:val="10"/>
            <w:tabs>
              <w:tab w:val="right" w:leader="dot" w:pos="8306"/>
            </w:tabs>
          </w:pPr>
          <w:r>
            <w:fldChar w:fldCharType="begin"/>
          </w:r>
          <w:r>
            <w:instrText xml:space="preserve"> HYPERLINK \l _Toc11763 </w:instrText>
          </w:r>
          <w:r>
            <w:fldChar w:fldCharType="separate"/>
          </w:r>
          <w:r>
            <w:rPr>
              <w:rFonts w:hint="eastAsia"/>
            </w:rPr>
            <w:t>六、 财务分析</w:t>
          </w:r>
          <w:r>
            <w:tab/>
          </w:r>
          <w:r>
            <w:fldChar w:fldCharType="begin"/>
          </w:r>
          <w:r>
            <w:instrText xml:space="preserve"> PAGEREF _Toc11763 \h </w:instrText>
          </w:r>
          <w:r>
            <w:fldChar w:fldCharType="separate"/>
          </w:r>
          <w:r>
            <w:t>89</w:t>
          </w:r>
          <w:r>
            <w:fldChar w:fldCharType="end"/>
          </w:r>
          <w:r>
            <w:fldChar w:fldCharType="end"/>
          </w:r>
        </w:p>
        <w:p w14:paraId="76E51540">
          <w:pPr>
            <w:pStyle w:val="11"/>
            <w:tabs>
              <w:tab w:val="right" w:leader="dot" w:pos="8306"/>
            </w:tabs>
          </w:pPr>
          <w:r>
            <w:fldChar w:fldCharType="begin"/>
          </w:r>
          <w:r>
            <w:instrText xml:space="preserve"> HYPERLINK \l _Toc30048 </w:instrText>
          </w:r>
          <w:r>
            <w:fldChar w:fldCharType="separate"/>
          </w:r>
          <w:r>
            <w:t xml:space="preserve">(一) </w:t>
          </w:r>
          <w:r>
            <w:rPr>
              <w:rFonts w:hint="eastAsia"/>
            </w:rPr>
            <w:t>财务假设</w:t>
          </w:r>
          <w:r>
            <w:tab/>
          </w:r>
          <w:r>
            <w:fldChar w:fldCharType="begin"/>
          </w:r>
          <w:r>
            <w:instrText xml:space="preserve"> PAGEREF _Toc30048 \h </w:instrText>
          </w:r>
          <w:r>
            <w:fldChar w:fldCharType="separate"/>
          </w:r>
          <w:r>
            <w:t>89</w:t>
          </w:r>
          <w:r>
            <w:fldChar w:fldCharType="end"/>
          </w:r>
          <w:r>
            <w:fldChar w:fldCharType="end"/>
          </w:r>
        </w:p>
        <w:p w14:paraId="0C796B2C">
          <w:pPr>
            <w:pStyle w:val="11"/>
            <w:tabs>
              <w:tab w:val="right" w:leader="dot" w:pos="8306"/>
            </w:tabs>
          </w:pPr>
          <w:r>
            <w:fldChar w:fldCharType="begin"/>
          </w:r>
          <w:r>
            <w:instrText xml:space="preserve"> HYPERLINK \l _Toc5758 </w:instrText>
          </w:r>
          <w:r>
            <w:fldChar w:fldCharType="separate"/>
          </w:r>
          <w:r>
            <w:t xml:space="preserve">(二) </w:t>
          </w:r>
          <w:r>
            <w:rPr>
              <w:rFonts w:hint="eastAsia"/>
            </w:rPr>
            <w:t>预计成本费用</w:t>
          </w:r>
          <w:r>
            <w:tab/>
          </w:r>
          <w:r>
            <w:fldChar w:fldCharType="begin"/>
          </w:r>
          <w:r>
            <w:instrText xml:space="preserve"> PAGEREF _Toc5758 \h </w:instrText>
          </w:r>
          <w:r>
            <w:fldChar w:fldCharType="separate"/>
          </w:r>
          <w:r>
            <w:t>89</w:t>
          </w:r>
          <w:r>
            <w:fldChar w:fldCharType="end"/>
          </w:r>
          <w:r>
            <w:fldChar w:fldCharType="end"/>
          </w:r>
        </w:p>
        <w:p w14:paraId="11A1C447">
          <w:pPr>
            <w:pStyle w:val="11"/>
            <w:tabs>
              <w:tab w:val="right" w:leader="dot" w:pos="8306"/>
            </w:tabs>
          </w:pPr>
          <w:r>
            <w:fldChar w:fldCharType="begin"/>
          </w:r>
          <w:r>
            <w:instrText xml:space="preserve"> HYPERLINK \l _Toc25129 </w:instrText>
          </w:r>
          <w:r>
            <w:fldChar w:fldCharType="separate"/>
          </w:r>
          <w:r>
            <w:t xml:space="preserve">(三) </w:t>
          </w:r>
          <w:r>
            <w:rPr>
              <w:rFonts w:hint="eastAsia"/>
            </w:rPr>
            <w:t>预期资产负债表</w:t>
          </w:r>
          <w:r>
            <w:tab/>
          </w:r>
          <w:r>
            <w:fldChar w:fldCharType="begin"/>
          </w:r>
          <w:r>
            <w:instrText xml:space="preserve"> PAGEREF _Toc25129 \h </w:instrText>
          </w:r>
          <w:r>
            <w:fldChar w:fldCharType="separate"/>
          </w:r>
          <w:r>
            <w:t>91</w:t>
          </w:r>
          <w:r>
            <w:fldChar w:fldCharType="end"/>
          </w:r>
          <w:r>
            <w:fldChar w:fldCharType="end"/>
          </w:r>
        </w:p>
        <w:p w14:paraId="58B138BD">
          <w:pPr>
            <w:pStyle w:val="11"/>
            <w:tabs>
              <w:tab w:val="right" w:leader="dot" w:pos="8306"/>
            </w:tabs>
          </w:pPr>
          <w:r>
            <w:fldChar w:fldCharType="begin"/>
          </w:r>
          <w:r>
            <w:instrText xml:space="preserve"> HYPERLINK \l _Toc29318 </w:instrText>
          </w:r>
          <w:r>
            <w:fldChar w:fldCharType="separate"/>
          </w:r>
          <w:r>
            <w:rPr>
              <w:rFonts w:hint="eastAsia"/>
            </w:rPr>
            <w:t>(四) 预计利润表</w:t>
          </w:r>
          <w:r>
            <w:tab/>
          </w:r>
          <w:r>
            <w:fldChar w:fldCharType="begin"/>
          </w:r>
          <w:r>
            <w:instrText xml:space="preserve"> PAGEREF _Toc29318 \h </w:instrText>
          </w:r>
          <w:r>
            <w:fldChar w:fldCharType="separate"/>
          </w:r>
          <w:r>
            <w:t>92</w:t>
          </w:r>
          <w:r>
            <w:fldChar w:fldCharType="end"/>
          </w:r>
          <w:r>
            <w:fldChar w:fldCharType="end"/>
          </w:r>
        </w:p>
        <w:p w14:paraId="1102AF27">
          <w:pPr>
            <w:pStyle w:val="10"/>
            <w:tabs>
              <w:tab w:val="right" w:leader="dot" w:pos="8306"/>
            </w:tabs>
          </w:pPr>
          <w:r>
            <w:fldChar w:fldCharType="begin"/>
          </w:r>
          <w:r>
            <w:instrText xml:space="preserve"> HYPERLINK \l _Toc9727 </w:instrText>
          </w:r>
          <w:r>
            <w:fldChar w:fldCharType="separate"/>
          </w:r>
          <w:r>
            <w:rPr>
              <w:rFonts w:hint="eastAsia"/>
            </w:rPr>
            <w:t>七、 风险和竞争</w:t>
          </w:r>
          <w:r>
            <w:tab/>
          </w:r>
          <w:r>
            <w:fldChar w:fldCharType="begin"/>
          </w:r>
          <w:r>
            <w:instrText xml:space="preserve"> PAGEREF _Toc9727 \h </w:instrText>
          </w:r>
          <w:r>
            <w:fldChar w:fldCharType="separate"/>
          </w:r>
          <w:r>
            <w:t>92</w:t>
          </w:r>
          <w:r>
            <w:fldChar w:fldCharType="end"/>
          </w:r>
          <w:r>
            <w:fldChar w:fldCharType="end"/>
          </w:r>
        </w:p>
        <w:p w14:paraId="588ECFEA">
          <w:pPr>
            <w:pStyle w:val="11"/>
            <w:tabs>
              <w:tab w:val="right" w:leader="dot" w:pos="8306"/>
            </w:tabs>
          </w:pPr>
          <w:r>
            <w:fldChar w:fldCharType="begin"/>
          </w:r>
          <w:r>
            <w:instrText xml:space="preserve"> HYPERLINK \l _Toc25043 </w:instrText>
          </w:r>
          <w:r>
            <w:fldChar w:fldCharType="separate"/>
          </w:r>
          <w:r>
            <w:t xml:space="preserve">(一) </w:t>
          </w:r>
          <w:r>
            <w:rPr>
              <w:rFonts w:hint="eastAsia"/>
            </w:rPr>
            <w:t>技术方面</w:t>
          </w:r>
          <w:r>
            <w:tab/>
          </w:r>
          <w:r>
            <w:fldChar w:fldCharType="begin"/>
          </w:r>
          <w:r>
            <w:instrText xml:space="preserve"> PAGEREF _Toc25043 \h </w:instrText>
          </w:r>
          <w:r>
            <w:fldChar w:fldCharType="separate"/>
          </w:r>
          <w:r>
            <w:t>92</w:t>
          </w:r>
          <w:r>
            <w:fldChar w:fldCharType="end"/>
          </w:r>
          <w:r>
            <w:fldChar w:fldCharType="end"/>
          </w:r>
        </w:p>
        <w:p w14:paraId="4289A248">
          <w:pPr>
            <w:pStyle w:val="11"/>
            <w:tabs>
              <w:tab w:val="right" w:leader="dot" w:pos="8306"/>
            </w:tabs>
          </w:pPr>
          <w:r>
            <w:fldChar w:fldCharType="begin"/>
          </w:r>
          <w:r>
            <w:instrText xml:space="preserve"> HYPERLINK \l _Toc24521 </w:instrText>
          </w:r>
          <w:r>
            <w:fldChar w:fldCharType="separate"/>
          </w:r>
          <w:r>
            <w:t xml:space="preserve">(二) </w:t>
          </w:r>
          <w:r>
            <w:rPr>
              <w:rFonts w:hint="eastAsia"/>
            </w:rPr>
            <w:t>管理方面</w:t>
          </w:r>
          <w:r>
            <w:tab/>
          </w:r>
          <w:r>
            <w:fldChar w:fldCharType="begin"/>
          </w:r>
          <w:r>
            <w:instrText xml:space="preserve"> PAGEREF _Toc24521 \h </w:instrText>
          </w:r>
          <w:r>
            <w:fldChar w:fldCharType="separate"/>
          </w:r>
          <w:r>
            <w:t>93</w:t>
          </w:r>
          <w:r>
            <w:fldChar w:fldCharType="end"/>
          </w:r>
          <w:r>
            <w:fldChar w:fldCharType="end"/>
          </w:r>
        </w:p>
        <w:p w14:paraId="72AFEC39">
          <w:pPr>
            <w:pStyle w:val="10"/>
            <w:tabs>
              <w:tab w:val="right" w:leader="dot" w:pos="8306"/>
            </w:tabs>
          </w:pPr>
          <w:r>
            <w:fldChar w:fldCharType="begin"/>
          </w:r>
          <w:r>
            <w:instrText xml:space="preserve"> HYPERLINK \l _Toc29954 </w:instrText>
          </w:r>
          <w:r>
            <w:fldChar w:fldCharType="separate"/>
          </w:r>
          <w:r>
            <w:rPr>
              <w:rFonts w:hint="eastAsia"/>
            </w:rPr>
            <w:t>八、 项目发展规划</w:t>
          </w:r>
          <w:r>
            <w:tab/>
          </w:r>
          <w:r>
            <w:fldChar w:fldCharType="begin"/>
          </w:r>
          <w:r>
            <w:instrText xml:space="preserve"> PAGEREF _Toc29954 \h </w:instrText>
          </w:r>
          <w:r>
            <w:fldChar w:fldCharType="separate"/>
          </w:r>
          <w:r>
            <w:t>94</w:t>
          </w:r>
          <w:r>
            <w:fldChar w:fldCharType="end"/>
          </w:r>
          <w:r>
            <w:fldChar w:fldCharType="end"/>
          </w:r>
        </w:p>
        <w:p w14:paraId="2AA87A2E">
          <w:pPr>
            <w:pStyle w:val="11"/>
            <w:tabs>
              <w:tab w:val="right" w:leader="dot" w:pos="8306"/>
            </w:tabs>
          </w:pPr>
          <w:r>
            <w:fldChar w:fldCharType="begin"/>
          </w:r>
          <w:r>
            <w:instrText xml:space="preserve"> HYPERLINK \l _Toc23995 </w:instrText>
          </w:r>
          <w:r>
            <w:fldChar w:fldCharType="separate"/>
          </w:r>
          <w:r>
            <w:t xml:space="preserve">(一) </w:t>
          </w:r>
          <w:r>
            <w:rPr>
              <w:rFonts w:hint="eastAsia"/>
            </w:rPr>
            <w:t>发展战略与管理</w:t>
          </w:r>
          <w:r>
            <w:tab/>
          </w:r>
          <w:r>
            <w:fldChar w:fldCharType="begin"/>
          </w:r>
          <w:r>
            <w:instrText xml:space="preserve"> PAGEREF _Toc23995 \h </w:instrText>
          </w:r>
          <w:r>
            <w:fldChar w:fldCharType="separate"/>
          </w:r>
          <w:r>
            <w:t>94</w:t>
          </w:r>
          <w:r>
            <w:fldChar w:fldCharType="end"/>
          </w:r>
          <w:r>
            <w:fldChar w:fldCharType="end"/>
          </w:r>
        </w:p>
        <w:p w14:paraId="4B9BBF07">
          <w:pPr>
            <w:pStyle w:val="11"/>
            <w:tabs>
              <w:tab w:val="right" w:leader="dot" w:pos="8306"/>
            </w:tabs>
          </w:pPr>
          <w:r>
            <w:fldChar w:fldCharType="begin"/>
          </w:r>
          <w:r>
            <w:instrText xml:space="preserve"> HYPERLINK \l _Toc26965 </w:instrText>
          </w:r>
          <w:r>
            <w:fldChar w:fldCharType="separate"/>
          </w:r>
          <w:r>
            <w:t xml:space="preserve">(二) </w:t>
          </w:r>
          <w:r>
            <w:rPr>
              <w:rFonts w:hint="eastAsia"/>
            </w:rPr>
            <w:t>合作规划</w:t>
          </w:r>
          <w:r>
            <w:tab/>
          </w:r>
          <w:r>
            <w:fldChar w:fldCharType="begin"/>
          </w:r>
          <w:r>
            <w:instrText xml:space="preserve"> PAGEREF _Toc26965 \h </w:instrText>
          </w:r>
          <w:r>
            <w:fldChar w:fldCharType="separate"/>
          </w:r>
          <w:r>
            <w:t>95</w:t>
          </w:r>
          <w:r>
            <w:fldChar w:fldCharType="end"/>
          </w:r>
          <w:r>
            <w:fldChar w:fldCharType="end"/>
          </w:r>
        </w:p>
        <w:p w14:paraId="582D2260">
          <w:pPr>
            <w:pStyle w:val="10"/>
            <w:tabs>
              <w:tab w:val="right" w:leader="dot" w:pos="8306"/>
            </w:tabs>
          </w:pPr>
          <w:r>
            <w:fldChar w:fldCharType="begin"/>
          </w:r>
          <w:r>
            <w:instrText xml:space="preserve"> HYPERLINK \l _Toc30819 </w:instrText>
          </w:r>
          <w:r>
            <w:fldChar w:fldCharType="separate"/>
          </w:r>
          <w:r>
            <w:rPr>
              <w:rFonts w:hint="eastAsia"/>
            </w:rPr>
            <w:t>九、 团队</w:t>
          </w:r>
          <w:r>
            <w:tab/>
          </w:r>
          <w:r>
            <w:fldChar w:fldCharType="begin"/>
          </w:r>
          <w:r>
            <w:instrText xml:space="preserve"> PAGEREF _Toc30819 \h </w:instrText>
          </w:r>
          <w:r>
            <w:fldChar w:fldCharType="separate"/>
          </w:r>
          <w:r>
            <w:t>96</w:t>
          </w:r>
          <w:r>
            <w:fldChar w:fldCharType="end"/>
          </w:r>
          <w:r>
            <w:fldChar w:fldCharType="end"/>
          </w:r>
        </w:p>
        <w:p w14:paraId="7E72E7D7">
          <w:pPr>
            <w:pStyle w:val="11"/>
            <w:tabs>
              <w:tab w:val="right" w:leader="dot" w:pos="8306"/>
            </w:tabs>
          </w:pPr>
          <w:r>
            <w:fldChar w:fldCharType="begin"/>
          </w:r>
          <w:r>
            <w:instrText xml:space="preserve"> HYPERLINK \l _Toc27672 </w:instrText>
          </w:r>
          <w:r>
            <w:fldChar w:fldCharType="separate"/>
          </w:r>
          <w:r>
            <w:t xml:space="preserve">(一) </w:t>
          </w:r>
          <w:r>
            <w:rPr>
              <w:rFonts w:hint="eastAsia"/>
            </w:rPr>
            <w:t>团队基本介绍</w:t>
          </w:r>
          <w:r>
            <w:tab/>
          </w:r>
          <w:r>
            <w:fldChar w:fldCharType="begin"/>
          </w:r>
          <w:r>
            <w:instrText xml:space="preserve"> PAGEREF _Toc27672 \h </w:instrText>
          </w:r>
          <w:r>
            <w:fldChar w:fldCharType="separate"/>
          </w:r>
          <w:r>
            <w:t>96</w:t>
          </w:r>
          <w:r>
            <w:fldChar w:fldCharType="end"/>
          </w:r>
          <w:r>
            <w:fldChar w:fldCharType="end"/>
          </w:r>
        </w:p>
        <w:p w14:paraId="2AF856D5">
          <w:pPr>
            <w:pStyle w:val="11"/>
            <w:tabs>
              <w:tab w:val="right" w:leader="dot" w:pos="8306"/>
            </w:tabs>
          </w:pPr>
          <w:r>
            <w:fldChar w:fldCharType="begin"/>
          </w:r>
          <w:r>
            <w:instrText xml:space="preserve"> HYPERLINK \l _Toc19210 </w:instrText>
          </w:r>
          <w:r>
            <w:fldChar w:fldCharType="separate"/>
          </w:r>
          <w:r>
            <w:t xml:space="preserve">(二) </w:t>
          </w:r>
          <w:r>
            <w:rPr>
              <w:rFonts w:hint="eastAsia"/>
            </w:rPr>
            <w:t>项目的组织结构</w:t>
          </w:r>
          <w:r>
            <w:tab/>
          </w:r>
          <w:r>
            <w:fldChar w:fldCharType="begin"/>
          </w:r>
          <w:r>
            <w:instrText xml:space="preserve"> PAGEREF _Toc19210 \h </w:instrText>
          </w:r>
          <w:r>
            <w:fldChar w:fldCharType="separate"/>
          </w:r>
          <w:r>
            <w:t>99</w:t>
          </w:r>
          <w:r>
            <w:fldChar w:fldCharType="end"/>
          </w:r>
          <w:r>
            <w:fldChar w:fldCharType="end"/>
          </w:r>
        </w:p>
        <w:p w14:paraId="165C59DA">
          <w:pPr>
            <w:pStyle w:val="11"/>
            <w:tabs>
              <w:tab w:val="right" w:leader="dot" w:pos="8306"/>
            </w:tabs>
          </w:pPr>
          <w:r>
            <w:fldChar w:fldCharType="begin"/>
          </w:r>
          <w:r>
            <w:instrText xml:space="preserve"> HYPERLINK \l _Toc27121 </w:instrText>
          </w:r>
          <w:r>
            <w:fldChar w:fldCharType="separate"/>
          </w:r>
          <w:r>
            <w:t xml:space="preserve">(三) </w:t>
          </w:r>
          <w:r>
            <w:rPr>
              <w:rFonts w:hint="eastAsia"/>
            </w:rPr>
            <w:t>团队管理要素</w:t>
          </w:r>
          <w:r>
            <w:tab/>
          </w:r>
          <w:r>
            <w:fldChar w:fldCharType="begin"/>
          </w:r>
          <w:r>
            <w:instrText xml:space="preserve"> PAGEREF _Toc27121 \h </w:instrText>
          </w:r>
          <w:r>
            <w:fldChar w:fldCharType="separate"/>
          </w:r>
          <w:r>
            <w:t>100</w:t>
          </w:r>
          <w:r>
            <w:fldChar w:fldCharType="end"/>
          </w:r>
          <w:r>
            <w:fldChar w:fldCharType="end"/>
          </w:r>
        </w:p>
        <w:p w14:paraId="37A2B148">
          <w:pPr>
            <w:pStyle w:val="11"/>
            <w:tabs>
              <w:tab w:val="right" w:leader="dot" w:pos="8306"/>
            </w:tabs>
          </w:pPr>
          <w:r>
            <w:fldChar w:fldCharType="begin"/>
          </w:r>
          <w:r>
            <w:instrText xml:space="preserve"> HYPERLINK \l _Toc23611 </w:instrText>
          </w:r>
          <w:r>
            <w:fldChar w:fldCharType="separate"/>
          </w:r>
          <w:r>
            <w:t xml:space="preserve">(四) </w:t>
          </w:r>
          <w:r>
            <w:rPr>
              <w:rFonts w:hint="eastAsia"/>
            </w:rPr>
            <w:t>团队薪酬标准</w:t>
          </w:r>
          <w:r>
            <w:tab/>
          </w:r>
          <w:r>
            <w:fldChar w:fldCharType="begin"/>
          </w:r>
          <w:r>
            <w:instrText xml:space="preserve"> PAGEREF _Toc23611 \h </w:instrText>
          </w:r>
          <w:r>
            <w:fldChar w:fldCharType="separate"/>
          </w:r>
          <w:r>
            <w:t>101</w:t>
          </w:r>
          <w:r>
            <w:fldChar w:fldCharType="end"/>
          </w:r>
          <w:r>
            <w:fldChar w:fldCharType="end"/>
          </w:r>
        </w:p>
        <w:p w14:paraId="7348B8FB">
          <w:pPr>
            <w:pStyle w:val="11"/>
            <w:tabs>
              <w:tab w:val="right" w:leader="dot" w:pos="8306"/>
            </w:tabs>
          </w:pPr>
          <w:r>
            <w:fldChar w:fldCharType="begin"/>
          </w:r>
          <w:r>
            <w:instrText xml:space="preserve"> HYPERLINK \l _Toc20942 </w:instrText>
          </w:r>
          <w:r>
            <w:fldChar w:fldCharType="separate"/>
          </w:r>
          <w:r>
            <w:t xml:space="preserve">(五) </w:t>
          </w:r>
          <w:r>
            <w:rPr>
              <w:rFonts w:hint="eastAsia"/>
            </w:rPr>
            <w:t>团队激励措施</w:t>
          </w:r>
          <w:r>
            <w:tab/>
          </w:r>
          <w:r>
            <w:fldChar w:fldCharType="begin"/>
          </w:r>
          <w:r>
            <w:instrText xml:space="preserve"> PAGEREF _Toc20942 \h </w:instrText>
          </w:r>
          <w:r>
            <w:fldChar w:fldCharType="separate"/>
          </w:r>
          <w:r>
            <w:t>103</w:t>
          </w:r>
          <w:r>
            <w:fldChar w:fldCharType="end"/>
          </w:r>
          <w:r>
            <w:fldChar w:fldCharType="end"/>
          </w:r>
        </w:p>
        <w:p w14:paraId="1D02F8A6">
          <w:pPr>
            <w:pStyle w:val="10"/>
            <w:tabs>
              <w:tab w:val="right" w:leader="dot" w:pos="8306"/>
            </w:tabs>
          </w:pPr>
          <w:r>
            <w:fldChar w:fldCharType="begin"/>
          </w:r>
          <w:r>
            <w:instrText xml:space="preserve"> HYPERLINK \l _Toc8050 </w:instrText>
          </w:r>
          <w:r>
            <w:fldChar w:fldCharType="separate"/>
          </w:r>
          <w:r>
            <w:rPr>
              <w:rFonts w:hint="eastAsia"/>
            </w:rPr>
            <w:t>十、 引领教育</w:t>
          </w:r>
          <w:r>
            <w:tab/>
          </w:r>
          <w:r>
            <w:fldChar w:fldCharType="begin"/>
          </w:r>
          <w:r>
            <w:instrText xml:space="preserve"> PAGEREF _Toc8050 \h </w:instrText>
          </w:r>
          <w:r>
            <w:fldChar w:fldCharType="separate"/>
          </w:r>
          <w:r>
            <w:t>103</w:t>
          </w:r>
          <w:r>
            <w:fldChar w:fldCharType="end"/>
          </w:r>
          <w:r>
            <w:fldChar w:fldCharType="end"/>
          </w:r>
        </w:p>
        <w:p w14:paraId="35BDE7B9">
          <w:pPr>
            <w:pStyle w:val="11"/>
            <w:tabs>
              <w:tab w:val="right" w:leader="dot" w:pos="8306"/>
            </w:tabs>
          </w:pPr>
          <w:r>
            <w:fldChar w:fldCharType="begin"/>
          </w:r>
          <w:r>
            <w:instrText xml:space="preserve"> HYPERLINK \l _Toc12383 </w:instrText>
          </w:r>
          <w:r>
            <w:fldChar w:fldCharType="separate"/>
          </w:r>
          <w:r>
            <w:t xml:space="preserve">(一) </w:t>
          </w:r>
          <w:r>
            <w:rPr>
              <w:rFonts w:hint="eastAsia"/>
            </w:rPr>
            <w:t>产教融合</w:t>
          </w:r>
          <w:r>
            <w:tab/>
          </w:r>
          <w:r>
            <w:fldChar w:fldCharType="begin"/>
          </w:r>
          <w:r>
            <w:instrText xml:space="preserve"> PAGEREF _Toc12383 \h </w:instrText>
          </w:r>
          <w:r>
            <w:fldChar w:fldCharType="separate"/>
          </w:r>
          <w:r>
            <w:t>103</w:t>
          </w:r>
          <w:r>
            <w:fldChar w:fldCharType="end"/>
          </w:r>
          <w:r>
            <w:fldChar w:fldCharType="end"/>
          </w:r>
        </w:p>
        <w:p w14:paraId="5D4EFE4A">
          <w:pPr>
            <w:pStyle w:val="11"/>
            <w:tabs>
              <w:tab w:val="right" w:leader="dot" w:pos="8306"/>
            </w:tabs>
          </w:pPr>
          <w:r>
            <w:fldChar w:fldCharType="begin"/>
          </w:r>
          <w:r>
            <w:instrText xml:space="preserve"> HYPERLINK \l _Toc16698 </w:instrText>
          </w:r>
          <w:r>
            <w:fldChar w:fldCharType="separate"/>
          </w:r>
          <w:r>
            <w:t xml:space="preserve">(二) </w:t>
          </w:r>
          <w:r>
            <w:rPr>
              <w:rFonts w:hint="eastAsia"/>
            </w:rPr>
            <w:t>校企合作</w:t>
          </w:r>
          <w:r>
            <w:tab/>
          </w:r>
          <w:r>
            <w:fldChar w:fldCharType="begin"/>
          </w:r>
          <w:r>
            <w:instrText xml:space="preserve"> PAGEREF _Toc16698 \h </w:instrText>
          </w:r>
          <w:r>
            <w:fldChar w:fldCharType="separate"/>
          </w:r>
          <w:r>
            <w:t>105</w:t>
          </w:r>
          <w:r>
            <w:fldChar w:fldCharType="end"/>
          </w:r>
          <w:r>
            <w:fldChar w:fldCharType="end"/>
          </w:r>
        </w:p>
        <w:p w14:paraId="1EB7BB74">
          <w:pPr>
            <w:pStyle w:val="11"/>
            <w:tabs>
              <w:tab w:val="right" w:leader="dot" w:pos="8306"/>
            </w:tabs>
            <w:ind w:left="0" w:leftChars="0" w:firstLine="480" w:firstLineChars="200"/>
            <w:rPr>
              <w:rFonts w:hint="default" w:eastAsiaTheme="minorEastAsia"/>
              <w:lang w:val="en-US" w:eastAsia="zh-CN"/>
            </w:rPr>
          </w:pPr>
          <w:r>
            <w:rPr>
              <w:rFonts w:hint="eastAsia"/>
              <w:lang w:val="en-US" w:eastAsia="zh-CN"/>
            </w:rPr>
            <w:t>附件 团队荣誉</w:t>
          </w:r>
          <w:r>
            <w:fldChar w:fldCharType="begin"/>
          </w:r>
          <w:r>
            <w:instrText xml:space="preserve"> HYPERLINK \l _Toc3937 </w:instrText>
          </w:r>
          <w:r>
            <w:fldChar w:fldCharType="separate"/>
          </w:r>
          <w:r>
            <w:tab/>
          </w:r>
          <w:r>
            <w:rPr>
              <w:rFonts w:hint="eastAsia"/>
              <w:lang w:val="en-US" w:eastAsia="zh-CN"/>
            </w:rPr>
            <w:t>1</w:t>
          </w:r>
          <w:r>
            <w:fldChar w:fldCharType="end"/>
          </w:r>
          <w:r>
            <w:rPr>
              <w:rFonts w:hint="eastAsia"/>
              <w:lang w:val="en-US" w:eastAsia="zh-CN"/>
            </w:rPr>
            <w:t>06</w:t>
          </w:r>
        </w:p>
        <w:p w14:paraId="122E397E">
          <w:pPr>
            <w:pStyle w:val="11"/>
            <w:tabs>
              <w:tab w:val="right" w:leader="dot" w:pos="8306"/>
            </w:tabs>
            <w:rPr>
              <w:rFonts w:hint="default" w:eastAsiaTheme="minorEastAsia"/>
              <w:lang w:val="en-US" w:eastAsia="zh-CN"/>
            </w:rPr>
          </w:pPr>
          <w:r>
            <w:fldChar w:fldCharType="begin"/>
          </w:r>
          <w:r>
            <w:instrText xml:space="preserve"> HYPERLINK \l _Toc3937 </w:instrText>
          </w:r>
          <w:r>
            <w:fldChar w:fldCharType="separate"/>
          </w:r>
          <w:r>
            <w:rPr>
              <w:rFonts w:hint="eastAsia"/>
            </w:rPr>
            <w:t>论文1</w:t>
          </w:r>
          <w:r>
            <w:tab/>
          </w:r>
          <w:r>
            <w:rPr>
              <w:rFonts w:hint="eastAsia"/>
              <w:lang w:val="en-US" w:eastAsia="zh-CN"/>
            </w:rPr>
            <w:t>1</w:t>
          </w:r>
          <w:r>
            <w:fldChar w:fldCharType="end"/>
          </w:r>
          <w:r>
            <w:rPr>
              <w:rFonts w:hint="eastAsia"/>
              <w:lang w:val="en-US" w:eastAsia="zh-CN"/>
            </w:rPr>
            <w:t>06</w:t>
          </w:r>
        </w:p>
        <w:p w14:paraId="2EF5E5DC">
          <w:pPr>
            <w:pStyle w:val="11"/>
            <w:tabs>
              <w:tab w:val="right" w:leader="dot" w:pos="8306"/>
            </w:tabs>
            <w:rPr>
              <w:rFonts w:hint="default" w:eastAsiaTheme="minorEastAsia"/>
              <w:lang w:val="en-US" w:eastAsia="zh-CN"/>
            </w:rPr>
          </w:pPr>
          <w:r>
            <w:fldChar w:fldCharType="begin"/>
          </w:r>
          <w:r>
            <w:instrText xml:space="preserve"> HYPERLINK \l _Toc14276 </w:instrText>
          </w:r>
          <w:r>
            <w:fldChar w:fldCharType="separate"/>
          </w:r>
          <w:r>
            <w:rPr>
              <w:rFonts w:hint="eastAsia"/>
            </w:rPr>
            <w:t>论文2</w:t>
          </w:r>
          <w:r>
            <w:tab/>
          </w:r>
          <w:r>
            <w:rPr>
              <w:rFonts w:hint="eastAsia"/>
              <w:lang w:val="en-US" w:eastAsia="zh-CN"/>
            </w:rPr>
            <w:t>1</w:t>
          </w:r>
          <w:r>
            <w:fldChar w:fldCharType="end"/>
          </w:r>
          <w:r>
            <w:rPr>
              <w:rFonts w:hint="eastAsia"/>
              <w:lang w:val="en-US" w:eastAsia="zh-CN"/>
            </w:rPr>
            <w:t>06</w:t>
          </w:r>
        </w:p>
        <w:p w14:paraId="282EA6BC">
          <w:pPr>
            <w:pStyle w:val="11"/>
            <w:tabs>
              <w:tab w:val="right" w:leader="dot" w:pos="8306"/>
            </w:tabs>
          </w:pPr>
          <w:r>
            <w:fldChar w:fldCharType="begin"/>
          </w:r>
          <w:r>
            <w:instrText xml:space="preserve"> HYPERLINK \l _Toc14276 </w:instrText>
          </w:r>
          <w:r>
            <w:fldChar w:fldCharType="separate"/>
          </w:r>
          <w:r>
            <w:rPr>
              <w:rFonts w:hint="eastAsia"/>
            </w:rPr>
            <w:t>论文</w:t>
          </w:r>
          <w:r>
            <w:rPr>
              <w:rFonts w:hint="eastAsia"/>
              <w:lang w:val="en-US" w:eastAsia="zh-CN"/>
            </w:rPr>
            <w:t>3</w:t>
          </w:r>
          <w:r>
            <w:tab/>
          </w:r>
          <w:r>
            <w:rPr>
              <w:rFonts w:hint="eastAsia"/>
              <w:lang w:val="en-US" w:eastAsia="zh-CN"/>
            </w:rPr>
            <w:t>1</w:t>
          </w:r>
          <w:r>
            <w:fldChar w:fldCharType="end"/>
          </w:r>
          <w:r>
            <w:rPr>
              <w:rFonts w:hint="eastAsia"/>
              <w:lang w:val="en-US" w:eastAsia="zh-CN"/>
            </w:rPr>
            <w:t>06</w:t>
          </w:r>
        </w:p>
        <w:p w14:paraId="36D5B76F">
          <w:pPr>
            <w:pStyle w:val="11"/>
            <w:tabs>
              <w:tab w:val="right" w:leader="dot" w:pos="8306"/>
            </w:tabs>
            <w:rPr>
              <w:rFonts w:hint="default" w:eastAsiaTheme="minorEastAsia"/>
              <w:lang w:val="en-US" w:eastAsia="zh-CN"/>
            </w:rPr>
          </w:pPr>
          <w:r>
            <w:fldChar w:fldCharType="begin"/>
          </w:r>
          <w:r>
            <w:instrText xml:space="preserve"> HYPERLINK \l _Toc8881 </w:instrText>
          </w:r>
          <w:r>
            <w:fldChar w:fldCharType="separate"/>
          </w:r>
          <w:r>
            <w:rPr>
              <w:rFonts w:hint="eastAsia"/>
            </w:rPr>
            <w:t>论文4</w:t>
          </w:r>
          <w:r>
            <w:tab/>
          </w:r>
          <w:r>
            <w:fldChar w:fldCharType="end"/>
          </w:r>
          <w:r>
            <w:rPr>
              <w:rFonts w:hint="eastAsia"/>
              <w:lang w:val="en-US" w:eastAsia="zh-CN"/>
            </w:rPr>
            <w:t>107</w:t>
          </w:r>
        </w:p>
        <w:p w14:paraId="2CA50640">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rPr>
            <w:t>论文5</w:t>
          </w:r>
          <w:r>
            <w:tab/>
          </w:r>
          <w:r>
            <w:rPr>
              <w:rFonts w:hint="eastAsia"/>
              <w:lang w:val="en-US" w:eastAsia="zh-CN"/>
            </w:rPr>
            <w:t>1</w:t>
          </w:r>
          <w:r>
            <w:fldChar w:fldCharType="end"/>
          </w:r>
          <w:r>
            <w:rPr>
              <w:rFonts w:hint="eastAsia"/>
              <w:lang w:val="en-US" w:eastAsia="zh-CN"/>
            </w:rPr>
            <w:t>07</w:t>
          </w:r>
        </w:p>
        <w:p w14:paraId="303651AF">
          <w:pPr>
            <w:pStyle w:val="11"/>
            <w:tabs>
              <w:tab w:val="right" w:leader="dot" w:pos="8306"/>
            </w:tabs>
            <w:rPr>
              <w:rFonts w:hint="eastAsia" w:eastAsiaTheme="minorEastAsia"/>
              <w:lang w:val="en-US" w:eastAsia="zh-CN"/>
            </w:rPr>
          </w:pPr>
          <w:r>
            <w:fldChar w:fldCharType="begin"/>
          </w:r>
          <w:r>
            <w:instrText xml:space="preserve"> HYPERLINK \l _Toc17438 </w:instrText>
          </w:r>
          <w:r>
            <w:fldChar w:fldCharType="separate"/>
          </w:r>
          <w:r>
            <w:rPr>
              <w:rFonts w:hint="eastAsia"/>
            </w:rPr>
            <w:t>论文</w:t>
          </w:r>
          <w:r>
            <w:rPr>
              <w:rFonts w:hint="eastAsia"/>
              <w:lang w:val="en-US" w:eastAsia="zh-CN"/>
            </w:rPr>
            <w:t>6</w:t>
          </w:r>
          <w:r>
            <w:tab/>
          </w:r>
          <w:r>
            <w:rPr>
              <w:rFonts w:hint="eastAsia"/>
              <w:lang w:val="en-US" w:eastAsia="zh-CN"/>
            </w:rPr>
            <w:t>1</w:t>
          </w:r>
          <w:r>
            <w:fldChar w:fldCharType="end"/>
          </w:r>
          <w:r>
            <w:rPr>
              <w:rFonts w:hint="eastAsia"/>
              <w:lang w:val="en-US" w:eastAsia="zh-CN"/>
            </w:rPr>
            <w:t>08</w:t>
          </w:r>
        </w:p>
        <w:p w14:paraId="7602A6CD">
          <w:pPr>
            <w:pStyle w:val="11"/>
            <w:tabs>
              <w:tab w:val="right" w:leader="dot" w:pos="8306"/>
            </w:tabs>
            <w:rPr>
              <w:rFonts w:hint="eastAsia" w:eastAsiaTheme="minorEastAsia"/>
              <w:lang w:val="en-US" w:eastAsia="zh-CN"/>
            </w:rPr>
          </w:pPr>
          <w:r>
            <w:fldChar w:fldCharType="begin"/>
          </w:r>
          <w:r>
            <w:instrText xml:space="preserve"> HYPERLINK \l _Toc17438 </w:instrText>
          </w:r>
          <w:r>
            <w:fldChar w:fldCharType="separate"/>
          </w:r>
          <w:r>
            <w:rPr>
              <w:rFonts w:hint="eastAsia"/>
            </w:rPr>
            <w:t>论文</w:t>
          </w:r>
          <w:r>
            <w:rPr>
              <w:rFonts w:hint="eastAsia"/>
              <w:lang w:val="en-US" w:eastAsia="zh-CN"/>
            </w:rPr>
            <w:t>7</w:t>
          </w:r>
          <w:r>
            <w:tab/>
          </w:r>
          <w:r>
            <w:rPr>
              <w:rFonts w:hint="eastAsia"/>
              <w:lang w:val="en-US" w:eastAsia="zh-CN"/>
            </w:rPr>
            <w:t>1</w:t>
          </w:r>
          <w:r>
            <w:fldChar w:fldCharType="end"/>
          </w:r>
          <w:r>
            <w:rPr>
              <w:rFonts w:hint="eastAsia"/>
              <w:lang w:val="en-US" w:eastAsia="zh-CN"/>
            </w:rPr>
            <w:t>08</w:t>
          </w:r>
        </w:p>
        <w:p w14:paraId="6F4FF2D0">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rPr>
            <w:t>论文</w:t>
          </w:r>
          <w:r>
            <w:rPr>
              <w:rFonts w:hint="eastAsia"/>
              <w:lang w:val="en-US" w:eastAsia="zh-CN"/>
            </w:rPr>
            <w:t>8</w:t>
          </w:r>
          <w:r>
            <w:tab/>
          </w:r>
          <w:r>
            <w:rPr>
              <w:rFonts w:hint="eastAsia"/>
              <w:lang w:val="en-US" w:eastAsia="zh-CN"/>
            </w:rPr>
            <w:t>1</w:t>
          </w:r>
          <w:r>
            <w:fldChar w:fldCharType="end"/>
          </w:r>
          <w:r>
            <w:rPr>
              <w:rFonts w:hint="eastAsia"/>
              <w:lang w:val="en-US" w:eastAsia="zh-CN"/>
            </w:rPr>
            <w:t>09</w:t>
          </w:r>
        </w:p>
        <w:p w14:paraId="674995D3">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专利1</w:t>
          </w:r>
          <w:r>
            <w:tab/>
          </w:r>
          <w:r>
            <w:rPr>
              <w:rFonts w:hint="eastAsia"/>
              <w:lang w:val="en-US" w:eastAsia="zh-CN"/>
            </w:rPr>
            <w:t>1</w:t>
          </w:r>
          <w:r>
            <w:fldChar w:fldCharType="end"/>
          </w:r>
          <w:r>
            <w:rPr>
              <w:rFonts w:hint="eastAsia"/>
              <w:lang w:val="en-US" w:eastAsia="zh-CN"/>
            </w:rPr>
            <w:t>09</w:t>
          </w:r>
        </w:p>
        <w:p w14:paraId="6B0637C9">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专利2</w:t>
          </w:r>
          <w:r>
            <w:tab/>
          </w:r>
          <w:r>
            <w:rPr>
              <w:rFonts w:hint="eastAsia"/>
              <w:lang w:val="en-US" w:eastAsia="zh-CN"/>
            </w:rPr>
            <w:t>1</w:t>
          </w:r>
          <w:r>
            <w:fldChar w:fldCharType="end"/>
          </w:r>
          <w:r>
            <w:rPr>
              <w:rFonts w:hint="eastAsia"/>
              <w:lang w:val="en-US" w:eastAsia="zh-CN"/>
            </w:rPr>
            <w:t>09</w:t>
          </w:r>
        </w:p>
        <w:p w14:paraId="690BEB48">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专利3</w:t>
          </w:r>
          <w:r>
            <w:tab/>
          </w:r>
          <w:r>
            <w:rPr>
              <w:rFonts w:hint="eastAsia"/>
              <w:lang w:val="en-US" w:eastAsia="zh-CN"/>
            </w:rPr>
            <w:t>1</w:t>
          </w:r>
          <w:r>
            <w:fldChar w:fldCharType="end"/>
          </w:r>
          <w:r>
            <w:rPr>
              <w:rFonts w:hint="eastAsia"/>
              <w:lang w:val="en-US" w:eastAsia="zh-CN"/>
            </w:rPr>
            <w:t>10</w:t>
          </w:r>
        </w:p>
        <w:p w14:paraId="50D68975">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专利4</w:t>
          </w:r>
          <w:r>
            <w:tab/>
          </w:r>
          <w:r>
            <w:rPr>
              <w:rFonts w:hint="eastAsia"/>
              <w:lang w:val="en-US" w:eastAsia="zh-CN"/>
            </w:rPr>
            <w:t>1</w:t>
          </w:r>
          <w:r>
            <w:fldChar w:fldCharType="end"/>
          </w:r>
          <w:r>
            <w:rPr>
              <w:rFonts w:hint="eastAsia"/>
              <w:lang w:val="en-US" w:eastAsia="zh-CN"/>
            </w:rPr>
            <w:t>10</w:t>
          </w:r>
        </w:p>
        <w:p w14:paraId="6DA6AE98">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专利5</w:t>
          </w:r>
          <w:r>
            <w:tab/>
          </w:r>
          <w:r>
            <w:rPr>
              <w:rFonts w:hint="eastAsia"/>
              <w:lang w:val="en-US" w:eastAsia="zh-CN"/>
            </w:rPr>
            <w:t>1</w:t>
          </w:r>
          <w:r>
            <w:fldChar w:fldCharType="end"/>
          </w:r>
          <w:r>
            <w:rPr>
              <w:rFonts w:hint="eastAsia"/>
              <w:lang w:val="en-US" w:eastAsia="zh-CN"/>
            </w:rPr>
            <w:t>10</w:t>
          </w:r>
        </w:p>
        <w:p w14:paraId="1C3B4EDC">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专利6</w:t>
          </w:r>
          <w:r>
            <w:tab/>
          </w:r>
          <w:r>
            <w:rPr>
              <w:rFonts w:hint="eastAsia"/>
              <w:lang w:val="en-US" w:eastAsia="zh-CN"/>
            </w:rPr>
            <w:t>1</w:t>
          </w:r>
          <w:r>
            <w:fldChar w:fldCharType="end"/>
          </w:r>
          <w:r>
            <w:rPr>
              <w:rFonts w:hint="eastAsia"/>
              <w:lang w:val="en-US" w:eastAsia="zh-CN"/>
            </w:rPr>
            <w:t>10</w:t>
          </w:r>
        </w:p>
        <w:p w14:paraId="68D96495">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专利7</w:t>
          </w:r>
          <w:r>
            <w:tab/>
          </w:r>
          <w:r>
            <w:rPr>
              <w:rFonts w:hint="eastAsia"/>
              <w:lang w:val="en-US" w:eastAsia="zh-CN"/>
            </w:rPr>
            <w:t>1</w:t>
          </w:r>
          <w:r>
            <w:fldChar w:fldCharType="end"/>
          </w:r>
          <w:r>
            <w:rPr>
              <w:rFonts w:hint="eastAsia"/>
              <w:lang w:val="en-US" w:eastAsia="zh-CN"/>
            </w:rPr>
            <w:t>11</w:t>
          </w:r>
        </w:p>
        <w:p w14:paraId="5919F5A4">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报道1</w:t>
          </w:r>
          <w:r>
            <w:tab/>
          </w:r>
          <w:r>
            <w:rPr>
              <w:rFonts w:hint="eastAsia"/>
              <w:lang w:val="en-US" w:eastAsia="zh-CN"/>
            </w:rPr>
            <w:t>1</w:t>
          </w:r>
          <w:r>
            <w:fldChar w:fldCharType="end"/>
          </w:r>
          <w:r>
            <w:rPr>
              <w:rFonts w:hint="eastAsia"/>
              <w:lang w:val="en-US" w:eastAsia="zh-CN"/>
            </w:rPr>
            <w:t>12</w:t>
          </w:r>
        </w:p>
        <w:p w14:paraId="068517A0">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报道2</w:t>
          </w:r>
          <w:r>
            <w:tab/>
          </w:r>
          <w:r>
            <w:rPr>
              <w:rFonts w:hint="eastAsia"/>
              <w:lang w:val="en-US" w:eastAsia="zh-CN"/>
            </w:rPr>
            <w:t>1</w:t>
          </w:r>
          <w:r>
            <w:fldChar w:fldCharType="end"/>
          </w:r>
          <w:r>
            <w:rPr>
              <w:rFonts w:hint="eastAsia"/>
              <w:lang w:val="en-US" w:eastAsia="zh-CN"/>
            </w:rPr>
            <w:t>12</w:t>
          </w:r>
        </w:p>
        <w:p w14:paraId="4AA386AF">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报道3</w:t>
          </w:r>
          <w:r>
            <w:tab/>
          </w:r>
          <w:r>
            <w:rPr>
              <w:rFonts w:hint="eastAsia"/>
              <w:lang w:val="en-US" w:eastAsia="zh-CN"/>
            </w:rPr>
            <w:t>1</w:t>
          </w:r>
          <w:r>
            <w:fldChar w:fldCharType="end"/>
          </w:r>
          <w:r>
            <w:rPr>
              <w:rFonts w:hint="eastAsia"/>
              <w:lang w:val="en-US" w:eastAsia="zh-CN"/>
            </w:rPr>
            <w:t>13</w:t>
          </w:r>
        </w:p>
        <w:p w14:paraId="3CD2760F">
          <w:pPr>
            <w:pStyle w:val="11"/>
            <w:tabs>
              <w:tab w:val="right" w:leader="dot" w:pos="8306"/>
            </w:tabs>
            <w:rPr>
              <w:rFonts w:hint="default" w:eastAsiaTheme="minorEastAsia"/>
              <w:lang w:val="en-US" w:eastAsia="zh-CN"/>
            </w:rPr>
          </w:pPr>
          <w:r>
            <w:fldChar w:fldCharType="begin"/>
          </w:r>
          <w:r>
            <w:instrText xml:space="preserve"> HYPERLINK \l _Toc17438 </w:instrText>
          </w:r>
          <w:r>
            <w:fldChar w:fldCharType="separate"/>
          </w:r>
          <w:r>
            <w:rPr>
              <w:rFonts w:hint="eastAsia"/>
              <w:lang w:val="en-US" w:eastAsia="zh-CN"/>
            </w:rPr>
            <w:t>报道4</w:t>
          </w:r>
          <w:r>
            <w:tab/>
          </w:r>
          <w:r>
            <w:rPr>
              <w:rFonts w:hint="eastAsia"/>
              <w:lang w:val="en-US" w:eastAsia="zh-CN"/>
            </w:rPr>
            <w:t>1</w:t>
          </w:r>
          <w:r>
            <w:fldChar w:fldCharType="end"/>
          </w:r>
          <w:r>
            <w:rPr>
              <w:rFonts w:hint="eastAsia"/>
              <w:lang w:val="en-US" w:eastAsia="zh-CN"/>
            </w:rPr>
            <w:t>13</w:t>
          </w:r>
        </w:p>
        <w:p w14:paraId="3487F60B">
          <w:pPr>
            <w:pStyle w:val="11"/>
            <w:tabs>
              <w:tab w:val="right" w:leader="dot" w:pos="8306"/>
            </w:tabs>
          </w:pPr>
        </w:p>
        <w:p w14:paraId="09BD2038">
          <w:pPr>
            <w:pStyle w:val="2"/>
            <w:numPr>
              <w:ilvl w:val="0"/>
              <w:numId w:val="0"/>
            </w:numPr>
            <w:spacing w:line="360" w:lineRule="auto"/>
            <w:ind w:leftChars="0"/>
            <w:sectPr>
              <w:footerReference r:id="rId6" w:type="default"/>
              <w:pgSz w:w="11906" w:h="16838"/>
              <w:pgMar w:top="1440" w:right="1800" w:bottom="1440" w:left="1800" w:header="851" w:footer="992" w:gutter="0"/>
              <w:cols w:space="425" w:num="1"/>
              <w:docGrid w:type="lines" w:linePitch="312" w:charSpace="0"/>
            </w:sectPr>
          </w:pPr>
          <w:r>
            <w:fldChar w:fldCharType="end"/>
          </w:r>
        </w:p>
      </w:sdtContent>
    </w:sdt>
    <w:p w14:paraId="29A24151">
      <w:pPr>
        <w:pStyle w:val="2"/>
        <w:spacing w:line="360" w:lineRule="auto"/>
      </w:pPr>
      <w:bookmarkStart w:id="0" w:name="_Toc8117"/>
      <w:r>
        <w:rPr>
          <w:rFonts w:hint="eastAsia"/>
        </w:rPr>
        <w:t>项目摘要</w:t>
      </w:r>
      <w:bookmarkEnd w:id="0"/>
    </w:p>
    <w:p w14:paraId="50B08A14">
      <w:pPr>
        <w:spacing w:line="360" w:lineRule="auto"/>
        <w:ind w:firstLine="480"/>
      </w:pPr>
      <w:r>
        <w:rPr>
          <w:rFonts w:hint="eastAsia"/>
        </w:rPr>
        <w:t>在当今数字经济飞速发展的时代，数据已成为至关重要的生产要素。然而，数据流通与共享面临着诸多挑战，如数据权属界定模糊、隐私泄露风险高以及流通互信不足等问题，严重制约了数据要素价值的充分释放。在此背景下，贵州数据宝科技有限公司作为国有数据资产代运营服务商，凭借其在数据要素可信流通领域的深厚行业底蕴和实践经验，紧密围绕数据要素流通，致力于构建一套数据可信治理机制与开发相应平台，以推动数据的合规高效流通。</w:t>
      </w:r>
    </w:p>
    <w:p w14:paraId="1FAE1050">
      <w:pPr>
        <w:spacing w:line="360" w:lineRule="auto"/>
        <w:ind w:firstLine="480"/>
      </w:pPr>
      <w:r>
        <w:rPr>
          <w:rFonts w:hint="eastAsia"/>
        </w:rPr>
        <w:t>在机制设计层面，本项目聚焦于数据流通的全生命周期，提出了一个可信治理框架，该框架涵盖了数据确权、隐私计算（包括联邦学习、多方安全计算等技术手段）、安全评估、动态授权以及审计追踪等关键机制。通过这些机制的协同作用，旨在确保数据在流通过程中的合规性与可追溯性，为数据要素的市场化配置奠定坚实基础。基于上述治理机制，项目设计并实现了一个轻量化的数据可信治理平台原型。该平台具备数据资产登记功能，能够对数据资产进行有效管理与记录；同时引入智能合约管理，提升数据交易的自动化与可信度；还集成了隐私计算引擎，为数据处理提供安全保障；并且设有风险监控功能，实时监测数据流通中的潜在风险，以支持跨域数据流通场景，满足不同领域的数据共享与交易需求。</w:t>
      </w:r>
    </w:p>
    <w:p w14:paraId="73B487E1">
      <w:pPr>
        <w:spacing w:line="360" w:lineRule="auto"/>
        <w:ind w:firstLine="480"/>
      </w:pPr>
      <w:r>
        <w:rPr>
          <w:rFonts w:hint="eastAsia"/>
        </w:rPr>
        <w:t>在场景验证环节，项目团队选取了实际应用案例，如金融、医疗、政务等行业场景，对所提出的机制与平台进行验证。通过与传统流通模式的对比实验，量化评估新方案在安全性、效率及经济价值等方面的优势，从而证明其在数据共享、交易等场景中的可行性与效能，并为方案的商业化落地提供有价值的建议。总体而言，本项目在满足创新性、可行性及可推广性要求的基础上，力求为数字经济发展提供有力的技术支撑，促进数据要素在数字经济时代的价值挖掘与高效利用。</w:t>
      </w:r>
    </w:p>
    <w:p w14:paraId="6FCDB321">
      <w:pPr>
        <w:pStyle w:val="3"/>
        <w:spacing w:line="360" w:lineRule="auto"/>
      </w:pPr>
      <w:bookmarkStart w:id="1" w:name="_Toc7956"/>
      <w:r>
        <w:rPr>
          <w:rFonts w:hint="eastAsia"/>
        </w:rPr>
        <w:t>项目概述</w:t>
      </w:r>
      <w:bookmarkEnd w:id="1"/>
    </w:p>
    <w:p w14:paraId="415DE483">
      <w:pPr>
        <w:spacing w:line="360" w:lineRule="auto"/>
        <w:ind w:firstLine="480"/>
      </w:pPr>
      <w:r>
        <w:rPr>
          <w:rFonts w:hint="eastAsia"/>
        </w:rPr>
        <w:t>在数字经济蓬勃发展的当下，数据作为关键生产要素，其流通与共享对于释放数据价值、推动各行业创新升级具有至关重要的作用。然而，数据权属不明确、隐私泄露风险以及流通互信不足等问题，严重阻碍了数据要素的高效流通与广泛应用。在此背景下，本项目聚焦于图数据要素流通，致力于构建一套完善的可信治理机制，并开发相应的平台，以促进数据要素的合规、高效流通，为数字经济发展提供有力支撑。</w:t>
      </w:r>
    </w:p>
    <w:p w14:paraId="4A14423E">
      <w:pPr>
        <w:spacing w:line="360" w:lineRule="auto"/>
        <w:ind w:firstLine="480"/>
      </w:pPr>
      <w:r>
        <w:rPr>
          <w:rFonts w:hint="eastAsia"/>
        </w:rPr>
        <w:t>1）项目背景与目标</w:t>
      </w:r>
    </w:p>
    <w:p w14:paraId="063E1766">
      <w:pPr>
        <w:spacing w:line="360" w:lineRule="auto"/>
        <w:ind w:firstLine="480"/>
      </w:pPr>
      <w:r>
        <w:rPr>
          <w:rFonts w:hint="eastAsia"/>
        </w:rPr>
        <w:t>随着大数据、人工智能等技术的飞速发展，数据要素在经济活动中的地位日益凸显。图数据作为一种能够有效表示复杂关系和结构化信息的数据形式，在众多领域如金融风控、社交网络分析、供应链管理等展现出巨大的应用潜力。但与此同时，图数据的流通面临着独特的挑战，例如图数据结构的复杂性增加了数据确权和隐私保护的难度，数据在跨域流通时的互操作性和安全性问题亟待解决等。本项目旨在针对图数据要素流通的痛点，设计并实现一套可信治理机制与平台，确保图数据在流通过程中的合法性、安全性和可追溯性，充分挖掘图数据要素的价值，推动其在数字经济中的广泛应用。</w:t>
      </w:r>
    </w:p>
    <w:p w14:paraId="1714537D">
      <w:pPr>
        <w:spacing w:line="360" w:lineRule="auto"/>
        <w:ind w:firstLine="480"/>
      </w:pPr>
      <w:r>
        <w:rPr>
          <w:rFonts w:hint="eastAsia"/>
        </w:rPr>
        <w:t>2）可信治理机制设计</w:t>
      </w:r>
    </w:p>
    <w:p w14:paraId="01D39511">
      <w:pPr>
        <w:spacing w:line="360" w:lineRule="auto"/>
        <w:ind w:firstLine="480"/>
      </w:pPr>
      <w:r>
        <w:rPr>
          <w:rFonts w:hint="eastAsia"/>
        </w:rPr>
        <w:t>数据确权机制。针对图数据的复杂结构和多源特性，建立基于多维属性和关系的数据确权模型。通过分析图数据中节点和边的语义信息、来源信息以及数据主体的贡献度等多维度因素，精准界定数据的所有权、使用权和收益权等权属关系，为后续的数据流通和交易提供清晰的权属依据。</w:t>
      </w:r>
    </w:p>
    <w:p w14:paraId="2D0A5890">
      <w:pPr>
        <w:spacing w:line="360" w:lineRule="auto"/>
        <w:ind w:firstLine="480"/>
      </w:pPr>
      <w:r>
        <w:rPr>
          <w:rFonts w:hint="eastAsia"/>
        </w:rPr>
        <w:t>引入区块链技术作为数据确权的分布式账本，利用其不可篡改、可追溯的特性，记录图数据的权属信息、生成过程和流通历史，确保数据确权结果的可信性和透明性，增强数据主体对数据流通的信任度。</w:t>
      </w:r>
    </w:p>
    <w:p w14:paraId="00F44650">
      <w:pPr>
        <w:spacing w:line="360" w:lineRule="auto"/>
        <w:ind w:firstLine="480"/>
      </w:pPr>
      <w:r>
        <w:rPr>
          <w:rFonts w:hint="eastAsia"/>
        </w:rPr>
        <w:t>隐私计算机制。结合图神经网络等前沿技术，在图数据的隐私保护方面，采用差分隐私、同态加密等隐私计算技术对图数据进行加密处理。在数据流通和共享过程中，确保图数据的隐私信息不被泄露，同时又能保证数据的可用性，使参与方能够在不暴露敏感信息的前提下进行数据分析和挖掘。针对图数据的关联性和复杂依赖关系，设计专门的隐私保护算法，防止通过图数据的结构和关系推断出个体敏感信息，有效降低隐私泄露风险，满足不同场景下对数据隐私的严格要求。</w:t>
      </w:r>
    </w:p>
    <w:p w14:paraId="363A25CF">
      <w:pPr>
        <w:spacing w:line="360" w:lineRule="auto"/>
        <w:ind w:firstLine="480"/>
      </w:pPr>
      <w:r>
        <w:rPr>
          <w:rFonts w:hint="eastAsia"/>
        </w:rPr>
        <w:t>安全评估机制。建立一套涵盖数据完整性、可用性、保密性以及数据流通过程中的安全风险评估指标体系。从图数据的存储、传输、处理等多个环节进行全面的安全评估，及时发现潜在的安全威胁和漏洞。运用形式化验证方法和安全分析工具，对可信治理机制和平台的安全性进行量化评估和验证，确保机制和平台能够有效抵御各类安全攻击，为图数据要素流通提供坚实的安全保障。</w:t>
      </w:r>
    </w:p>
    <w:p w14:paraId="6FC93942">
      <w:pPr>
        <w:spacing w:line="360" w:lineRule="auto"/>
        <w:ind w:firstLine="480"/>
      </w:pPr>
      <w:r>
        <w:rPr>
          <w:rFonts w:hint="eastAsia"/>
        </w:rPr>
        <w:t>动态授权与审计追踪机制。设计基于角色和属性的动态授权模型，根据不同用户的角色、权限以及数据访问请求的上下文信息，对图数据的访问进行精细化的动态授权管理。确保用户只能访问其被授权的数据部分，且授权范围和有效期可根据实际情况动态调整，最大限度地减少数据暴露风险。构建全面的审计追踪系统，对图数据的访问、修改、流通等操作进行实时记录和监控，生成详细的审计日志。通过对审计日志的分析，能够追溯数据流通的全过程，及时发现和处理异常操作，为数据的安全合规流通提供有力的监管手段。</w:t>
      </w:r>
    </w:p>
    <w:p w14:paraId="15A69416">
      <w:pPr>
        <w:spacing w:line="360" w:lineRule="auto"/>
        <w:ind w:firstLine="480"/>
      </w:pPr>
      <w:r>
        <w:rPr>
          <w:rFonts w:hint="eastAsia"/>
        </w:rPr>
        <w:t>3）平台开发</w:t>
      </w:r>
    </w:p>
    <w:p w14:paraId="328BD441">
      <w:pPr>
        <w:spacing w:line="360" w:lineRule="auto"/>
        <w:ind w:firstLine="480"/>
      </w:pPr>
      <w:r>
        <w:rPr>
          <w:rFonts w:hint="eastAsia"/>
        </w:rPr>
        <w:t>基于上述可信治理机制，开发了一个面向图数据要素流通的轻量化可信治理平台原型。平台主要具备以下功能模块：</w:t>
      </w:r>
    </w:p>
    <w:p w14:paraId="395A874C">
      <w:pPr>
        <w:spacing w:line="360" w:lineRule="auto"/>
        <w:ind w:firstLine="480"/>
      </w:pPr>
      <w:r>
        <w:rPr>
          <w:rFonts w:hint="eastAsia"/>
        </w:rPr>
        <w:t>图数据资产登记模块。提供友好的界面，方便数据拥有者对图数据资产进行登记和管理。数据登记信息包括图数据的结构描述、数据来源、权属信息、应用场景等，为后续的数据治理和流通提供基础数据支撑。支持对不同类型、不同规模的图数据进行批量导入和登记，实现图数据资产的规范化管理，提高数据登记的效率和准确性。</w:t>
      </w:r>
    </w:p>
    <w:p w14:paraId="61054599">
      <w:pPr>
        <w:spacing w:line="360" w:lineRule="auto"/>
        <w:ind w:firstLine="480"/>
      </w:pPr>
      <w:r>
        <w:rPr>
          <w:rFonts w:hint="eastAsia"/>
        </w:rPr>
        <w:t>隐私计算引擎模块。集成多种前沿的隐私计算技术，如零知识证明、联邦学习、多方安全计算、同态加密等，为图数据的计算和分析提供强大的隐私保护能力。用户可以在不泄露本地图数据的前提下，与其他参与方进行联合计算，实现数据的共享和价值挖掘。优化隐私计算引擎的性能，通过算法改进和硬件加速等手段，降低隐私计算的开销，提高图数据处理的效率，确保平台能够满足大规模图数据要素流通的性能要求。</w:t>
      </w:r>
    </w:p>
    <w:p w14:paraId="224BFA5E">
      <w:pPr>
        <w:spacing w:line="360" w:lineRule="auto"/>
        <w:ind w:firstLine="480"/>
      </w:pPr>
      <w:r>
        <w:rPr>
          <w:rFonts w:hint="eastAsia"/>
        </w:rPr>
        <w:t>风险监控与预警模块。实时监测图数据要素流通过程中的各类风险指标，如数据泄露风险、恶意攻击行为、数据质量异常等。通过建立风险模型和预警规则，对潜在的风险进行及时预警和报警，使平台管理员和数据参与者能够迅速采取相应的措施进行风险处置。</w:t>
      </w:r>
    </w:p>
    <w:p w14:paraId="57D09E52">
      <w:pPr>
        <w:spacing w:line="360" w:lineRule="auto"/>
        <w:ind w:firstLine="480"/>
      </w:pPr>
      <w:r>
        <w:rPr>
          <w:rFonts w:hint="eastAsia"/>
        </w:rPr>
        <w:t>对风险事件进行分类和分析，生成风险报告，为平台的安全策略调整和优化提供数据支持，不断提升平台的风险防控能力，保障图数据要素流通的安全稳定运行。</w:t>
      </w:r>
    </w:p>
    <w:p w14:paraId="79569623">
      <w:pPr>
        <w:spacing w:line="360" w:lineRule="auto"/>
        <w:ind w:firstLine="480"/>
      </w:pPr>
      <w:r>
        <w:rPr>
          <w:rFonts w:hint="eastAsia"/>
        </w:rPr>
        <w:t>4）创新性与优势</w:t>
      </w:r>
    </w:p>
    <w:p w14:paraId="09CAC191">
      <w:pPr>
        <w:spacing w:line="360" w:lineRule="auto"/>
        <w:ind w:firstLine="480"/>
      </w:pPr>
      <w:r>
        <w:rPr>
          <w:rFonts w:hint="eastAsia"/>
        </w:rPr>
        <w:t>技术创新性。本项目在可信治理机制中融合了区块链、隐私计算、图神经网络等多种前沿技术，针对图数据要素流通的特点和需求进行了创新性的应用和优化。例如，将区块链与隐私计算相结合，实现了图数据确权和隐私保护的深度融合；利用图神经网络技术改进隐私保护算法，有效解决了图数据隐私保护难题，体现了较强的技术创新能力。</w:t>
      </w:r>
    </w:p>
    <w:p w14:paraId="42708D1A">
      <w:pPr>
        <w:spacing w:line="360" w:lineRule="auto"/>
        <w:ind w:firstLine="480"/>
      </w:pPr>
      <w:r>
        <w:rPr>
          <w:rFonts w:hint="eastAsia"/>
        </w:rPr>
        <w:t>平台采用了轻量化的设计理念，在保证功能完备性和安全性的前提下，降低了系统资源消耗和运营成本，提高了平台的可扩展性和易用性，使其更易于在不同规模和场景下进行部署和应用。</w:t>
      </w:r>
    </w:p>
    <w:p w14:paraId="72E1E579">
      <w:pPr>
        <w:spacing w:line="360" w:lineRule="auto"/>
        <w:ind w:firstLine="480"/>
      </w:pPr>
      <w:r>
        <w:rPr>
          <w:rFonts w:hint="eastAsia"/>
        </w:rPr>
        <w:t>符合法规与可推广性。项目的设计严格遵循国家相关法律法规，如《数据安全法》《个人信息保护法》等，确保可信治理机制和平台在法律框架内合规运行。这不仅保障了数据主体的合法权益，也为项目的广泛应用提供了法律保障，增强了项目在市场中的竞争力和可信度。所构建的可信治理机制和平台具有较强的通用性和可移植性，能够适应不同行业和领域的图数据要素流通需求。通过对平台参数和配置的简单调整，即可快速应用于金融、医疗、政务、工业等众多行业场景，为推动数据要素市场的整体发展提供了有力的技术支持和示范效应。</w:t>
      </w:r>
    </w:p>
    <w:p w14:paraId="5F2D5AA7">
      <w:pPr>
        <w:spacing w:line="360" w:lineRule="auto"/>
        <w:ind w:firstLine="480"/>
      </w:pPr>
      <w:r>
        <w:rPr>
          <w:rFonts w:hint="eastAsia"/>
        </w:rPr>
        <w:tab/>
      </w:r>
      <w:r>
        <w:rPr>
          <w:rFonts w:hint="eastAsia"/>
        </w:rPr>
        <w:t>“数智行安”项目概述（借助可视化的平台界面描述）</w:t>
      </w:r>
    </w:p>
    <w:p w14:paraId="69FB90B5">
      <w:pPr>
        <w:pStyle w:val="3"/>
        <w:spacing w:line="360" w:lineRule="auto"/>
      </w:pPr>
      <w:bookmarkStart w:id="2" w:name="_Toc6498"/>
      <w:r>
        <w:rPr>
          <w:rFonts w:hint="eastAsia"/>
        </w:rPr>
        <w:t>市场机遇与前景</w:t>
      </w:r>
      <w:bookmarkEnd w:id="2"/>
    </w:p>
    <w:p w14:paraId="72EB5A00">
      <w:pPr>
        <w:spacing w:line="360" w:lineRule="auto"/>
        <w:ind w:firstLine="480"/>
      </w:pPr>
      <w:r>
        <w:rPr>
          <w:rFonts w:hint="eastAsia"/>
        </w:rPr>
        <w:t>数据可信治理与智能流通平台作为数字经济时代的核心之一，正在全球范围内迎来爆发式增长机遇。</w:t>
      </w:r>
    </w:p>
    <w:p w14:paraId="49E8A191">
      <w:pPr>
        <w:pStyle w:val="4"/>
        <w:spacing w:line="360" w:lineRule="auto"/>
      </w:pPr>
      <w:r>
        <w:rPr>
          <w:rFonts w:hint="eastAsia"/>
        </w:rPr>
        <w:t>市场驱动</w:t>
      </w:r>
    </w:p>
    <w:p w14:paraId="7C8B2358">
      <w:pPr>
        <w:spacing w:line="360" w:lineRule="auto"/>
        <w:ind w:firstLine="480"/>
      </w:pPr>
      <w:r>
        <w:rPr>
          <w:rFonts w:hint="eastAsia"/>
        </w:rPr>
        <w:t>当前，全球政策法规环境正强力催化数据可信治理与智能流通平台的发展。在数据主权立法方面，欧盟GDPR、中国《数据二十条》和美国CLOUD法案等法规的推进，正在重塑全球数据治理格局。中国更将数据要素市场化配置上升为国家战略，出台了《关于完善数据流通安全治理更好促进数据要素市场化价值化的实施方案》《可信数据空间发展行动计划（2024—2028年）》。从政策引导、基础设施建设等多方面为市场发展保驾护航，为数据可信治理与智能流通平台的发展提供了良好的政策环境。同时，金融、医疗和跨境等关键行业的数据合规要求持续趋严，为专业化的数据治理解决方案创造了刚性需求。</w:t>
      </w:r>
    </w:p>
    <w:p w14:paraId="00D7E7D9">
      <w:pPr>
        <w:spacing w:line="360" w:lineRule="auto"/>
        <w:ind w:firstLine="480"/>
      </w:pPr>
      <w:r>
        <w:rPr>
          <w:rFonts w:hint="eastAsia"/>
        </w:rPr>
        <w:t>技术突破为数据流通提供了关键支撑。可信执行环境、密态计算、区块链等技术的进步和普及极大地提升了数据的安全性和流通效率。有效解决了数据流通中的隐私保护和信任问题，降低了数据流通风险，推动市场从“合规优先”转向“价值优先”，为数据可信治理与智能流通平台的发展提供了技术支撑。</w:t>
      </w:r>
    </w:p>
    <w:p w14:paraId="75E6337D">
      <w:pPr>
        <w:spacing w:line="360" w:lineRule="auto"/>
        <w:ind w:firstLine="480"/>
      </w:pPr>
      <w:r>
        <w:rPr>
          <w:rFonts w:hint="eastAsia"/>
        </w:rPr>
        <w:t>从经济价值维度看，数据要素市场正在爆发式增长。随着数字经济的发展，各行业对数据应用的积极探索不断催生新的商业模式和服务形态，对数据可信治理与智能流通平台的需求持续增长。据最新研究显示，全球数据流通市场规模将以28.3%的年复合增长率持续扩张，预计2027年突破5000亿美元大关。企业端的数据资产化意识明显增强，财富500强企业中已有83%设立了首席数据官（CDO）职位。数据交易模式也发生本质变革，正从传统的原始数据交易，逐步转向数据模型、知识图谱等更高阶的价值流通形态，这种转变正在重构整个数据产业链的价值分配格局。</w:t>
      </w:r>
    </w:p>
    <w:p w14:paraId="1B524371">
      <w:pPr>
        <w:spacing w:line="360" w:lineRule="auto"/>
        <w:ind w:firstLine="480"/>
      </w:pPr>
      <w:r>
        <w:rPr>
          <w:rFonts w:hint="eastAsia"/>
        </w:rPr>
        <w:t>跨行业融合：数据要素可信流通打破了行业之间的界限，促进不同产业之间的数据融合和业务协同，推动产业融合发展，形成更广泛的产业生态。这为数据可信治理与智能流通平台在不同行业的应用提供了更多的机会，如数字技术与农业、制造业、服务业等的深度融合，产生了数字农业、工业互联网、智慧物流等融合型产业。</w:t>
      </w:r>
    </w:p>
    <w:p w14:paraId="3DF1FCD3">
      <w:pPr>
        <w:pStyle w:val="4"/>
        <w:spacing w:line="360" w:lineRule="auto"/>
      </w:pPr>
      <w:r>
        <w:rPr>
          <w:rFonts w:hint="eastAsia"/>
        </w:rPr>
        <w:t>市场前景</w:t>
      </w:r>
    </w:p>
    <w:p w14:paraId="077CFC07">
      <w:pPr>
        <w:spacing w:line="360" w:lineRule="auto"/>
        <w:ind w:firstLine="480"/>
      </w:pPr>
      <w:r>
        <w:rPr>
          <w:rFonts w:hint="eastAsia"/>
        </w:rPr>
        <w:t>目前，数据可信治理与智能流通平台的高价值应用场景如下：</w:t>
      </w:r>
    </w:p>
    <w:tbl>
      <w:tblPr>
        <w:tblStyle w:val="14"/>
        <w:tblW w:w="47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917"/>
        <w:gridCol w:w="2917"/>
      </w:tblGrid>
      <w:tr w14:paraId="3BF4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7" w:hRule="atLeast"/>
          <w:jc w:val="center"/>
        </w:trPr>
        <w:tc>
          <w:tcPr>
            <w:tcW w:w="1414" w:type="pct"/>
            <w:tcBorders>
              <w:top w:val="single" w:color="auto" w:sz="4" w:space="0"/>
              <w:left w:val="single" w:color="auto" w:sz="4" w:space="0"/>
              <w:bottom w:val="single" w:color="auto" w:sz="4" w:space="0"/>
              <w:right w:val="single" w:color="auto" w:sz="4" w:space="0"/>
            </w:tcBorders>
            <w:shd w:val="clear" w:color="auto" w:fill="DAE3F4" w:themeFill="accent1" w:themeFillTint="33"/>
            <w:vAlign w:val="center"/>
          </w:tcPr>
          <w:p w14:paraId="60DD560F">
            <w:pPr>
              <w:spacing w:line="360" w:lineRule="auto"/>
              <w:ind w:firstLine="420"/>
              <w:jc w:val="center"/>
              <w:rPr>
                <w:sz w:val="21"/>
                <w:szCs w:val="21"/>
              </w:rPr>
            </w:pPr>
            <w:r>
              <w:rPr>
                <w:rFonts w:hint="eastAsia"/>
                <w:sz w:val="21"/>
                <w:szCs w:val="21"/>
              </w:rPr>
              <w:t>行业领域</w:t>
            </w:r>
          </w:p>
        </w:tc>
        <w:tc>
          <w:tcPr>
            <w:tcW w:w="1793" w:type="pct"/>
            <w:tcBorders>
              <w:top w:val="single" w:color="auto" w:sz="4" w:space="0"/>
              <w:left w:val="nil"/>
              <w:bottom w:val="single" w:color="auto" w:sz="4" w:space="0"/>
              <w:right w:val="single" w:color="auto" w:sz="4" w:space="0"/>
            </w:tcBorders>
            <w:shd w:val="clear" w:color="auto" w:fill="DAE3F4" w:themeFill="accent1" w:themeFillTint="33"/>
            <w:vAlign w:val="center"/>
          </w:tcPr>
          <w:p w14:paraId="263B5C29">
            <w:pPr>
              <w:spacing w:line="360" w:lineRule="auto"/>
              <w:ind w:firstLine="420"/>
              <w:jc w:val="center"/>
              <w:rPr>
                <w:sz w:val="21"/>
                <w:szCs w:val="21"/>
              </w:rPr>
            </w:pPr>
            <w:r>
              <w:rPr>
                <w:rFonts w:hint="eastAsia"/>
                <w:sz w:val="21"/>
                <w:szCs w:val="21"/>
              </w:rPr>
              <w:t>行业领域</w:t>
            </w:r>
          </w:p>
        </w:tc>
        <w:tc>
          <w:tcPr>
            <w:tcW w:w="1793" w:type="pct"/>
            <w:tcBorders>
              <w:top w:val="single" w:color="auto" w:sz="4" w:space="0"/>
              <w:left w:val="nil"/>
              <w:bottom w:val="single" w:color="auto" w:sz="4" w:space="0"/>
              <w:right w:val="single" w:color="auto" w:sz="4" w:space="0"/>
            </w:tcBorders>
            <w:shd w:val="clear" w:color="auto" w:fill="DAE3F4" w:themeFill="accent1" w:themeFillTint="33"/>
            <w:vAlign w:val="center"/>
          </w:tcPr>
          <w:p w14:paraId="4E4B5B26">
            <w:pPr>
              <w:spacing w:line="360" w:lineRule="auto"/>
              <w:ind w:firstLine="420"/>
              <w:jc w:val="center"/>
              <w:rPr>
                <w:sz w:val="21"/>
                <w:szCs w:val="21"/>
              </w:rPr>
            </w:pPr>
            <w:r>
              <w:rPr>
                <w:rFonts w:hint="eastAsia"/>
                <w:sz w:val="21"/>
                <w:szCs w:val="21"/>
              </w:rPr>
              <w:t>行业领域</w:t>
            </w:r>
          </w:p>
        </w:tc>
      </w:tr>
      <w:tr w14:paraId="3041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414" w:type="pct"/>
            <w:tcBorders>
              <w:top w:val="single" w:color="auto" w:sz="4" w:space="0"/>
              <w:left w:val="single" w:color="auto" w:sz="4" w:space="0"/>
              <w:bottom w:val="single" w:color="auto" w:sz="4" w:space="0"/>
              <w:right w:val="single" w:color="auto" w:sz="4" w:space="0"/>
            </w:tcBorders>
            <w:vAlign w:val="center"/>
          </w:tcPr>
          <w:p w14:paraId="31E61D3A">
            <w:pPr>
              <w:spacing w:line="360" w:lineRule="auto"/>
              <w:ind w:firstLine="420"/>
              <w:jc w:val="center"/>
              <w:rPr>
                <w:sz w:val="21"/>
                <w:szCs w:val="21"/>
              </w:rPr>
            </w:pPr>
            <w:r>
              <w:rPr>
                <w:rFonts w:hint="eastAsia"/>
                <w:sz w:val="21"/>
                <w:szCs w:val="21"/>
              </w:rPr>
              <w:t>典型应用</w:t>
            </w:r>
          </w:p>
        </w:tc>
        <w:tc>
          <w:tcPr>
            <w:tcW w:w="1793" w:type="pct"/>
            <w:tcBorders>
              <w:top w:val="single" w:color="auto" w:sz="4" w:space="0"/>
              <w:left w:val="nil"/>
              <w:bottom w:val="single" w:color="auto" w:sz="4" w:space="0"/>
              <w:right w:val="single" w:color="auto" w:sz="4" w:space="0"/>
            </w:tcBorders>
            <w:vAlign w:val="center"/>
          </w:tcPr>
          <w:p w14:paraId="63FC0718">
            <w:pPr>
              <w:spacing w:line="360" w:lineRule="auto"/>
              <w:ind w:firstLine="420"/>
              <w:jc w:val="center"/>
              <w:rPr>
                <w:sz w:val="21"/>
                <w:szCs w:val="21"/>
              </w:rPr>
            </w:pPr>
            <w:r>
              <w:rPr>
                <w:rFonts w:hint="eastAsia"/>
                <w:sz w:val="21"/>
                <w:szCs w:val="21"/>
              </w:rPr>
              <w:t>典型应用</w:t>
            </w:r>
          </w:p>
        </w:tc>
        <w:tc>
          <w:tcPr>
            <w:tcW w:w="1793" w:type="pct"/>
            <w:tcBorders>
              <w:top w:val="single" w:color="auto" w:sz="4" w:space="0"/>
              <w:left w:val="nil"/>
              <w:bottom w:val="single" w:color="auto" w:sz="4" w:space="0"/>
              <w:right w:val="single" w:color="auto" w:sz="4" w:space="0"/>
            </w:tcBorders>
            <w:vAlign w:val="center"/>
          </w:tcPr>
          <w:p w14:paraId="56A9196E">
            <w:pPr>
              <w:spacing w:line="360" w:lineRule="auto"/>
              <w:ind w:firstLine="420"/>
              <w:jc w:val="center"/>
              <w:rPr>
                <w:sz w:val="21"/>
                <w:szCs w:val="21"/>
              </w:rPr>
            </w:pPr>
            <w:r>
              <w:rPr>
                <w:rFonts w:hint="eastAsia"/>
                <w:sz w:val="21"/>
                <w:szCs w:val="21"/>
              </w:rPr>
              <w:t>典型应用</w:t>
            </w:r>
          </w:p>
        </w:tc>
      </w:tr>
      <w:tr w14:paraId="0CC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414" w:type="pct"/>
            <w:tcBorders>
              <w:top w:val="single" w:color="auto" w:sz="4" w:space="0"/>
              <w:left w:val="single" w:color="auto" w:sz="4" w:space="0"/>
              <w:bottom w:val="single" w:color="auto" w:sz="4" w:space="0"/>
              <w:right w:val="single" w:color="auto" w:sz="4" w:space="0"/>
            </w:tcBorders>
            <w:vAlign w:val="center"/>
          </w:tcPr>
          <w:p w14:paraId="5AB9147A">
            <w:pPr>
              <w:spacing w:line="360" w:lineRule="auto"/>
              <w:ind w:firstLine="420"/>
              <w:jc w:val="center"/>
              <w:rPr>
                <w:sz w:val="21"/>
                <w:szCs w:val="21"/>
              </w:rPr>
            </w:pPr>
            <w:r>
              <w:rPr>
                <w:rFonts w:hint="eastAsia"/>
                <w:sz w:val="21"/>
                <w:szCs w:val="21"/>
              </w:rPr>
              <w:t>价值创造模式</w:t>
            </w:r>
          </w:p>
        </w:tc>
        <w:tc>
          <w:tcPr>
            <w:tcW w:w="1793" w:type="pct"/>
            <w:tcBorders>
              <w:top w:val="single" w:color="auto" w:sz="4" w:space="0"/>
              <w:left w:val="nil"/>
              <w:bottom w:val="single" w:color="auto" w:sz="4" w:space="0"/>
              <w:right w:val="single" w:color="auto" w:sz="4" w:space="0"/>
            </w:tcBorders>
            <w:vAlign w:val="center"/>
          </w:tcPr>
          <w:p w14:paraId="095372D3">
            <w:pPr>
              <w:spacing w:line="360" w:lineRule="auto"/>
              <w:ind w:firstLine="420"/>
              <w:jc w:val="center"/>
              <w:rPr>
                <w:sz w:val="21"/>
                <w:szCs w:val="21"/>
              </w:rPr>
            </w:pPr>
            <w:r>
              <w:rPr>
                <w:rFonts w:hint="eastAsia"/>
                <w:sz w:val="21"/>
                <w:szCs w:val="21"/>
              </w:rPr>
              <w:t>价值创造模式</w:t>
            </w:r>
          </w:p>
        </w:tc>
        <w:tc>
          <w:tcPr>
            <w:tcW w:w="1793" w:type="pct"/>
            <w:tcBorders>
              <w:top w:val="single" w:color="auto" w:sz="4" w:space="0"/>
              <w:left w:val="nil"/>
              <w:bottom w:val="single" w:color="auto" w:sz="4" w:space="0"/>
              <w:right w:val="single" w:color="auto" w:sz="4" w:space="0"/>
            </w:tcBorders>
            <w:vAlign w:val="center"/>
          </w:tcPr>
          <w:p w14:paraId="6168CEB5">
            <w:pPr>
              <w:spacing w:line="360" w:lineRule="auto"/>
              <w:ind w:firstLine="420"/>
              <w:jc w:val="center"/>
              <w:rPr>
                <w:sz w:val="21"/>
                <w:szCs w:val="21"/>
              </w:rPr>
            </w:pPr>
            <w:r>
              <w:rPr>
                <w:rFonts w:hint="eastAsia"/>
                <w:sz w:val="21"/>
                <w:szCs w:val="21"/>
              </w:rPr>
              <w:t>价值创造模式</w:t>
            </w:r>
          </w:p>
        </w:tc>
      </w:tr>
      <w:tr w14:paraId="57F9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414" w:type="pct"/>
            <w:tcBorders>
              <w:top w:val="single" w:color="auto" w:sz="4" w:space="0"/>
              <w:left w:val="single" w:color="auto" w:sz="4" w:space="0"/>
              <w:bottom w:val="single" w:color="auto" w:sz="4" w:space="0"/>
              <w:right w:val="single" w:color="auto" w:sz="4" w:space="0"/>
            </w:tcBorders>
            <w:vAlign w:val="center"/>
          </w:tcPr>
          <w:p w14:paraId="79CA34AA">
            <w:pPr>
              <w:spacing w:line="360" w:lineRule="auto"/>
              <w:ind w:firstLine="420"/>
              <w:jc w:val="center"/>
              <w:rPr>
                <w:sz w:val="21"/>
                <w:szCs w:val="21"/>
              </w:rPr>
            </w:pPr>
            <w:r>
              <w:rPr>
                <w:rFonts w:hint="eastAsia"/>
                <w:sz w:val="21"/>
                <w:szCs w:val="21"/>
              </w:rPr>
              <w:t>金融科技</w:t>
            </w:r>
          </w:p>
        </w:tc>
        <w:tc>
          <w:tcPr>
            <w:tcW w:w="1793" w:type="pct"/>
            <w:tcBorders>
              <w:top w:val="single" w:color="auto" w:sz="4" w:space="0"/>
              <w:left w:val="nil"/>
              <w:bottom w:val="single" w:color="auto" w:sz="4" w:space="0"/>
              <w:right w:val="single" w:color="auto" w:sz="4" w:space="0"/>
            </w:tcBorders>
            <w:vAlign w:val="center"/>
          </w:tcPr>
          <w:p w14:paraId="5D536287">
            <w:pPr>
              <w:spacing w:line="360" w:lineRule="auto"/>
              <w:ind w:firstLine="420"/>
              <w:jc w:val="center"/>
              <w:rPr>
                <w:sz w:val="21"/>
                <w:szCs w:val="21"/>
              </w:rPr>
            </w:pPr>
            <w:r>
              <w:rPr>
                <w:rFonts w:hint="eastAsia"/>
                <w:sz w:val="21"/>
                <w:szCs w:val="21"/>
              </w:rPr>
              <w:t>金融科技</w:t>
            </w:r>
          </w:p>
        </w:tc>
        <w:tc>
          <w:tcPr>
            <w:tcW w:w="1793" w:type="pct"/>
            <w:tcBorders>
              <w:top w:val="single" w:color="auto" w:sz="4" w:space="0"/>
              <w:left w:val="nil"/>
              <w:bottom w:val="single" w:color="auto" w:sz="4" w:space="0"/>
              <w:right w:val="single" w:color="auto" w:sz="4" w:space="0"/>
            </w:tcBorders>
            <w:vAlign w:val="center"/>
          </w:tcPr>
          <w:p w14:paraId="62F7D026">
            <w:pPr>
              <w:spacing w:line="360" w:lineRule="auto"/>
              <w:ind w:firstLine="420"/>
              <w:jc w:val="center"/>
              <w:rPr>
                <w:sz w:val="21"/>
                <w:szCs w:val="21"/>
              </w:rPr>
            </w:pPr>
            <w:r>
              <w:rPr>
                <w:rFonts w:hint="eastAsia"/>
                <w:sz w:val="21"/>
                <w:szCs w:val="21"/>
              </w:rPr>
              <w:t>金融科技</w:t>
            </w:r>
          </w:p>
        </w:tc>
      </w:tr>
      <w:tr w14:paraId="320E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1414" w:type="pct"/>
            <w:tcBorders>
              <w:top w:val="single" w:color="auto" w:sz="4" w:space="0"/>
              <w:left w:val="single" w:color="auto" w:sz="4" w:space="0"/>
              <w:bottom w:val="single" w:color="auto" w:sz="4" w:space="0"/>
              <w:right w:val="single" w:color="auto" w:sz="4" w:space="0"/>
            </w:tcBorders>
            <w:vAlign w:val="center"/>
          </w:tcPr>
          <w:p w14:paraId="0D275DC7">
            <w:pPr>
              <w:spacing w:line="360" w:lineRule="auto"/>
              <w:ind w:firstLine="420"/>
              <w:jc w:val="center"/>
              <w:rPr>
                <w:sz w:val="21"/>
                <w:szCs w:val="21"/>
              </w:rPr>
            </w:pPr>
            <w:r>
              <w:rPr>
                <w:rFonts w:hint="eastAsia"/>
                <w:sz w:val="21"/>
                <w:szCs w:val="21"/>
              </w:rPr>
              <w:t>联合风控建模</w:t>
            </w:r>
          </w:p>
        </w:tc>
        <w:tc>
          <w:tcPr>
            <w:tcW w:w="1793" w:type="pct"/>
            <w:tcBorders>
              <w:top w:val="single" w:color="auto" w:sz="4" w:space="0"/>
              <w:left w:val="nil"/>
              <w:bottom w:val="single" w:color="auto" w:sz="4" w:space="0"/>
              <w:right w:val="single" w:color="auto" w:sz="4" w:space="0"/>
            </w:tcBorders>
            <w:vAlign w:val="center"/>
          </w:tcPr>
          <w:p w14:paraId="3A45500B">
            <w:pPr>
              <w:spacing w:line="360" w:lineRule="auto"/>
              <w:ind w:firstLine="420"/>
              <w:jc w:val="center"/>
              <w:rPr>
                <w:sz w:val="21"/>
                <w:szCs w:val="21"/>
              </w:rPr>
            </w:pPr>
            <w:r>
              <w:rPr>
                <w:rFonts w:hint="eastAsia"/>
                <w:sz w:val="21"/>
                <w:szCs w:val="21"/>
              </w:rPr>
              <w:t>联合风控建模</w:t>
            </w:r>
          </w:p>
        </w:tc>
        <w:tc>
          <w:tcPr>
            <w:tcW w:w="1793" w:type="pct"/>
            <w:tcBorders>
              <w:top w:val="single" w:color="auto" w:sz="4" w:space="0"/>
              <w:left w:val="nil"/>
              <w:bottom w:val="single" w:color="auto" w:sz="4" w:space="0"/>
              <w:right w:val="single" w:color="auto" w:sz="4" w:space="0"/>
            </w:tcBorders>
            <w:vAlign w:val="center"/>
          </w:tcPr>
          <w:p w14:paraId="101C8B0B">
            <w:pPr>
              <w:spacing w:line="360" w:lineRule="auto"/>
              <w:ind w:firstLine="420"/>
              <w:jc w:val="center"/>
              <w:rPr>
                <w:sz w:val="21"/>
                <w:szCs w:val="21"/>
              </w:rPr>
            </w:pPr>
            <w:r>
              <w:rPr>
                <w:rFonts w:hint="eastAsia"/>
                <w:sz w:val="21"/>
                <w:szCs w:val="21"/>
              </w:rPr>
              <w:t>联合风控建模</w:t>
            </w:r>
          </w:p>
        </w:tc>
      </w:tr>
      <w:tr w14:paraId="4151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1414" w:type="pct"/>
            <w:tcBorders>
              <w:top w:val="single" w:color="auto" w:sz="4" w:space="0"/>
              <w:left w:val="single" w:color="auto" w:sz="4" w:space="0"/>
              <w:bottom w:val="single" w:color="auto" w:sz="4" w:space="0"/>
              <w:right w:val="single" w:color="auto" w:sz="4" w:space="0"/>
            </w:tcBorders>
            <w:vAlign w:val="center"/>
          </w:tcPr>
          <w:p w14:paraId="7F8200E4">
            <w:pPr>
              <w:spacing w:line="360" w:lineRule="auto"/>
              <w:ind w:firstLine="420"/>
              <w:jc w:val="center"/>
              <w:rPr>
                <w:sz w:val="21"/>
                <w:szCs w:val="21"/>
              </w:rPr>
            </w:pPr>
            <w:r>
              <w:rPr>
                <w:rFonts w:hint="eastAsia"/>
                <w:sz w:val="21"/>
                <w:szCs w:val="21"/>
              </w:rPr>
              <w:t>降低不良贷款率</w:t>
            </w:r>
            <w:r>
              <w:rPr>
                <w:sz w:val="21"/>
                <w:szCs w:val="21"/>
              </w:rPr>
              <w:t>30-50%</w:t>
            </w:r>
          </w:p>
        </w:tc>
        <w:tc>
          <w:tcPr>
            <w:tcW w:w="1793" w:type="pct"/>
            <w:tcBorders>
              <w:top w:val="single" w:color="auto" w:sz="4" w:space="0"/>
              <w:left w:val="nil"/>
              <w:bottom w:val="single" w:color="auto" w:sz="4" w:space="0"/>
              <w:right w:val="single" w:color="auto" w:sz="4" w:space="0"/>
            </w:tcBorders>
            <w:vAlign w:val="center"/>
          </w:tcPr>
          <w:p w14:paraId="39692DCE">
            <w:pPr>
              <w:spacing w:line="360" w:lineRule="auto"/>
              <w:ind w:firstLine="420"/>
              <w:jc w:val="center"/>
              <w:rPr>
                <w:sz w:val="21"/>
                <w:szCs w:val="21"/>
              </w:rPr>
            </w:pPr>
            <w:r>
              <w:rPr>
                <w:rFonts w:hint="eastAsia"/>
                <w:sz w:val="21"/>
                <w:szCs w:val="21"/>
              </w:rPr>
              <w:t>降低不良贷款率</w:t>
            </w:r>
            <w:r>
              <w:rPr>
                <w:sz w:val="21"/>
                <w:szCs w:val="21"/>
              </w:rPr>
              <w:t>30-50%</w:t>
            </w:r>
          </w:p>
        </w:tc>
        <w:tc>
          <w:tcPr>
            <w:tcW w:w="1793" w:type="pct"/>
            <w:tcBorders>
              <w:top w:val="single" w:color="auto" w:sz="4" w:space="0"/>
              <w:left w:val="nil"/>
              <w:bottom w:val="single" w:color="auto" w:sz="4" w:space="0"/>
              <w:right w:val="single" w:color="auto" w:sz="4" w:space="0"/>
            </w:tcBorders>
            <w:vAlign w:val="center"/>
          </w:tcPr>
          <w:p w14:paraId="130EFECC">
            <w:pPr>
              <w:spacing w:line="360" w:lineRule="auto"/>
              <w:ind w:firstLine="420"/>
              <w:jc w:val="center"/>
              <w:rPr>
                <w:sz w:val="21"/>
                <w:szCs w:val="21"/>
              </w:rPr>
            </w:pPr>
            <w:r>
              <w:rPr>
                <w:rFonts w:hint="eastAsia"/>
                <w:sz w:val="21"/>
                <w:szCs w:val="21"/>
              </w:rPr>
              <w:t>降低不良贷款率</w:t>
            </w:r>
            <w:r>
              <w:rPr>
                <w:sz w:val="21"/>
                <w:szCs w:val="21"/>
              </w:rPr>
              <w:t>30-50%</w:t>
            </w:r>
          </w:p>
        </w:tc>
      </w:tr>
    </w:tbl>
    <w:p w14:paraId="766E2D28">
      <w:pPr>
        <w:pStyle w:val="21"/>
        <w:jc w:val="center"/>
        <w:rPr>
          <w:rFonts w:hint="default"/>
          <w:highlight w:val="none"/>
          <w:lang w:val="en-US" w:eastAsia="zh-CN"/>
        </w:rPr>
      </w:pPr>
      <w:r>
        <w:rPr>
          <w:rFonts w:hint="eastAsia"/>
          <w:highlight w:val="none"/>
          <w:lang w:val="en-US" w:eastAsia="zh-CN"/>
        </w:rPr>
        <w:t>表1 应用场景汇总</w:t>
      </w:r>
    </w:p>
    <w:p w14:paraId="7078EA42">
      <w:pPr>
        <w:spacing w:line="360" w:lineRule="auto"/>
        <w:ind w:firstLine="480"/>
      </w:pPr>
      <w:r>
        <w:rPr>
          <w:rFonts w:hint="eastAsia"/>
        </w:rPr>
        <w:t>从市场表现来看，依据国家工信安全发展研究中心的测算数据，2021年我国数据要素市场规模达815亿元，预计“十四五”期间复合增速超25%，2025年有望接近2000亿元。数据可信治理与智能流通平台作为数据要素市场的重要组成部分，也将随着市场规模的增长而受益。</w:t>
      </w:r>
    </w:p>
    <w:p w14:paraId="69BFC8E1">
      <w:pPr>
        <w:spacing w:line="360" w:lineRule="auto"/>
        <w:ind w:firstLine="480"/>
      </w:pPr>
      <w:r>
        <w:rPr>
          <w:rFonts w:hint="eastAsia"/>
        </w:rPr>
        <w:t>近年来，数据要素可信流通市场结构变化较明显，数据流通交易环节占比预计持续提升，数据安全及服务领域在市场结构中占据重要地位且将更加稳固。数据可信治理与智能流通平台在数据流通交易和数据安全及服务领域都将发挥重要作用，有望获得更多的市场份额。</w:t>
      </w:r>
    </w:p>
    <w:p w14:paraId="7D8A56F2">
      <w:pPr>
        <w:spacing w:line="360" w:lineRule="auto"/>
        <w:ind w:firstLine="480"/>
      </w:pPr>
      <w:r>
        <w:rPr>
          <w:rFonts w:hint="eastAsia"/>
        </w:rPr>
        <w:t>行业应用拓展：在金融、医疗、制造业、低空经济等各个行业，数据要素可信流通都将呈现出不同的行业特色和趋势，为数据可信治理与智能流通平台在不同行业的应用提供了广阔的空间。例如，在金融行业，数据要素可信流通将重点聚焦大模型应用，推动智能金融发展；在医疗行业，将以全密态数据管理为重点，拓展医疗数据应用。</w:t>
      </w:r>
    </w:p>
    <w:p w14:paraId="3F3681BE">
      <w:pPr>
        <w:spacing w:line="360" w:lineRule="auto"/>
        <w:ind w:firstLine="480"/>
      </w:pPr>
      <w:r>
        <w:rPr>
          <w:rFonts w:hint="eastAsia"/>
        </w:rPr>
        <w:t>其次，随着跨境贸易、金融等诸多领域的国际合作高度依赖于数据的跨境流动，数据跨境流通需求不断增加。数据可信治理与智能流通平台在跨境数据流通方面也将发挥重要作用，通过建设可信数据空间，利用相关技术实现数据的“可用不可见”，确保数据在跨境流通中的安全性和可信度。</w:t>
      </w:r>
    </w:p>
    <w:p w14:paraId="291C2B5E">
      <w:pPr>
        <w:pStyle w:val="3"/>
        <w:spacing w:line="360" w:lineRule="auto"/>
      </w:pPr>
      <w:bookmarkStart w:id="3" w:name="_Toc8874"/>
      <w:r>
        <w:rPr>
          <w:rFonts w:hint="eastAsia"/>
        </w:rPr>
        <w:t>项目竞争优势</w:t>
      </w:r>
      <w:bookmarkEnd w:id="3"/>
    </w:p>
    <w:p w14:paraId="38B88AB8">
      <w:pPr>
        <w:spacing w:line="360" w:lineRule="auto"/>
        <w:ind w:firstLine="480"/>
      </w:pPr>
    </w:p>
    <w:p w14:paraId="1AAE78F5">
      <w:pPr>
        <w:pStyle w:val="3"/>
        <w:spacing w:line="360" w:lineRule="auto"/>
      </w:pPr>
      <w:bookmarkStart w:id="4" w:name="_Toc14823"/>
      <w:r>
        <w:rPr>
          <w:rFonts w:hint="eastAsia"/>
        </w:rPr>
        <w:t>项目市场策略</w:t>
      </w:r>
      <w:bookmarkEnd w:id="4"/>
    </w:p>
    <w:p w14:paraId="326306C0">
      <w:pPr>
        <w:pStyle w:val="4"/>
        <w:numPr>
          <w:ilvl w:val="0"/>
          <w:numId w:val="5"/>
        </w:numPr>
        <w:spacing w:line="360" w:lineRule="auto"/>
      </w:pPr>
      <w:r>
        <w:rPr>
          <w:rFonts w:hint="eastAsia"/>
        </w:rPr>
        <w:t>市场调研分析</w:t>
      </w:r>
    </w:p>
    <w:p w14:paraId="1C06D2FD">
      <w:pPr>
        <w:spacing w:line="360" w:lineRule="auto"/>
        <w:ind w:firstLine="480"/>
      </w:pPr>
      <w:r>
        <w:rPr>
          <w:rFonts w:hint="eastAsia"/>
        </w:rPr>
        <w:t>随着数字经济蓬勃发展，数据成为关键生产要素，数据要素市场规模持续扩大，但存在数据权属模糊、隐私泄露风险和流通互信不足等痛点，制约了数据价值释放。现有数据服务商多侧重于数据采集、存储或分析等单环节，缺乏对数据流通全生命周期可信治理的整体解决方案。部分技术型企业探索隐私计算等技术应用，但大多未形成成熟、系统的可信治理机制与平台，市场存在较大空白。</w:t>
      </w:r>
    </w:p>
    <w:p w14:paraId="4CD8E237">
      <w:pPr>
        <w:spacing w:line="360" w:lineRule="auto"/>
        <w:ind w:firstLine="480"/>
      </w:pPr>
      <w:r>
        <w:rPr>
          <w:rFonts w:hint="eastAsia"/>
        </w:rPr>
        <w:t>目前，金融、医疗、政务等行业对数据可信流通需求迫切。其中，金融机构期望在合规前提下共享客户数据实现精准营销与风险防控；医疗机构希望整合多源数据提升科研水平与诊疗效率；政务部门致力于打破数据孤岛，促进政务数据与社会数据融合创新，共同需求是确保数据流通安全、合规且高效。</w:t>
      </w:r>
    </w:p>
    <w:p w14:paraId="376B3B90">
      <w:pPr>
        <w:pStyle w:val="5"/>
        <w:spacing w:line="360" w:lineRule="auto"/>
      </w:pPr>
      <w:r>
        <w:rPr>
          <w:rFonts w:hint="eastAsia"/>
        </w:rPr>
        <w:t>数据要素市场现状</w:t>
      </w:r>
    </w:p>
    <w:p w14:paraId="27D8C626">
      <w:pPr>
        <w:spacing w:line="360" w:lineRule="auto"/>
        <w:ind w:firstLine="480"/>
      </w:pPr>
      <w:r>
        <w:rPr>
          <w:rFonts w:hint="eastAsia"/>
        </w:rPr>
        <w:t>近年来，随着数字经济的蓬勃发展，数据要素市场呈现出爆发式增长态势。《2025-2030年中国数据要素市场调研及发展趋势预测报告》显示，2023年中国数据要素市场规模为1332亿元，较上年增长26.48%。经预测，2024年中国数据要素市场规模将达到1662亿元，2025年达到2042.9亿元。这一趋势表明数据作为生产要素的重要性日益凸显，为数据可信治理机制与平台的发展提供了广阔的市场空间。</w:t>
      </w:r>
    </w:p>
    <w:p w14:paraId="54B1817A">
      <w:pPr>
        <w:keepNext w:val="0"/>
        <w:keepLines w:val="0"/>
        <w:widowControl/>
        <w:suppressLineNumbers w:val="0"/>
        <w:jc w:val="left"/>
      </w:pPr>
      <w:r>
        <w:t xml:space="preserve"> </w:t>
      </w:r>
      <w:r>
        <w:rPr>
          <w:rFonts w:ascii="宋体" w:hAnsi="宋体" w:eastAsia="宋体" w:cs="宋体"/>
          <w:kern w:val="0"/>
          <w:sz w:val="24"/>
          <w:szCs w:val="24"/>
          <w:lang w:val="en-US" w:eastAsia="zh-CN" w:bidi="ar"/>
        </w:rPr>
        <w:drawing>
          <wp:inline distT="0" distB="0" distL="114300" distR="114300">
            <wp:extent cx="4838700" cy="2333625"/>
            <wp:effectExtent l="0" t="0" r="0" b="317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tretch>
                      <a:fillRect/>
                    </a:stretch>
                  </pic:blipFill>
                  <pic:spPr>
                    <a:xfrm>
                      <a:off x="0" y="0"/>
                      <a:ext cx="4838700" cy="2333625"/>
                    </a:xfrm>
                    <a:prstGeom prst="rect">
                      <a:avLst/>
                    </a:prstGeom>
                    <a:noFill/>
                    <a:ln w="9525">
                      <a:noFill/>
                    </a:ln>
                  </pic:spPr>
                </pic:pic>
              </a:graphicData>
            </a:graphic>
          </wp:inline>
        </w:drawing>
      </w:r>
    </w:p>
    <w:p w14:paraId="3F07FF10">
      <w:pPr>
        <w:pStyle w:val="21"/>
        <w:jc w:val="center"/>
        <w:rPr>
          <w:highlight w:val="none"/>
        </w:rPr>
      </w:pPr>
      <w:r>
        <w:rPr>
          <w:rFonts w:hint="eastAsia"/>
          <w:highlight w:val="none"/>
        </w:rPr>
        <w:t>图1 2021-2025年中国数据要素市场规模预测趋势图</w:t>
      </w:r>
    </w:p>
    <w:p w14:paraId="30D0D71D">
      <w:pPr>
        <w:spacing w:line="360" w:lineRule="auto"/>
        <w:ind w:firstLine="480"/>
      </w:pPr>
      <w:r>
        <w:rPr>
          <w:rFonts w:hint="eastAsia"/>
        </w:rPr>
        <w:t>国家层面高度重视数据要素市场培育，陆续出台一系列政策文件。例如，《中共中央国务院关于构建更加完善的要素市场化配置体制机制的意见》明确将数据作为一种新型生产要素，要求加快培育数据要素市场，推动数据开放共享与流通。</w:t>
      </w:r>
    </w:p>
    <w:p w14:paraId="56D94641">
      <w:pPr>
        <w:spacing w:line="360" w:lineRule="auto"/>
        <w:ind w:firstLine="480"/>
      </w:pPr>
      <w:r>
        <w:rPr>
          <w:rFonts w:hint="eastAsia"/>
        </w:rPr>
        <w:t>相关法律法规不断完善，为数据可信治理提供了法律依据。《数据安全法》《个人信息保护法》等法律法规的实施，明确了数据处理活动的安全与合规要求，促使企业在数据流通中更加注重隐私保护与权属界定，客观上推动了数据可信治理机制与平台的需求增长。</w:t>
      </w:r>
    </w:p>
    <w:p w14:paraId="03A48FA5">
      <w:pPr>
        <w:keepNext w:val="0"/>
        <w:keepLines w:val="0"/>
        <w:widowControl/>
        <w:suppressLineNumbers w:val="0"/>
        <w:jc w:val="left"/>
        <w:rPr>
          <w:rFonts w:hint="eastAsia"/>
          <w:highlight w:val="yellow"/>
        </w:rPr>
      </w:pPr>
      <w:r>
        <w:rPr>
          <w:rFonts w:ascii="宋体" w:hAnsi="宋体" w:eastAsia="宋体" w:cs="宋体"/>
          <w:kern w:val="0"/>
          <w:sz w:val="24"/>
          <w:szCs w:val="24"/>
          <w:lang w:val="en-US" w:eastAsia="zh-CN" w:bidi="ar"/>
        </w:rPr>
        <w:drawing>
          <wp:inline distT="0" distB="0" distL="114300" distR="114300">
            <wp:extent cx="5267325" cy="7058025"/>
            <wp:effectExtent l="0" t="0" r="3175" b="317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2"/>
                    <a:stretch>
                      <a:fillRect/>
                    </a:stretch>
                  </pic:blipFill>
                  <pic:spPr>
                    <a:xfrm>
                      <a:off x="0" y="0"/>
                      <a:ext cx="5267325" cy="7058025"/>
                    </a:xfrm>
                    <a:prstGeom prst="rect">
                      <a:avLst/>
                    </a:prstGeom>
                    <a:noFill/>
                    <a:ln w="9525">
                      <a:noFill/>
                    </a:ln>
                  </pic:spPr>
                </pic:pic>
              </a:graphicData>
            </a:graphic>
          </wp:inline>
        </w:drawing>
      </w:r>
    </w:p>
    <w:p w14:paraId="2310E1A3">
      <w:pPr>
        <w:pStyle w:val="21"/>
        <w:ind w:left="420"/>
        <w:jc w:val="center"/>
        <w:rPr>
          <w:highlight w:val="none"/>
        </w:rPr>
      </w:pPr>
      <w:r>
        <w:rPr>
          <w:rFonts w:hint="eastAsia"/>
          <w:highlight w:val="none"/>
        </w:rPr>
        <w:t>表</w:t>
      </w:r>
      <w:r>
        <w:rPr>
          <w:rFonts w:hint="eastAsia"/>
          <w:highlight w:val="none"/>
          <w:lang w:val="en-US" w:eastAsia="zh-CN"/>
        </w:rPr>
        <w:t>2</w:t>
      </w:r>
      <w:r>
        <w:rPr>
          <w:rFonts w:hint="eastAsia"/>
          <w:highlight w:val="none"/>
        </w:rPr>
        <w:t xml:space="preserve">  中国数据要素行业最新政策汇总一览表</w:t>
      </w:r>
    </w:p>
    <w:p w14:paraId="59ACFB36">
      <w:pPr>
        <w:spacing w:line="360" w:lineRule="auto"/>
        <w:ind w:firstLine="480"/>
      </w:pPr>
      <w:r>
        <w:rPr>
          <w:rFonts w:hint="eastAsia"/>
        </w:rPr>
        <w:t>数据要素已广泛应用于金融、医疗、政务、工业互联网等多个领域。在金融领域，数据共享有助于金融机构进行风险评估、精准营销与反欺诈；医疗领域中，多源数据的整合利用可提升医疗科研水平、优化诊疗流程；政务部门通过数据开放共享，提高政务效率、促进政务协同；工业互联网则依赖于数据流通实现智能化生产与供应链优化。各领域对数据的深度应用推动了数据要素市场需求的多样化，也为数据可信治理机制与平台的应用提供了丰富的场景。</w:t>
      </w:r>
    </w:p>
    <w:p w14:paraId="5C2E2E04">
      <w:pPr>
        <w:pStyle w:val="5"/>
        <w:spacing w:line="360" w:lineRule="auto"/>
      </w:pPr>
      <w:r>
        <w:rPr>
          <w:rFonts w:hint="eastAsia"/>
        </w:rPr>
        <w:t>行业竞争格局</w:t>
      </w:r>
    </w:p>
    <w:p w14:paraId="72A842C4">
      <w:pPr>
        <w:spacing w:line="360" w:lineRule="auto"/>
        <w:ind w:firstLine="480"/>
      </w:pPr>
      <w:r>
        <w:rPr>
          <w:rFonts w:hint="eastAsia"/>
        </w:rPr>
        <w:t>①现有竞争者分析：</w:t>
      </w:r>
    </w:p>
    <w:p w14:paraId="3C1647F3">
      <w:pPr>
        <w:spacing w:line="360" w:lineRule="auto"/>
        <w:ind w:firstLine="480"/>
      </w:pPr>
      <w:r>
        <w:rPr>
          <w:rFonts w:hint="eastAsia"/>
        </w:rPr>
        <w:t>传统数据服务商：这类企业主要提供数据采集、存储、清洗与分析等服务，但在数据可信治理方面的能力相对较弱。它们在数据要素市场中占据一定份额，但面临数据可信流通难题时，往往需要借助外部技术支持或与专业数据治理企业合作。</w:t>
      </w:r>
    </w:p>
    <w:p w14:paraId="3DD2FABD">
      <w:pPr>
        <w:spacing w:line="360" w:lineRule="auto"/>
        <w:ind w:firstLine="480"/>
      </w:pPr>
      <w:r>
        <w:rPr>
          <w:rFonts w:hint="eastAsia"/>
        </w:rPr>
        <w:t>互联网巨头：凭借其在云计算、大数据等领域的技术优势与海量用户数据资源，积极布局数据要素市场。部分互联网巨头已开展隐私计算等技术探索，尝试构建数据可信流通平台。然而，其封闭的生态系统与数据垄断质疑可能限制其在数据可信治理领域的进一步发展。</w:t>
      </w:r>
    </w:p>
    <w:p w14:paraId="61E9E6BF">
      <w:pPr>
        <w:spacing w:line="360" w:lineRule="auto"/>
        <w:ind w:firstLine="480"/>
      </w:pPr>
      <w:r>
        <w:rPr>
          <w:rFonts w:hint="eastAsia"/>
        </w:rPr>
        <w:t>专业数据治理企业：专注于数据安全、隐私保护与数据治理技术的研发与服务，拥有较强的技术实力与行业经验。这些企业在数据可信治理机制设计、隐私计算技术研发等方面具有竞争优势，但可能在数据资源获取与市场规模上相对较小，需要与数据拥有方、应用方等建立紧密合作关系。</w:t>
      </w:r>
    </w:p>
    <w:p w14:paraId="559D92F3">
      <w:pPr>
        <w:keepNext w:val="0"/>
        <w:keepLines w:val="0"/>
        <w:widowControl/>
        <w:suppressLineNumbers w:val="0"/>
        <w:jc w:val="left"/>
        <w:rPr>
          <w:rFonts w:hint="eastAsia"/>
          <w:highlight w:val="yellow"/>
        </w:rPr>
      </w:pPr>
      <w:r>
        <w:rPr>
          <w:rFonts w:ascii="宋体" w:hAnsi="宋体" w:eastAsia="宋体" w:cs="宋体"/>
          <w:kern w:val="0"/>
          <w:sz w:val="24"/>
          <w:szCs w:val="24"/>
          <w:lang w:val="en-US" w:eastAsia="zh-CN" w:bidi="ar"/>
        </w:rPr>
        <w:drawing>
          <wp:inline distT="0" distB="0" distL="114300" distR="114300">
            <wp:extent cx="5248275" cy="8162925"/>
            <wp:effectExtent l="0" t="0" r="9525" b="317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3"/>
                    <a:stretch>
                      <a:fillRect/>
                    </a:stretch>
                  </pic:blipFill>
                  <pic:spPr>
                    <a:xfrm>
                      <a:off x="0" y="0"/>
                      <a:ext cx="5248275" cy="8162925"/>
                    </a:xfrm>
                    <a:prstGeom prst="rect">
                      <a:avLst/>
                    </a:prstGeom>
                    <a:noFill/>
                    <a:ln w="9525">
                      <a:noFill/>
                    </a:ln>
                  </pic:spPr>
                </pic:pic>
              </a:graphicData>
            </a:graphic>
          </wp:inline>
        </w:drawing>
      </w:r>
    </w:p>
    <w:p w14:paraId="65460F2B">
      <w:pPr>
        <w:pStyle w:val="21"/>
        <w:jc w:val="center"/>
        <w:rPr>
          <w:highlight w:val="none"/>
        </w:rPr>
      </w:pPr>
      <w:r>
        <w:rPr>
          <w:rFonts w:hint="eastAsia"/>
          <w:highlight w:val="none"/>
        </w:rPr>
        <w:t>表</w:t>
      </w:r>
      <w:r>
        <w:rPr>
          <w:rFonts w:hint="eastAsia"/>
          <w:highlight w:val="none"/>
          <w:lang w:val="en-US" w:eastAsia="zh-CN"/>
        </w:rPr>
        <w:t>3</w:t>
      </w:r>
      <w:r>
        <w:rPr>
          <w:rFonts w:hint="eastAsia"/>
          <w:highlight w:val="none"/>
        </w:rPr>
        <w:t xml:space="preserve"> 2023数据要素服务商TOP30</w:t>
      </w:r>
    </w:p>
    <w:p w14:paraId="4BC0C009">
      <w:pPr>
        <w:spacing w:line="360" w:lineRule="auto"/>
        <w:ind w:firstLine="480"/>
      </w:pPr>
      <w:r>
        <w:rPr>
          <w:rFonts w:hint="eastAsia"/>
        </w:rPr>
        <w:t>②潜在进入者威胁：</w:t>
      </w:r>
    </w:p>
    <w:p w14:paraId="3C93E3D3">
      <w:pPr>
        <w:spacing w:line="360" w:lineRule="auto"/>
        <w:ind w:firstLine="480"/>
      </w:pPr>
      <w:r>
        <w:rPr>
          <w:rFonts w:hint="eastAsia"/>
        </w:rPr>
        <w:t>科技初创企业：随着数据可信治理技术的不断成熟，一些科技初创企业可能凭借创新的技术解决方案或商业模式进入市场。这些企业通常具有较高的技术灵活性与创新能力，可能对现有竞争格局产生冲击。</w:t>
      </w:r>
    </w:p>
    <w:p w14:paraId="1097E53B">
      <w:pPr>
        <w:spacing w:line="360" w:lineRule="auto"/>
        <w:ind w:firstLine="480"/>
      </w:pPr>
      <w:r>
        <w:rPr>
          <w:rFonts w:hint="eastAsia"/>
        </w:rPr>
        <w:t>行业联盟与开源社区：在数据要素市场发展过程中，行业联盟与开源社区的力量不容忽视。它们通过整合行业资源、共享技术经验，推动数据可信治理技术的标准化与开源化。未来，行业联盟与开源社区可能孵化出具有竞争力的数据可信治理平台，对现有企业构成潜在竞争威胁。</w:t>
      </w:r>
    </w:p>
    <w:p w14:paraId="2E41B82A">
      <w:pPr>
        <w:pStyle w:val="5"/>
        <w:spacing w:line="360" w:lineRule="auto"/>
      </w:pPr>
      <w:r>
        <w:rPr>
          <w:rFonts w:hint="eastAsia"/>
        </w:rPr>
        <w:t>客户需求分析</w:t>
      </w:r>
    </w:p>
    <w:p w14:paraId="2A42F1C9">
      <w:pPr>
        <w:spacing w:line="360" w:lineRule="auto"/>
        <w:ind w:firstLine="480"/>
      </w:pPr>
      <w:r>
        <w:rPr>
          <w:rFonts w:hint="eastAsia"/>
        </w:rPr>
        <w:t>①金融行业：</w:t>
      </w:r>
    </w:p>
    <w:p w14:paraId="65426D48">
      <w:pPr>
        <w:spacing w:line="360" w:lineRule="auto"/>
        <w:ind w:firstLine="480"/>
      </w:pPr>
      <w:r>
        <w:rPr>
          <w:rFonts w:hint="eastAsia"/>
        </w:rPr>
        <w:t>金融机构在开展联合风控、精准营销等业务时，需要与其他金融机构或第三方数据平台共享客户数据。例如，银行之间共享企业和个人信用数据，以更全面地评估客户信用风险；金融机构与互联网企业合作，获取用户行为数据用于精准营销。</w:t>
      </w:r>
    </w:p>
    <w:p w14:paraId="40674503">
      <w:pPr>
        <w:spacing w:line="360" w:lineRule="auto"/>
        <w:ind w:firstLine="480"/>
      </w:pPr>
      <w:r>
        <w:rPr>
          <w:rFonts w:hint="eastAsia"/>
        </w:rPr>
        <w:t>金融行业对数据安全与合规性要求极高。在数据共享过程中，必须确保客户隐私数据不泄露，数据使用符合监管要求。数据可信治理机制与平台能够为金融机构提供数据加密、动态授权与审计追踪等功能，满足其安全与合规需求。</w:t>
      </w:r>
    </w:p>
    <w:p w14:paraId="54CF6678">
      <w:pPr>
        <w:spacing w:line="360" w:lineRule="auto"/>
        <w:ind w:firstLine="480"/>
      </w:pPr>
      <w:r>
        <w:rPr>
          <w:rFonts w:hint="eastAsia"/>
        </w:rPr>
        <w:t>②医疗行业</w:t>
      </w:r>
    </w:p>
    <w:p w14:paraId="339AF664">
      <w:pPr>
        <w:spacing w:line="360" w:lineRule="auto"/>
        <w:ind w:firstLine="480"/>
      </w:pPr>
      <w:r>
        <w:rPr>
          <w:rFonts w:hint="eastAsia"/>
        </w:rPr>
        <w:t>医疗科研机构在开展疾病研究、药物研发等项目时，往往需要整合多家医院的临床数据。例如，在癌症研究中，整合不同医院的癌症患者病例数据有助于发现疾病规律、研发新的治疗方案。数据可信治理机制与平台可实现多中心医疗数据的安全共享与协同分析，促进医疗科研创新。</w:t>
      </w:r>
    </w:p>
    <w:p w14:paraId="5AEB2A46">
      <w:pPr>
        <w:spacing w:line="360" w:lineRule="auto"/>
        <w:ind w:firstLine="480"/>
      </w:pPr>
      <w:r>
        <w:rPr>
          <w:rFonts w:hint="eastAsia"/>
        </w:rPr>
        <w:t>不同医疗机构之间的检查检验数据互认是提高医疗效率、降低患者就医成本的重要举措。同时，临床医生在诊断与治疗过程中需要参考大量的医疗数据，包括病例、影像、检验报告等。数据可信治理机制与平台能够确保医疗数据的质量与可信度，为医疗数据互认与临床决策支持提供保障。</w:t>
      </w:r>
    </w:p>
    <w:p w14:paraId="0AC1B85E">
      <w:pPr>
        <w:spacing w:line="360" w:lineRule="auto"/>
        <w:ind w:firstLine="480"/>
      </w:pPr>
      <w:r>
        <w:rPr>
          <w:rFonts w:hint="eastAsia"/>
        </w:rPr>
        <w:t>③政务领域</w:t>
      </w:r>
    </w:p>
    <w:p w14:paraId="44CAA811">
      <w:pPr>
        <w:spacing w:line="360" w:lineRule="auto"/>
        <w:ind w:firstLine="480"/>
      </w:pPr>
      <w:r>
        <w:rPr>
          <w:rFonts w:hint="eastAsia"/>
        </w:rPr>
        <w:t>政府部门掌握着大量与民生、经济、社会管理等相关的数据资源。开放共享政务数据有助于激发市场活力、促进社会创新。例如，交通部门开放交通流量数据，可为智能交通应用开发提供支持；市场监管部门开放企业登记数据，有利于金融机构开展企业信用评估等业务。</w:t>
      </w:r>
    </w:p>
    <w:p w14:paraId="2D9E7DAD">
      <w:pPr>
        <w:spacing w:line="360" w:lineRule="auto"/>
        <w:ind w:firstLine="480"/>
      </w:pPr>
      <w:r>
        <w:rPr>
          <w:rFonts w:hint="eastAsia"/>
        </w:rPr>
        <w:t>在政务协同办公过程中，不同部门之间需要共享与交换政务数据。数据可信治理机制与平台可实现政务数据的安全共享与流转，提高政务协同效率，打造高效透明的数字政府。</w:t>
      </w:r>
    </w:p>
    <w:p w14:paraId="34482619">
      <w:pPr>
        <w:spacing w:line="360" w:lineRule="auto"/>
        <w:ind w:firstLine="480"/>
      </w:pPr>
      <w:r>
        <w:rPr>
          <w:rFonts w:hint="eastAsia"/>
        </w:rPr>
        <w:t>④工业互联网领域</w:t>
      </w:r>
    </w:p>
    <w:p w14:paraId="4EEA552A">
      <w:pPr>
        <w:spacing w:line="360" w:lineRule="auto"/>
        <w:ind w:firstLine="480"/>
      </w:pPr>
      <w:r>
        <w:rPr>
          <w:rFonts w:hint="eastAsia"/>
        </w:rPr>
        <w:t>工业互联网涉及产业链上下游企业的数据流通与共享。例如，汽车制造商需要与零部件供应商共享生产计划、库存等数据，以实现精准供应链管理；能源企业需要与工业企业共享能源消耗数据，用于能源优化与管理。数据可信治理机制与平台可保障产业链数据的可信流通，促进工业互联网的协同发展。</w:t>
      </w:r>
    </w:p>
    <w:p w14:paraId="0ED1FC0F">
      <w:pPr>
        <w:spacing w:line="360" w:lineRule="auto"/>
        <w:ind w:firstLine="480"/>
      </w:pPr>
      <w:r>
        <w:rPr>
          <w:rFonts w:hint="eastAsia"/>
        </w:rPr>
        <w:t>工业企业的生产数据、工艺数据等往往涉及企业核心竞争力与商业机密。在数据流通过程中，必须确保数据的安全与隐私不被侵犯。数据可信治理机制与平台通过隐私计算等技术，为工业企业提供数据加密、访问控制等服务，满足其数据安全与隐私保护需求。</w:t>
      </w:r>
    </w:p>
    <w:p w14:paraId="28BF9016">
      <w:pPr>
        <w:pStyle w:val="4"/>
        <w:spacing w:line="360" w:lineRule="auto"/>
      </w:pPr>
      <w:r>
        <w:rPr>
          <w:rFonts w:hint="eastAsia"/>
        </w:rPr>
        <w:t>营销策略</w:t>
      </w:r>
    </w:p>
    <w:p w14:paraId="58075E27">
      <w:pPr>
        <w:spacing w:line="360" w:lineRule="auto"/>
        <w:ind w:firstLine="480"/>
      </w:pPr>
      <w:r>
        <w:rPr>
          <w:rFonts w:hint="eastAsia"/>
        </w:rPr>
        <w:t>本项目主要内容有两个，分别是提出并设计数据流通全生命周期的机制和技术和开发数据流通的安全可信平台。</w:t>
      </w:r>
    </w:p>
    <w:p w14:paraId="2DB3E6EB">
      <w:pPr>
        <w:spacing w:line="360" w:lineRule="auto"/>
        <w:ind w:firstLine="480"/>
      </w:pPr>
      <w:r>
        <w:rPr>
          <w:rFonts w:hint="eastAsia"/>
        </w:rPr>
        <w:t>首先从产品定位来说，将本数据可信治理机制与平台定位为数据要素流通领域的 “安全阀门” 与 “信任桥梁”，专为解决数据权属、隐私保护和互信难题，助力企业与机构安全合规地共享与交易数据，挖掘数据经济价值。</w:t>
      </w:r>
    </w:p>
    <w:p w14:paraId="69AE9CA9">
      <w:pPr>
        <w:numPr>
          <w:ilvl w:val="0"/>
          <w:numId w:val="6"/>
        </w:numPr>
        <w:spacing w:line="360" w:lineRule="auto"/>
        <w:ind w:firstLine="480"/>
      </w:pPr>
      <w:r>
        <w:rPr>
          <w:rFonts w:hint="eastAsia"/>
        </w:rPr>
        <w:t>对于差异化营销方面，主要突出平台全生命周期可信治理优势，需要强调融合多种前沿隐私计算技术，与其他零散的数据处理服务形成鲜明差异化。</w:t>
      </w:r>
    </w:p>
    <w:p w14:paraId="6ABCF0AF">
      <w:pPr>
        <w:numPr>
          <w:ilvl w:val="0"/>
          <w:numId w:val="6"/>
        </w:numPr>
        <w:spacing w:line="360" w:lineRule="auto"/>
        <w:ind w:firstLine="480"/>
      </w:pPr>
      <w:r>
        <w:rPr>
          <w:rFonts w:hint="eastAsia"/>
        </w:rPr>
        <w:t>需要线上线下推广结合，线上利用行业论坛、社交媒体平台发布技术成果与成功案例；线下参加大数据、数字经济领域展会，举办产品发布会与技术研讨会，邀请潜在客户、专家与合作伙伴参与，提升我们产品知名度与影响力。</w:t>
      </w:r>
    </w:p>
    <w:p w14:paraId="6D6A5BFD">
      <w:pPr>
        <w:widowControl/>
        <w:spacing w:line="360" w:lineRule="auto"/>
        <w:ind w:firstLine="0" w:firstLineChars="0"/>
        <w:jc w:val="center"/>
        <w:rPr>
          <w:rFonts w:hint="eastAsia" w:ascii="宋体" w:hAnsi="宋体" w:eastAsia="宋体" w:cs="宋体"/>
          <w:kern w:val="0"/>
        </w:rPr>
      </w:pPr>
      <w:r>
        <w:rPr>
          <w:rFonts w:hint="eastAsia" w:ascii="宋体" w:hAnsi="宋体" w:eastAsia="宋体" w:cs="宋体"/>
          <w:kern w:val="0"/>
        </w:rPr>
        <w:drawing>
          <wp:inline distT="0" distB="0" distL="0" distR="0">
            <wp:extent cx="5267960" cy="2063750"/>
            <wp:effectExtent l="0" t="0" r="8890" b="0"/>
            <wp:docPr id="19222033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3381" name="图片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67960" cy="2063750"/>
                    </a:xfrm>
                    <a:prstGeom prst="rect">
                      <a:avLst/>
                    </a:prstGeom>
                    <a:noFill/>
                    <a:ln>
                      <a:noFill/>
                    </a:ln>
                  </pic:spPr>
                </pic:pic>
              </a:graphicData>
            </a:graphic>
          </wp:inline>
        </w:drawing>
      </w:r>
    </w:p>
    <w:p w14:paraId="2457E0C3">
      <w:pPr>
        <w:pStyle w:val="21"/>
        <w:jc w:val="center"/>
      </w:pPr>
      <w:r>
        <w:rPr>
          <w:rFonts w:hint="eastAsia"/>
        </w:rPr>
        <w:t>图</w:t>
      </w:r>
      <w:r>
        <w:rPr>
          <w:rFonts w:hint="eastAsia"/>
          <w:lang w:val="en-US" w:eastAsia="zh-CN"/>
        </w:rPr>
        <w:t>2</w:t>
      </w:r>
      <w:r>
        <w:rPr>
          <w:rFonts w:hint="eastAsia"/>
        </w:rPr>
        <w:t xml:space="preserve">  数据可信治理平台核心战略</w:t>
      </w:r>
    </w:p>
    <w:p w14:paraId="5A566963">
      <w:pPr>
        <w:pStyle w:val="4"/>
        <w:spacing w:line="360" w:lineRule="auto"/>
      </w:pPr>
      <w:r>
        <w:rPr>
          <w:rFonts w:hint="eastAsia"/>
        </w:rPr>
        <w:t>销售策略</w:t>
      </w:r>
    </w:p>
    <w:p w14:paraId="4015DEEB">
      <w:pPr>
        <w:pStyle w:val="5"/>
        <w:numPr>
          <w:ilvl w:val="0"/>
          <w:numId w:val="7"/>
        </w:numPr>
        <w:spacing w:line="360" w:lineRule="auto"/>
      </w:pPr>
      <w:r>
        <w:rPr>
          <w:rFonts w:hint="eastAsia"/>
        </w:rPr>
        <w:t>销售模式优化与拓展</w:t>
      </w:r>
    </w:p>
    <w:p w14:paraId="2215C30D">
      <w:pPr>
        <w:autoSpaceDE w:val="0"/>
        <w:spacing w:before="156" w:beforeLines="50" w:line="360" w:lineRule="auto"/>
        <w:ind w:firstLine="480"/>
      </w:pPr>
      <w:r>
        <w:rPr>
          <w:rFonts w:hint="eastAsia" w:ascii="宋体" w:hAnsi="宋体"/>
        </w:rPr>
        <w:t>组建专业的直接销售团队，成员需具备深厚的数据治理、信息安全知识以及丰富的销售经验。针对大型金融机构、连锁医疗机构总部、省级政务数据管理部门等关键客户群体，实行一对一专属销售服务。销售团队深入了解客户的业务流程、数据痛点与战略目标，为其定制深度契合的解决方案。例如，为某大型国有银行总行提供服务时，安排专人驻场，与银行的数据、风控、业务部门协同作战，从数据源头梳理业务需求，定制涵盖数据确权、隐私保护到跨部门数据共享交易全流程的解决方案，确保方案精准对接银行的数字化转型战略，提升销售的针对性与成功率，增强客户对产品的信任度。</w:t>
      </w:r>
    </w:p>
    <w:p w14:paraId="37E88FDB">
      <w:pPr>
        <w:autoSpaceDE w:val="0"/>
        <w:spacing w:before="156" w:beforeLines="50" w:line="360" w:lineRule="auto"/>
        <w:ind w:firstLine="480"/>
      </w:pPr>
      <w:r>
        <w:rPr>
          <w:rFonts w:hint="eastAsia" w:ascii="宋体" w:hAnsi="宋体"/>
        </w:rPr>
        <w:t>除了常规的销售合作，与系统集成商共同开发行业垂直解决方案。例如，在智慧城市建设领域，联合系统集成商打造城市数据大脑解决方案，将数据可信治理平台嵌入其中。平台负责城市政务数据、物联网数据、企业数据的可信流通与治理，系统集成商则发挥其在硬件部署、系统集成方面的优势，双方共同面向城市管理者推广，实现互利共赢，拓宽市场覆盖范围。</w:t>
      </w:r>
    </w:p>
    <w:p w14:paraId="6FE39EFF">
      <w:pPr>
        <w:autoSpaceDE w:val="0"/>
        <w:spacing w:before="156" w:beforeLines="50" w:line="360" w:lineRule="auto"/>
        <w:ind w:firstLine="480"/>
      </w:pPr>
      <w:r>
        <w:rPr>
          <w:rFonts w:hint="eastAsia" w:ascii="宋体" w:hAnsi="宋体"/>
        </w:rPr>
        <w:t>积极与金融、医疗、政务等行业的专业软件开发商建立合作。以医疗行业为例，与电子病历系统、医学影像系统开发商合作，将数据可信治理功能集成到其软件产品中。当医院采购或升级这些软件时，平台能够同步进入医院信息系统生态，借助软件开发商的客户资源与销售网络，快速触达潜在客户群体，降低销售成本，提高市场渗透率。</w:t>
      </w:r>
    </w:p>
    <w:p w14:paraId="0A577FB2">
      <w:pPr>
        <w:pStyle w:val="5"/>
        <w:spacing w:line="360" w:lineRule="auto"/>
      </w:pPr>
      <w:r>
        <w:rPr>
          <w:rFonts w:hint="eastAsia"/>
        </w:rPr>
        <w:t>价格策略精细化制定与动态调整</w:t>
      </w:r>
    </w:p>
    <w:p w14:paraId="59CA883C">
      <w:pPr>
        <w:autoSpaceDE w:val="0"/>
        <w:spacing w:before="156" w:beforeLines="50" w:line="360" w:lineRule="auto"/>
        <w:ind w:firstLine="480"/>
      </w:pPr>
      <w:r>
        <w:rPr>
          <w:rFonts w:hint="eastAsia" w:ascii="宋体" w:hAnsi="宋体"/>
        </w:rPr>
        <w:t>按功能模块定价：将平台功能拆分为基础数据登记管理、隐私计算引擎、动态授权与审计追踪等独立模块。对于预算有限但有特定需求的中小企业客户，允许其按需购买单个模块。例如，一家小型互联网金融公司，初期只需基础数据登记管理和简单隐私计算功能，可先采购对应模块，待业务发展后再逐步添购其他模块，降低客户初始采购门槛，扩大客户群体基数。</w:t>
      </w:r>
    </w:p>
    <w:p w14:paraId="49D944F5">
      <w:pPr>
        <w:autoSpaceDE w:val="0"/>
        <w:spacing w:before="156" w:beforeLines="50" w:line="360" w:lineRule="auto"/>
        <w:ind w:firstLine="480"/>
      </w:pPr>
      <w:r>
        <w:rPr>
          <w:rFonts w:hint="eastAsia" w:ascii="宋体" w:hAnsi="宋体"/>
        </w:rPr>
        <w:t>按数据流通规模定价：根据客户每年预计的数据流通量（如数据交易笔数、数据共享频次、涉及的数据量大小等）制定阶梯式价格。对于数据流通活跃的大型企业客户，实行批量优惠、长期合同优惠等政策。例如，某大型电商平台，预计年数据共享交易量超百万笔，给予其较大幅度的价格折扣，以激励其扩大平台使用规模，同时确保平台收益稳定增长。</w:t>
      </w:r>
    </w:p>
    <w:p w14:paraId="2F3738B5">
      <w:pPr>
        <w:autoSpaceDE w:val="0"/>
        <w:spacing w:before="156" w:beforeLines="50" w:line="360" w:lineRule="auto"/>
        <w:ind w:firstLine="480"/>
      </w:pPr>
      <w:r>
        <w:rPr>
          <w:rFonts w:hint="eastAsia" w:ascii="宋体" w:hAnsi="宋体"/>
        </w:rPr>
        <w:t>按行业定制化程度定价：针对金融、医疗、政务等不同行业的特殊需求定制解决方案时，综合考虑行业技术难度、合规要求复杂程度、项目开发周期等因素定价。政务行业数据治理项目因涉及国家安全、民生保障等敏感领域，技术要求高、开发周期长，相应收取较高的定制化服务费用，合理体现服务价值。</w:t>
      </w:r>
    </w:p>
    <w:p w14:paraId="74873917">
      <w:pPr>
        <w:autoSpaceDE w:val="0"/>
        <w:spacing w:before="156" w:beforeLines="50" w:line="360" w:lineRule="auto"/>
        <w:ind w:firstLine="480"/>
      </w:pPr>
      <w:r>
        <w:rPr>
          <w:rFonts w:hint="eastAsia" w:ascii="宋体" w:hAnsi="宋体"/>
        </w:rPr>
        <w:t>设立专门的市场监测团队，实时跟踪竞争对手的价格变动、产品升级、促销活动等动态。当竞争对手推出低价策略时，及时分析其产品功能、服务质量与平台的差异。若平台在隐私计算技术、数据确权准确性等方面具有优势，则通过突出差异化价值进行针对性宣传，同时适当推出限时优惠、增值服务套餐等灵活价格策略应对竞争，避免陷入恶性价格战；若竞争对手因技术突破导致成本降低而降价，平台则加快自身技术优化，同步调整价格体系，保持市场竞争力。</w:t>
      </w:r>
    </w:p>
    <w:p w14:paraId="02A6102F">
      <w:pPr>
        <w:autoSpaceDE w:val="0"/>
        <w:spacing w:before="156" w:beforeLines="50" w:line="360" w:lineRule="auto"/>
        <w:ind w:firstLine="480"/>
        <w:rPr>
          <w:rFonts w:hint="eastAsia" w:ascii="宋体" w:hAnsi="宋体"/>
        </w:rPr>
      </w:pPr>
      <w:r>
        <w:rPr>
          <w:rFonts w:hint="eastAsia" w:ascii="宋体" w:hAnsi="宋体"/>
        </w:rPr>
        <w:t>建立客户价值评估模型，根据客户的数据资产规模、行业影响力、潜在业务拓展空间等因素评估客户价值。对于高价值客户，如行业龙头企业、国家级政务数据管理部门等，提供更具前瞻性的定制化服务，如提前参与其数据战略规划、共同开展数据创新应用研究等，相应收取高额服务费用。同时，根据客户业务发展带来的数据流通规模增长，定期（如每半年或一年）重新评估客户价值，适时调整价格，确保平台收益与客户价值增长相匹配，实现长期稳定的盈利关系。</w:t>
      </w:r>
    </w:p>
    <w:p w14:paraId="37C7930C">
      <w:pPr>
        <w:pStyle w:val="4"/>
        <w:spacing w:line="360" w:lineRule="auto"/>
      </w:pPr>
      <w:r>
        <w:rPr>
          <w:rFonts w:hint="eastAsia"/>
        </w:rPr>
        <w:t>品牌建设</w:t>
      </w:r>
    </w:p>
    <w:p w14:paraId="7E610122">
      <w:pPr>
        <w:pStyle w:val="5"/>
        <w:numPr>
          <w:ilvl w:val="0"/>
          <w:numId w:val="8"/>
        </w:numPr>
        <w:spacing w:line="360" w:lineRule="auto"/>
      </w:pPr>
      <w:r>
        <w:rPr>
          <w:rFonts w:hint="eastAsia"/>
        </w:rPr>
        <w:t>品牌定位</w:t>
      </w:r>
    </w:p>
    <w:p w14:paraId="6A757B05">
      <w:pPr>
        <w:spacing w:line="360" w:lineRule="auto"/>
        <w:ind w:firstLine="480"/>
      </w:pPr>
      <w:r>
        <w:rPr>
          <w:rFonts w:hint="eastAsia"/>
        </w:rPr>
        <w:t>基于项目核心价值，将品牌定位为 “数据可信流通的领航者”，寓意助力数据可信流通，打造值得信赖的通路。这一定位简洁明了，易于记忆，同时精准传达品牌在数据可信流通领域的专注与使命，为品牌建设奠定坚实基础，便于后续品牌传播与推广。</w:t>
      </w:r>
    </w:p>
    <w:p w14:paraId="37FD70D1">
      <w:pPr>
        <w:pStyle w:val="5"/>
        <w:spacing w:line="360" w:lineRule="auto"/>
      </w:pPr>
      <w:r>
        <w:rPr>
          <w:rFonts w:hint="eastAsia"/>
        </w:rPr>
        <w:t>品牌形象塑造</w:t>
      </w:r>
    </w:p>
    <w:p w14:paraId="10DDE163">
      <w:pPr>
        <w:spacing w:line="360" w:lineRule="auto"/>
        <w:ind w:firstLine="480"/>
      </w:pPr>
      <w:r>
        <w:rPr>
          <w:rFonts w:hint="eastAsia"/>
        </w:rPr>
        <w:t>在形象的设计中，设计具有科技感、安全感的 logo 与品牌视觉识别系统，以蓝色、白色为主色调，象征科技与信任。通过优质产品体验、成功案例宣传与积极客户服务，营造专业可靠的品牌口碑。</w:t>
      </w:r>
    </w:p>
    <w:p w14:paraId="2B1C562D">
      <w:pPr>
        <w:spacing w:line="360" w:lineRule="auto"/>
        <w:ind w:firstLine="480"/>
        <w:jc w:val="center"/>
      </w:pPr>
      <w:r>
        <w:rPr>
          <w:rFonts w:hint="eastAsia"/>
        </w:rPr>
        <w:drawing>
          <wp:inline distT="0" distB="0" distL="0" distR="0">
            <wp:extent cx="3145790" cy="2296795"/>
            <wp:effectExtent l="0" t="0" r="0" b="8255"/>
            <wp:docPr id="4729703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70357"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45790" cy="2296795"/>
                    </a:xfrm>
                    <a:prstGeom prst="rect">
                      <a:avLst/>
                    </a:prstGeom>
                    <a:noFill/>
                    <a:ln>
                      <a:noFill/>
                    </a:ln>
                  </pic:spPr>
                </pic:pic>
              </a:graphicData>
            </a:graphic>
          </wp:inline>
        </w:drawing>
      </w:r>
    </w:p>
    <w:p w14:paraId="7922D390">
      <w:pPr>
        <w:pStyle w:val="21"/>
        <w:jc w:val="center"/>
      </w:pPr>
      <w:r>
        <w:rPr>
          <w:rFonts w:hint="eastAsia"/>
        </w:rPr>
        <w:t>图</w:t>
      </w:r>
      <w:r>
        <w:rPr>
          <w:rFonts w:hint="eastAsia"/>
          <w:lang w:val="en-US" w:eastAsia="zh-CN"/>
        </w:rPr>
        <w:t>3</w:t>
      </w:r>
      <w:r>
        <w:rPr>
          <w:rFonts w:hint="eastAsia"/>
        </w:rPr>
        <w:t xml:space="preserve">   品牌logo设计</w:t>
      </w:r>
    </w:p>
    <w:p w14:paraId="481B25A3">
      <w:pPr>
        <w:spacing w:line="360" w:lineRule="auto"/>
        <w:ind w:firstLine="480"/>
      </w:pPr>
      <w:r>
        <w:rPr>
          <w:rFonts w:hint="eastAsia"/>
        </w:rPr>
        <w:t>深入挖掘品牌创立背景与团队发展历程，撰写吸引人的品牌故事。讲述团队在数据要素流通领域的探索初心，面对数据权属不清、隐私泄露等难题，凭借对技术创新的执着追求与对数据价值的深刻洞察，成功研发出数据可信治理机制与平台，为数字经济时代的数据流通难题提供解决方案。通过品牌故事的传播，增强客户对品牌的认同感与情感连接，提升品牌的文化内涵与美誉度。</w:t>
      </w:r>
    </w:p>
    <w:p w14:paraId="547FAE76">
      <w:pPr>
        <w:pStyle w:val="5"/>
        <w:spacing w:line="360" w:lineRule="auto"/>
      </w:pPr>
      <w:r>
        <w:rPr>
          <w:rFonts w:hint="eastAsia"/>
        </w:rPr>
        <w:t>品牌传播策略</w:t>
      </w:r>
    </w:p>
    <w:p w14:paraId="4154D350">
      <w:pPr>
        <w:spacing w:line="360" w:lineRule="auto"/>
        <w:ind w:firstLine="480"/>
      </w:pPr>
      <w:r>
        <w:rPr>
          <w:rFonts w:hint="eastAsia"/>
        </w:rPr>
        <w:t>线上传播主要通过社交媒体营销和内容营销。</w:t>
      </w:r>
    </w:p>
    <w:p w14:paraId="6E3B73DC">
      <w:pPr>
        <w:spacing w:line="360" w:lineRule="auto"/>
        <w:ind w:firstLine="480"/>
      </w:pPr>
      <w:r>
        <w:rPr>
          <w:rFonts w:hint="eastAsia"/>
        </w:rPr>
        <w:t>社交媒体营销：在领英、微信公众号、微博、抖音等主流社交媒体平台开设官方账号，定期发布品牌动态、技术成果、行业洞察、成功案例等优质内容。制作图文并茂的推文，介绍数据可信治理机制与平台的核心功能与优势，如数据确权的精准性、隐私计算的强大性能、动态授权与审计追踪的高效性等。同时，分享团队成员的专业观点与行业见解，树立品牌在数据要素流通领域的专家形象。利用社交媒体平台的广告投放功能，精准定位目标客户群体，如金融、医疗、政务等行业相关从业者，投放品牌宣传广告，提高品牌曝光度与粉丝关注度。积极参与社交媒体上的行业话题讨论，与潜在客户进行互动交流，解答他们对数据可信治理的疑问，增强品牌影响力与用户粘性。</w:t>
      </w:r>
    </w:p>
    <w:p w14:paraId="79D8A9EB">
      <w:pPr>
        <w:spacing w:line="360" w:lineRule="auto"/>
        <w:ind w:firstLine="480"/>
      </w:pPr>
      <w:r>
        <w:rPr>
          <w:rFonts w:hint="eastAsia"/>
        </w:rPr>
        <w:t>内容营销：创建品牌官方网站与博客，发布深度行业分析报告、白皮书、技术文章、案例研究等内容。同时通过搜索引擎优化（SEO）技术，优化网站内容与关键词布局，提高网站在搜索引擎结果页面的排名，增加品牌自然流量与潜在客户获取量。同时，利用内容分发平台，如腾讯内容开放平台、今日头条等，将优质内容推送给更广泛的受众群体，扩大品牌传播范围。</w:t>
      </w:r>
    </w:p>
    <w:p w14:paraId="07FB84E6">
      <w:pPr>
        <w:spacing w:line="360" w:lineRule="auto"/>
        <w:ind w:firstLine="480"/>
      </w:pPr>
      <w:r>
        <w:rPr>
          <w:rFonts w:hint="eastAsia"/>
        </w:rPr>
        <w:t>线下传播主要通过行业展会与研讨会、合作伙伴联合推广和行业媒体与公关合作。</w:t>
      </w:r>
    </w:p>
    <w:p w14:paraId="57262E04">
      <w:pPr>
        <w:spacing w:line="360" w:lineRule="auto"/>
        <w:ind w:firstLine="480"/>
      </w:pPr>
      <w:r>
        <w:rPr>
          <w:rFonts w:hint="eastAsia"/>
        </w:rPr>
        <w:t>行业展会与研讨会：积极参与国内外大数据、数字经济、信息安全等领域的知名行业展会。在展会上设置精美展位，展示数据可信治理机制与平台的核心功能与特色优势，通过现场演示、案例讲解、互动体验等方式，吸引众多潜在客户与合作伙伴的关注。同时，举办品牌专场发布会或技术研讨会，邀请行业专家、客户代表、媒体记者等参加，深入介绍品牌理念、技术架构、应用场景与未来发展规划，提升品牌知名度与行业影响力。在研讨会上，与同行企业进行交流合作，共同探讨数据要素流通领域的前沿技术与发展趋势，拓展品牌合作机会。</w:t>
      </w:r>
    </w:p>
    <w:p w14:paraId="6EC02DB6">
      <w:pPr>
        <w:spacing w:line="360" w:lineRule="auto"/>
        <w:ind w:firstLine="480"/>
      </w:pPr>
      <w:r>
        <w:rPr>
          <w:rFonts w:hint="eastAsia"/>
        </w:rPr>
        <w:t>合作伙伴联合推广：与贵州数据宝科技有限公司等企业、系统集成商、行业软件开发商等合作伙伴建立紧密的品牌合作关系，开展联合推广活动。例如，在合作伙伴的行业解决方案宣传资料中嵌入品牌平台的介绍与优势说明；共同举办行业客户推介会，针对金融、医疗、政务等行业客户进行联合产品演示与方案讲解；借助合作伙伴的销售渠道与客户资源，扩大品牌市场覆盖范围，实现互利共赢的品牌推广效果。</w:t>
      </w:r>
    </w:p>
    <w:p w14:paraId="5DA68C49">
      <w:pPr>
        <w:spacing w:line="360" w:lineRule="auto"/>
        <w:ind w:firstLine="480"/>
      </w:pPr>
      <w:r>
        <w:rPr>
          <w:rFonts w:hint="eastAsia"/>
        </w:rPr>
        <w:t>行业媒体与公关合作：与行业权威媒体建立长期合作关系，定期发布品牌新闻稿、技术专题报道、成功案例宣传等文章，借助媒体的力量提升品牌在行业内的知名度与美誉度。邀请媒体记者参加品牌重要活动，如产品发布会、技术研讨会等，争取媒体的深度报道与专题专访机会，增强品牌媒体曝光度。同时，积极参与行业奖项评选活动，如 “年度数据安全创新企业奖”“数字经济领域最佳解决方案奖” 等，通过获奖荣誉的宣传，提升品牌行业地位与权威性，树立品牌在数据可信治理领域的领先地位。</w:t>
      </w:r>
    </w:p>
    <w:p w14:paraId="5960BF62">
      <w:pPr>
        <w:pStyle w:val="4"/>
        <w:spacing w:line="360" w:lineRule="auto"/>
      </w:pPr>
      <w:r>
        <w:rPr>
          <w:rFonts w:hint="eastAsia"/>
        </w:rPr>
        <w:t>战略与联盟</w:t>
      </w:r>
    </w:p>
    <w:p w14:paraId="6F9AFDE5">
      <w:pPr>
        <w:pStyle w:val="5"/>
        <w:numPr>
          <w:ilvl w:val="0"/>
          <w:numId w:val="9"/>
        </w:numPr>
        <w:spacing w:line="360" w:lineRule="auto"/>
      </w:pPr>
      <w:r>
        <w:rPr>
          <w:rFonts w:hint="eastAsia"/>
        </w:rPr>
        <w:t>企业合作战略</w:t>
      </w:r>
    </w:p>
    <w:p w14:paraId="280B3E97">
      <w:pPr>
        <w:spacing w:line="360" w:lineRule="auto"/>
        <w:ind w:firstLine="480"/>
      </w:pPr>
      <w:r>
        <w:rPr>
          <w:rFonts w:hint="eastAsia"/>
        </w:rPr>
        <w:t>持续深化与贵州数据宝科技有限公司的合作，联合成立专项技术攻关小组。针对数据可信治理机制与平台开发中的关键难题，如高性能隐私计算算法优化、跨域数据安全互认等，集中双方技术优势资源，展开深入研发。定期举行技术研讨会，共享研发进度与成果，共同攻克技术瓶颈，确保平台技术的先进性与可靠性。</w:t>
      </w:r>
    </w:p>
    <w:p w14:paraId="526CFF32">
      <w:pPr>
        <w:spacing w:line="360" w:lineRule="auto"/>
        <w:ind w:firstLine="480"/>
      </w:pPr>
      <w:r>
        <w:rPr>
          <w:rFonts w:hint="eastAsia"/>
        </w:rPr>
        <w:t>与贵州数据宝携手制定市场拓展计划，利用其在数据要素市场的行业影响力与客户资源，结合我们的技术优势与创新解决方案，共同开拓金融、医疗、政务等重点行业市场。在市场推广活动中，双方团队联合行动，以数据宝的品牌信誉为背书，共同向潜在客户展示平台功能与价值，加速产品市场渗透。</w:t>
      </w:r>
    </w:p>
    <w:p w14:paraId="3A8700EC">
      <w:pPr>
        <w:spacing w:line="360" w:lineRule="auto"/>
        <w:ind w:firstLine="480"/>
      </w:pPr>
      <w:r>
        <w:rPr>
          <w:rFonts w:hint="eastAsia"/>
        </w:rPr>
        <w:t>依托贵州数据宝丰富的数据资源池与实际应用场景案例，对我们的平台进行持续优化与功能验证。同时，将我们平台的创新应用场景与解决方案反馈给数据宝，促进双方在数据要素流通业务上的协同创新，实现数据资源价值最大化与应用场景多元化。</w:t>
      </w:r>
    </w:p>
    <w:p w14:paraId="683B3CD1">
      <w:pPr>
        <w:pStyle w:val="5"/>
        <w:spacing w:line="360" w:lineRule="auto"/>
      </w:pPr>
      <w:r>
        <w:rPr>
          <w:rFonts w:hint="eastAsia"/>
        </w:rPr>
        <w:t>构建产学研用一体化战略联盟</w:t>
      </w:r>
    </w:p>
    <w:p w14:paraId="43990B05">
      <w:pPr>
        <w:spacing w:line="360" w:lineRule="auto"/>
        <w:ind w:firstLine="480"/>
      </w:pPr>
      <w:r>
        <w:rPr>
          <w:rFonts w:hint="eastAsia"/>
        </w:rPr>
        <w:t>与其他高校计算机学院、信息安全学院等建立长期战略合作关系，设立数据可信治理联合研究中心。开展前沿技术研究合作，如探索新兴的区块链技术在数据确权与溯源中的深度应用、研究人工智能辅助的数据隐私保护模型等，共同申报国家科研项目，产出具有行业引领性的科研成果。同时，与高校合作开展定制化人才培养项目，设立相关专业课程与实习基地，为项目持续输送专业人才。</w:t>
      </w:r>
    </w:p>
    <w:p w14:paraId="6148AAA3">
      <w:pPr>
        <w:spacing w:line="360" w:lineRule="auto"/>
        <w:ind w:firstLine="480"/>
      </w:pPr>
      <w:r>
        <w:rPr>
          <w:rFonts w:hint="eastAsia"/>
        </w:rPr>
        <w:t>邀请数据要素流通领域权威专家、学者、行业领袖组成专家顾问团。定期召开专家咨询会议，为项目的战略规划、技术研发、市场应用等提供专业指导与决策建议。借助专家团队的行业影响力，提升项目在学术界与产业界的知名度与权威性，吸引更多优质资源汇聚。</w:t>
      </w:r>
    </w:p>
    <w:p w14:paraId="3BC717AA">
      <w:pPr>
        <w:spacing w:line="360" w:lineRule="auto"/>
        <w:ind w:firstLine="480"/>
      </w:pPr>
      <w:r>
        <w:rPr>
          <w:rFonts w:hint="eastAsia"/>
        </w:rPr>
        <w:t>建立产学研用协同创新成果孵化机制，将联合研究中心的科研成果快速转化为实际应用功能，集成到平台中并推向市场。对于具有重大创新价值的成果，共同制定行业标准，推动整个数据要素流通行业的技术进步与规范化发展。</w:t>
      </w:r>
    </w:p>
    <w:p w14:paraId="5FE3B68A">
      <w:pPr>
        <w:pStyle w:val="5"/>
        <w:spacing w:line="360" w:lineRule="auto"/>
      </w:pPr>
      <w:r>
        <w:rPr>
          <w:rFonts w:hint="eastAsia"/>
        </w:rPr>
        <w:t>行业生态合作战略</w:t>
      </w:r>
    </w:p>
    <w:p w14:paraId="3DDEA78C">
      <w:pPr>
        <w:spacing w:line="360" w:lineRule="auto"/>
        <w:ind w:firstLine="480"/>
      </w:pPr>
      <w:r>
        <w:rPr>
          <w:rFonts w:hint="eastAsia"/>
        </w:rPr>
        <w:t>与云服务企业建立深度合作伙伴关系。将我们的数据可信治理平台部署于主流云平台之上，借助云服务的基础设施优势与广泛的用户基础，实现平台的快速交付与大规模应用。同时，与云服务提供商联合打造行业解决方案，如金融云可信数据共享方案、政务云数据开放平台等，满足不同行业客户的差异化需求，共同拓展市场份额。</w:t>
      </w:r>
    </w:p>
    <w:p w14:paraId="21CE706A">
      <w:pPr>
        <w:spacing w:line="360" w:lineRule="auto"/>
        <w:ind w:firstLine="480"/>
      </w:pPr>
      <w:r>
        <w:rPr>
          <w:rFonts w:hint="eastAsia"/>
        </w:rPr>
        <w:t>积极与数据采集、数据标注、数据分析等数据要素产业链上下游企业建立合作关系，形成完整产业生态闭环。通过与数据采集企业的合作，确保平台接入高质量、合规的数据源；与数据标注企业合作，提升数据的可用性与价值；联合数据挖掘与分析企业，为客户提供深度数据洞察服务，全方位助力客户挖掘数据要素价值，增强整个产业链的协同效应与竞争力。</w:t>
      </w:r>
    </w:p>
    <w:p w14:paraId="07BB6216">
      <w:pPr>
        <w:pStyle w:val="4"/>
        <w:spacing w:line="360" w:lineRule="auto"/>
      </w:pPr>
      <w:r>
        <w:rPr>
          <w:rFonts w:hint="eastAsia"/>
        </w:rPr>
        <w:t>风险管理</w:t>
      </w:r>
    </w:p>
    <w:p w14:paraId="3AAE95B9">
      <w:pPr>
        <w:spacing w:line="360" w:lineRule="auto"/>
        <w:ind w:firstLine="480"/>
      </w:pPr>
      <w:r>
        <w:rPr>
          <w:rFonts w:hint="eastAsia"/>
        </w:rPr>
        <w:t>在数据可信治理机制与平台开发及市场推广过程中，需全面识别风险并制定应对策略，以保障项目的稳健推进与持续发展，以下是各主要风险类型及其具体应对措施。</w:t>
      </w:r>
    </w:p>
    <w:p w14:paraId="56B2A8BB">
      <w:pPr>
        <w:pStyle w:val="5"/>
        <w:numPr>
          <w:ilvl w:val="0"/>
          <w:numId w:val="10"/>
        </w:numPr>
        <w:spacing w:line="360" w:lineRule="auto"/>
      </w:pPr>
      <w:r>
        <w:rPr>
          <w:rFonts w:hint="eastAsia"/>
        </w:rPr>
        <w:t>技术风险</w:t>
      </w:r>
    </w:p>
    <w:p w14:paraId="1EFFF590">
      <w:pPr>
        <w:spacing w:line="360" w:lineRule="auto"/>
        <w:ind w:firstLine="480"/>
      </w:pPr>
      <w:r>
        <w:rPr>
          <w:rFonts w:hint="eastAsia"/>
        </w:rPr>
        <w:t>数据科学技术迭代迅速，隐私计算、区块链等前沿技术不断涌现新成果与替代方案，平台所采用的现有技术可能迅速过时，导致性能落后、功能受限，无法满足市场对高效率、强安全性数据流通的最新需求，进而削弱产品竞争力，影响市场推广与客户满意度。</w:t>
      </w:r>
    </w:p>
    <w:p w14:paraId="5C7C50CE">
      <w:pPr>
        <w:spacing w:line="360" w:lineRule="auto"/>
        <w:ind w:firstLine="480"/>
      </w:pPr>
      <w:r>
        <w:rPr>
          <w:rFonts w:hint="eastAsia"/>
        </w:rPr>
        <w:t>我们建立技术情报监测团队，安排专人定期追踪国际、国内数据安全与隐私计算领域的学术论文、行业报告、技术论坛动态，与更多的高校科研实验室、行业协会保持密切沟通，提前洞察技术趋势。每年投入一定比例的研发经费用于新技术预研与原型开发，如针对新型隐私保护算法、高效区块链共识机制等进行探索，确保平台能在技术迭代浪潮中平滑升级过渡，及时整合先进成果，保持技术领先优势。</w:t>
      </w:r>
    </w:p>
    <w:p w14:paraId="2834D138">
      <w:pPr>
        <w:spacing w:line="360" w:lineRule="auto"/>
        <w:ind w:firstLine="480"/>
      </w:pPr>
      <w:r>
        <w:rPr>
          <w:rFonts w:hint="eastAsia"/>
        </w:rPr>
        <w:t>数据可信治理涵盖复杂多样的技术模块，如高并发环境下的数据确权精准标记、多方安全计算性能优化、跨异构数据源的动态授权精准管控等，技术实现难度大且易出现技术瓶颈。若关键技术环节攻克不力，可能导致平台功能无法按预期实现或性能指标不达标，拖延项目进度，增加开发成本，甚至影响产品上市时间窗口，错过市场机遇。</w:t>
      </w:r>
    </w:p>
    <w:p w14:paraId="0D4B17C8">
      <w:pPr>
        <w:spacing w:line="360" w:lineRule="auto"/>
        <w:ind w:firstLine="480"/>
      </w:pPr>
      <w:r>
        <w:rPr>
          <w:rFonts w:hint="eastAsia"/>
        </w:rPr>
        <w:t>我们在项目前期详细拆解技术任务，针对高风险技术点开展小规模技术可行性验证实验，邀请外部技术专家参与方案评审，借鉴成熟项目经验优化技术路线。组建技术攻坚小组，引入内部竞赛机制与奖励制度，激励团队成员突破难题。同时，与专业技术服务提供商签订预备合作协议，遇到难以解决的技术卡点时及时引入外部智力资源协助攻关，保障项目按计划推进。</w:t>
      </w:r>
    </w:p>
    <w:p w14:paraId="14DBFD3F">
      <w:pPr>
        <w:pStyle w:val="5"/>
        <w:spacing w:line="360" w:lineRule="auto"/>
      </w:pPr>
      <w:r>
        <w:rPr>
          <w:rFonts w:hint="eastAsia"/>
        </w:rPr>
        <w:t>市场竞争风险</w:t>
      </w:r>
    </w:p>
    <w:p w14:paraId="568F0618">
      <w:pPr>
        <w:spacing w:line="360" w:lineRule="auto"/>
        <w:ind w:firstLine="480"/>
      </w:pPr>
      <w:r>
        <w:rPr>
          <w:rFonts w:hint="eastAsia"/>
        </w:rPr>
        <w:t>随着数据可信治理市场潜力凸显，竞争对手可能对本项目平台功能、技术架构、商业模式进行模仿抄袭，推出类似产品以低价、快速响应等策略抢夺客户资源，压缩本项目的市场份额，扰乱市场价格体系，削弱品牌独特性与市场吸引力。</w:t>
      </w:r>
    </w:p>
    <w:p w14:paraId="47E9A700">
      <w:pPr>
        <w:spacing w:line="360" w:lineRule="auto"/>
        <w:ind w:firstLine="480"/>
      </w:pPr>
      <w:r>
        <w:rPr>
          <w:rFonts w:hint="eastAsia"/>
        </w:rPr>
        <w:t>我们将强化知识产权保护意识，在平台开发过程中及时对核心技术算法、创新业务流程、独特界面设计等进行专利申请、软件著作权登记，构建坚固的法律护城河。定期进行市场竞品监测分析，一旦发现侵权行为，迅速启动法律维权程序，借助律师函、行政投诉、司法诉讼等手段维护权益。同时，持续加大研发投入，保持产品创新迭代速度领先，使竞争对手难以在短时间内复制跟进，始终以差异化优势占据市场高地。</w:t>
      </w:r>
    </w:p>
    <w:p w14:paraId="69B8947F">
      <w:pPr>
        <w:spacing w:line="360" w:lineRule="auto"/>
        <w:ind w:firstLine="480"/>
      </w:pPr>
      <w:r>
        <w:rPr>
          <w:rFonts w:hint="eastAsia"/>
        </w:rPr>
        <w:t>尽管项目初期积累了一定客户基础，但数据要素市场客户忠诚度受多种因素影响。若后续产品功能更新不及时、服务质量下滑、竞争对手推出更具吸引力的替代方案，客户可能转投他处，导致客户流失率上升，影响项目长期收益稳定性与品牌口碑传播。</w:t>
      </w:r>
    </w:p>
    <w:p w14:paraId="6925C2BF">
      <w:pPr>
        <w:spacing w:line="360" w:lineRule="auto"/>
        <w:ind w:firstLine="480"/>
      </w:pPr>
      <w:r>
        <w:rPr>
          <w:rFonts w:hint="eastAsia"/>
        </w:rPr>
        <w:t>我们将建立客户全生命周期管理体系，项目上线后设立专属客户成功团队，定期回访客户，收集使用反馈，依据客户业务发展需求规划产品迭代路线图，确保功能持续适配。制定严格的服务质量标准与监督机制，以客户满意度为核心指标考核运营团队，对投诉问题限时响应解决。为优质客户设计忠诚度奖励计划，如提供额外免费服务期、优先享受新功能体验、定制化数据分析报告等专属权益，增强客户粘性与归属感。</w:t>
      </w:r>
    </w:p>
    <w:p w14:paraId="68AD07D4">
      <w:pPr>
        <w:pStyle w:val="5"/>
        <w:spacing w:line="360" w:lineRule="auto"/>
      </w:pPr>
      <w:r>
        <w:rPr>
          <w:rFonts w:hint="eastAsia"/>
        </w:rPr>
        <w:t>数据安全与合规风险</w:t>
      </w:r>
    </w:p>
    <w:p w14:paraId="5112462D">
      <w:pPr>
        <w:spacing w:line="360" w:lineRule="auto"/>
        <w:ind w:firstLine="480"/>
      </w:pPr>
      <w:r>
        <w:rPr>
          <w:rFonts w:hint="eastAsia"/>
        </w:rPr>
        <w:t>平台涉及海量多源异构数据汇聚流通，数据存储、传输、计算等环节均存在潜在泄露风险点。一旦遭受黑客攻击、内部人员违规操作、第三方合作漏洞等安全威胁，导致敏感数据如个人隐私、商业机密、政务核心数据等泄露，将引发严重法律后果、巨额赔偿责任，重创品牌声誉，使项目陷入生存危机。</w:t>
      </w:r>
    </w:p>
    <w:p w14:paraId="451B1758">
      <w:pPr>
        <w:spacing w:line="360" w:lineRule="auto"/>
        <w:ind w:firstLine="480"/>
      </w:pPr>
      <w:r>
        <w:rPr>
          <w:rFonts w:hint="eastAsia"/>
        </w:rPr>
        <w:t>项目构建全方位数据安全防护体系，采用多层次加密技术，对数据存储加密、传输加密分别选用高强度算法，确保数据在各环节不可被窃取解密。部署智能入侵检测与防御系统，实时监测网络异常流量、可疑访问行为，及时阻断攻击并预警。强化员工安全意识培训，定期组织模拟安全攻防演练，模拟内部人员权限滥用、钓鱼邮件诱骗等场景，提升全员风险防范能力。与第三方安全审计机构合作，每季度进行全面数据安全审计，及时发现并修复潜在漏洞，审计报告向核心客户公开，增强信任。</w:t>
      </w:r>
    </w:p>
    <w:p w14:paraId="3B5B737F">
      <w:pPr>
        <w:spacing w:line="360" w:lineRule="auto"/>
        <w:ind w:firstLine="480"/>
      </w:pPr>
      <w:r>
        <w:rPr>
          <w:rFonts w:hint="eastAsia"/>
        </w:rPr>
        <w:t>数据要素市场处于快速发展与监管逐步完善的阶段，相关法律法规如数据安全法、个人信息保护法等持续细化更新，不同地区、行业可能出台差异化的数据治理细则与合规要求。若平台运营未能及时精准适配最新法规政策，面临违规处罚风险，包括高额罚款、业务暂停整顿、禁止市场准入等，严重影响项目合法合规运营与市场拓展。</w:t>
      </w:r>
    </w:p>
    <w:p w14:paraId="3E6A9186">
      <w:pPr>
        <w:spacing w:line="360" w:lineRule="auto"/>
        <w:ind w:firstLine="480"/>
      </w:pPr>
      <w:r>
        <w:rPr>
          <w:rFonts w:hint="eastAsia"/>
        </w:rPr>
        <w:t>我们将设立专门法务合规团队，紧密跟进国家及地方数据法规政策动态，安排专人解读新出台政策条款，评估对平台运营影响。建立法规政策知识库，将复杂法规转化为平台内部可操作的合规指引与流程规范，嵌入业务系统实现自动化合规校验。与行业监管机构建立常态沟通机制，定期汇报平台合规运营情况，主动参与行业标准制定，争取政策试点与创新空间，确保平台始终运行在合规轨道上。</w:t>
      </w:r>
    </w:p>
    <w:p w14:paraId="195D98F9">
      <w:pPr>
        <w:pStyle w:val="2"/>
        <w:spacing w:line="360" w:lineRule="auto"/>
        <w:ind w:firstLine="562"/>
      </w:pPr>
      <w:bookmarkStart w:id="5" w:name="_Toc18397"/>
      <w:r>
        <w:rPr>
          <w:rFonts w:hint="eastAsia"/>
        </w:rPr>
        <w:t>政策支持</w:t>
      </w:r>
      <w:bookmarkEnd w:id="5"/>
    </w:p>
    <w:p w14:paraId="36C25363">
      <w:pPr>
        <w:spacing w:line="360" w:lineRule="auto"/>
        <w:ind w:firstLine="480"/>
        <w:rPr>
          <w:bCs/>
          <w:szCs w:val="32"/>
        </w:rPr>
      </w:pPr>
      <w:r>
        <w:rPr>
          <w:rFonts w:hint="eastAsia"/>
          <w:bCs/>
          <w:szCs w:val="32"/>
        </w:rPr>
        <w:t>随着数字经济的蓬勃发展，数据已成为重要的生产要素和战略资源。近年来，国家高度重视数据要素流通与治理工作，国家和地方政府纷纷出台了一系列相关政策法规，为数据要素流通中的权属确认、隐私保护、安全审计等核心问题提供了明确指引和有力保障。这些政策不仅为数据要素的安全、合规、有序流通奠定了基础，也为本项目的顺利实施提供了坚实的政策支撑和方向指引。</w:t>
      </w:r>
    </w:p>
    <w:p w14:paraId="5805C904">
      <w:pPr>
        <w:spacing w:line="360" w:lineRule="auto"/>
        <w:ind w:firstLine="480"/>
        <w:rPr>
          <w:bCs/>
          <w:szCs w:val="32"/>
        </w:rPr>
      </w:pPr>
      <w:r>
        <w:rPr>
          <w:rFonts w:hint="eastAsia"/>
          <w:bCs/>
          <w:szCs w:val="32"/>
        </w:rPr>
        <w:t>在国家层面，数据要素流通与治理得到了高度重视与系统性布局。2022 年 12 月印发的《中共中央国务院关于构建数据基础制度更好发挥数据要素作用的意见》，明确建立保障权益、合规使用的数据产权制度，健全各参与方合法权益保护制度，推动数据流通使用模式的规范化，同时提出完善数据全流程合规与监管规则体系，强化市场主体数据全流程合规治理，构建数据来源可确认、使用范围可界定、流通过程可追溯、安全风险可防范的数据可信流通体系，为数据要素流通平台的建设与发展提供了根本遵循。《关于完善数据流通安全治理更好促进数据要素市场化价值化的实施方案》进一步强化了数据安全治理的具体措施，要求落实国家数据分类分级保护制度，明晰数据流通中的安全治理规则，加强数据流通安全技术应用和产业培育，完善权益保护和责任界定机制，提升安全治理能力，防范数据滥用风险，为隐私保护提供了操作性强的框架，同时强调了在数据流通全过程中的安全审计重要性。《建设高标准市场体系行动方案》也对数据要素流通提出了相关要求。该方案提出要加快培育数据要素市场，完善数据要素交易规则，加强数据安全保护，推动数据要素有序流通和高效配置，为数据要素流通的规范化和安全审计提供了政策依据。《数字中国建设2025年行动方案》从宏观层面为数据要素流通提供了发展方向。该方案以数据要素市场化配置改革为主线，提出加快培育全国一体化数据市场，推进数字基础设施扩容提质，持续深挖人工智能等数字技术应用新场景。这为数据可信治理机制与平台的开发提供了广阔的应用场景和发展空间，同时强调了数据安全保障能力的全面提升，再次说明了安全审计的重要性。</w:t>
      </w:r>
    </w:p>
    <w:p w14:paraId="70FD864D">
      <w:pPr>
        <w:spacing w:line="360" w:lineRule="auto"/>
        <w:ind w:firstLine="480"/>
        <w:rPr>
          <w:bCs/>
          <w:szCs w:val="32"/>
        </w:rPr>
      </w:pPr>
      <w:r>
        <w:rPr>
          <w:rFonts w:hint="eastAsia"/>
          <w:bCs/>
          <w:szCs w:val="32"/>
        </w:rPr>
        <w:t>此外，国家还通过《关于加快公共数据资源开发利用的意见》加强了公共数据资源的统一管理，推动了开发利用的规范化和透明化，并鼓励探索数据流通安全保障技术、标准、方案，支持企业和科研机构突破数据可信流通、安全治理等关键技术，推动数据要素相关技术和产业应用创新，为数据要素流通平台的建设与发展提供了坚实的技术支撑和技术保障。《数字中国建设 2025 年行动方案》从宏观层面为数据要素流通提供了发展方向，提出以数据要素市场化配置改革为主线，加快培育全国一体化数据市场，推进数字基础设施扩容提质，持续深挖人工智能等数字技术应用新场景，为数据可信治理机制与平台的开发提供了广阔的应用场景和发展空间，同时强调了数据安全保障能力的全面提升，进一步凸显了安全审计的重要性。</w:t>
      </w:r>
    </w:p>
    <w:p w14:paraId="49162EBC">
      <w:pPr>
        <w:spacing w:line="360" w:lineRule="auto"/>
        <w:ind w:firstLine="480"/>
        <w:rPr>
          <w:bCs/>
          <w:szCs w:val="32"/>
        </w:rPr>
      </w:pPr>
      <w:r>
        <w:rPr>
          <w:rFonts w:hint="eastAsia"/>
          <w:bCs/>
          <w:szCs w:val="32"/>
        </w:rPr>
        <w:t>在地方层面，各地积极探索数据要素流通与治理的落地实践。例如，《福建省促进数据要素流通交易的若干措施》通过汇聚治理各类数据、鼓励政务部门积极参与公共数据治理开放开发、支持行业数据服务平台建设等方面，强化数据要素供给，加快培育数据要素市场，助力数字福建高质量发展。《杭州市人民政府办公厅关于高标准建设 “中国数谷” 促进数据要素流通的实施意见》提出加快推进数据交易立法，创新数据产权登记制度，优化安全合规流通体系，持续完善标准规范体系等一系列举措，积极探索数据要素流通与治理的新模式和新路径。此外，北京市《关于更好发挥数据要素作用进一步加快发展数字经济的实施意见》提出到 2030 年，北京市数据要素市场规模达到 2000 亿元，基本完成国家数据基础制度先行先试工作，形成数据服务产业集聚区。上海市《立足数字经济新赛道推动数据要素产业创新发展行动方案（2023 - 2025 年）》从地方立法层面为数据要素市场的发展提供了坚实的法律支撑。广东省《广东省数据条例》聚焦解决数据要素市场发展中的痛点难点问题，明确数据处理规则和数据要素市场培育方向，鼓励数据创新应用。浙江省《浙江省数据条例》规范数据资源管理，促进数据要素市场的培育和发展。贵州省印发《贵州省数据要素登记服务管理办法（试行）》，推动数据要素登记服务活动有序开展，规范数据要素登记服务，保护登记主体的合法权益，激活数据要素潜能。这些地方政策的出台和实践，为数据要素流通与治理提供了丰富的实践经验和政策参考。</w:t>
      </w:r>
    </w:p>
    <w:p w14:paraId="730BB863">
      <w:pPr>
        <w:spacing w:line="360" w:lineRule="auto"/>
        <w:ind w:firstLine="480"/>
        <w:rPr>
          <w:szCs w:val="32"/>
        </w:rPr>
      </w:pPr>
      <w:r>
        <w:rPr>
          <w:rFonts w:hint="eastAsia"/>
          <w:bCs/>
          <w:szCs w:val="32"/>
        </w:rPr>
        <w:t>本项目依托坚实的政策基础和明确的方向指引，聚焦数据要素流通中的权属确认、隐私保护、安全审计等核心问题，致力于构建和完善数据可信治理机制与平台。通过积极探索创新，团队将为数据要素的安全、合规、有序流通提供有力保障，推动数据要素价值的充分释放，助力数字经济的高质量发展，为数字中国的建设贡献关键力量。</w:t>
      </w:r>
    </w:p>
    <w:p w14:paraId="23ADA2DB">
      <w:pPr>
        <w:pStyle w:val="2"/>
        <w:spacing w:line="360" w:lineRule="auto"/>
        <w:ind w:firstLine="562"/>
      </w:pPr>
      <w:bookmarkStart w:id="6" w:name="_Toc7207"/>
      <w:r>
        <w:rPr>
          <w:rFonts w:hint="eastAsia"/>
        </w:rPr>
        <w:t>市场分析</w:t>
      </w:r>
      <w:bookmarkEnd w:id="6"/>
    </w:p>
    <w:p w14:paraId="574D6CD2">
      <w:pPr>
        <w:pStyle w:val="3"/>
        <w:numPr>
          <w:ilvl w:val="0"/>
          <w:numId w:val="11"/>
        </w:numPr>
        <w:spacing w:line="360" w:lineRule="auto"/>
      </w:pPr>
      <w:bookmarkStart w:id="7" w:name="_Toc31034"/>
      <w:r>
        <w:rPr>
          <w:rFonts w:hint="eastAsia"/>
        </w:rPr>
        <w:t>行业分析</w:t>
      </w:r>
      <w:bookmarkEnd w:id="7"/>
    </w:p>
    <w:p w14:paraId="50549625">
      <w:pPr>
        <w:pStyle w:val="4"/>
        <w:numPr>
          <w:ilvl w:val="0"/>
          <w:numId w:val="12"/>
        </w:numPr>
        <w:spacing w:line="360" w:lineRule="auto"/>
      </w:pPr>
      <w:r>
        <w:rPr>
          <w:rFonts w:hint="eastAsia"/>
        </w:rPr>
        <w:t>定义与特点</w:t>
      </w:r>
    </w:p>
    <w:p w14:paraId="5810EBD2">
      <w:pPr>
        <w:spacing w:line="360" w:lineRule="auto"/>
        <w:ind w:firstLine="480"/>
      </w:pPr>
      <w:r>
        <w:rPr>
          <w:rFonts w:hint="eastAsia"/>
        </w:rPr>
        <w:t>数据治理是组织中涉及数据使用的一整套管理行为。由企业数据治理部门发起并推行，关于如何制定和实施针对整个企业内部数据的商业应用和技术管理的一系列政策和流程。国际数据管理协会(DAMA)给出的定义：数据治理是对数据资产管理行使权力和控制的活动集合。数据治理对于确保数据的准确、适度分享和保护是至关重要的，有效的数据治理计划会通过改进决策、缩减成本、降低风险和提高安全合规等方式，将价值回馈于业务，并最终体现为增加收入和利润。</w:t>
      </w:r>
    </w:p>
    <w:p w14:paraId="1C33C416">
      <w:pPr>
        <w:spacing w:line="360" w:lineRule="auto"/>
        <w:ind w:firstLine="480"/>
        <w:jc w:val="center"/>
      </w:pPr>
      <w:r>
        <w:rPr>
          <w:rFonts w:hint="eastAsia"/>
        </w:rPr>
        <w:t>数据治理的过程是指通过采集、传输、储存等一系列标准化流程将原本零散的数据变成格式规范、结构统一的数据，同时对其进行严格规范的综合数据监控，保证数据质量；然后对这些标准化的数据进行进一步的加工分析，形成具有指导意义的业务监控报表、业务监控模型等，来帮助企业进行辅助决策。数据可信治理是对数据资产的管理活动行使权力和控制的活动集合，包括规划、监控和执行等，目的是让数据从不可控、不可用到可控、方便易用且对业务有极大帮助。它侧重于数据的质量、安全性和可用性，通过定义和实施数据收集、所有权、存储、处理和使用的政策、标准和程序，确保数据的完整性。（见图</w:t>
      </w:r>
      <w:r>
        <w:rPr>
          <w:rFonts w:hint="eastAsia"/>
          <w:lang w:val="en-US" w:eastAsia="zh-CN"/>
        </w:rPr>
        <w:t>4</w:t>
      </w:r>
      <w:r>
        <w:rPr>
          <w:rFonts w:hint="eastAsia"/>
        </w:rPr>
        <w:t>）</w:t>
      </w:r>
      <w:r>
        <w:rPr>
          <w:rFonts w:ascii="Calibri" w:hAnsi="Calibri" w:eastAsia="宋体" w:cs="Times New Roman"/>
          <w:sz w:val="36"/>
          <w:szCs w:val="36"/>
          <w:lang w:bidi="ar"/>
        </w:rPr>
        <w:drawing>
          <wp:inline distT="0" distB="0" distL="114300" distR="114300">
            <wp:extent cx="5270500" cy="1351280"/>
            <wp:effectExtent l="0" t="0" r="0" b="0"/>
            <wp:docPr id="14" name="ECB019B1-382A-4266-B25C-5B523AA43C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5" descr="wps"/>
                    <pic:cNvPicPr>
                      <a:picLocks noChangeAspect="1"/>
                    </pic:cNvPicPr>
                  </pic:nvPicPr>
                  <pic:blipFill>
                    <a:blip r:embed="rId16"/>
                    <a:stretch>
                      <a:fillRect/>
                    </a:stretch>
                  </pic:blipFill>
                  <pic:spPr>
                    <a:xfrm>
                      <a:off x="0" y="0"/>
                      <a:ext cx="5270500" cy="1351280"/>
                    </a:xfrm>
                    <a:prstGeom prst="rect">
                      <a:avLst/>
                    </a:prstGeom>
                  </pic:spPr>
                </pic:pic>
              </a:graphicData>
            </a:graphic>
          </wp:inline>
        </w:drawing>
      </w:r>
    </w:p>
    <w:p w14:paraId="08F64FF2">
      <w:pPr>
        <w:pStyle w:val="21"/>
        <w:jc w:val="center"/>
      </w:pPr>
      <w:r>
        <w:rPr>
          <w:rFonts w:hint="eastAsia"/>
        </w:rPr>
        <w:t>图</w:t>
      </w:r>
      <w:r>
        <w:rPr>
          <w:rFonts w:hint="eastAsia"/>
          <w:lang w:val="en-US" w:eastAsia="zh-CN"/>
        </w:rPr>
        <w:t xml:space="preserve">4 </w:t>
      </w:r>
      <w:r>
        <w:rPr>
          <w:rFonts w:hint="eastAsia"/>
        </w:rPr>
        <w:t>数据治理过程</w:t>
      </w:r>
    </w:p>
    <w:p w14:paraId="6C65A31F">
      <w:pPr>
        <w:spacing w:line="360" w:lineRule="auto"/>
        <w:ind w:firstLine="480"/>
      </w:pPr>
      <w:r>
        <w:rPr>
          <w:rFonts w:hint="eastAsia"/>
        </w:rPr>
        <w:t>数据治理的市场驱动力主要来源于内外部两方面。从内部看，企业意识到高质量数据是提升竞争力的关键，通过数据治理，可以有效提升数据质量，降低数据冗余，减少数据管理成本，从而提高运营效率和决策质量。此外，随着数据量的爆炸式增长，如何从海量数据中快速提取有价值的信息，成为迫切需求，这也推动了数据治理技术的不断创新与应用。从外部环境看，监管政策的趋严，如数据保护法规的出台，要求企业必须加强数据合规管理，确保数据的合法合规使用，避免潜在的法律风险，市场对数据安全与隐私保护的关注度提升，也促使企业加大在数据治理上的投入，以增强客户信任，维护品牌形象。</w:t>
      </w:r>
    </w:p>
    <w:p w14:paraId="122FBC8C">
      <w:pPr>
        <w:spacing w:line="360" w:lineRule="auto"/>
        <w:ind w:firstLine="480"/>
      </w:pPr>
      <w:r>
        <w:rPr>
          <w:rFonts w:hint="eastAsia"/>
        </w:rPr>
        <w:t>数据治理的目标是为了将企业日常经营管理过程中的数据转变为可知、可用、可管，为企业的业务发展奠定基础。数据治理能够解决数据不一致的问题，确立统一的数据标准，进而提升组织内部的数据质量，并促进数据的广泛共享，最终将数据转化为企业的宝贵资产，支持其运营、管理及决策过程。当前，企业普遍将数据治理的目标设定为确保数据的可理解性、可用性和可管理性，以充分释放数据资产的价值。但是，数据治理的具体对象和范围会根据企业的实际需求而有所不同。面对持续变化的外部环境与业务要求，企业在数据治理的不同阶段会设定各自针对性的目标。</w:t>
      </w:r>
    </w:p>
    <w:p w14:paraId="4C610A12">
      <w:pPr>
        <w:spacing w:line="360" w:lineRule="auto"/>
        <w:ind w:firstLine="480"/>
      </w:pPr>
      <w:r>
        <w:rPr>
          <w:rFonts w:hint="eastAsia"/>
        </w:rPr>
        <w:t>具有以下特点：</w:t>
      </w:r>
    </w:p>
    <w:p w14:paraId="41CC2BC1">
      <w:pPr>
        <w:spacing w:line="360" w:lineRule="auto"/>
        <w:ind w:firstLine="480"/>
      </w:pPr>
      <w:r>
        <w:rPr>
          <w:rFonts w:hint="eastAsia"/>
        </w:rPr>
        <w:t>（1）合规性与安全性：</w:t>
      </w:r>
    </w:p>
    <w:p w14:paraId="50B77570">
      <w:pPr>
        <w:spacing w:line="360" w:lineRule="auto"/>
        <w:ind w:firstLine="480"/>
      </w:pPr>
      <w:r>
        <w:rPr>
          <w:rFonts w:hint="eastAsia"/>
        </w:rPr>
        <w:t>严格遵守法律法规：平台设计严格遵循《数据保护法》《网络安全法》《个人信息保护法》等法律法规，确保数据的收集、存储、使用和共享等环节符合法律要求。</w:t>
      </w:r>
    </w:p>
    <w:p w14:paraId="292119DD">
      <w:pPr>
        <w:spacing w:line="360" w:lineRule="auto"/>
        <w:ind w:firstLine="480"/>
      </w:pPr>
      <w:r>
        <w:rPr>
          <w:rFonts w:hint="eastAsia"/>
        </w:rPr>
        <w:t>数据隐私保护：采用先进的隐私计算技术，如多方安全计算（MPC）、同态加密、零知识证明等，确保数据在流通和使用过程中的隐私性。数据在加密状态下进行计算和分析，防止数据泄露。</w:t>
      </w:r>
    </w:p>
    <w:p w14:paraId="75E9F465">
      <w:pPr>
        <w:spacing w:line="360" w:lineRule="auto"/>
        <w:ind w:firstLine="480"/>
      </w:pPr>
      <w:r>
        <w:rPr>
          <w:rFonts w:hint="eastAsia"/>
        </w:rPr>
        <w:t>数据安全防护：通过区块链技术实现数据的不可篡改和溯源，确保数据的真实性和完整性。同时，平台采用多层安全防护机制，包括身份认证、访问控制、数据加密等，保障数据的安全性。</w:t>
      </w:r>
    </w:p>
    <w:p w14:paraId="2B51C0FA">
      <w:pPr>
        <w:spacing w:line="360" w:lineRule="auto"/>
        <w:ind w:firstLine="480"/>
      </w:pPr>
      <w:r>
        <w:rPr>
          <w:rFonts w:hint="eastAsia"/>
        </w:rPr>
        <w:t>（2）数据质量与可信性</w:t>
      </w:r>
    </w:p>
    <w:p w14:paraId="7A64FB14">
      <w:pPr>
        <w:spacing w:line="360" w:lineRule="auto"/>
        <w:ind w:firstLine="480"/>
      </w:pPr>
      <w:r>
        <w:rPr>
          <w:rFonts w:hint="eastAsia"/>
        </w:rPr>
        <w:t>数据质量管理：平台提供数据质量管理工具，包括数据清洗、数据校验、数据标准化等功能，确保数据的准确性、完整性和一致性。</w:t>
      </w:r>
    </w:p>
    <w:p w14:paraId="0F011A51">
      <w:pPr>
        <w:spacing w:line="360" w:lineRule="auto"/>
        <w:ind w:firstLine="480"/>
      </w:pPr>
      <w:r>
        <w:rPr>
          <w:rFonts w:hint="eastAsia"/>
        </w:rPr>
        <w:t>数据可信认证：通过区块链技术为数据生成可信证书，记录数据的来源、流转路径和使用情况，确保数据的可信性。数据使用者可以通过证书验证数据的真实性和合法性。</w:t>
      </w:r>
    </w:p>
    <w:p w14:paraId="385B4634">
      <w:pPr>
        <w:spacing w:line="360" w:lineRule="auto"/>
        <w:ind w:firstLine="480"/>
      </w:pPr>
      <w:r>
        <w:rPr>
          <w:rFonts w:hint="eastAsia"/>
        </w:rPr>
        <w:t>数据审计与监控：平台具备实时监控和审计功能，能够对数据的访问、使用和流转进行全程记录和分析，及时发现和处理数据异常行为，确保数据治理的透明性和可追溯性。</w:t>
      </w:r>
    </w:p>
    <w:p w14:paraId="20A11C3F">
      <w:pPr>
        <w:spacing w:line="360" w:lineRule="auto"/>
        <w:ind w:firstLine="480"/>
      </w:pPr>
      <w:r>
        <w:rPr>
          <w:rFonts w:hint="eastAsia"/>
        </w:rPr>
        <w:t>（3）多角色协同与生态构建</w:t>
      </w:r>
    </w:p>
    <w:p w14:paraId="5FC5712E">
      <w:pPr>
        <w:spacing w:line="360" w:lineRule="auto"/>
        <w:ind w:firstLine="480"/>
      </w:pPr>
      <w:r>
        <w:rPr>
          <w:rFonts w:hint="eastAsia"/>
        </w:rPr>
        <w:t>多方参与：数据可信治理涉及多个主体的协同合作，包括数据提供方、数据使用方、数据治理方和监管方等。数据提供方负责数据的生成和提供，需要确保数据的合法性和质量；数据使用方则需要在合规的前提下使用数据，实现数据的价值最大化；数据治理方则承担着数据管理和监督的职责，通过制定规则和流程，保障数据的安全和合规流通。监管方则从宏观层面进行监督和指导，确保整个数据治理生态的健康运行。这种多角色协同的模式，要求各方之间建立良好的信任机制和沟通渠道，通过合作共同推动数据治理的高效实施。</w:t>
      </w:r>
    </w:p>
    <w:p w14:paraId="3493D8D0">
      <w:pPr>
        <w:spacing w:line="360" w:lineRule="auto"/>
        <w:ind w:firstLine="480"/>
      </w:pPr>
      <w:r>
        <w:rPr>
          <w:rFonts w:hint="eastAsia"/>
        </w:rPr>
        <w:t>信任机制：通过区块链技术建立去中心化的信任机制，确保各方之间的信任和合作。平台提供智能合约功能，实现数据流通的自动化和透明化，减少人工干预，提高效率。</w:t>
      </w:r>
    </w:p>
    <w:p w14:paraId="26F17B01">
      <w:pPr>
        <w:spacing w:line="360" w:lineRule="auto"/>
        <w:ind w:firstLine="480"/>
      </w:pPr>
      <w:r>
        <w:rPr>
          <w:rFonts w:hint="eastAsia"/>
        </w:rPr>
        <w:t>生态建设：平台致力于构建数据治理与流通的良性生态，通过开放接口和标准化协议，吸引更多的参与者加入，促进数据要素市场的健康发展。</w:t>
      </w:r>
    </w:p>
    <w:p w14:paraId="1908AE3B">
      <w:pPr>
        <w:spacing w:line="360" w:lineRule="auto"/>
        <w:ind w:firstLine="480"/>
      </w:pPr>
      <w:r>
        <w:rPr>
          <w:rFonts w:hint="eastAsia"/>
        </w:rPr>
        <w:t>（4）动态优化与可持续性</w:t>
      </w:r>
    </w:p>
    <w:p w14:paraId="7D10D13E">
      <w:pPr>
        <w:spacing w:line="360" w:lineRule="auto"/>
        <w:ind w:firstLine="480"/>
      </w:pPr>
      <w:r>
        <w:rPr>
          <w:rFonts w:hint="eastAsia"/>
        </w:rPr>
        <w:t>持续更新：平台设计具有高度的灵活性和可扩展性，能够根据数据环境和技术发展不断调整和优化。平台支持模块化开发，方便后续功能的扩展和升级。</w:t>
      </w:r>
    </w:p>
    <w:p w14:paraId="09382021">
      <w:pPr>
        <w:spacing w:line="360" w:lineRule="auto"/>
        <w:ind w:firstLine="480"/>
      </w:pPr>
      <w:r>
        <w:rPr>
          <w:rFonts w:hint="eastAsia"/>
        </w:rPr>
        <w:t>技术适配：平台能够快速适配新的技术手段，如人工智能、物联网等，提升数据治理的智能化水平。同时，平台支持多种数据格式和协议，确保与现有系统的兼容性。</w:t>
      </w:r>
    </w:p>
    <w:p w14:paraId="493534FB">
      <w:pPr>
        <w:spacing w:line="360" w:lineRule="auto"/>
        <w:ind w:firstLine="480"/>
      </w:pPr>
      <w:r>
        <w:rPr>
          <w:rFonts w:hint="eastAsia"/>
        </w:rPr>
        <w:t>用户反馈：平台建立用户反馈机制，及时收集用户的意见和建议，根据用户需求不断优化平台功能和服务，提升用户体验。</w:t>
      </w:r>
    </w:p>
    <w:p w14:paraId="193E545B">
      <w:pPr>
        <w:spacing w:line="360" w:lineRule="auto"/>
        <w:ind w:firstLine="480"/>
      </w:pPr>
      <w:r>
        <w:rPr>
          <w:rFonts w:hint="eastAsia"/>
        </w:rPr>
        <w:t>（5）高效性与智能化</w:t>
      </w:r>
    </w:p>
    <w:p w14:paraId="0736F25E">
      <w:pPr>
        <w:spacing w:line="360" w:lineRule="auto"/>
        <w:ind w:firstLine="480"/>
      </w:pPr>
      <w:r>
        <w:rPr>
          <w:rFonts w:hint="eastAsia"/>
        </w:rPr>
        <w:t>自动化处理：平台采用智能算法和自动化流程，减少人工干预，提高数据流通的效率。例如，通过机器学习算法实现数据的自动分类、标签化和推荐，帮助用户快速找到所需数据。</w:t>
      </w:r>
    </w:p>
    <w:p w14:paraId="61FCA250">
      <w:pPr>
        <w:spacing w:line="360" w:lineRule="auto"/>
        <w:ind w:firstLine="480"/>
      </w:pPr>
      <w:r>
        <w:rPr>
          <w:rFonts w:hint="eastAsia"/>
        </w:rPr>
        <w:t>智能匹配与推荐：平台具备智能匹配功能，根据用户的需求和数据的特征，自动推荐最匹配的数据资源。同时，平台提供数据需求预测和智能推荐算法，帮助用户提前规划数据需求。</w:t>
      </w:r>
    </w:p>
    <w:p w14:paraId="33EBD0AC">
      <w:pPr>
        <w:spacing w:line="360" w:lineRule="auto"/>
        <w:ind w:firstLine="480"/>
      </w:pPr>
      <w:r>
        <w:rPr>
          <w:rFonts w:hint="eastAsia"/>
        </w:rPr>
        <w:t>实时性与响应速度：平台支持实时数据流通，能够快速响应用户的需求。通过分布式架构和高性能计算技术，确保数据的快速传输和处理，满足实时性要求较高的应用场景。</w:t>
      </w:r>
    </w:p>
    <w:p w14:paraId="78B128C1">
      <w:pPr>
        <w:spacing w:line="360" w:lineRule="auto"/>
        <w:ind w:firstLine="480"/>
      </w:pPr>
      <w:r>
        <w:rPr>
          <w:rFonts w:hint="eastAsia"/>
        </w:rPr>
        <w:t>（6）安全与隐私保护</w:t>
      </w:r>
    </w:p>
    <w:p w14:paraId="3F755EE3">
      <w:pPr>
        <w:spacing w:line="360" w:lineRule="auto"/>
        <w:ind w:firstLine="480"/>
      </w:pPr>
      <w:r>
        <w:rPr>
          <w:rFonts w:hint="eastAsia"/>
        </w:rPr>
        <w:t>数据加密传输：平台采用先进的加密技术，确保数据在传输过程中的安全性。数据在传输前进行加密处理，只有授权用户才能解密使用，防止数据在传输过程中被窃取。</w:t>
      </w:r>
    </w:p>
    <w:p w14:paraId="14C5FE2A">
      <w:pPr>
        <w:spacing w:line="360" w:lineRule="auto"/>
        <w:ind w:firstLine="480"/>
      </w:pPr>
      <w:r>
        <w:rPr>
          <w:rFonts w:hint="eastAsia"/>
        </w:rPr>
        <w:t>隐私保护机制：平台通过隐私计算技术，实现数据的隐私保护。数据在共享和使用过程中，原始数据不直接暴露，仅通过加密计算或匿名化处理后的结果进行流通，保护数据提供方和使用方的隐私。</w:t>
      </w:r>
    </w:p>
    <w:p w14:paraId="0AB4409E">
      <w:pPr>
        <w:spacing w:line="360" w:lineRule="auto"/>
        <w:ind w:firstLine="480"/>
      </w:pPr>
      <w:r>
        <w:rPr>
          <w:rFonts w:hint="eastAsia"/>
        </w:rPr>
        <w:t>访问控制与权限管理：平台提供严格的访问控制和权限管理功能，根据用户的角色和权限，限制对数据的访问和操作。通过身份认证、授权管理等技术，确保只有合法用户能够访问和使用数据。</w:t>
      </w:r>
    </w:p>
    <w:p w14:paraId="401F9915">
      <w:pPr>
        <w:spacing w:line="360" w:lineRule="auto"/>
        <w:ind w:firstLine="480"/>
      </w:pPr>
      <w:r>
        <w:rPr>
          <w:rFonts w:hint="eastAsia"/>
        </w:rPr>
        <w:t>（7）可扩展性与兼容性</w:t>
      </w:r>
    </w:p>
    <w:p w14:paraId="17409080">
      <w:pPr>
        <w:spacing w:line="360" w:lineRule="auto"/>
        <w:ind w:firstLine="480"/>
      </w:pPr>
      <w:r>
        <w:rPr>
          <w:rFonts w:hint="eastAsia"/>
        </w:rPr>
        <w:t>模块化设计：平台采用模块化设计，方便后续功能的扩展和升级。平台支持插件式开发，用户可以根据自身需求定制和扩展平台功能。</w:t>
      </w:r>
    </w:p>
    <w:p w14:paraId="22F4381F">
      <w:pPr>
        <w:spacing w:line="360" w:lineRule="auto"/>
        <w:ind w:firstLine="480"/>
      </w:pPr>
      <w:r>
        <w:rPr>
          <w:rFonts w:hint="eastAsia"/>
        </w:rPr>
        <w:t>多协议支持：平台支持多种数据格式和协议，包括但不限于JSON、XML、CSV等，确保与不同系统和平台的兼容性。同时，平台支持多种数据源的接入，包括数据库、文件系统、云存储等。</w:t>
      </w:r>
    </w:p>
    <w:p w14:paraId="0E19CAE4">
      <w:pPr>
        <w:spacing w:line="360" w:lineRule="auto"/>
        <w:ind w:firstLine="480"/>
      </w:pPr>
      <w:r>
        <w:rPr>
          <w:rFonts w:hint="eastAsia"/>
        </w:rPr>
        <w:t>分布式架构：平台采用分布式架构，能够根据数据量和用户需求进行弹性扩展。通过分布式存储和计算技术，平台能够高效处理大规模数据，支持高并发访问。</w:t>
      </w:r>
    </w:p>
    <w:p w14:paraId="0E894733">
      <w:pPr>
        <w:spacing w:line="360" w:lineRule="auto"/>
        <w:ind w:firstLine="480"/>
      </w:pPr>
      <w:r>
        <w:rPr>
          <w:rFonts w:hint="eastAsia"/>
        </w:rPr>
        <w:t>（8）用户体验与易用性</w:t>
      </w:r>
    </w:p>
    <w:p w14:paraId="437D361C">
      <w:pPr>
        <w:spacing w:line="360" w:lineRule="auto"/>
        <w:ind w:firstLine="480"/>
      </w:pPr>
      <w:r>
        <w:rPr>
          <w:rFonts w:hint="eastAsia"/>
        </w:rPr>
        <w:t>友好界面：平台提供直观、友好的用户界面，方便用户操作和使用。平台支持多种设备访问，包括桌面端、移动端等，用户可以通过浏览器或移动应用随时随地访问平台。</w:t>
      </w:r>
    </w:p>
    <w:p w14:paraId="3591AE0F">
      <w:pPr>
        <w:spacing w:line="360" w:lineRule="auto"/>
        <w:ind w:firstLine="480"/>
      </w:pPr>
      <w:r>
        <w:rPr>
          <w:rFonts w:hint="eastAsia"/>
        </w:rPr>
        <w:t>数据可视化：平台提供数据可视化工具，帮助用户直观地查看和分析数据。用户可以通过图表、地图、仪表盘等形式，快速了解数据的分布和趋势。</w:t>
      </w:r>
    </w:p>
    <w:p w14:paraId="30CF3FC8">
      <w:pPr>
        <w:spacing w:line="360" w:lineRule="auto"/>
        <w:ind w:firstLine="480"/>
      </w:pPr>
      <w:r>
        <w:rPr>
          <w:rFonts w:hint="eastAsia"/>
        </w:rPr>
        <w:t>用户支持与培训：平台提供完善的用户支持和培训服务，包括在线帮助文档、视频教程、用户社区等。同时，平台提供专业的技术支持团队，及时解决用户在使用过程中遇到的问题。</w:t>
      </w:r>
    </w:p>
    <w:p w14:paraId="19CE9654">
      <w:pPr>
        <w:spacing w:line="360" w:lineRule="auto"/>
        <w:ind w:firstLine="480"/>
      </w:pPr>
      <w:r>
        <w:rPr>
          <w:rFonts w:hint="eastAsia"/>
        </w:rPr>
        <w:t>（9）动态性</w:t>
      </w:r>
    </w:p>
    <w:p w14:paraId="2569D09C">
      <w:pPr>
        <w:spacing w:line="360" w:lineRule="auto"/>
        <w:ind w:firstLine="480"/>
      </w:pPr>
      <w:r>
        <w:rPr>
          <w:rFonts w:hint="eastAsia"/>
        </w:rPr>
        <w:t>数据治理是一个动态的、持续优化的过程。随着数据环境的不断变化和技术的快速发展，数据治理的策略和方法也需要不断调整。例如，随着人工智能和大数据技术的普及，数据的类型和规模不断增加，数据治理需要适应这些变化，优化数据管理流程。</w:t>
      </w:r>
    </w:p>
    <w:p w14:paraId="6774BE12">
      <w:pPr>
        <w:spacing w:line="360" w:lineRule="auto"/>
        <w:ind w:firstLine="480"/>
      </w:pPr>
      <w:r>
        <w:rPr>
          <w:rFonts w:hint="eastAsia"/>
        </w:rPr>
        <w:t>同时，新的技术手段和合规要求也不断涌现。数据治理团队需要密切关注行业动态，及时引入新的技术和工具，以应对不断变化的挑战。这种动态性要求企业建立灵活的治理机制，确保数据治理能够持续适应业务发展的需求。</w:t>
      </w:r>
      <w:r>
        <w:rPr>
          <w:rFonts w:hint="eastAsia"/>
        </w:rPr>
        <w:tab/>
      </w:r>
    </w:p>
    <w:p w14:paraId="04ACAABC">
      <w:pPr>
        <w:pStyle w:val="4"/>
        <w:numPr>
          <w:ilvl w:val="0"/>
          <w:numId w:val="12"/>
        </w:numPr>
        <w:spacing w:line="360" w:lineRule="auto"/>
      </w:pPr>
      <w:r>
        <w:rPr>
          <w:rFonts w:hint="eastAsia"/>
        </w:rPr>
        <w:t>行业基本情况介绍</w:t>
      </w:r>
    </w:p>
    <w:p w14:paraId="6F1E9AE0">
      <w:pPr>
        <w:spacing w:line="360" w:lineRule="auto"/>
        <w:ind w:firstLine="480"/>
      </w:pPr>
      <w:r>
        <w:rPr>
          <w:rFonts w:hint="eastAsia"/>
        </w:rPr>
        <w:t>在全球数字化转型的浪潮中，数据已成为至关重要的生产要素，深刻影响着经济社会的各个领域。数据的收集、存储、使用和共享等环节，不仅关系到企业的运营效率和创新能力，还涉及到个人隐私保护和社会公共利益。因此，数据治理正受到前所未有的关注。</w:t>
      </w:r>
    </w:p>
    <w:p w14:paraId="04288681">
      <w:pPr>
        <w:spacing w:line="360" w:lineRule="auto"/>
        <w:ind w:firstLine="480"/>
      </w:pPr>
      <w:r>
        <w:rPr>
          <w:rFonts w:hint="eastAsia"/>
        </w:rPr>
        <w:t>2016年11月7日，第十二届全国人民代表大会常务委员会第二十四次会议通过《网络安全法》和2021年6月10日，第十三届全国人民代表大会常务委员会第二十九次会议通过《数据保护法》，这一系列法律法规的出台，为数据治理构建了明确的合规框架。这些法规要求企业必须在合法合规的前提下管理和使用数据，规范了数据的处理流程，明确了数据主体的权利和企业的责任。这不仅促使企业将数据治理提升到战略层面，也推动了整个行业的规范化发展。</w:t>
      </w:r>
    </w:p>
    <w:p w14:paraId="21BCB18C">
      <w:pPr>
        <w:spacing w:line="360" w:lineRule="auto"/>
        <w:ind w:firstLine="480"/>
      </w:pPr>
      <w:r>
        <w:rPr>
          <w:rFonts w:hint="eastAsia"/>
        </w:rPr>
        <w:t>政策的持续更新进一步推动了数据治理行业的快速发展。随着数据隐私和安全问题的日益突出，各国政府不断出台新的政策、相关的行业标准和规范也在逐步完善。例如，欧盟的《通用数据保护条例》（GDPR）和中国的《个人信息保护法》等法规的实施，国际标准化组织（ISO）、中国信通院等机构纷纷发布数据治理相关的标准和指南，不仅提高了数据治理的门槛，也为企业提供了明确的合规指引，为行业的健康发展提供了参考依据并指明了方向。</w:t>
      </w:r>
    </w:p>
    <w:p w14:paraId="5EF4018D">
      <w:pPr>
        <w:spacing w:line="360" w:lineRule="auto"/>
        <w:ind w:firstLine="480"/>
      </w:pPr>
      <w:r>
        <w:rPr>
          <w:rFonts w:hint="eastAsia"/>
        </w:rPr>
        <w:t>然而，在数据流通和使用过程中，仍面临着诸多挑战。数据贩卖严重侵害个人隐私、数据跨境流动带来国家安全隐患、高价值特殊敏感数据泄露风险加剧、重要数据安全面临外来攻击威胁加大、新技术新应用催生新型数据安全风险、互联网平台企业滥采滥用个人信息并实施数据垄断等问题，成为制约数据价值释放的关键因素。数据在流通环节中，面临着被篡改、泄露的风险；数据隐私保护的难度随着数据共享的增加而加大；数据质量的参差不齐也影响了数据的有效利用。</w:t>
      </w:r>
    </w:p>
    <w:p w14:paraId="51EC792E">
      <w:pPr>
        <w:spacing w:line="360" w:lineRule="auto"/>
        <w:ind w:firstLine="480"/>
      </w:pPr>
      <w:r>
        <w:rPr>
          <w:rFonts w:hint="eastAsia"/>
        </w:rPr>
        <w:t>在此背景下，数据可信治理与智能流通平台的建设应运而生。该平台旨在通过先进的技术手段和完善的管理机制，确保数据的安全可信流通，提升数据的价值和利用效率。一方面，平台通过隐私计算、区块链等前沿技术，为数据流通提供安全保障，确保数据在共享过程中隐私不被侵犯、安全不受威胁；另一方面，通过智能化的数据治理工具，提升数据质量，优化数据管理流程，挖掘数据的潜在价值，确保数据资产得到正确有效的管理，并最终实现数据资产价值的最大化。</w:t>
      </w:r>
    </w:p>
    <w:p w14:paraId="77F1B652">
      <w:pPr>
        <w:spacing w:line="360" w:lineRule="auto"/>
        <w:ind w:firstLine="480"/>
      </w:pPr>
      <w:r>
        <w:rPr>
          <w:rFonts w:hint="eastAsia"/>
        </w:rPr>
        <w:t>数据可信治理与智能流通平台的建设，不仅是应对数据挑战的必然选择，更是推动数据要素市场健康发展的关键举措。它将为企业的数字化转型提供有力支撑，为数字经济的蓬勃发展注入新的动力。</w:t>
      </w:r>
    </w:p>
    <w:p w14:paraId="0EEC551D">
      <w:pPr>
        <w:pStyle w:val="4"/>
        <w:numPr>
          <w:ilvl w:val="0"/>
          <w:numId w:val="12"/>
        </w:numPr>
        <w:spacing w:line="360" w:lineRule="auto"/>
      </w:pPr>
      <w:r>
        <w:rPr>
          <w:rFonts w:hint="eastAsia"/>
        </w:rPr>
        <w:t>市场容量分析</w:t>
      </w:r>
    </w:p>
    <w:p w14:paraId="1B89ED9D">
      <w:pPr>
        <w:spacing w:line="360" w:lineRule="auto"/>
        <w:ind w:firstLine="480"/>
        <w:jc w:val="center"/>
      </w:pPr>
      <w:r>
        <w:rPr>
          <w:rFonts w:hint="eastAsia"/>
        </w:rPr>
        <w:t>5月17日，在2025数据安全发展大会上，国家数据局局长刘烈宏透露，我国正加速培育壮大一批数据要素产业链上下游企业，推动数据产业高质量发展。预计到2030年，我国数据产业规模将达到7.5万亿元，展现出巨大的发展潜力。作为全球首个将数据纳入生产要素的国家，我国已初步构建起门类齐全、覆盖广泛的数据产业链。据相关数据显示，2024年我国年度数据生产总量达到41.06泽字节，同比增长25%，数据规模持续扩大。截至目前，我国数据领域相关企业已超19万家，数据产业规模突破2万亿元，产业基础不断夯实。刘烈宏指出，当前我国正积极谋划构建横向联通、纵向贯通、协调有力的数据基础设施体系，以支撑数据产业的快速发展。按照20%以上的年均增长率测算，到2029年，我国将基本建成国家数据基础设施主体结构，为2030年实现7.5万亿元的产业规模目标奠定坚实基础。据统计，2023年中国数据治理行业市场毁灭从2022年的133亿元增长至162亿元，2024年中国数据数据治理治理行业市场规模增长至191亿元，同比上涨至17.9%，预计2028年将达到340亿元。（见表</w:t>
      </w:r>
      <w:r>
        <w:rPr>
          <w:rFonts w:hint="eastAsia"/>
          <w:lang w:val="en-US" w:eastAsia="zh-CN"/>
        </w:rPr>
        <w:t>4</w:t>
      </w:r>
      <w:r>
        <w:rPr>
          <w:rFonts w:hint="eastAsia"/>
        </w:rPr>
        <w:t>）</w:t>
      </w:r>
    </w:p>
    <w:p w14:paraId="156D5CBB">
      <w:pPr>
        <w:pStyle w:val="21"/>
        <w:jc w:val="center"/>
        <w:rPr>
          <w:rFonts w:ascii="宋体" w:hAnsi="宋体" w:eastAsia="宋体" w:cs="宋体"/>
          <w:sz w:val="36"/>
          <w:szCs w:val="36"/>
          <w:lang w:bidi="ar"/>
        </w:rPr>
      </w:pPr>
      <w:r>
        <w:rPr>
          <w:rFonts w:ascii="宋体" w:hAnsi="宋体" w:eastAsia="宋体" w:cs="宋体"/>
          <w:sz w:val="36"/>
          <w:szCs w:val="36"/>
          <w:lang w:bidi="ar"/>
        </w:rPr>
        <w:drawing>
          <wp:inline distT="0" distB="0" distL="114300" distR="114300">
            <wp:extent cx="4832985" cy="2572385"/>
            <wp:effectExtent l="0" t="0" r="5715" b="18415"/>
            <wp:docPr id="526242131" name="图表 5262421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4BC620A">
      <w:pPr>
        <w:pStyle w:val="21"/>
        <w:jc w:val="center"/>
        <w:rPr>
          <w:rFonts w:ascii="宋体" w:hAnsi="宋体" w:eastAsia="宋体" w:cs="宋体"/>
          <w:sz w:val="36"/>
          <w:szCs w:val="36"/>
          <w:lang w:bidi="ar"/>
        </w:rPr>
      </w:pPr>
      <w:r>
        <w:rPr>
          <w:rFonts w:hint="eastAsia"/>
          <w:lang w:bidi="ar"/>
        </w:rPr>
        <w:t>表</w:t>
      </w:r>
      <w:r>
        <w:rPr>
          <w:rFonts w:hint="eastAsia"/>
          <w:lang w:val="en-US" w:eastAsia="zh-CN" w:bidi="ar"/>
        </w:rPr>
        <w:t xml:space="preserve">4 </w:t>
      </w:r>
      <w:r>
        <w:rPr>
          <w:rFonts w:hint="eastAsia"/>
          <w:lang w:bidi="ar"/>
        </w:rPr>
        <w:t>2022-2024年中国数据治理行业市场规模</w:t>
      </w:r>
    </w:p>
    <w:p w14:paraId="1F8B2A5B">
      <w:pPr>
        <w:pStyle w:val="4"/>
        <w:numPr>
          <w:ilvl w:val="0"/>
          <w:numId w:val="12"/>
        </w:numPr>
        <w:spacing w:line="360" w:lineRule="auto"/>
      </w:pPr>
      <w:r>
        <w:rPr>
          <w:rFonts w:hint="eastAsia"/>
        </w:rPr>
        <w:t>发展趋势探讨</w:t>
      </w:r>
    </w:p>
    <w:p w14:paraId="38E4B648">
      <w:pPr>
        <w:spacing w:line="360" w:lineRule="auto"/>
        <w:ind w:firstLine="480"/>
        <w:rPr>
          <w:lang w:bidi="ar"/>
        </w:rPr>
      </w:pPr>
      <w:r>
        <w:rPr>
          <w:rFonts w:hint="eastAsia"/>
          <w:lang w:bidi="ar"/>
        </w:rPr>
        <w:t>数据治理行业内的参与者主要包含三类，分别为独立数据治理服务提供商、大型科技公司、云服务商。</w:t>
      </w:r>
    </w:p>
    <w:p w14:paraId="3931BE1A">
      <w:pPr>
        <w:spacing w:line="360" w:lineRule="auto"/>
        <w:ind w:firstLine="480"/>
        <w:rPr>
          <w:lang w:bidi="ar"/>
        </w:rPr>
      </w:pPr>
      <w:r>
        <w:rPr>
          <w:rFonts w:hint="eastAsia"/>
          <w:lang w:bidi="ar"/>
        </w:rPr>
        <w:t>（1）独立数据治理服务商：数据治理服务商提供专业工具和定制化解决方案，具备技术实力和行业经验，服务内容涵盖数据质量管理、元数据管理、数据安全和合规性等。目标客户为中小型企业及金融、医疗、政务等行业客户，帮助解决数据不一致、重复和错误问题，确保数据合规性，优化数据管理流程，提升数据可用性和价值。代表企业有北京亿信华辰软件有限责任公司、北京晴数智慧科技有限公司等。</w:t>
      </w:r>
    </w:p>
    <w:p w14:paraId="4456AC09">
      <w:pPr>
        <w:spacing w:line="360" w:lineRule="auto"/>
        <w:ind w:firstLine="480"/>
        <w:rPr>
          <w:lang w:bidi="ar"/>
        </w:rPr>
      </w:pPr>
      <w:r>
        <w:rPr>
          <w:rFonts w:hint="eastAsia"/>
          <w:lang w:bidi="ar"/>
        </w:rPr>
        <w:t>（2）大型科技公司：主要为客户提供全面的数据治理解决方案，涵盖数据生命周期管理、质量提升、安全和隐私保护，强调与企业业务流程的深度融合。结合强大技术平台，提供从硬件到软件的一站式服务，目标客户为希望集成现有技术架构的企业。主要解决数据孤岛问题，优化管理效率，支持数据驱动决策，确保与企业战略目标一致，促进数字化转型。代表企业有百度、腾讯、华为、IBM等。</w:t>
      </w:r>
    </w:p>
    <w:p w14:paraId="4C129EC6">
      <w:pPr>
        <w:spacing w:line="360" w:lineRule="auto"/>
        <w:ind w:firstLine="480"/>
        <w:rPr>
          <w:lang w:bidi="ar"/>
        </w:rPr>
      </w:pPr>
      <w:r>
        <w:rPr>
          <w:rFonts w:hint="eastAsia"/>
          <w:lang w:bidi="ar"/>
        </w:rPr>
        <w:t>（3）云服务提供商：云服务提供基于云计算的数据治理工具，包括数据分类、标签化、元数据管理和数据安全，强调弹性扩展和灵活性，支持多租户环境，并利用AI提升自动化水平。目标客户为中大型企业，尤其是希望优化数据管理及有动态数据治理需求的企业。云服务商帮助企业提高数据治理效率和自动化水平，减少人工干预，确保云环境中数据的安全性和合规性，支持快速响应市场变化。代表企业有阿里云、华为云、腾讯云等。</w:t>
      </w:r>
    </w:p>
    <w:p w14:paraId="0161F30A">
      <w:pPr>
        <w:spacing w:line="360" w:lineRule="auto"/>
        <w:ind w:firstLine="480"/>
        <w:rPr>
          <w:lang w:bidi="ar"/>
        </w:rPr>
      </w:pPr>
      <w:r>
        <w:rPr>
          <w:rFonts w:hint="eastAsia"/>
          <w:lang w:bidi="ar"/>
        </w:rPr>
        <w:t>数字化转型的加速，数据治理行业正呈现出多维度的发展趋势。智能化技术的引入，如机器学习和自然语言处理，正在推动数据治理的自动化和智能化，提升数据处理的效率和准确性。同时，实时化需求的增加促使企业对数据进行实时采集、处理和分析，以满足快速决策的需求。在合规化方面，随着数据保护法规的不断完善，企业对数据治理的合规性要求愈发严格，需要确保数据处理和使用符合相关法律法规。此外，数据治理与其他数据管理领域的融合不断加深，形成一体化的数据管理解决方案，提升整体效率和效果。服务化趋势也在显现，数据治理服务提供商通过云计算和SaaS技术，为企业提供灵活、便捷的服务，降低企业成本。精细化与一体化的发展将推动数据治理迈向数据资产管理，加速企业数据价值的释放。数据治理软件将更加智能化、平台化和行业化，满足企业日益复杂的需求。数据开放共享进程也在加速，技术的进步将推动数据共享和流通。企业将加大基础数据资产管理投入，提升数据治理水平，促进数据价值的安全释放。数据应用在各个行业的深化将催生更多数据驱动的新模式和新业态。这些趋势共同推动数据治理行业向更高效、更智能、更合规的方向发展，为企业和社会创造更大的价值。</w:t>
      </w:r>
    </w:p>
    <w:p w14:paraId="25B589B2">
      <w:pPr>
        <w:pStyle w:val="4"/>
        <w:numPr>
          <w:ilvl w:val="0"/>
          <w:numId w:val="12"/>
        </w:numPr>
        <w:spacing w:line="360" w:lineRule="auto"/>
      </w:pPr>
      <w:r>
        <w:rPr>
          <w:rFonts w:hint="eastAsia"/>
        </w:rPr>
        <w:t>政策环境、经济环境、社会文化及技术进步等影响因素探讨</w:t>
      </w:r>
    </w:p>
    <w:p w14:paraId="40703AF2">
      <w:pPr>
        <w:spacing w:line="360" w:lineRule="auto"/>
        <w:ind w:firstLine="480"/>
      </w:pPr>
      <w:r>
        <w:rPr>
          <w:rFonts w:hint="eastAsia"/>
        </w:rPr>
        <w:t>2022年，国务院正式印发《“十四五”数字经济发展规划》，提出实施数据质量提升工程。从监管层面来看，数据安全合规、数据监管已成为全球关注的问题，各国均不断加强数据监管建设，推动数据治理需求不断增强。从技术层面来看，人工智能技术逐步应用到数据治理中，推动数据治理功能更加成熟完善，进一步推动数据治理市场的快速发展。整体来看，数据治理越来越受到政府和企业的重视，逐步内化成为组织机制建设的一部分，成为数字化转型的基础性和关键性工作。目前传统数据治理体系多停留在结构性数据化治理工作，尚难满足AI应用对数据的高质量要求。企业可吸收传统体系的智慧沉淀，以AI应用数据需求为核心，优化建设“面向人工智能的数据治理”体系，显著提升AI应用的规模化落地效果。</w:t>
      </w:r>
    </w:p>
    <w:p w14:paraId="2C922D9F">
      <w:pPr>
        <w:spacing w:line="360" w:lineRule="auto"/>
        <w:ind w:firstLine="480"/>
      </w:pPr>
      <w:r>
        <w:rPr>
          <w:rFonts w:hint="eastAsia"/>
        </w:rPr>
        <w:t>2023年2月27日中共中央、国务院印发《数字中国建设整体布局规划》。《规划》指出，要优化数字化发展环境，建设公平规范的数字治理生态。构建技术标准体系，编制数字化标准工作指南，加快制定修订各行业数字化转型、产业交叉融合发展等应用标准。提升治理水平，健全网络综合治理体系，提升全方位多维度综合治理能力。</w:t>
      </w:r>
    </w:p>
    <w:p w14:paraId="7EECE481">
      <w:pPr>
        <w:spacing w:line="360" w:lineRule="auto"/>
        <w:ind w:firstLine="480"/>
      </w:pPr>
      <w:r>
        <w:rPr>
          <w:rFonts w:hint="eastAsia"/>
        </w:rPr>
        <w:t>2023年8月21日，财政部印发《企业数据资源相关会计处理暂行规定》，自2024年1月1日起施行。“数据入表”将规范企业数据资源相关会计处理，强化相关会计信息披露，服务数字经济治理体系建设。</w:t>
      </w:r>
    </w:p>
    <w:p w14:paraId="61072E75">
      <w:pPr>
        <w:spacing w:line="360" w:lineRule="auto"/>
        <w:ind w:firstLine="480"/>
      </w:pPr>
      <w:r>
        <w:rPr>
          <w:rFonts w:hint="eastAsia"/>
        </w:rPr>
        <w:t>2023年12月15日，国家数据局印发《“数据要素×”三年行动计划（2024-2026年）》，提出要加强数据安全保障，落实数据安全法规制度，建立健全数据安全治理体系，完善数据分类分级保护制度，加强个人信息保护，提升数据安全保障水平。培育数据安全服务，鼓励有实力的数据安全企业，发挥能力优势，开展基于云端的安全服务，有效提升数据安全水平。</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1658"/>
        <w:gridCol w:w="2603"/>
      </w:tblGrid>
      <w:tr w14:paraId="6B71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4A450038">
            <w:pPr>
              <w:spacing w:line="360" w:lineRule="auto"/>
              <w:ind w:firstLine="480"/>
              <w:jc w:val="center"/>
            </w:pPr>
            <w:r>
              <w:rPr>
                <w:rFonts w:hint="eastAsia"/>
              </w:rPr>
              <w:t>政策名称</w:t>
            </w:r>
          </w:p>
        </w:tc>
        <w:tc>
          <w:tcPr>
            <w:tcW w:w="1250" w:type="pct"/>
            <w:tcBorders>
              <w:top w:val="single" w:color="auto" w:sz="4" w:space="0"/>
              <w:left w:val="nil"/>
              <w:bottom w:val="single" w:color="auto" w:sz="4" w:space="0"/>
              <w:right w:val="single" w:color="auto" w:sz="4" w:space="0"/>
            </w:tcBorders>
            <w:vAlign w:val="center"/>
          </w:tcPr>
          <w:p w14:paraId="54264992">
            <w:pPr>
              <w:spacing w:line="360" w:lineRule="auto"/>
              <w:ind w:firstLine="480"/>
              <w:jc w:val="center"/>
            </w:pPr>
            <w:r>
              <w:rPr>
                <w:rFonts w:hint="eastAsia"/>
              </w:rPr>
              <w:t>发布部门</w:t>
            </w:r>
          </w:p>
        </w:tc>
        <w:tc>
          <w:tcPr>
            <w:tcW w:w="973" w:type="pct"/>
            <w:tcBorders>
              <w:top w:val="single" w:color="auto" w:sz="4" w:space="0"/>
              <w:left w:val="nil"/>
              <w:bottom w:val="single" w:color="auto" w:sz="4" w:space="0"/>
              <w:right w:val="single" w:color="auto" w:sz="4" w:space="0"/>
            </w:tcBorders>
            <w:vAlign w:val="center"/>
          </w:tcPr>
          <w:p w14:paraId="5BE14F16">
            <w:pPr>
              <w:spacing w:line="360" w:lineRule="auto"/>
              <w:ind w:firstLine="480"/>
              <w:jc w:val="center"/>
            </w:pPr>
            <w:r>
              <w:rPr>
                <w:rFonts w:hint="eastAsia"/>
              </w:rPr>
              <w:t>发布时间</w:t>
            </w:r>
          </w:p>
          <w:p w14:paraId="6DA3F228">
            <w:pPr>
              <w:spacing w:line="360" w:lineRule="auto"/>
              <w:ind w:firstLine="480"/>
              <w:jc w:val="center"/>
            </w:pPr>
          </w:p>
        </w:tc>
        <w:tc>
          <w:tcPr>
            <w:tcW w:w="1528" w:type="pct"/>
            <w:tcBorders>
              <w:top w:val="single" w:color="auto" w:sz="4" w:space="0"/>
              <w:left w:val="nil"/>
              <w:bottom w:val="single" w:color="auto" w:sz="4" w:space="0"/>
              <w:right w:val="single" w:color="auto" w:sz="4" w:space="0"/>
            </w:tcBorders>
            <w:vAlign w:val="center"/>
          </w:tcPr>
          <w:p w14:paraId="458DC957">
            <w:pPr>
              <w:spacing w:line="360" w:lineRule="auto"/>
              <w:ind w:firstLine="480"/>
              <w:jc w:val="center"/>
            </w:pPr>
            <w:r>
              <w:rPr>
                <w:rFonts w:hint="eastAsia"/>
              </w:rPr>
              <w:t>相关内容</w:t>
            </w:r>
          </w:p>
        </w:tc>
      </w:tr>
      <w:tr w14:paraId="1115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250" w:type="pct"/>
            <w:tcBorders>
              <w:top w:val="single" w:color="auto" w:sz="4" w:space="0"/>
              <w:left w:val="single" w:color="auto" w:sz="4" w:space="0"/>
              <w:bottom w:val="single" w:color="auto" w:sz="4" w:space="0"/>
              <w:right w:val="single" w:color="auto" w:sz="4" w:space="0"/>
            </w:tcBorders>
            <w:vAlign w:val="center"/>
          </w:tcPr>
          <w:p w14:paraId="0A17C44D">
            <w:pPr>
              <w:spacing w:line="360" w:lineRule="auto"/>
              <w:ind w:firstLine="480"/>
              <w:jc w:val="center"/>
            </w:pPr>
            <w:r>
              <w:rPr>
                <w:rFonts w:hint="eastAsia"/>
              </w:rPr>
              <w:t>《网络安全法》</w:t>
            </w:r>
          </w:p>
        </w:tc>
        <w:tc>
          <w:tcPr>
            <w:tcW w:w="1250" w:type="pct"/>
            <w:tcBorders>
              <w:top w:val="single" w:color="auto" w:sz="4" w:space="0"/>
              <w:left w:val="nil"/>
              <w:bottom w:val="single" w:color="auto" w:sz="4" w:space="0"/>
              <w:right w:val="single" w:color="auto" w:sz="4" w:space="0"/>
            </w:tcBorders>
            <w:vAlign w:val="center"/>
          </w:tcPr>
          <w:p w14:paraId="4CD26276">
            <w:pPr>
              <w:spacing w:line="360" w:lineRule="auto"/>
              <w:ind w:firstLine="480"/>
              <w:jc w:val="center"/>
            </w:pPr>
            <w:r>
              <w:rPr>
                <w:rFonts w:hint="eastAsia"/>
              </w:rPr>
              <w:t>全国人大</w:t>
            </w:r>
          </w:p>
        </w:tc>
        <w:tc>
          <w:tcPr>
            <w:tcW w:w="973" w:type="pct"/>
            <w:tcBorders>
              <w:top w:val="single" w:color="auto" w:sz="4" w:space="0"/>
              <w:left w:val="nil"/>
              <w:bottom w:val="single" w:color="auto" w:sz="4" w:space="0"/>
              <w:right w:val="single" w:color="auto" w:sz="4" w:space="0"/>
            </w:tcBorders>
            <w:vAlign w:val="center"/>
          </w:tcPr>
          <w:p w14:paraId="3E183451">
            <w:pPr>
              <w:spacing w:line="360" w:lineRule="auto"/>
              <w:ind w:firstLine="480"/>
              <w:jc w:val="center"/>
            </w:pPr>
            <w:r>
              <w:rPr>
                <w:rFonts w:hint="eastAsia"/>
              </w:rPr>
              <w:t>2016年</w:t>
            </w:r>
          </w:p>
        </w:tc>
        <w:tc>
          <w:tcPr>
            <w:tcW w:w="1528" w:type="pct"/>
            <w:tcBorders>
              <w:top w:val="single" w:color="auto" w:sz="4" w:space="0"/>
              <w:left w:val="nil"/>
              <w:bottom w:val="single" w:color="auto" w:sz="4" w:space="0"/>
              <w:right w:val="single" w:color="auto" w:sz="4" w:space="0"/>
            </w:tcBorders>
          </w:tcPr>
          <w:p w14:paraId="419BCD09">
            <w:pPr>
              <w:spacing w:line="360" w:lineRule="auto"/>
              <w:ind w:firstLine="480"/>
            </w:pPr>
            <w:r>
              <w:rPr>
                <w:rFonts w:hint="eastAsia"/>
              </w:rPr>
              <w:t>国家制定并不断完善网络安全战略，明确保障网络安全的基本要求和主要目标，提出重点领域的网络安全政策、工作任务和措施。国家采取措施，监测、防御、处置来源于中华人民共和国境内外的网络安全风险和威胁，保护关键信息基础设施免受攻击、侵入、干扰和破坏，依法惩治网络违法犯罪活动，维护网络空间安全和秩序</w:t>
            </w:r>
          </w:p>
        </w:tc>
      </w:tr>
      <w:tr w14:paraId="11CE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05FFF0CA">
            <w:pPr>
              <w:spacing w:line="360" w:lineRule="auto"/>
              <w:ind w:firstLine="480"/>
              <w:jc w:val="center"/>
            </w:pPr>
            <w:r>
              <w:rPr>
                <w:rFonts w:hint="eastAsia"/>
              </w:rPr>
              <w:t>《数据安全法》</w:t>
            </w:r>
          </w:p>
        </w:tc>
        <w:tc>
          <w:tcPr>
            <w:tcW w:w="1250" w:type="pct"/>
            <w:tcBorders>
              <w:top w:val="single" w:color="auto" w:sz="4" w:space="0"/>
              <w:left w:val="nil"/>
              <w:bottom w:val="single" w:color="auto" w:sz="4" w:space="0"/>
              <w:right w:val="single" w:color="auto" w:sz="4" w:space="0"/>
            </w:tcBorders>
            <w:vAlign w:val="center"/>
          </w:tcPr>
          <w:p w14:paraId="46C52B2E">
            <w:pPr>
              <w:spacing w:line="360" w:lineRule="auto"/>
              <w:ind w:firstLine="480"/>
              <w:jc w:val="center"/>
            </w:pPr>
            <w:r>
              <w:rPr>
                <w:rFonts w:hint="eastAsia"/>
              </w:rPr>
              <w:t>全国人大会议</w:t>
            </w:r>
          </w:p>
          <w:p w14:paraId="15166D96">
            <w:pPr>
              <w:spacing w:line="360" w:lineRule="auto"/>
              <w:ind w:firstLine="480"/>
              <w:jc w:val="center"/>
            </w:pPr>
          </w:p>
        </w:tc>
        <w:tc>
          <w:tcPr>
            <w:tcW w:w="973" w:type="pct"/>
            <w:tcBorders>
              <w:top w:val="single" w:color="auto" w:sz="4" w:space="0"/>
              <w:left w:val="nil"/>
              <w:bottom w:val="single" w:color="auto" w:sz="4" w:space="0"/>
              <w:right w:val="single" w:color="auto" w:sz="4" w:space="0"/>
            </w:tcBorders>
            <w:vAlign w:val="center"/>
          </w:tcPr>
          <w:p w14:paraId="1876E039">
            <w:pPr>
              <w:spacing w:line="360" w:lineRule="auto"/>
              <w:ind w:firstLine="480"/>
              <w:jc w:val="center"/>
            </w:pPr>
            <w:r>
              <w:rPr>
                <w:rFonts w:hint="eastAsia"/>
              </w:rPr>
              <w:t>2021年</w:t>
            </w:r>
          </w:p>
          <w:p w14:paraId="23849E2F">
            <w:pPr>
              <w:spacing w:line="360" w:lineRule="auto"/>
              <w:ind w:firstLine="480"/>
              <w:jc w:val="center"/>
            </w:pPr>
          </w:p>
        </w:tc>
        <w:tc>
          <w:tcPr>
            <w:tcW w:w="1528" w:type="pct"/>
            <w:tcBorders>
              <w:top w:val="single" w:color="auto" w:sz="4" w:space="0"/>
              <w:left w:val="nil"/>
              <w:bottom w:val="single" w:color="auto" w:sz="4" w:space="0"/>
              <w:right w:val="single" w:color="auto" w:sz="4" w:space="0"/>
            </w:tcBorders>
          </w:tcPr>
          <w:p w14:paraId="31B542BF">
            <w:pPr>
              <w:spacing w:line="360" w:lineRule="auto"/>
              <w:ind w:firstLine="480"/>
            </w:pPr>
            <w:r>
              <w:rPr>
                <w:rFonts w:hint="eastAsia"/>
              </w:rPr>
              <w:t>开展数据处理活动，应当遵守法律、法规，尊重社会公德和伦理，遵守商业道德和职业道德，诚实守信，履行数据安全保护义务，承担社会责任不得危害国家安全、公共利益，不得损害个人、组织的合法权益。</w:t>
            </w:r>
          </w:p>
        </w:tc>
      </w:tr>
      <w:tr w14:paraId="5516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38160A85">
            <w:pPr>
              <w:spacing w:line="360" w:lineRule="auto"/>
              <w:ind w:firstLine="480"/>
              <w:jc w:val="center"/>
            </w:pPr>
            <w:r>
              <w:rPr>
                <w:rFonts w:hint="eastAsia"/>
              </w:rPr>
              <w:t>《个人信息保护法》</w:t>
            </w:r>
          </w:p>
          <w:p w14:paraId="409E5C12">
            <w:pPr>
              <w:spacing w:line="360" w:lineRule="auto"/>
              <w:ind w:firstLine="480"/>
              <w:jc w:val="center"/>
            </w:pPr>
          </w:p>
        </w:tc>
        <w:tc>
          <w:tcPr>
            <w:tcW w:w="1250" w:type="pct"/>
            <w:tcBorders>
              <w:top w:val="single" w:color="auto" w:sz="4" w:space="0"/>
              <w:left w:val="nil"/>
              <w:bottom w:val="single" w:color="auto" w:sz="4" w:space="0"/>
              <w:right w:val="single" w:color="auto" w:sz="4" w:space="0"/>
            </w:tcBorders>
            <w:vAlign w:val="center"/>
          </w:tcPr>
          <w:p w14:paraId="163EEA85">
            <w:pPr>
              <w:spacing w:line="360" w:lineRule="auto"/>
              <w:ind w:firstLine="480"/>
              <w:jc w:val="center"/>
            </w:pPr>
            <w:r>
              <w:rPr>
                <w:rFonts w:hint="eastAsia"/>
              </w:rPr>
              <w:t>全国人大会议</w:t>
            </w:r>
          </w:p>
          <w:p w14:paraId="06B7AAD7">
            <w:pPr>
              <w:spacing w:line="360" w:lineRule="auto"/>
              <w:ind w:firstLine="480"/>
              <w:jc w:val="center"/>
            </w:pPr>
          </w:p>
        </w:tc>
        <w:tc>
          <w:tcPr>
            <w:tcW w:w="973" w:type="pct"/>
            <w:tcBorders>
              <w:top w:val="single" w:color="auto" w:sz="4" w:space="0"/>
              <w:left w:val="nil"/>
              <w:bottom w:val="single" w:color="auto" w:sz="4" w:space="0"/>
              <w:right w:val="single" w:color="auto" w:sz="4" w:space="0"/>
            </w:tcBorders>
            <w:vAlign w:val="center"/>
          </w:tcPr>
          <w:p w14:paraId="4F21A843">
            <w:pPr>
              <w:spacing w:line="360" w:lineRule="auto"/>
              <w:ind w:firstLine="480"/>
              <w:jc w:val="center"/>
            </w:pPr>
            <w:r>
              <w:rPr>
                <w:rFonts w:hint="eastAsia"/>
              </w:rPr>
              <w:t>2021年</w:t>
            </w:r>
          </w:p>
          <w:p w14:paraId="5940E7FB">
            <w:pPr>
              <w:spacing w:line="360" w:lineRule="auto"/>
              <w:ind w:firstLine="480"/>
              <w:jc w:val="center"/>
            </w:pPr>
          </w:p>
        </w:tc>
        <w:tc>
          <w:tcPr>
            <w:tcW w:w="1528" w:type="pct"/>
            <w:tcBorders>
              <w:top w:val="single" w:color="auto" w:sz="4" w:space="0"/>
              <w:left w:val="nil"/>
              <w:bottom w:val="single" w:color="auto" w:sz="4" w:space="0"/>
              <w:right w:val="single" w:color="auto" w:sz="4" w:space="0"/>
            </w:tcBorders>
          </w:tcPr>
          <w:p w14:paraId="2A1079A0">
            <w:pPr>
              <w:spacing w:line="360" w:lineRule="auto"/>
              <w:ind w:firstLine="480"/>
            </w:pPr>
            <w:r>
              <w:rPr>
                <w:rFonts w:hint="eastAsia"/>
              </w:rPr>
              <w:t>任何组织、个人不得非法收集、使用、加工、传输他人个人信息，不得非法买卖、提供或者公开他人个人信息，不得从事危害国家安全、公共利益的个人信息处理活动。</w:t>
            </w:r>
          </w:p>
        </w:tc>
      </w:tr>
      <w:tr w14:paraId="6425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662E3D24">
            <w:pPr>
              <w:spacing w:line="360" w:lineRule="auto"/>
              <w:ind w:firstLine="480"/>
              <w:jc w:val="center"/>
            </w:pPr>
            <w:r>
              <w:rPr>
                <w:rFonts w:hint="eastAsia"/>
              </w:rPr>
              <w:t>《工业和信息化领域数据安全管理办法（试行）》</w:t>
            </w:r>
          </w:p>
          <w:p w14:paraId="16EC8597">
            <w:pPr>
              <w:spacing w:line="360" w:lineRule="auto"/>
              <w:ind w:firstLine="480"/>
              <w:jc w:val="center"/>
            </w:pPr>
          </w:p>
          <w:p w14:paraId="0ACDC0D5">
            <w:pPr>
              <w:spacing w:line="360" w:lineRule="auto"/>
              <w:ind w:firstLine="480"/>
              <w:jc w:val="center"/>
            </w:pPr>
          </w:p>
        </w:tc>
        <w:tc>
          <w:tcPr>
            <w:tcW w:w="1250" w:type="pct"/>
            <w:tcBorders>
              <w:top w:val="single" w:color="auto" w:sz="4" w:space="0"/>
              <w:left w:val="nil"/>
              <w:bottom w:val="single" w:color="auto" w:sz="4" w:space="0"/>
              <w:right w:val="single" w:color="auto" w:sz="4" w:space="0"/>
            </w:tcBorders>
            <w:vAlign w:val="center"/>
          </w:tcPr>
          <w:p w14:paraId="126B7017">
            <w:pPr>
              <w:spacing w:line="360" w:lineRule="auto"/>
              <w:ind w:firstLine="480"/>
              <w:jc w:val="center"/>
            </w:pPr>
            <w:r>
              <w:rPr>
                <w:rFonts w:hint="eastAsia"/>
              </w:rPr>
              <w:t>工业和信息化部</w:t>
            </w:r>
          </w:p>
          <w:p w14:paraId="3EB7EB7C">
            <w:pPr>
              <w:spacing w:line="360" w:lineRule="auto"/>
              <w:ind w:firstLine="480"/>
              <w:jc w:val="center"/>
            </w:pPr>
          </w:p>
        </w:tc>
        <w:tc>
          <w:tcPr>
            <w:tcW w:w="973" w:type="pct"/>
            <w:tcBorders>
              <w:top w:val="single" w:color="auto" w:sz="4" w:space="0"/>
              <w:left w:val="nil"/>
              <w:bottom w:val="single" w:color="auto" w:sz="4" w:space="0"/>
              <w:right w:val="single" w:color="auto" w:sz="4" w:space="0"/>
            </w:tcBorders>
            <w:vAlign w:val="center"/>
          </w:tcPr>
          <w:p w14:paraId="30D1D8AD">
            <w:pPr>
              <w:spacing w:line="360" w:lineRule="auto"/>
              <w:ind w:firstLine="480"/>
              <w:jc w:val="center"/>
            </w:pPr>
            <w:r>
              <w:rPr>
                <w:rFonts w:hint="eastAsia"/>
              </w:rPr>
              <w:t>2022年</w:t>
            </w:r>
          </w:p>
          <w:p w14:paraId="7D723C83">
            <w:pPr>
              <w:spacing w:line="360" w:lineRule="auto"/>
              <w:ind w:firstLine="480"/>
              <w:jc w:val="center"/>
            </w:pPr>
          </w:p>
        </w:tc>
        <w:tc>
          <w:tcPr>
            <w:tcW w:w="1528" w:type="pct"/>
            <w:tcBorders>
              <w:top w:val="single" w:color="auto" w:sz="4" w:space="0"/>
              <w:left w:val="nil"/>
              <w:bottom w:val="single" w:color="auto" w:sz="4" w:space="0"/>
              <w:right w:val="single" w:color="auto" w:sz="4" w:space="0"/>
            </w:tcBorders>
          </w:tcPr>
          <w:p w14:paraId="22885B5D">
            <w:pPr>
              <w:spacing w:line="360" w:lineRule="auto"/>
              <w:ind w:firstLine="480"/>
            </w:pPr>
            <w:r>
              <w:rPr>
                <w:rFonts w:hint="eastAsia"/>
              </w:rPr>
              <w:t>在国家数据安全工作协调机制统筹协调下，工业和信息化部负责督促指导各省、自治区、直辖市及计划单列市、新疆生产建设兵团工业和信息化主管部门，各省、自治区、直辖市通信管理局和无线电管理机构（以下统称地方行业监管部门)开展数据安全监管，对工业和信息化领域的数据处理活动和安全保护进行监督管理。</w:t>
            </w:r>
          </w:p>
        </w:tc>
      </w:tr>
      <w:tr w14:paraId="3547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15CFBF08">
            <w:pPr>
              <w:spacing w:line="360" w:lineRule="auto"/>
              <w:ind w:firstLine="480"/>
              <w:jc w:val="center"/>
            </w:pPr>
            <w:r>
              <w:rPr>
                <w:rFonts w:hint="eastAsia"/>
              </w:rPr>
              <w:t>《“十四五”数字经济发展规划》</w:t>
            </w:r>
          </w:p>
        </w:tc>
        <w:tc>
          <w:tcPr>
            <w:tcW w:w="1250" w:type="pct"/>
            <w:tcBorders>
              <w:top w:val="single" w:color="auto" w:sz="4" w:space="0"/>
              <w:left w:val="nil"/>
              <w:bottom w:val="single" w:color="auto" w:sz="4" w:space="0"/>
              <w:right w:val="single" w:color="auto" w:sz="4" w:space="0"/>
            </w:tcBorders>
            <w:vAlign w:val="center"/>
          </w:tcPr>
          <w:p w14:paraId="5DE05093">
            <w:pPr>
              <w:spacing w:line="360" w:lineRule="auto"/>
              <w:ind w:firstLine="480"/>
              <w:jc w:val="center"/>
            </w:pPr>
            <w:r>
              <w:rPr>
                <w:rFonts w:hint="eastAsia"/>
              </w:rPr>
              <w:t>国务院</w:t>
            </w:r>
          </w:p>
        </w:tc>
        <w:tc>
          <w:tcPr>
            <w:tcW w:w="973" w:type="pct"/>
            <w:tcBorders>
              <w:top w:val="single" w:color="auto" w:sz="4" w:space="0"/>
              <w:left w:val="nil"/>
              <w:bottom w:val="single" w:color="auto" w:sz="4" w:space="0"/>
              <w:right w:val="single" w:color="auto" w:sz="4" w:space="0"/>
            </w:tcBorders>
            <w:vAlign w:val="center"/>
          </w:tcPr>
          <w:p w14:paraId="017FF9DD">
            <w:pPr>
              <w:spacing w:line="360" w:lineRule="auto"/>
              <w:ind w:firstLine="480"/>
              <w:jc w:val="center"/>
            </w:pPr>
            <w:r>
              <w:rPr>
                <w:rFonts w:hint="eastAsia"/>
              </w:rPr>
              <w:t>2022年</w:t>
            </w:r>
          </w:p>
        </w:tc>
        <w:tc>
          <w:tcPr>
            <w:tcW w:w="1528" w:type="pct"/>
            <w:tcBorders>
              <w:top w:val="single" w:color="auto" w:sz="4" w:space="0"/>
              <w:left w:val="nil"/>
              <w:bottom w:val="single" w:color="auto" w:sz="4" w:space="0"/>
              <w:right w:val="single" w:color="auto" w:sz="4" w:space="0"/>
            </w:tcBorders>
          </w:tcPr>
          <w:p w14:paraId="25A13A53">
            <w:pPr>
              <w:spacing w:line="360" w:lineRule="auto"/>
              <w:ind w:firstLine="480"/>
            </w:pPr>
            <w:r>
              <w:rPr>
                <w:rFonts w:hint="eastAsia"/>
              </w:rPr>
              <w:t>提出实施数据质量提升工程。</w:t>
            </w:r>
          </w:p>
        </w:tc>
      </w:tr>
      <w:tr w14:paraId="2552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0B8774A2">
            <w:pPr>
              <w:spacing w:line="360" w:lineRule="auto"/>
              <w:ind w:firstLine="480"/>
              <w:jc w:val="center"/>
            </w:pPr>
            <w:r>
              <w:rPr>
                <w:rFonts w:hint="eastAsia"/>
              </w:rPr>
              <w:t>《工业领域数据安全标标准体系建设指南（2023版）》</w:t>
            </w:r>
          </w:p>
          <w:p w14:paraId="66922FE5">
            <w:pPr>
              <w:spacing w:line="360" w:lineRule="auto"/>
              <w:ind w:firstLine="480"/>
              <w:jc w:val="center"/>
            </w:pPr>
          </w:p>
        </w:tc>
        <w:tc>
          <w:tcPr>
            <w:tcW w:w="1250" w:type="pct"/>
            <w:tcBorders>
              <w:top w:val="single" w:color="auto" w:sz="4" w:space="0"/>
              <w:left w:val="nil"/>
              <w:bottom w:val="single" w:color="auto" w:sz="4" w:space="0"/>
              <w:right w:val="single" w:color="auto" w:sz="4" w:space="0"/>
            </w:tcBorders>
            <w:vAlign w:val="center"/>
          </w:tcPr>
          <w:p w14:paraId="11445FDD">
            <w:pPr>
              <w:spacing w:line="360" w:lineRule="auto"/>
              <w:ind w:firstLine="480"/>
              <w:jc w:val="center"/>
            </w:pPr>
            <w:r>
              <w:rPr>
                <w:rFonts w:hint="eastAsia"/>
              </w:rPr>
              <w:t>工业和信息化部、国家标准委</w:t>
            </w:r>
          </w:p>
          <w:p w14:paraId="071E603B">
            <w:pPr>
              <w:spacing w:line="360" w:lineRule="auto"/>
              <w:ind w:firstLine="480"/>
              <w:jc w:val="center"/>
            </w:pPr>
          </w:p>
        </w:tc>
        <w:tc>
          <w:tcPr>
            <w:tcW w:w="973" w:type="pct"/>
            <w:tcBorders>
              <w:top w:val="single" w:color="auto" w:sz="4" w:space="0"/>
              <w:left w:val="nil"/>
              <w:bottom w:val="single" w:color="auto" w:sz="4" w:space="0"/>
              <w:right w:val="single" w:color="auto" w:sz="4" w:space="0"/>
            </w:tcBorders>
            <w:vAlign w:val="center"/>
          </w:tcPr>
          <w:p w14:paraId="335E5ABA">
            <w:pPr>
              <w:spacing w:line="360" w:lineRule="auto"/>
              <w:ind w:firstLine="480"/>
              <w:jc w:val="center"/>
            </w:pPr>
            <w:r>
              <w:rPr>
                <w:rFonts w:hint="eastAsia"/>
              </w:rPr>
              <w:t>2023年</w:t>
            </w:r>
          </w:p>
        </w:tc>
        <w:tc>
          <w:tcPr>
            <w:tcW w:w="1528" w:type="pct"/>
            <w:tcBorders>
              <w:top w:val="single" w:color="auto" w:sz="4" w:space="0"/>
              <w:left w:val="nil"/>
              <w:bottom w:val="single" w:color="auto" w:sz="4" w:space="0"/>
              <w:right w:val="single" w:color="auto" w:sz="4" w:space="0"/>
            </w:tcBorders>
          </w:tcPr>
          <w:p w14:paraId="45CB5A40">
            <w:pPr>
              <w:spacing w:line="360" w:lineRule="auto"/>
              <w:ind w:firstLine="480"/>
            </w:pPr>
            <w:r>
              <w:rPr>
                <w:rFonts w:hint="eastAsia"/>
              </w:rPr>
              <w:t>到2024年，初步建立工业领域数据安全标准体系，有效落实数据安全管理要求，基本满足工业领域数据安全需要，推进标准在重点行业、重点企业中的应用，研制数据安全国家、行业或团体标准30项以上，到2026年，形成较为完备的工业领域数据安全标准体系，全面落实数据安全相关法律法规和政策制度要求，标准的技术水平、应用效果和国际化程度显著提高，基础性、规范性、引领性作用凸显，有力支撑工业领域数据安全重点工作，研制数据安全国家、行业或团体标准 100项以上。</w:t>
            </w:r>
          </w:p>
        </w:tc>
      </w:tr>
      <w:tr w14:paraId="23F2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5C32AE5A">
            <w:pPr>
              <w:spacing w:line="360" w:lineRule="auto"/>
              <w:ind w:firstLine="480"/>
              <w:jc w:val="center"/>
            </w:pPr>
            <w:r>
              <w:rPr>
                <w:rFonts w:hint="eastAsia"/>
              </w:rPr>
              <w:t>《企业数据资源相关会计处理暂行规定》</w:t>
            </w:r>
          </w:p>
        </w:tc>
        <w:tc>
          <w:tcPr>
            <w:tcW w:w="1250" w:type="pct"/>
            <w:tcBorders>
              <w:top w:val="single" w:color="auto" w:sz="4" w:space="0"/>
              <w:left w:val="nil"/>
              <w:bottom w:val="single" w:color="auto" w:sz="4" w:space="0"/>
              <w:right w:val="single" w:color="auto" w:sz="4" w:space="0"/>
            </w:tcBorders>
            <w:vAlign w:val="center"/>
          </w:tcPr>
          <w:p w14:paraId="1F579E38">
            <w:pPr>
              <w:spacing w:line="360" w:lineRule="auto"/>
              <w:ind w:firstLine="480"/>
              <w:jc w:val="center"/>
            </w:pPr>
            <w:r>
              <w:rPr>
                <w:rFonts w:hint="eastAsia"/>
              </w:rPr>
              <w:t>财政部</w:t>
            </w:r>
          </w:p>
        </w:tc>
        <w:tc>
          <w:tcPr>
            <w:tcW w:w="973" w:type="pct"/>
            <w:tcBorders>
              <w:top w:val="single" w:color="auto" w:sz="4" w:space="0"/>
              <w:left w:val="nil"/>
              <w:bottom w:val="single" w:color="auto" w:sz="4" w:space="0"/>
              <w:right w:val="single" w:color="auto" w:sz="4" w:space="0"/>
            </w:tcBorders>
            <w:vAlign w:val="center"/>
          </w:tcPr>
          <w:p w14:paraId="7F5D96EB">
            <w:pPr>
              <w:spacing w:line="360" w:lineRule="auto"/>
              <w:ind w:firstLine="480"/>
              <w:jc w:val="center"/>
            </w:pPr>
            <w:r>
              <w:rPr>
                <w:rFonts w:hint="eastAsia"/>
              </w:rPr>
              <w:t>2023年</w:t>
            </w:r>
          </w:p>
        </w:tc>
        <w:tc>
          <w:tcPr>
            <w:tcW w:w="1528" w:type="pct"/>
            <w:tcBorders>
              <w:top w:val="single" w:color="auto" w:sz="4" w:space="0"/>
              <w:left w:val="nil"/>
              <w:bottom w:val="single" w:color="auto" w:sz="4" w:space="0"/>
              <w:right w:val="single" w:color="auto" w:sz="4" w:space="0"/>
            </w:tcBorders>
          </w:tcPr>
          <w:p w14:paraId="4473A7A3">
            <w:pPr>
              <w:spacing w:line="360" w:lineRule="auto"/>
              <w:ind w:firstLine="480"/>
            </w:pPr>
            <w:r>
              <w:rPr>
                <w:rFonts w:hint="eastAsia"/>
              </w:rPr>
              <w:t>“数据入表”将规范企业数据资源相关会计处理，强化相关会计信息披露，服务数字经济治理体系建设。</w:t>
            </w:r>
          </w:p>
        </w:tc>
      </w:tr>
      <w:tr w14:paraId="72A7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3A429480">
            <w:pPr>
              <w:spacing w:line="360" w:lineRule="auto"/>
              <w:ind w:firstLine="480"/>
              <w:jc w:val="center"/>
            </w:pPr>
            <w:r>
              <w:rPr>
                <w:rFonts w:hint="eastAsia"/>
              </w:rPr>
              <w:t>《“数据要素×”三年行动计划（2024-2026年）》</w:t>
            </w:r>
          </w:p>
          <w:p w14:paraId="2747C3A6">
            <w:pPr>
              <w:spacing w:line="360" w:lineRule="auto"/>
              <w:ind w:firstLine="480"/>
              <w:jc w:val="center"/>
            </w:pPr>
          </w:p>
        </w:tc>
        <w:tc>
          <w:tcPr>
            <w:tcW w:w="1250" w:type="pct"/>
            <w:tcBorders>
              <w:top w:val="single" w:color="auto" w:sz="4" w:space="0"/>
              <w:left w:val="nil"/>
              <w:bottom w:val="single" w:color="auto" w:sz="4" w:space="0"/>
              <w:right w:val="single" w:color="auto" w:sz="4" w:space="0"/>
            </w:tcBorders>
            <w:vAlign w:val="center"/>
          </w:tcPr>
          <w:p w14:paraId="07298648">
            <w:pPr>
              <w:spacing w:line="360" w:lineRule="auto"/>
              <w:ind w:firstLine="480"/>
              <w:jc w:val="center"/>
            </w:pPr>
            <w:r>
              <w:rPr>
                <w:rFonts w:hint="eastAsia"/>
              </w:rPr>
              <w:t>国家数据局</w:t>
            </w:r>
          </w:p>
        </w:tc>
        <w:tc>
          <w:tcPr>
            <w:tcW w:w="973" w:type="pct"/>
            <w:tcBorders>
              <w:top w:val="single" w:color="auto" w:sz="4" w:space="0"/>
              <w:left w:val="nil"/>
              <w:bottom w:val="single" w:color="auto" w:sz="4" w:space="0"/>
              <w:right w:val="single" w:color="auto" w:sz="4" w:space="0"/>
            </w:tcBorders>
            <w:vAlign w:val="center"/>
          </w:tcPr>
          <w:p w14:paraId="5F113CDD">
            <w:pPr>
              <w:spacing w:line="360" w:lineRule="auto"/>
              <w:ind w:firstLine="480"/>
              <w:jc w:val="center"/>
            </w:pPr>
            <w:r>
              <w:rPr>
                <w:rFonts w:hint="eastAsia"/>
              </w:rPr>
              <w:t>2023年</w:t>
            </w:r>
          </w:p>
        </w:tc>
        <w:tc>
          <w:tcPr>
            <w:tcW w:w="1528" w:type="pct"/>
            <w:tcBorders>
              <w:top w:val="single" w:color="auto" w:sz="4" w:space="0"/>
              <w:left w:val="nil"/>
              <w:bottom w:val="single" w:color="auto" w:sz="4" w:space="0"/>
              <w:right w:val="single" w:color="auto" w:sz="4" w:space="0"/>
            </w:tcBorders>
          </w:tcPr>
          <w:p w14:paraId="3358D9C8">
            <w:pPr>
              <w:spacing w:line="360" w:lineRule="auto"/>
              <w:ind w:firstLine="480"/>
            </w:pPr>
            <w:r>
              <w:rPr>
                <w:rFonts w:hint="eastAsia"/>
              </w:rPr>
              <w:t>提出要加强数据安全保障，落实数据安全法规制度，建立健全数据安全治理体系，完善数据分类分级保护制度，加强个人信息保护，提升数据安全保障水平。培育数据安全服务，鼓励有实力的数据安全企业，发挥能力优势，开展基于云端的安全服务，有效提升数据安全水平。</w:t>
            </w:r>
          </w:p>
        </w:tc>
      </w:tr>
      <w:tr w14:paraId="6EB20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auto" w:sz="4" w:space="0"/>
              <w:left w:val="single" w:color="auto" w:sz="4" w:space="0"/>
              <w:bottom w:val="single" w:color="auto" w:sz="4" w:space="0"/>
              <w:right w:val="single" w:color="auto" w:sz="4" w:space="0"/>
            </w:tcBorders>
            <w:vAlign w:val="center"/>
          </w:tcPr>
          <w:p w14:paraId="20AFB467">
            <w:pPr>
              <w:spacing w:line="360" w:lineRule="auto"/>
              <w:ind w:firstLine="480"/>
              <w:jc w:val="center"/>
            </w:pPr>
            <w:r>
              <w:rPr>
                <w:rFonts w:hint="eastAsia"/>
              </w:rPr>
              <w:t>《数字中国建设整体布局规划》</w:t>
            </w:r>
          </w:p>
          <w:p w14:paraId="0FA89AFA">
            <w:pPr>
              <w:spacing w:line="360" w:lineRule="auto"/>
              <w:ind w:firstLine="480"/>
              <w:jc w:val="center"/>
            </w:pPr>
          </w:p>
        </w:tc>
        <w:tc>
          <w:tcPr>
            <w:tcW w:w="1250" w:type="pct"/>
            <w:tcBorders>
              <w:top w:val="single" w:color="auto" w:sz="4" w:space="0"/>
              <w:left w:val="nil"/>
              <w:bottom w:val="single" w:color="auto" w:sz="4" w:space="0"/>
              <w:right w:val="single" w:color="auto" w:sz="4" w:space="0"/>
            </w:tcBorders>
            <w:vAlign w:val="center"/>
          </w:tcPr>
          <w:p w14:paraId="524E2E34">
            <w:pPr>
              <w:spacing w:line="360" w:lineRule="auto"/>
              <w:ind w:firstLine="480"/>
              <w:jc w:val="center"/>
            </w:pPr>
            <w:r>
              <w:rPr>
                <w:rFonts w:hint="eastAsia"/>
              </w:rPr>
              <w:t>中共中央、国务院</w:t>
            </w:r>
          </w:p>
        </w:tc>
        <w:tc>
          <w:tcPr>
            <w:tcW w:w="973" w:type="pct"/>
            <w:tcBorders>
              <w:top w:val="single" w:color="auto" w:sz="4" w:space="0"/>
              <w:left w:val="nil"/>
              <w:bottom w:val="single" w:color="auto" w:sz="4" w:space="0"/>
              <w:right w:val="single" w:color="auto" w:sz="4" w:space="0"/>
            </w:tcBorders>
            <w:vAlign w:val="center"/>
          </w:tcPr>
          <w:p w14:paraId="1C4F6260">
            <w:pPr>
              <w:spacing w:line="360" w:lineRule="auto"/>
              <w:ind w:firstLine="480"/>
              <w:jc w:val="center"/>
            </w:pPr>
            <w:r>
              <w:rPr>
                <w:rFonts w:hint="eastAsia"/>
              </w:rPr>
              <w:t>2023年</w:t>
            </w:r>
          </w:p>
        </w:tc>
        <w:tc>
          <w:tcPr>
            <w:tcW w:w="1528" w:type="pct"/>
            <w:tcBorders>
              <w:top w:val="single" w:color="auto" w:sz="4" w:space="0"/>
              <w:left w:val="nil"/>
              <w:bottom w:val="single" w:color="auto" w:sz="4" w:space="0"/>
              <w:right w:val="single" w:color="auto" w:sz="4" w:space="0"/>
            </w:tcBorders>
          </w:tcPr>
          <w:p w14:paraId="2C7DBC6A">
            <w:pPr>
              <w:spacing w:line="360" w:lineRule="auto"/>
              <w:ind w:firstLine="480"/>
            </w:pPr>
            <w:r>
              <w:rPr>
                <w:rFonts w:hint="eastAsia"/>
              </w:rPr>
              <w:t>要优化数字化发展环境，建设公平规范的数字治理生态。构建技术标准体系，编制数字化标准工作指南，加快制定修订各行业数字化转型、产业交叉融合发展等应用标准。提升治理水平，健全网络综合治理体系，提升全方位多维度综合治理能力。</w:t>
            </w:r>
          </w:p>
        </w:tc>
      </w:tr>
    </w:tbl>
    <w:p w14:paraId="350F2A40">
      <w:pPr>
        <w:pStyle w:val="21"/>
        <w:jc w:val="center"/>
        <w:rPr>
          <w:rFonts w:hint="eastAsia"/>
        </w:rPr>
      </w:pPr>
      <w:r>
        <w:rPr>
          <w:rFonts w:hint="eastAsia"/>
        </w:rPr>
        <w:t>表</w:t>
      </w:r>
      <w:r>
        <w:rPr>
          <w:rFonts w:hint="eastAsia"/>
          <w:lang w:val="en-US" w:eastAsia="zh-CN"/>
        </w:rPr>
        <w:t xml:space="preserve">5 </w:t>
      </w:r>
      <w:r>
        <w:rPr>
          <w:rFonts w:hint="eastAsia"/>
        </w:rPr>
        <w:t>数据治理相关政策统计（不完全统计）</w:t>
      </w:r>
    </w:p>
    <w:p w14:paraId="3F250DEF">
      <w:pPr>
        <w:spacing w:line="360" w:lineRule="auto"/>
        <w:ind w:firstLine="480"/>
      </w:pPr>
      <w:r>
        <w:rPr>
          <w:rFonts w:hint="eastAsia"/>
        </w:rPr>
        <w:t>（二）数据治理与AI应用融合</w:t>
      </w:r>
    </w:p>
    <w:p w14:paraId="0B946E28">
      <w:pPr>
        <w:spacing w:line="360" w:lineRule="auto"/>
        <w:ind w:firstLine="480"/>
      </w:pPr>
      <w:r>
        <w:rPr>
          <w:rFonts w:hint="eastAsia"/>
        </w:rPr>
        <w:t>数据规模的指数级增长给数据治理工作带来巨大压力，传统人工方式做数据的清洗、分辨与调优使治理工作耗时冗长，带来高昂的人力成本，且愈发难以满足智能应用对数据在规模量与质量的高要求，传统的人工数据治理工作已变得捉襟见肘。如今，人工智能和RPA等技术手段已被逐渐应用于数据治理的模型管理、质量管理、资产管理、元数据管理等模块，最终实现数据系统的“自治与自我进化”。受数据平台服务、数据治理服务和AI应用建设的需求推动影响，面向人工智能的数据治理市场规模将持续上升，从发展进程来看，中国数据治理与面向人工智能的数据治理市场规模增长均处于良性区间，共同巩固相关治理产业生态圈的向好形势。</w:t>
      </w:r>
    </w:p>
    <w:p w14:paraId="5852B053">
      <w:pPr>
        <w:spacing w:line="360" w:lineRule="auto"/>
        <w:ind w:firstLine="480"/>
      </w:pPr>
      <w:r>
        <w:rPr>
          <w:rFonts w:hint="eastAsia"/>
        </w:rPr>
        <w:t>（三）国家数据局成立推动数据治理行业发展</w:t>
      </w:r>
    </w:p>
    <w:p w14:paraId="7743380A">
      <w:pPr>
        <w:spacing w:line="360" w:lineRule="auto"/>
        <w:ind w:firstLine="480"/>
      </w:pPr>
      <w:r>
        <w:rPr>
          <w:rFonts w:hint="eastAsia"/>
        </w:rPr>
        <w:t>在数字化的大潮中，数据不仅是沟通世界的语言，也是推动未来发展的引擎。2023年10月25日，随着国家数据局的成立，中国在全球数据治理舞台上迈出了决定性的一步。国家数据局的成立不仅是国家对数据治理重要性的认可，更是对数据管理专业人才能力的高标准要求。在如今信息爆炸的时代，数据不仅要采集，更要合规地管理和智能地运用。随着国家数据局的成立，未来我国数字经济的蓝图日益清晰，数据管理与治理已成为企业和个人不可忽视的关键技能，数据管理与治理人员将掌握一系列关键技能，进一步符合目前数字化时代的治理要求。</w:t>
      </w:r>
    </w:p>
    <w:p w14:paraId="68C9DA4E">
      <w:pPr>
        <w:spacing w:line="360" w:lineRule="auto"/>
        <w:ind w:firstLine="480"/>
      </w:pPr>
      <w:r>
        <w:rPr>
          <w:rFonts w:hint="eastAsia"/>
        </w:rPr>
        <w:t>（四）基于区块链实现数据治理</w:t>
      </w:r>
    </w:p>
    <w:p w14:paraId="22C8DA26">
      <w:pPr>
        <w:spacing w:line="360" w:lineRule="auto"/>
        <w:ind w:firstLine="480"/>
      </w:pPr>
      <w:r>
        <w:rPr>
          <w:rFonts w:hint="eastAsia"/>
        </w:rPr>
        <w:t>区块链本质上是一种去中心化的分布式数据库，在增加大数据价值实现过程的透明性方面具有天然的优势，为解决当前数据治理的关键问题提供了可行性。</w:t>
      </w:r>
    </w:p>
    <w:p w14:paraId="0E65A84B">
      <w:pPr>
        <w:spacing w:line="360" w:lineRule="auto"/>
        <w:ind w:firstLine="480"/>
      </w:pPr>
      <w:r>
        <w:rPr>
          <w:rFonts w:hint="eastAsia"/>
        </w:rPr>
        <w:t>1、支持审计的数据存储和处理</w:t>
      </w:r>
    </w:p>
    <w:p w14:paraId="6CF5F978">
      <w:pPr>
        <w:spacing w:line="360" w:lineRule="auto"/>
        <w:ind w:firstLine="480"/>
      </w:pPr>
      <w:r>
        <w:rPr>
          <w:rFonts w:hint="eastAsia"/>
        </w:rPr>
        <w:t>数据决策渗透在人们生产、生活的方方面面，由于涉及多方利益相关者，数据在存储、处理和共享流通等过程中存在数据被篡改、数据伪造，以及不同来源数据的类型和标准规则差异等问题，这些问题都会影响决策数据质量。所以，数据使用者需要对决策数据进行审计。区块链作为去中心化的分布式数据库，可以实现支持审计的数据存储和处理。此外，基于区块链在不同利益主体之间构建去中心分布式数据库系统，数据通过全网快速广播至各个利益主体，也能够保证数据共享流通的真实性和及时性。</w:t>
      </w:r>
    </w:p>
    <w:p w14:paraId="33706196">
      <w:pPr>
        <w:spacing w:line="360" w:lineRule="auto"/>
        <w:ind w:firstLine="480"/>
      </w:pPr>
      <w:r>
        <w:rPr>
          <w:rFonts w:hint="eastAsia"/>
        </w:rPr>
        <w:t>2、支持验证的分布式数据统计分析和机器学习</w:t>
      </w:r>
    </w:p>
    <w:p w14:paraId="795C8E08">
      <w:pPr>
        <w:spacing w:line="360" w:lineRule="auto"/>
        <w:ind w:firstLine="480"/>
      </w:pPr>
      <w:r>
        <w:rPr>
          <w:rFonts w:hint="eastAsia"/>
        </w:rPr>
        <w:t>在医学研究、公共安全和商业合作等一些应用领域，需要在大规模分布式数据集上执行统计分析和机器学习任务，但考虑法律法规等因素的限制，需要在不泄露隐私数据前提下进行分布式数据统计分析和机器学习。</w:t>
      </w:r>
    </w:p>
    <w:p w14:paraId="6EC1C13D">
      <w:pPr>
        <w:spacing w:line="360" w:lineRule="auto"/>
        <w:ind w:firstLine="480"/>
      </w:pPr>
      <w:r>
        <w:rPr>
          <w:rFonts w:hint="eastAsia"/>
        </w:rPr>
        <w:t>基于区块链实现可验证的分布式数据集统计分析常包括数据提供者、多个计算节点、多个验证节点和数据查询者。其中，数据提供者提供加密数据，多个结算节点执行密文计算，由区块链组成多个验证节点并对计算节点的计算进行验证。除此之外，分布式数据集统计分析需要考虑数据机密性、数据提供者和数据之间不可连接性、查询结果机密性和计算结果的鲁棒性等安全和隐私问题。为此通常采用洗牌和同态加密等技术进行保护。</w:t>
      </w:r>
    </w:p>
    <w:p w14:paraId="1A1F3693">
      <w:pPr>
        <w:spacing w:line="360" w:lineRule="auto"/>
        <w:ind w:firstLine="480"/>
      </w:pPr>
      <w:r>
        <w:rPr>
          <w:rFonts w:hint="eastAsia"/>
        </w:rPr>
        <w:t>基于区块链实现可验证的和公平的分布式机器学习，数据提供者将本地机器学习参数上传和存储至区块链，由区块链执行交叉验证，将分布式机器学习过程的每一步都记录在区块链。同时，还可以结合零知识证明和密码学承诺对恶意的参与方进行经济惩罚，通过经济激励促进公平。除此以外，分布式机器学习需要考虑数据提供者本地参数的安全性，因为本地参数也可能会泄露数据或者机器学习模型。为此通常采用差分隐私、秘密共享和同态加密等技术对其进行保护。</w:t>
      </w:r>
    </w:p>
    <w:p w14:paraId="3A7D7128">
      <w:pPr>
        <w:pStyle w:val="3"/>
        <w:spacing w:line="360" w:lineRule="auto"/>
        <w:ind w:firstLine="480"/>
      </w:pPr>
      <w:bookmarkStart w:id="8" w:name="_Toc5855"/>
      <w:r>
        <w:rPr>
          <w:rFonts w:hint="eastAsia"/>
        </w:rPr>
        <w:t>市场痛点</w:t>
      </w:r>
      <w:bookmarkEnd w:id="8"/>
    </w:p>
    <w:p w14:paraId="796AD781">
      <w:pPr>
        <w:pStyle w:val="4"/>
        <w:numPr>
          <w:ilvl w:val="0"/>
          <w:numId w:val="13"/>
        </w:numPr>
        <w:spacing w:line="360" w:lineRule="auto"/>
      </w:pPr>
      <w:r>
        <w:rPr>
          <w:rFonts w:hint="eastAsia"/>
        </w:rPr>
        <w:t>存在问题</w:t>
      </w:r>
    </w:p>
    <w:p w14:paraId="12DA771D">
      <w:pPr>
        <w:spacing w:line="360" w:lineRule="auto"/>
        <w:ind w:firstLine="480"/>
      </w:pPr>
      <w:r>
        <w:rPr>
          <w:rFonts w:hint="eastAsia"/>
        </w:rPr>
        <w:t>1）数据权属不清</w:t>
      </w:r>
    </w:p>
    <w:p w14:paraId="621841C4">
      <w:pPr>
        <w:spacing w:line="360" w:lineRule="auto"/>
        <w:ind w:firstLine="480"/>
      </w:pPr>
      <w:r>
        <w:rPr>
          <w:rFonts w:hint="eastAsia"/>
        </w:rPr>
        <w:t>数据权属模糊是数据要素流通面临的核心制度性障碍。在数据的全生命周期管理过程中，包括数据的产生、收集、存储、处理、共享和交易等各个环节，数据的所有权、使用权、收益权和处置权等权利束往往存在交叉重叠、边界不清的情况。以互联网用户行为数据为例，用户作为数据主体产生原始数据，平台企业通过技术手段进行采集加工，在这个过程中形成的衍生数据权属如何划分，目前《数据安全法》《个人信息保护法》等法律法规尚未给出明确的操作性界定标准。这种制度空白导致数据流通实践中频繁出现确权争议，特别是在跨行业、跨区域的数据交易场景中，各方对数据的使用权限、收益分配比例等关键条款难以达成共识。更为复杂的是，当数据经过多次流转和聚合处理后，其权利链条变得更加模糊，给数据资产的确权登记、价值评估和侵权追责带来巨大挑战。这种基础性制度供给不足，不仅提高了数据交易的法律合规成本，更严重制约了数据要素市场的规范化发展。</w:t>
      </w:r>
    </w:p>
    <w:p w14:paraId="579FD8D0">
      <w:pPr>
        <w:spacing w:line="360" w:lineRule="auto"/>
        <w:ind w:firstLine="480"/>
      </w:pPr>
      <w:r>
        <w:rPr>
          <w:rFonts w:hint="eastAsia"/>
        </w:rPr>
        <w:t>2）隐私泄露风险</w:t>
      </w:r>
    </w:p>
    <w:p w14:paraId="2A4D90E2">
      <w:pPr>
        <w:spacing w:line="360" w:lineRule="auto"/>
        <w:ind w:firstLine="480"/>
      </w:pPr>
      <w:r>
        <w:rPr>
          <w:rFonts w:hint="eastAsia"/>
        </w:rPr>
        <w:t>隐私与安全风险构成了数据要素流通的关键技术瓶颈。在现代数据价值链中，隐私泄露风险呈现出多维度、全流程的特征：在数据采集端，过度采集、隐蔽采集等现象普遍存在，智能终端设备的安全漏洞可能成为数据泄露的初始入口；在存储环节，集中化的数据中台架构虽然提升了管理效率，但也创造了更具吸引力的攻击目标，内部运维人员的权限滥用问题日益突出；在数据传输层面，即便采用加密通信协议，中间人攻击、DNS劫持等网络威胁仍然难以完全杜绝；最严峻的挑战出现在数据共享环节，随着数据被多次加工、转售，原始隐私保护承诺往往在流转过程中被稀释，而差分隐私、联邦学习等隐私计算技术的应用成本又令中小企业望而却步。据IBM《2023年数据泄露成本报告》显示，全球单次数据泄露事件的平均处置成本已达435万美元，这还不包括难以量化的商誉损失和用户流失。正是这种"一失万无"的风险特征，使得数据持有者普遍采取保守策略，宁愿将数据束之高阁也不愿承担流通风险。</w:t>
      </w:r>
    </w:p>
    <w:p w14:paraId="7CBC0876">
      <w:pPr>
        <w:spacing w:line="360" w:lineRule="auto"/>
        <w:ind w:firstLine="480"/>
      </w:pPr>
      <w:r>
        <w:rPr>
          <w:rFonts w:hint="eastAsia"/>
        </w:rPr>
        <w:t>3）流通互信不足</w:t>
      </w:r>
    </w:p>
    <w:p w14:paraId="549D9951">
      <w:pPr>
        <w:spacing w:line="360" w:lineRule="auto"/>
        <w:ind w:firstLine="480"/>
      </w:pPr>
      <w:r>
        <w:rPr>
          <w:rFonts w:hint="eastAsia"/>
        </w:rPr>
        <w:t>信任机制的缺失正在形成数据要素市场的"囚徒困境"。当前数据流通生态中存在多重信任壁垒：首先是技术信任缺失，数据提供方无法有效监控数据使用方的实际使用情况，担心数据被违规复制、滥用或泄露；其次是质量信任危机，使用方难以验证数据的真实性、完整性和时效性，特别是在跨领域数据融合场景中，数据标准不统一、质量参差不齐的问题尤为突出；最后是制度信任短板，现有的数据交易规则缺乏强有力的履约保障和违约惩戒机制，合约执行主要依赖各方自律。这种系统性信任危机导致数据交易陷入"柠檬市场"困境：优质数据所有者因担心"劣币驱逐良币"而退出市场，留下的往往是价值密度低、质量可疑的数据产品。为打破这种僵局，市场不得不引入大量中介机构进行信用背书，包括第三方数据审计、区块链存证等服务，但这又显著提高了交易成本。据调研，在某些垂直领域，数据流通的中间成本甚至占到交易总额的30%-40%，严重侵蚀了数据要素的市场活力。</w:t>
      </w:r>
    </w:p>
    <w:p w14:paraId="3D0F9B68">
      <w:pPr>
        <w:spacing w:line="360" w:lineRule="auto"/>
        <w:ind w:firstLine="480"/>
      </w:pPr>
      <w:r>
        <w:rPr>
          <w:rFonts w:hint="eastAsia"/>
        </w:rPr>
        <w:t>4）其余潜在痛点</w:t>
      </w:r>
    </w:p>
    <w:p w14:paraId="1AC9BC9A">
      <w:pPr>
        <w:spacing w:line="360" w:lineRule="auto"/>
        <w:ind w:firstLine="480"/>
      </w:pPr>
      <w:r>
        <w:rPr>
          <w:rFonts w:hint="eastAsia"/>
        </w:rPr>
        <w:t>数据质量参差不齐。在数据要素流通中，数据的质量问题是一个重要的痛点。不同来源的数据可能存在格式不统一、数据不完整、数据不准确等问题，这会影响数据的可用性和分析结果的可靠性。例如，同一类数据在不同部门或不同系统中可能有不同的命名规则和格式，这使得数据整合和分析变得困难。此外，数据的时效性也是一个问题，过时的数据可能会导致错误的决策。</w:t>
      </w:r>
    </w:p>
    <w:p w14:paraId="48550EED">
      <w:pPr>
        <w:spacing w:line="360" w:lineRule="auto"/>
        <w:ind w:firstLine="480"/>
      </w:pPr>
      <w:r>
        <w:rPr>
          <w:rFonts w:hint="eastAsia"/>
        </w:rPr>
        <w:t>数据流通的技术标准和规范不统一。在数据流通过程中，缺乏统一的技术标准和规范是一个痛点。这包括数据的格式、接口、传输协议、安全标准等方面。不同系统之间可能使用不同的数据格式和接口，这使得数据的整合和共享变得复杂。同时，缺乏统一的安全标准也增加了数据流通的安全风险。</w:t>
      </w:r>
    </w:p>
    <w:p w14:paraId="022A6FAB">
      <w:pPr>
        <w:spacing w:line="360" w:lineRule="auto"/>
        <w:ind w:firstLine="480"/>
      </w:pPr>
      <w:r>
        <w:rPr>
          <w:rFonts w:hint="eastAsia"/>
        </w:rPr>
        <w:t>数据生命周期管理难度大。数据的生命周期包括数据的产生、采集、存储、处理、共享、销毁等环节，每个环节都有其特定的管理需求。在数据要素流通中，如何有效地管理数据的全生命周期是一个挑战。例如，数据的存储和备份需要考虑数据的持久性和可靠性，数据的处理和分析需要考虑数据的准确性和时效性，数据的销毁需要确保数据的彻底删除，以防止数据泄露。</w:t>
      </w:r>
    </w:p>
    <w:p w14:paraId="310AB73B">
      <w:pPr>
        <w:spacing w:line="360" w:lineRule="auto"/>
        <w:ind w:firstLine="480"/>
      </w:pPr>
      <w:r>
        <w:rPr>
          <w:rFonts w:hint="eastAsia"/>
        </w:rPr>
        <w:t>法律法规的滞后性。随着数据要素流通的快速发展，现有的法律法规可能无法及时跟上。这包括数据保护、隐私权、数据交易等方面的法律法规。法律法规的滞后性可能导致数据流通中的法律风险，如数据交易的合法性、数据使用的合规性等。同时，不同国家和地区的法律法规差异也可能成为跨国数据流通的障碍。</w:t>
      </w:r>
    </w:p>
    <w:p w14:paraId="0324308D">
      <w:pPr>
        <w:spacing w:line="360" w:lineRule="auto"/>
        <w:ind w:firstLine="480"/>
      </w:pPr>
      <w:r>
        <w:rPr>
          <w:rFonts w:hint="eastAsia"/>
        </w:rPr>
        <w:t>数据流通的经济成本和效益平衡。在数据要素流通中，如何平衡经济成本和效益是一个痛点。数据的采集、存储、处理、共享等环节都需要投入一定的成本，包括硬件、软件、人力资源等方面的成本。然而，数据的经济效益可能难以直接量化，这使得企业或组织在进行数据投资时面临风险。此外，数据流通的收益分配也是一个问题，如何合理地分配数据流通所产生的收益，以激励各方参与数据流通。</w:t>
      </w:r>
    </w:p>
    <w:p w14:paraId="1E673ABC">
      <w:pPr>
        <w:spacing w:line="360" w:lineRule="auto"/>
        <w:ind w:firstLine="480"/>
      </w:pPr>
      <w:r>
        <w:rPr>
          <w:rFonts w:hint="eastAsia"/>
        </w:rPr>
        <w:t>数据流通的人才短缺。数据要素流通涉及多学科的交叉，需要具备数据科学、计算机科学、法律、管理等多方面的知识和技能的人才。然而，目前市场上这类复合型人才相对短缺，这限制了数据流通技术的发展和应用。同时，人才短缺也可能导致企业在数据流通中的决策和操作出现失误。</w:t>
      </w:r>
    </w:p>
    <w:p w14:paraId="794509E6">
      <w:pPr>
        <w:pStyle w:val="4"/>
        <w:numPr>
          <w:ilvl w:val="0"/>
          <w:numId w:val="13"/>
        </w:numPr>
        <w:spacing w:line="360" w:lineRule="auto"/>
      </w:pPr>
      <w:r>
        <w:rPr>
          <w:rFonts w:hint="eastAsia"/>
        </w:rPr>
        <w:t>解决方案</w:t>
      </w:r>
    </w:p>
    <w:p w14:paraId="6899B7F6">
      <w:pPr>
        <w:spacing w:line="360" w:lineRule="auto"/>
        <w:ind w:firstLine="480"/>
      </w:pPr>
      <w:r>
        <w:rPr>
          <w:rFonts w:hint="eastAsia"/>
        </w:rPr>
        <w:t>1）数据权属不清</w:t>
      </w:r>
    </w:p>
    <w:p w14:paraId="6C33387F">
      <w:pPr>
        <w:spacing w:line="360" w:lineRule="auto"/>
        <w:ind w:firstLine="480"/>
      </w:pPr>
      <w:r>
        <w:rPr>
          <w:rFonts w:hint="eastAsia"/>
        </w:rPr>
        <w:tab/>
      </w:r>
      <w:r>
        <w:rPr>
          <w:rFonts w:hint="eastAsia"/>
        </w:rPr>
        <w:t>建立数据权属界定规则：推动立法和政策制定，明确数据在不同环节的所有权、使用权、收益权和处置权。例如，对于用户数据，规定用户拥有数据的最终所有权，但平台在用户授权范围内拥有使用权；对于企业收集和生成的数据，根据数据产生的过程和投入确定权属。同时，建立数据权属登记机制，通过数据确权平台对数据资产进行登记，颁发数据权属证书，为数据交易和流通提供明确的权属依据。</w:t>
      </w:r>
    </w:p>
    <w:p w14:paraId="040B6211">
      <w:pPr>
        <w:spacing w:line="360" w:lineRule="auto"/>
        <w:ind w:firstLine="480"/>
      </w:pPr>
      <w:r>
        <w:rPr>
          <w:rFonts w:hint="eastAsia"/>
        </w:rPr>
        <w:t>采用智能合约技术：利用区块链上的智能合约自动执行数据使用协议。当数据所有者和使用者达成数据交易合同时，智能合约可以自动记录数据的使用权限、时间范围、费用支付等条款。一旦数据使用方违反协议，智能合约能够自动暂停数据访问权限，并触发相应的违约处理机制，从而确保数据权属在实际操作中的有效执行。</w:t>
      </w:r>
    </w:p>
    <w:p w14:paraId="43BDD874">
      <w:pPr>
        <w:spacing w:line="360" w:lineRule="auto"/>
        <w:ind w:firstLine="480"/>
      </w:pPr>
      <w:r>
        <w:rPr>
          <w:rFonts w:hint="eastAsia"/>
        </w:rPr>
        <w:t>2）隐私泄露风险。加强数据加密技术应用：在数据采集阶段，采用端到端加密技术，确保数据从源头到目的地的传输过程中始终处于加密状态。例如，对于移动应用收集的用户数据，使用安全的通信协议（如TLS/SSL）对数据进行加密传输。在数据存储阶段，采用高级加密标准（AES）等加密算法对数据进行加密存储，即使数据存储介质被盗或遭受黑客攻击，加密的数据也无法被轻易解读。</w:t>
      </w:r>
    </w:p>
    <w:p w14:paraId="6525AF68">
      <w:pPr>
        <w:spacing w:line="360" w:lineRule="auto"/>
        <w:ind w:firstLine="480"/>
      </w:pPr>
      <w:r>
        <w:rPr>
          <w:rFonts w:hint="eastAsia"/>
        </w:rPr>
        <w:t>实施隐私增强技术：如差分隐私技术，通过在数据中添加噪声来保护个体隐私。在数据发布或共享时，可以在保证数据整体统计特征的前提下，对个体数据进行模糊化处理，使攻击者无法通过数据分析准确识别出特定个体的信息。另外，利用同态加密技术，允许在加密数据上直接进行计算，计算结果解密后与明文计算结果一致，这样可以在不暴露原始数据的情况下进行数据处理和分析，有效降低隐私泄露风险。</w:t>
      </w:r>
    </w:p>
    <w:p w14:paraId="71C71DBE">
      <w:pPr>
        <w:spacing w:line="360" w:lineRule="auto"/>
        <w:ind w:firstLine="480"/>
      </w:pPr>
      <w:r>
        <w:rPr>
          <w:rFonts w:hint="eastAsia"/>
        </w:rPr>
        <w:t>3）流通互信不足。</w:t>
      </w:r>
    </w:p>
    <w:p w14:paraId="7ECCF09D">
      <w:pPr>
        <w:spacing w:line="360" w:lineRule="auto"/>
        <w:ind w:firstLine="480"/>
      </w:pPr>
      <w:r>
        <w:rPr>
          <w:rFonts w:hint="eastAsia"/>
        </w:rPr>
        <w:tab/>
      </w:r>
      <w:r>
        <w:rPr>
          <w:rFonts w:hint="eastAsia"/>
        </w:rPr>
        <w:t>构建可信数据交易平台：建立由权威机构监管的第三方数据交易平台，对数据提供方和使用方进行严格的资质审核和信用评估。平台可以提供数据质量评估、数据真实性验证、数据交易撮合等服务。例如，通过数据质量评估指标体系，对上架的数据产品进行全面的质量检测，包括数据的完整性、准确性、一致性等方面，并将评估结果公开，供数据使用方参考。同时，平台可以建立数据交易纠纷仲裁机制，及时解决数据交易过程中出现的争议，增强各方的信任。</w:t>
      </w:r>
    </w:p>
    <w:p w14:paraId="1737BB23">
      <w:pPr>
        <w:spacing w:line="360" w:lineRule="auto"/>
        <w:ind w:firstLine="480"/>
      </w:pPr>
      <w:r>
        <w:rPr>
          <w:rFonts w:hint="eastAsia"/>
        </w:rPr>
        <w:t>利用区块链技术建立信任机制：区块链的分布式账本特性可以记录数据流通的全过程，包括数据的来源、流转路径、使用情况等信息。所有参与数据流通的节点都可以实时查看和验证这些信息，确保数据的真实性和完整性。例如，在数据交易过程中，每一次数据的交易记录（包括交易双方信息、数据内容哈希值、交易时间等）都会被记录在区块链上，不可篡改且可追溯。这使得数据使用方能够清楚地了解数据的来龙去脉，增强对数据的信任。</w:t>
      </w:r>
    </w:p>
    <w:p w14:paraId="5012EA2E">
      <w:pPr>
        <w:spacing w:line="360" w:lineRule="auto"/>
        <w:ind w:firstLine="480"/>
      </w:pPr>
      <w:r>
        <w:rPr>
          <w:rFonts w:hint="eastAsia"/>
        </w:rPr>
        <w:t>4）数据质量参差不齐</w:t>
      </w:r>
    </w:p>
    <w:p w14:paraId="00AED6F5">
      <w:pPr>
        <w:spacing w:line="360" w:lineRule="auto"/>
        <w:ind w:firstLine="480"/>
      </w:pPr>
      <w:r>
        <w:rPr>
          <w:rFonts w:hint="eastAsia"/>
        </w:rPr>
        <w:t xml:space="preserve"> 建立数据质量标准和规范。制定统一的数据质量标准，涵盖数据的准确性、完整性、一致性、时效性、可用性等多个维度。例如，规定企业内部数据的格式规范，要求所有部门在数据采集和录入时遵循统一的日期格式、数值精度等标准。同时，建立数据质量评估模型，定期对数据质量进行量化评估，根据评估结果对数据进行分类管理，对于质量不达标的数 据及时进行清洗、修正或补充。</w:t>
      </w:r>
    </w:p>
    <w:p w14:paraId="4E792C3A">
      <w:pPr>
        <w:spacing w:line="360" w:lineRule="auto"/>
        <w:ind w:firstLine="480"/>
      </w:pPr>
      <w:r>
        <w:rPr>
          <w:rFonts w:hint="eastAsia"/>
        </w:rPr>
        <w:t>采用数据质量管理工具和技术。利用数据清洗工具对数据进行预处理，去除重复数据、纠正错误数据、填补缺失数据等。例如，通过数据挖掘和机器学习算法识别和修正数据中的异常值和错误信息。同时，建立数据质量监控系统，实时监测数据质量状况，当数据质量出现异常波动时及时发出警报，以便采取相应的措施。</w:t>
      </w:r>
    </w:p>
    <w:p w14:paraId="19A281E5">
      <w:pPr>
        <w:spacing w:line="360" w:lineRule="auto"/>
        <w:ind w:firstLine="480"/>
      </w:pPr>
      <w:r>
        <w:rPr>
          <w:rFonts w:hint="eastAsia"/>
        </w:rPr>
        <w:t>5）数据流通的技术标准和规范不统一</w:t>
      </w:r>
    </w:p>
    <w:p w14:paraId="0A5DDE73">
      <w:pPr>
        <w:spacing w:line="360" w:lineRule="auto"/>
        <w:ind w:firstLine="480"/>
      </w:pPr>
      <w:r>
        <w:rPr>
          <w:rFonts w:hint="eastAsia"/>
        </w:rPr>
        <w:t>制定统一的数据流通技术标准。由行业组织、标准化机构等牵头，联合数据产业上下游企业共同制定数据流通的技术标准，包括数据格式、接口标准、传输协议、安全标准等。例如，制定通用的数据交换格式（如XML、JSON等）的标准规范，明确数据元的定义、数据结构等，确保不同系统之间能够无缝对接和数据交换。同时，建立数据流通技术标准的认证体系，对符合标准的产品和服务进行认证，促进标准的有效实施。</w:t>
      </w:r>
    </w:p>
    <w:p w14:paraId="4E2B945A">
      <w:pPr>
        <w:spacing w:line="360" w:lineRule="auto"/>
        <w:ind w:firstLine="480"/>
      </w:pPr>
      <w:r>
        <w:rPr>
          <w:rFonts w:hint="eastAsia"/>
        </w:rPr>
        <w:t>推动数据流通中间件的发展。开发和应用数据流通中间件，作为不同数据系统之间的桥梁。中间件可以实现数据格式转换、协议适配、数据安全转换等功能。例如，当一个企业的内部数据系统采用特定的数据格式和通信协议，而需要与外部系统进行数据交互时，数据流通中间件可以自动将数据转换为目标系统能够识别的格式和协议，降低数据流通的技术障碍。</w:t>
      </w:r>
    </w:p>
    <w:p w14:paraId="78E731D5">
      <w:pPr>
        <w:spacing w:line="360" w:lineRule="auto"/>
        <w:ind w:firstLine="480"/>
      </w:pPr>
      <w:r>
        <w:rPr>
          <w:rFonts w:hint="eastAsia"/>
        </w:rPr>
        <w:t>6）数据生命周期管理难度大</w:t>
      </w:r>
    </w:p>
    <w:p w14:paraId="586FC338">
      <w:pPr>
        <w:spacing w:line="360" w:lineRule="auto"/>
        <w:ind w:firstLine="480"/>
      </w:pPr>
      <w:r>
        <w:rPr>
          <w:rFonts w:hint="eastAsia"/>
        </w:rPr>
        <w:t>建立数据生命周期管理体系。制定数据生命周期管理策略，明确数据在不同阶段的管理目标、责任主体、操作流程等。例如，在数据产生阶段，明确数据的采集规范和质量要求；在数据存储阶段，确定数据的存储期限、存储位置、备份策略等；在数据销毁阶段，规定数据销毁的方式和确认流程。同时，建立数据生命周期管理工具，对数据进行全生命周期的跟踪和管理，实现数据的自动化归档、销毁等功能。</w:t>
      </w:r>
    </w:p>
    <w:p w14:paraId="52A12B83">
      <w:pPr>
        <w:spacing w:line="360" w:lineRule="auto"/>
        <w:ind w:firstLine="480"/>
      </w:pPr>
      <w:r>
        <w:rPr>
          <w:rFonts w:hint="eastAsia"/>
        </w:rPr>
        <w:t>引入数据治理框架和工具。采用成熟的数据治理框架（如DAMA-DMBOK等），结合企业自身实际情况，建立数据治理体系。数据治理框架包括数据架构管理、数据开发管理、数据安全管理等多个领域，通过建立相应的政策、流程和工具，确保数据在整个生命周期内得到有效的治理。例如，利用数据治理工具对数据资产进行盘点和分类，制定数据字典，规范数据的定义和使用，提高数据的可管理性和可用性。</w:t>
      </w:r>
    </w:p>
    <w:p w14:paraId="0C0F1736">
      <w:pPr>
        <w:spacing w:line="360" w:lineRule="auto"/>
        <w:ind w:firstLine="480"/>
      </w:pPr>
      <w:r>
        <w:rPr>
          <w:rFonts w:hint="eastAsia"/>
        </w:rPr>
        <w:t>7）法律法规的滞后性</w:t>
      </w:r>
    </w:p>
    <w:p w14:paraId="39FA2532">
      <w:pPr>
        <w:spacing w:line="360" w:lineRule="auto"/>
        <w:ind w:firstLine="480"/>
      </w:pPr>
      <w:r>
        <w:rPr>
          <w:rFonts w:hint="eastAsia"/>
        </w:rPr>
        <w:t>推动数据立法和政策更新。加强政府和立法机构与数据产业界的沟通与合作，及时了解数据要素流通的实际情况和发展需求。根据数据流通的新特点、新问题，加快制定和完善相关法律法规，明确数据交易的合法性、数据使用的合规性、数据主体的权益保护等内容。例如，制定专门的数据交易法，规范数据交易市场的主体资格、交易流程、监督管理等环节，为数据流通提供明确的法律依据。</w:t>
      </w:r>
    </w:p>
    <w:p w14:paraId="4C71B9F1">
      <w:pPr>
        <w:spacing w:line="360" w:lineRule="auto"/>
        <w:ind w:firstLine="480"/>
      </w:pPr>
      <w:r>
        <w:rPr>
          <w:rFonts w:hint="eastAsia"/>
        </w:rPr>
        <w:t>开展国际合作与交流。积极参与国际数据治理规则的制定，加强与其他国家和地区在数据法律法规方面的交流与合作。通过签订双边或多边协议，协调不同国家和地区之间的数据法律法规差异，促进跨国数据流通。例如，在数据跨境传输方面，建立国际认可的数据跨境流动安全评估机制，确保数据在跨境过程中的合法性和安全性。</w:t>
      </w:r>
    </w:p>
    <w:p w14:paraId="41F73708">
      <w:pPr>
        <w:spacing w:line="360" w:lineRule="auto"/>
        <w:ind w:firstLine="480"/>
      </w:pPr>
      <w:r>
        <w:rPr>
          <w:rFonts w:hint="eastAsia"/>
        </w:rPr>
        <w:tab/>
      </w:r>
      <w:r>
        <w:rPr>
          <w:rFonts w:hint="eastAsia"/>
        </w:rPr>
        <w:t>8）数据流通的经济成本和效益平衡</w:t>
      </w:r>
    </w:p>
    <w:p w14:paraId="4406F7A3">
      <w:pPr>
        <w:spacing w:line="360" w:lineRule="auto"/>
        <w:ind w:firstLine="480"/>
      </w:pPr>
      <w:r>
        <w:rPr>
          <w:rFonts w:hint="eastAsia"/>
        </w:rPr>
        <w:t>优化数据流通成本结构。通过技术创新和管理优化降低数据流通的成本。例如，采用云计算技术提供弹性计算和存储资源，根据数据流通的实际需求动态调整资源配置，降低硬件投资成本。同时，优化数据处理流程，采用高效的数据处理算法和工具，提高数据处理效率，降低运营成本。此外，建立数据共享联盟，实现数据基础设施的共建共享，分摊建设成本。</w:t>
      </w:r>
    </w:p>
    <w:p w14:paraId="5A56F7DD">
      <w:pPr>
        <w:spacing w:line="360" w:lineRule="auto"/>
        <w:ind w:firstLine="480"/>
      </w:pPr>
      <w:r>
        <w:rPr>
          <w:rFonts w:hint="eastAsia"/>
        </w:rPr>
        <w:t>建立合理的数据定价和收益分配机制。研究和建立科学合理的数据定价模型，综合考虑数据的采集成本、处理成本、数据质量、数据稀缺性、数据应用场景等因素来确定数据价格。例如，对于具有高价值、高稀缺性的数据（如某些领域的专业数据），可以采用市场定价法，根据市场需求和竞争状况来定价。同时，建立公平合理的收益分配机制，根据数据所有者、数据提供方、数据处理方等各方在数据流通中的贡献和成本投入，合理分配数据流通所产生的收益，激励各方积极参与数据流通。</w:t>
      </w:r>
    </w:p>
    <w:p w14:paraId="556FB658">
      <w:pPr>
        <w:spacing w:line="360" w:lineRule="auto"/>
        <w:ind w:firstLine="480"/>
      </w:pPr>
      <w:r>
        <w:rPr>
          <w:rFonts w:hint="eastAsia"/>
        </w:rPr>
        <w:tab/>
      </w:r>
      <w:r>
        <w:rPr>
          <w:rFonts w:hint="eastAsia"/>
        </w:rPr>
        <w:t>9）数据流通的人才短缺</w:t>
      </w:r>
    </w:p>
    <w:p w14:paraId="39B33EBD">
      <w:pPr>
        <w:spacing w:line="360" w:lineRule="auto"/>
        <w:ind w:firstLine="480"/>
      </w:pPr>
      <w:r>
        <w:rPr>
          <w:rFonts w:hint="eastAsia"/>
        </w:rPr>
        <w:t>加强数据人才培养体系建设。高校和职业院校应调整相关专业的课程设置，增加数据要素流通相关的课程内容，如数据治理、数据安全、数据交易等课程。同时，开展跨学科人才培养，设置数据法学、数据经济学等跨学科专业，培养既懂技术又懂法律、经济等多领域知识的复合型人才。例如，高校可以与企业合作开展实习实训项目，让学生在实际的数据流通项目中积累实践经验。</w:t>
      </w:r>
    </w:p>
    <w:p w14:paraId="2C7A9A4D">
      <w:pPr>
        <w:spacing w:line="360" w:lineRule="auto"/>
        <w:ind w:firstLine="480"/>
      </w:pPr>
      <w:r>
        <w:rPr>
          <w:rFonts w:hint="eastAsia"/>
        </w:rPr>
        <w:t>开展数据人才培训和认证。企业和社会培训机构可以针对数据流通从业人员开展专业培训和认证服务。培训内容包括数据要素市场的最新政策法规、数据流通技术、数据运营管理等方面的知识和技能。通过培训和认证，提高从业人员的专业素养和业务能力，为数据流通市场提供充足的人才支持。</w:t>
      </w:r>
    </w:p>
    <w:p w14:paraId="767E33F1">
      <w:pPr>
        <w:pStyle w:val="4"/>
        <w:numPr>
          <w:ilvl w:val="0"/>
          <w:numId w:val="13"/>
        </w:numPr>
        <w:spacing w:line="360" w:lineRule="auto"/>
      </w:pPr>
      <w:r>
        <w:rPr>
          <w:rFonts w:hint="eastAsia"/>
        </w:rPr>
        <w:t>行业关键因素分析</w:t>
      </w:r>
    </w:p>
    <w:p w14:paraId="629B98B0">
      <w:pPr>
        <w:spacing w:line="360" w:lineRule="auto"/>
        <w:ind w:firstLine="480"/>
      </w:pPr>
      <w:r>
        <w:rPr>
          <w:rFonts w:hint="eastAsia"/>
        </w:rPr>
        <w:t>1） 数据资源的获取与整合能力</w:t>
      </w:r>
    </w:p>
    <w:p w14:paraId="063D86C3">
      <w:pPr>
        <w:spacing w:line="360" w:lineRule="auto"/>
        <w:ind w:firstLine="480"/>
      </w:pPr>
      <w:r>
        <w:rPr>
          <w:rFonts w:hint="eastAsia"/>
        </w:rPr>
        <w:t>对于数据要素流通行业来说，丰富的数据资源是基础。能够获取多源、海量、高质量的数据是关键。例如，数据宝链接了50多家部委厅局国央企数据、9家省级平台公司数据和众多省市国企数据，形成了庞大的国有数据资源网络。这体现了在行业内，广泛地与各类数据拥有方建立合作，获取不同领域、不同层级的数据资源对于构建竞争力的重要性。同时，对获取的数据进行有效的整合，打破数据孤岛，实现数据的融合与协同应用，也是发挥数据价值的关键环节。</w:t>
      </w:r>
    </w:p>
    <w:p w14:paraId="01678CC2">
      <w:pPr>
        <w:spacing w:line="360" w:lineRule="auto"/>
        <w:ind w:firstLine="480"/>
      </w:pPr>
      <w:r>
        <w:rPr>
          <w:rFonts w:hint="eastAsia"/>
        </w:rPr>
        <w:t>数据的质量评估和清洗也是重要因素。只有准确、完整、一致的数据才能为后续的分析和应用提供可靠依据，所以在数据整合过程中需要有严格的质量把控机制。</w:t>
      </w:r>
    </w:p>
    <w:p w14:paraId="7C8F9E81">
      <w:pPr>
        <w:spacing w:line="360" w:lineRule="auto"/>
        <w:ind w:firstLine="480"/>
      </w:pPr>
      <w:r>
        <w:rPr>
          <w:rFonts w:hint="eastAsia"/>
        </w:rPr>
        <w:t>2）技术创新能力</w:t>
      </w:r>
    </w:p>
    <w:p w14:paraId="2CC0A544">
      <w:pPr>
        <w:spacing w:line="360" w:lineRule="auto"/>
        <w:ind w:firstLine="480"/>
      </w:pPr>
      <w:r>
        <w:rPr>
          <w:rFonts w:hint="eastAsia"/>
        </w:rPr>
        <w:t>在数据可信治理机制与平台开发方面，技术创新至关重要。例如，文档中提到的隐私计算技术（如联邦学习、多方安全计算）、区块链技术等的应用，能够解决数据隐私保护和可信流通的问题。对这些前沿技术的研究、融合与应用能力，直接决定了企业能否提供符合市场需求的解决方案。</w:t>
      </w:r>
    </w:p>
    <w:p w14:paraId="7590DE04">
      <w:pPr>
        <w:spacing w:line="360" w:lineRule="auto"/>
        <w:ind w:firstLine="480"/>
      </w:pPr>
      <w:r>
        <w:rPr>
          <w:rFonts w:hint="eastAsia"/>
        </w:rPr>
        <w:t>持续的研发投入和创新团队的建设是保持技术领先的关键。例如，数据宝团队拥有二十年的数据挖掘应用经验，具备深厚的行业积累和技术创新能力，能够不断推出新的产品和服务，满足不同场景下的数据应用需求。</w:t>
      </w:r>
    </w:p>
    <w:p w14:paraId="51A2481F">
      <w:pPr>
        <w:spacing w:line="360" w:lineRule="auto"/>
        <w:ind w:firstLine="480"/>
      </w:pPr>
      <w:r>
        <w:rPr>
          <w:rFonts w:hint="eastAsia"/>
        </w:rPr>
        <w:t>3）对市场与客户需求的理解</w:t>
      </w:r>
    </w:p>
    <w:p w14:paraId="59B5B317">
      <w:pPr>
        <w:spacing w:line="360" w:lineRule="auto"/>
        <w:ind w:firstLine="480"/>
      </w:pPr>
      <w:r>
        <w:rPr>
          <w:rFonts w:hint="eastAsia"/>
        </w:rPr>
        <w:t>深入了解不同行业的数据流通需求和痛点，是提供针对性解决方案的前提。例如，金融行业对数据安全和隐私保护要求极高，同时需要高效的数据共享来进行风险评估和产品创新；医疗行业则关注数据在科研、临床等场景下的合规共享等。企业需要能够准确把握各行业的特点，设计出符合行业规范和客户需求的可信治理机制和平台功能。</w:t>
      </w:r>
    </w:p>
    <w:p w14:paraId="2AA44D6D">
      <w:pPr>
        <w:spacing w:line="360" w:lineRule="auto"/>
        <w:ind w:firstLine="480"/>
      </w:pPr>
      <w:r>
        <w:rPr>
          <w:rFonts w:hint="eastAsia"/>
        </w:rPr>
        <w:t>与客户建立紧密的合作关系，及时反馈和优化产品。通过与客户的实际合作，不断验证和完善解决方案的可行性和有效性，提升客户满意度和市场竞争力。</w:t>
      </w:r>
    </w:p>
    <w:p w14:paraId="7C3B20CA">
      <w:pPr>
        <w:spacing w:line="360" w:lineRule="auto"/>
        <w:ind w:firstLine="480"/>
      </w:pPr>
      <w:r>
        <w:rPr>
          <w:rFonts w:hint="eastAsia"/>
        </w:rPr>
        <w:t>4）品牌与信誉</w:t>
      </w:r>
    </w:p>
    <w:p w14:paraId="0365EF8E">
      <w:pPr>
        <w:spacing w:line="360" w:lineRule="auto"/>
        <w:ind w:firstLine="480"/>
      </w:pPr>
      <w:r>
        <w:rPr>
          <w:rFonts w:hint="eastAsia"/>
        </w:rPr>
        <w:t>在数据要素流通领域，品牌的信誉度至关重要。由于数据涉及敏感信息，客户（无论是数据提供方还是使用方）在选择合作伙伴时，往往会优先考虑具有良好口碑和信誉的企业。数据宝作为国资参股、政府监管扶持的企业，具有天然的信任优势，其在行业内树立的品牌形象能够吸引更多的合作伙伴和客户。</w:t>
      </w:r>
    </w:p>
    <w:p w14:paraId="78A3CBF6">
      <w:pPr>
        <w:spacing w:line="360" w:lineRule="auto"/>
        <w:ind w:firstLine="480"/>
      </w:pPr>
      <w:r>
        <w:rPr>
          <w:rFonts w:hint="eastAsia"/>
        </w:rPr>
        <w:t>成功案例和行业示范效应有助于提升品牌影响力。例如，数据宝在互联网、金融、保险、交通等行业落地了300多个应用场景，服务了众多知名品牌，这些成功案例成为了其品牌宣传和市场拓展的重要支撑。</w:t>
      </w:r>
    </w:p>
    <w:p w14:paraId="3ED4911B">
      <w:pPr>
        <w:spacing w:line="360" w:lineRule="auto"/>
        <w:ind w:firstLine="480"/>
      </w:pPr>
      <w:r>
        <w:rPr>
          <w:rFonts w:hint="eastAsia"/>
        </w:rPr>
        <w:t>5）法律法规与监管环境的适应性</w:t>
      </w:r>
    </w:p>
    <w:p w14:paraId="7BCF92A5">
      <w:pPr>
        <w:spacing w:line="360" w:lineRule="auto"/>
        <w:ind w:firstLine="480"/>
      </w:pPr>
      <w:r>
        <w:rPr>
          <w:rFonts w:hint="eastAsia"/>
        </w:rPr>
        <w:t>数据要素流通受到严格的法律法规监管，如《数据安全法》《个人信息保护法》等。企业必须具备良好的法律意识，确保自身业务完全符合相关法律法规要求，同时能够及时跟踪和应对法规政策的变化。</w:t>
      </w:r>
    </w:p>
    <w:p w14:paraId="6539BBF9">
      <w:pPr>
        <w:spacing w:line="360" w:lineRule="auto"/>
        <w:ind w:firstLine="480"/>
      </w:pPr>
      <w:r>
        <w:rPr>
          <w:rFonts w:hint="eastAsia"/>
        </w:rPr>
        <w:t>积极参与行业标准的制定和规范的建立，有助于企业在行业中占据有利地位。例如，数据宝参与建设或运营多个省级大数据（交易）平台，能够在一定程度上影响行业的发展方向和标准制定，提升自身的行业话语权。</w:t>
      </w:r>
    </w:p>
    <w:p w14:paraId="72ED3F5B">
      <w:pPr>
        <w:pStyle w:val="4"/>
        <w:numPr>
          <w:ilvl w:val="0"/>
          <w:numId w:val="13"/>
        </w:numPr>
        <w:spacing w:line="360" w:lineRule="auto"/>
        <w:ind w:firstLine="480"/>
      </w:pPr>
      <w:r>
        <w:rPr>
          <w:rFonts w:hint="eastAsia"/>
        </w:rPr>
        <w:t>当前解决方案及存在的问题</w:t>
      </w:r>
    </w:p>
    <w:p w14:paraId="12A48896">
      <w:pPr>
        <w:spacing w:line="360" w:lineRule="auto"/>
        <w:ind w:firstLine="480"/>
      </w:pPr>
      <w:r>
        <w:rPr>
          <w:rFonts w:hint="eastAsia"/>
        </w:rPr>
        <w:t>1）数据权属确认方面</w:t>
      </w:r>
    </w:p>
    <w:p w14:paraId="4D18A627">
      <w:pPr>
        <w:spacing w:line="360" w:lineRule="auto"/>
        <w:ind w:firstLine="480"/>
      </w:pPr>
      <w:r>
        <w:rPr>
          <w:rFonts w:hint="eastAsia"/>
        </w:rPr>
        <w:t>部分方案对数据权属的动态分割不够精细。例如，在一些复杂的数据共享场景中，数据可能经过多个处理环节和多方参与，简单的静态权属划分可能无法适应这种复杂的动态环境。这就可能导致在数据流通过程中，权属界定出现模糊地带，引发纠纷。</w:t>
      </w:r>
    </w:p>
    <w:p w14:paraId="45AB00D5">
      <w:pPr>
        <w:spacing w:line="360" w:lineRule="auto"/>
        <w:ind w:firstLine="480"/>
      </w:pPr>
      <w:r>
        <w:rPr>
          <w:rFonts w:hint="eastAsia"/>
        </w:rPr>
        <w:t>有些方案可能过于依赖传统的确权方式，没有充分利用区块链等新兴技术。像区块链的分布式账本可以提供不可篡改的确权记录，如果方案缺少这样的技术融合，就难以保证权属信息的真实性和可信度。</w:t>
      </w:r>
    </w:p>
    <w:p w14:paraId="4C4BBCFA">
      <w:pPr>
        <w:spacing w:line="360" w:lineRule="auto"/>
        <w:ind w:firstLine="480"/>
      </w:pPr>
      <w:r>
        <w:rPr>
          <w:rFonts w:hint="eastAsia"/>
        </w:rPr>
        <w:t>2）隐私计算和安全机制方面</w:t>
      </w:r>
    </w:p>
    <w:p w14:paraId="109D953F">
      <w:pPr>
        <w:spacing w:line="360" w:lineRule="auto"/>
        <w:ind w:firstLine="480"/>
      </w:pPr>
      <w:r>
        <w:rPr>
          <w:rFonts w:hint="eastAsia"/>
        </w:rPr>
        <w:t>一些方案只是简单地采用了现有的隐私计算技术，如联邦学习或多方安全计算，但没有充分考虑这些技术在实际应用中的性能问题。例如，联邦学习在处理大规模数据时可能会出现通信成本高、计算效率低下的问题，而没有针对性的优化措施，这会影响数据流通的效率。</w:t>
      </w:r>
    </w:p>
    <w:p w14:paraId="08733DE0">
      <w:pPr>
        <w:spacing w:line="360" w:lineRule="auto"/>
        <w:ind w:firstLine="480"/>
      </w:pPr>
      <w:r>
        <w:rPr>
          <w:rFonts w:hint="eastAsia"/>
        </w:rPr>
        <w:t>对于隐私计算过程中的安全漏洞考虑不足。任何技术都有可能被攻击者找到漏洞，如果方案没有建立多层次的安全防护体系（如零知识证明、同态加密等多种技术的组合应用），一旦隐私计算环节出现安全问题，可能会导致大量数据。</w:t>
      </w:r>
    </w:p>
    <w:p w14:paraId="48195F64">
      <w:pPr>
        <w:spacing w:line="360" w:lineRule="auto"/>
        <w:ind w:firstLine="480"/>
      </w:pPr>
      <w:r>
        <w:rPr>
          <w:rFonts w:hint="eastAsia"/>
        </w:rPr>
        <w:t>3）平台功能和用户体验方面</w:t>
      </w:r>
    </w:p>
    <w:p w14:paraId="106D4ED5">
      <w:pPr>
        <w:spacing w:line="360" w:lineRule="auto"/>
        <w:ind w:firstLine="480"/>
      </w:pPr>
      <w:r>
        <w:rPr>
          <w:rFonts w:hint="eastAsia"/>
        </w:rPr>
        <w:t>部分方案在设计数据可信治理平台时，功能模块过于复杂，缺乏良好的用户界面和操作体验。例如，数据资产登记、智能合约管理等功能的操作流程繁琐，对于非技术用户来说学习成本高，这会阻碍平台的广泛应用。</w:t>
      </w:r>
    </w:p>
    <w:p w14:paraId="4C75EA24">
      <w:pPr>
        <w:spacing w:line="360" w:lineRule="auto"/>
        <w:ind w:firstLine="480"/>
      </w:pPr>
      <w:r>
        <w:rPr>
          <w:rFonts w:hint="eastAsia"/>
        </w:rPr>
        <w:t>平台的可扩展性不足。随着数据量的增长和业务需求的变化，平台可能无法方便地添加新的功能模块或适配新的硬件资源。比如，当需要接入新的隐私计算框架或者扩展存储容量时，平台的架构无法灵活支持，导致系统升级困难。</w:t>
      </w:r>
    </w:p>
    <w:p w14:paraId="62A439B9">
      <w:pPr>
        <w:spacing w:line="360" w:lineRule="auto"/>
        <w:ind w:firstLine="480"/>
      </w:pPr>
      <w:r>
        <w:rPr>
          <w:rFonts w:hint="eastAsia"/>
        </w:rPr>
        <w:t>4）场景验证和实际应用方面</w:t>
      </w:r>
    </w:p>
    <w:p w14:paraId="51475575">
      <w:pPr>
        <w:spacing w:line="360" w:lineRule="auto"/>
        <w:ind w:firstLine="480"/>
      </w:pPr>
      <w:r>
        <w:rPr>
          <w:rFonts w:hint="eastAsia"/>
        </w:rPr>
        <w:t>一些方案只是在理论上对数据流通场景进行了描述，而缺乏实际的案例验证。没有通过具体的行业应用场景（如金融信贷审批、医疗数据共享等）来测试方案的可行性和效能，无法证明其在实际数据流通中的价值。</w:t>
      </w:r>
    </w:p>
    <w:p w14:paraId="38A64EE2">
      <w:pPr>
        <w:spacing w:line="360" w:lineRule="auto"/>
        <w:ind w:firstLine="480"/>
      </w:pPr>
      <w:r>
        <w:rPr>
          <w:rFonts w:hint="eastAsia"/>
        </w:rPr>
        <w:t>对于场景的适应性考虑不周。不同行业对数据可信治理的要求差异很大，一个方案如果不能根据行业特点进行定制化调整，就很难在多个领域得到推广。例如，在金融行业需要高安全性和严格的合规性，而在一些新兴的互联网行业可能更注重数据流通的效率和创新性应用。</w:t>
      </w:r>
    </w:p>
    <w:p w14:paraId="5F2D04B9">
      <w:pPr>
        <w:spacing w:line="360" w:lineRule="auto"/>
        <w:ind w:firstLine="480"/>
      </w:pPr>
      <w:r>
        <w:rPr>
          <w:rFonts w:hint="eastAsia"/>
        </w:rPr>
        <w:t>5）技术融合和创新方面</w:t>
      </w:r>
    </w:p>
    <w:p w14:paraId="5D1B1821">
      <w:pPr>
        <w:spacing w:line="360" w:lineRule="auto"/>
        <w:ind w:firstLine="480"/>
      </w:pPr>
      <w:r>
        <w:rPr>
          <w:rFonts w:hint="eastAsia"/>
        </w:rPr>
        <w:t>部分方案只是单点技术的应用，没有很好地实现区块链、隐私计算、人工智能等技术的深度融合。例如，没有利用人工智能技术对数据流通过程中的风险进行智能监控和预警，或者没有通过区块链技术对隐私计算的结果进行可信记录，导致方案的整体效果大打折扣。</w:t>
      </w:r>
    </w:p>
    <w:p w14:paraId="73798B8B">
      <w:pPr>
        <w:spacing w:line="360" w:lineRule="auto"/>
        <w:ind w:firstLine="480"/>
      </w:pPr>
      <w:r>
        <w:rPr>
          <w:rFonts w:hint="eastAsia"/>
        </w:rPr>
        <w:t>缺乏创新性。在数据要素流通领域竞争激烈的情况下，一些方案只是对现有模式进行微小的改进，没有提出具有突破性的机制或平台架构，难以在市场中脱颖而出。</w:t>
      </w:r>
    </w:p>
    <w:p w14:paraId="18EB405F">
      <w:pPr>
        <w:spacing w:line="360" w:lineRule="auto"/>
        <w:ind w:firstLine="480"/>
      </w:pPr>
      <w:r>
        <w:rPr>
          <w:rFonts w:hint="eastAsia"/>
        </w:rPr>
        <w:t>6）法律法规和合规性方面</w:t>
      </w:r>
    </w:p>
    <w:p w14:paraId="14112D25">
      <w:pPr>
        <w:spacing w:line="360" w:lineRule="auto"/>
        <w:ind w:firstLine="480"/>
      </w:pPr>
      <w:r>
        <w:rPr>
          <w:rFonts w:hint="eastAsia"/>
        </w:rPr>
        <w:t>一些方案没有充分考虑最新的法律法规要求。随着数据相关法规的不断更新，如果方案不能及时调整以满足新的合规性要求，就可能面临法律风险。例如，当新的数据跨境传输规定出台时，没有及时更新平台的数据跨境流通功能，可能会导致非法的数据跨境行为。</w:t>
      </w:r>
    </w:p>
    <w:p w14:paraId="71FD937E">
      <w:pPr>
        <w:spacing w:line="360" w:lineRule="auto"/>
        <w:ind w:firstLine="480"/>
      </w:pPr>
      <w:r>
        <w:rPr>
          <w:rFonts w:hint="eastAsia"/>
        </w:rPr>
        <w:t>对于法律法规的解读和应用不够深入。在设计数据治理机制时，可能只是简单地遵循法规条文，而没有充分理解其背后的监管意图和行业影响，从而导致方案在合规性方面存在潜在的瑕疵。</w:t>
      </w:r>
    </w:p>
    <w:p w14:paraId="28104BAD">
      <w:pPr>
        <w:pStyle w:val="4"/>
        <w:numPr>
          <w:ilvl w:val="0"/>
          <w:numId w:val="13"/>
        </w:numPr>
        <w:spacing w:line="360" w:lineRule="auto"/>
      </w:pPr>
      <w:r>
        <w:rPr>
          <w:rFonts w:hint="eastAsia"/>
        </w:rPr>
        <w:t>经济价值与社会价值分析</w:t>
      </w:r>
    </w:p>
    <w:p w14:paraId="1433EBEA">
      <w:pPr>
        <w:pStyle w:val="5"/>
        <w:numPr>
          <w:ilvl w:val="0"/>
          <w:numId w:val="14"/>
        </w:numPr>
        <w:spacing w:line="360" w:lineRule="auto"/>
      </w:pPr>
      <w:r>
        <w:rPr>
          <w:rFonts w:hint="eastAsia"/>
        </w:rPr>
        <w:t>经济价值</w:t>
      </w:r>
    </w:p>
    <w:p w14:paraId="26EE2F19">
      <w:pPr>
        <w:spacing w:line="360" w:lineRule="auto"/>
        <w:ind w:firstLine="480"/>
      </w:pPr>
      <w:r>
        <w:rPr>
          <w:rFonts w:hint="eastAsia"/>
        </w:rPr>
        <w:t>提高数据交易效率，降低交易成本。通过构建高效的可信治理机制与平台，能够简化数据交易流程，减少数据交易中的中间环节。例如，智能合约的应用可以自动执行数据交易协议，降低人工干预和交易时间成本。同时，平台提供的数据质量评估、数据真实性验证等功能，能够减少数据交易中的信息不对称，降低因数据质量问题导致的交易风险和成本，从而促进数据交易市场的活跃，增加数据交易的成交量和交易额，为数据提供方和使用方创造更多的经济收益。</w:t>
      </w:r>
    </w:p>
    <w:p w14:paraId="1A91A9AD">
      <w:pPr>
        <w:spacing w:line="360" w:lineRule="auto"/>
        <w:ind w:firstLine="480"/>
      </w:pPr>
      <w:r>
        <w:rPr>
          <w:rFonts w:hint="eastAsia"/>
        </w:rPr>
        <w:t>促进数据要素市场的规模化发展。有效的数据可信治理机制能够增强市场参与者对数据交易的信任，吸引更多企业和机构参与到数据要素市场中来。随着市场规模的扩大，数据的多样性和丰富度也会增加，这将进一步提升数据的价值。例如，企业可以利用更多的外部数据来优化自身的生产、销售和决策流程，提高运营效率和创新能力，进而实现降本增效，增加企业的经济效益。同时，数据要素市场的繁荣也会带动相关产业的发展，如数据采集、存储、处理、分析等，创造更多的商业机会和经济附加值。</w:t>
      </w:r>
    </w:p>
    <w:p w14:paraId="61271249">
      <w:pPr>
        <w:spacing w:line="360" w:lineRule="auto"/>
        <w:ind w:firstLine="480"/>
      </w:pPr>
      <w:r>
        <w:rPr>
          <w:rFonts w:hint="eastAsia"/>
        </w:rPr>
        <w:t>推动数据创新应用，催生新的商业模式。解决方案中所采用的隐私计算等先进技术，使得数据在保护隐私的前提下能够得到更充分的共享和利用，为数据创新应用提供了广阔的空间。例如，在金融领域，通过对多源数据的安全融合分析，可以开发出更精准的风险评估模型和个性化的金融产品，提高金融机构的竞争力和盈利能力。在医疗行业，利用医疗数据的可信共享，可以促进医药研发、远程医疗等创新业务的发展，带来新的经济增长点。这些数据创新应用和新商业模式的出现，将为相关企业和行业带来显著的经济效益，同时也为整个数字经济的发展注入新的动力。</w:t>
      </w:r>
    </w:p>
    <w:p w14:paraId="32F55C74">
      <w:pPr>
        <w:spacing w:line="360" w:lineRule="auto"/>
        <w:ind w:firstLine="480"/>
      </w:pPr>
      <w:r>
        <w:rPr>
          <w:rFonts w:hint="eastAsia"/>
        </w:rPr>
        <w:t>提升数据资产的价值和流动性。明确数据权属和加强数据可信治理，有助于将数据从一种无形资产转化为具有明确价值和可交易性的数据资产。企业可以更好地对数据资产进行管理和运营，通过数据资产的登记、评估、交易等环节，实现数据资产的价值最大化。此外，提高数据资产的流动性也能够为企业带来更多的融资机会，例如通过数据资产证券化等方式，将数据资产转化为可流动的金融资产，进一步挖掘数据资产的经济潜力，为企业发展提供资金支持。</w:t>
      </w:r>
    </w:p>
    <w:p w14:paraId="09E89121">
      <w:pPr>
        <w:pStyle w:val="5"/>
        <w:spacing w:line="360" w:lineRule="auto"/>
      </w:pPr>
      <w:r>
        <w:rPr>
          <w:rFonts w:hint="eastAsia"/>
        </w:rPr>
        <w:t>社会价值</w:t>
      </w:r>
    </w:p>
    <w:p w14:paraId="3A14614D">
      <w:pPr>
        <w:spacing w:line="360" w:lineRule="auto"/>
        <w:ind w:firstLine="480"/>
      </w:pPr>
      <w:r>
        <w:rPr>
          <w:rFonts w:hint="eastAsia"/>
        </w:rPr>
        <w:t>增强数据安全与隐私保护，保障公众权益。随着数据要素流通的日益频繁，数据安全和隐私保护成为社会各界关注的焦点。提出的解决方案通过采用先进的隐私计算技术、安全审计机制等，在数据流通的全生命周期内有效保障数据的安全性和隐私性。这能够减少数据泄露、滥用等安全事件的发生，保护个人和企业的敏感信息不被侵犯，维护公众的基本权益和社会稳定。例如，在互联网平台上，用户的个人信息得到更好的保护，能够增强用户对网络环境的信任，促进数字经济的健康发展。</w:t>
      </w:r>
    </w:p>
    <w:p w14:paraId="3AE5974C">
      <w:pPr>
        <w:spacing w:line="360" w:lineRule="auto"/>
        <w:ind w:firstLine="480"/>
      </w:pPr>
      <w:r>
        <w:rPr>
          <w:rFonts w:hint="eastAsia"/>
        </w:rPr>
        <w:t>促进数据共享与协同，推动社会创新。解决方案所构建的数据可信治理机制与平台，为不同行业、不同部门之间的数据共享与协同提供了可靠的技术支撑。这有助于打破数据孤岛，实现数据资源的优化配置，促进跨领域的数据融合与创新应用。例如，在智慧城市建设项目中，政府部门之间、政府与企业之间的数据共享可以实现城市交通、环境、公共安全等多方面的协同管理和服务优化，提高城市的运行效率和居民的生活质量。同时，数据共享与协同也能够激发社会各方面的创新活力，推动科技创新、商业模式创新和社会治理创新，为社会的进步和发展提供有力支持。</w:t>
      </w:r>
    </w:p>
    <w:p w14:paraId="14EA0DA9">
      <w:pPr>
        <w:spacing w:line="360" w:lineRule="auto"/>
        <w:ind w:firstLine="480"/>
      </w:pPr>
      <w:r>
        <w:rPr>
          <w:rFonts w:hint="eastAsia"/>
        </w:rPr>
        <w:t>助力数字经济与实体经济的深度融合。通过解决数据要素流通的关键问题，促进数据在更广泛领域的应用，能够加速数字经济与实体经济的深度融合。例如，在制造业中，企业可以利用大数据分析优化生产流程、提高产品质量、实现精准营销；在农业领域，通过对农业数据的挖掘和分析，可以实现精准农业，提高农业生产效率和农产品质量。这种深度融合有助于推动传统产业的数字化转型和升级，提升整个社会的经济质量和效益，促进产业结构的优化调整，为经济社会的可持续发展奠定坚实基础。</w:t>
      </w:r>
    </w:p>
    <w:p w14:paraId="721AD812">
      <w:pPr>
        <w:spacing w:line="360" w:lineRule="auto"/>
        <w:ind w:firstLine="480"/>
      </w:pPr>
      <w:r>
        <w:rPr>
          <w:rFonts w:hint="eastAsia"/>
        </w:rPr>
        <w:t>推动数据要素市场的规范化和健康发展。提出的解决方案符合《数据安全法》《个人信息保护法》等相关法律法规要求，能够为数据要素市场的规范化发展提供示范和引领作用。通过建立合理的数据治理框架和标准规范，引导市场参与者合法合规地开展数据活动，有助于营造一个公平、有序、健康的数据要素市场环境。这对于整个社会的数字经济健康发展具有重要意义，能够避免数据市场的无序竞争和混乱局面，保障数据要素市场的长期稳定和可持续发展，为社会创造良好的数字生态。</w:t>
      </w:r>
    </w:p>
    <w:p w14:paraId="0AE015EA">
      <w:pPr>
        <w:pStyle w:val="2"/>
        <w:spacing w:line="360" w:lineRule="auto"/>
        <w:ind w:firstLine="562"/>
      </w:pPr>
      <w:bookmarkStart w:id="9" w:name="_Toc5960"/>
      <w:r>
        <w:rPr>
          <w:rFonts w:hint="eastAsia"/>
        </w:rPr>
        <w:t>产品服务</w:t>
      </w:r>
      <w:bookmarkEnd w:id="9"/>
    </w:p>
    <w:p w14:paraId="51B570B9">
      <w:pPr>
        <w:pStyle w:val="3"/>
        <w:numPr>
          <w:ilvl w:val="0"/>
          <w:numId w:val="15"/>
        </w:numPr>
        <w:spacing w:line="360" w:lineRule="auto"/>
      </w:pPr>
      <w:bookmarkStart w:id="10" w:name="_Toc25139"/>
      <w:r>
        <w:rPr>
          <w:rFonts w:hint="eastAsia"/>
        </w:rPr>
        <w:t>产品概述</w:t>
      </w:r>
      <w:bookmarkEnd w:id="10"/>
    </w:p>
    <w:p w14:paraId="38B24452">
      <w:pPr>
        <w:pStyle w:val="4"/>
        <w:numPr>
          <w:ilvl w:val="0"/>
          <w:numId w:val="16"/>
        </w:numPr>
        <w:spacing w:line="360" w:lineRule="auto"/>
      </w:pPr>
      <w:r>
        <w:rPr>
          <w:rFonts w:hint="eastAsia"/>
        </w:rPr>
        <w:t>产品技术概括介绍</w:t>
      </w:r>
    </w:p>
    <w:p w14:paraId="29F3D2D6">
      <w:pPr>
        <w:spacing w:line="360" w:lineRule="auto"/>
        <w:ind w:firstLine="480"/>
      </w:pPr>
      <w:r>
        <w:rPr>
          <w:rFonts w:hint="eastAsia"/>
        </w:rPr>
        <w:t>面向图数据要素流通全过程中的数据可信治理机制与平台开发项目旨在构建一个全面的框架，以确保图数据在流通、计算、共享和发布过程中的安全性、隐私保护和互信。项目主要分为两个部分：图数据计算场景中的隐私与互信解决方案，以及图神经网络模型计算中的隐私与互信解决方案。具体如图1所示。</w:t>
      </w:r>
    </w:p>
    <w:p w14:paraId="09EC1571">
      <w:pPr>
        <w:spacing w:line="360" w:lineRule="auto"/>
        <w:ind w:firstLine="480"/>
      </w:pPr>
      <w:r>
        <w:rPr>
          <w:rFonts w:hint="eastAsia"/>
        </w:rPr>
        <w:t>在图数据计算场景中，项目提出了三个主要的解决方案。首先是图数据最短路径计算，它采用多方安全计算技术来保护参与方的数据隐私，同时通过门限秘密共享和零知识证明来确保计算的安全性和正确性。其次是图数据聚类系数计算，这里使用差分隐私技术来保护数据隐私，通过添加噪声来防止敏感信息泄露，同时利用数据混淆器来增强数据的安全性。最后是图数据共享发布，该方案通过K匿名和图结构重构技术来保护用户隐私，同时采用邻居子图扰动技术来防止数据泄露，确保数据在共享过程中的安全性。</w:t>
      </w:r>
    </w:p>
    <w:p w14:paraId="40FF3E48">
      <w:pPr>
        <w:spacing w:line="360" w:lineRule="auto"/>
        <w:ind w:firstLine="480"/>
      </w:pPr>
      <w:r>
        <w:rPr>
          <w:rFonts w:hint="eastAsia"/>
        </w:rPr>
        <w:t>在图神经网络模型计算场景中，项目同样提出了两个解决方案。首先是图神经网络模型场景中的图数据安全与互信，这里通过隐私计算和安全多方计算技术来确保图数据的安全和互信，同时利用联邦学习来允许多个数据持有者在不共享原始数据的情况下共同训练模型。其次是图神经网络模型场景中的模型参数安全与互信，该方案采用零知识证明和zk-SNARK技术来确保模型参数的安全性和互信，通过这些技术可以在不泄露模型参数的情况下验证模型的正确性。</w:t>
      </w:r>
    </w:p>
    <w:p w14:paraId="1B052CC5">
      <w:pPr>
        <w:spacing w:line="360" w:lineRule="auto"/>
        <w:ind w:firstLine="480"/>
        <w:jc w:val="center"/>
      </w:pPr>
      <w:r>
        <w:rPr>
          <w:rFonts w:hint="eastAsia"/>
        </w:rPr>
        <w:t>通过这些技术的综合应用，项目旨在为图数据要素的流通提供一个安全、可靠的平台，促进数据的高效利用和价值创造，同时保护数据的隐私和安全。这将有助于解决图数据要素流通过程中的安全、隐私保护、互信以及高效治理问题，为金融分析、社交网络分析、医疗健康等领域提供强有力的支持。</w:t>
      </w:r>
    </w:p>
    <w:p w14:paraId="30934886">
      <w:pPr>
        <w:spacing w:line="360" w:lineRule="auto"/>
        <w:ind w:firstLine="480"/>
        <w:jc w:val="center"/>
      </w:pPr>
      <w:r>
        <w:drawing>
          <wp:inline distT="0" distB="0" distL="0" distR="0">
            <wp:extent cx="5274310" cy="2970530"/>
            <wp:effectExtent l="0" t="0" r="2540" b="1270"/>
            <wp:docPr id="1261825759" name="图片 9"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5759" name="图片 9" descr="图片包含 图示&#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970530"/>
                    </a:xfrm>
                    <a:prstGeom prst="rect">
                      <a:avLst/>
                    </a:prstGeom>
                    <a:noFill/>
                    <a:ln>
                      <a:noFill/>
                    </a:ln>
                  </pic:spPr>
                </pic:pic>
              </a:graphicData>
            </a:graphic>
          </wp:inline>
        </w:drawing>
      </w:r>
    </w:p>
    <w:p w14:paraId="4AF3F02F">
      <w:pPr>
        <w:pStyle w:val="21"/>
        <w:jc w:val="center"/>
        <w:rPr>
          <w:rFonts w:hint="default" w:eastAsia="黑体"/>
          <w:lang w:val="en-US" w:eastAsia="zh-CN"/>
        </w:rPr>
      </w:pPr>
      <w:r>
        <w:rPr>
          <w:rFonts w:hint="eastAsia"/>
          <w:lang w:val="en-US" w:eastAsia="zh-CN"/>
        </w:rPr>
        <w:t>图5 数据可信治理机制与平台开发</w:t>
      </w:r>
    </w:p>
    <w:p w14:paraId="1D52170C">
      <w:pPr>
        <w:pStyle w:val="4"/>
        <w:numPr>
          <w:ilvl w:val="0"/>
          <w:numId w:val="16"/>
        </w:numPr>
        <w:spacing w:line="360" w:lineRule="auto"/>
      </w:pPr>
      <w:r>
        <w:rPr>
          <w:rFonts w:hint="eastAsia"/>
        </w:rPr>
        <w:t>产品技术实现原理</w:t>
      </w:r>
    </w:p>
    <w:p w14:paraId="714ADD15">
      <w:pPr>
        <w:pStyle w:val="5"/>
        <w:numPr>
          <w:ilvl w:val="0"/>
          <w:numId w:val="17"/>
        </w:numPr>
        <w:spacing w:line="360" w:lineRule="auto"/>
      </w:pPr>
      <w:r>
        <w:rPr>
          <w:rFonts w:hint="eastAsia"/>
        </w:rPr>
        <w:t>基于 NDKD 模型的图数据隐私保护技术体系</w:t>
      </w:r>
    </w:p>
    <w:p w14:paraId="60105188">
      <w:pPr>
        <w:spacing w:line="360" w:lineRule="auto"/>
        <w:ind w:firstLine="480"/>
      </w:pPr>
      <w:r>
        <w:rPr>
          <w:rFonts w:hint="eastAsia"/>
        </w:rPr>
        <w:t>1）NDKD隐私保护模型</w:t>
      </w:r>
    </w:p>
    <w:p w14:paraId="6D14C59D">
      <w:pPr>
        <w:spacing w:line="360" w:lineRule="auto"/>
        <w:ind w:firstLine="480"/>
      </w:pPr>
      <w:r>
        <w:rPr>
          <w:rFonts w:hint="eastAsia"/>
        </w:rPr>
        <w:t>“数智安行”深度融合《邻居子图扰动下的 k-度匿名隐私保护模型》（k-Degree anonymity privacy protection model based on Neighborhood subgraph Disturbance,NDKD 模型）核心技术，构建了集结构扰动、度数匿名、高效重构于一体的隐私保护机制，解决数据要素流通中的结构化攻击风险（如节点度攻击、邻居子图攻击），同时最大化保留数据效用。</w:t>
      </w:r>
    </w:p>
    <w:p w14:paraId="50EE17DD">
      <w:pPr>
        <w:spacing w:line="360" w:lineRule="auto"/>
        <w:ind w:firstLine="480"/>
        <w:jc w:val="left"/>
      </w:pPr>
      <w:r>
        <w:rPr>
          <w:rFonts w:hint="eastAsia"/>
        </w:rPr>
        <w:t>所提NDKD隐私保护模型由邻居扰动、度序列匿名和重构图３个模块构成，具体框架如图</w:t>
      </w:r>
      <w:r>
        <w:rPr>
          <w:rFonts w:hint="eastAsia"/>
          <w:lang w:val="en-US" w:eastAsia="zh-CN"/>
        </w:rPr>
        <w:t>6</w:t>
      </w:r>
      <w:r>
        <w:rPr>
          <w:rFonts w:hint="eastAsia"/>
        </w:rPr>
        <w:t>所示。在图</w:t>
      </w:r>
      <w:r>
        <w:rPr>
          <w:rFonts w:hint="eastAsia"/>
          <w:lang w:val="en-US" w:eastAsia="zh-CN"/>
        </w:rPr>
        <w:t>6</w:t>
      </w:r>
      <w:r>
        <w:rPr>
          <w:rFonts w:hint="eastAsia"/>
        </w:rPr>
        <w:t>中，NDKD隐私保护模型的３个模块即匿名化隐私保护的３个核心环节，按照邻居扰动、度序列匿名和 重构图的顺序对原始图数据进行处理。</w:t>
      </w:r>
      <w:r>
        <w:rPr>
          <w:rFonts w:hint="eastAsia"/>
        </w:rPr>
        <w:drawing>
          <wp:inline distT="0" distB="0" distL="0" distR="0">
            <wp:extent cx="5268595" cy="2220595"/>
            <wp:effectExtent l="0" t="0" r="8255" b="8255"/>
            <wp:docPr id="20194780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8099" name="图片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68595" cy="2220595"/>
                    </a:xfrm>
                    <a:prstGeom prst="rect">
                      <a:avLst/>
                    </a:prstGeom>
                    <a:noFill/>
                    <a:ln>
                      <a:noFill/>
                    </a:ln>
                  </pic:spPr>
                </pic:pic>
              </a:graphicData>
            </a:graphic>
          </wp:inline>
        </w:drawing>
      </w:r>
    </w:p>
    <w:p w14:paraId="334B1ABB">
      <w:pPr>
        <w:pStyle w:val="21"/>
        <w:jc w:val="center"/>
      </w:pPr>
      <w:r>
        <w:rPr>
          <w:rFonts w:hint="eastAsia"/>
          <w:lang w:val="en-US" w:eastAsia="zh-CN"/>
        </w:rPr>
        <w:t xml:space="preserve">图6 </w:t>
      </w:r>
      <w:r>
        <w:rPr>
          <w:rFonts w:hint="eastAsia"/>
        </w:rPr>
        <w:t>NDKD隐私保护模型</w:t>
      </w:r>
    </w:p>
    <w:p w14:paraId="47D34C0E">
      <w:pPr>
        <w:spacing w:line="360" w:lineRule="auto"/>
        <w:ind w:firstLine="480"/>
      </w:pPr>
      <w:r>
        <w:rPr>
          <w:rFonts w:hint="eastAsia"/>
        </w:rPr>
        <w:t xml:space="preserve">NDKD模型的基本思想是：① 对原始图数据中的节点进行邻居扰动，使得扰动后的图数据不能被基于１－邻居子图的背景知识准确识别。同时，邻居扰动保留了原始图数据中大量节点的度值，即图数据中的绝大 多数节点的度值未发生变化，但是这也使邻居扰动后的图数据依然无法抵御节点度攻击。基于此问题，对邻 居扰动的图数据进行基于最大邻居差划分的ｋ度匿名，结合匿名参数ｋ，对邻居扰动后的图数据节点的递减 度序列进行处理，生成节点集的匿名组。② 按照匿名组中节点度对邻居扰动后的图数据进行图修改操作， 重构成ｋ度匿名的图数据，使得重构后的图数据不能被基于节点度的背景知识准确识别。③ 将匿名后的图 数据进行共享发布。 </w:t>
      </w:r>
    </w:p>
    <w:p w14:paraId="10199F90">
      <w:pPr>
        <w:spacing w:line="360" w:lineRule="auto"/>
        <w:ind w:firstLine="480"/>
      </w:pPr>
      <w:r>
        <w:rPr>
          <w:rFonts w:hint="eastAsia"/>
        </w:rPr>
        <w:t>该模型的３个模块又分为若干个具体的步骤。邻居扰动模块首先将原始图数据的节点集映射到节点的 递减度序列，遍历递减度序列中的节点，并找到与遍历的节点有最多邻居节点的另一节点；然后，改变两个节 点之间边的状态。重复上述操作，直至原始图数据中每个节点的１－邻居子图都进行了扰动。度序列匿名模 块首先根据参数ｋ的值，采用分治思想，找到每个度序列之间的最大邻居差，用最大邻居差值将节点度序列 划分为长度更小的度序列，直到所有的度序列的长度介于ｋ－１至２k之间；其次，根据度序列匿名的信息损 失，在最小信息损失的约束下，为每个度序列设置目标度，实现节点度序列的匿名化。重构图模块在增、删和移边操作的基础上，进行边缘添加和边缘删除操作，重构成匿名化的图数据。</w:t>
      </w:r>
    </w:p>
    <w:p w14:paraId="420B0F0F">
      <w:pPr>
        <w:spacing w:line="360" w:lineRule="auto"/>
        <w:ind w:firstLine="480"/>
      </w:pPr>
      <w:r>
        <w:rPr>
          <w:rFonts w:hint="eastAsia"/>
        </w:rPr>
        <w:t>2）实现原理</w:t>
      </w:r>
    </w:p>
    <w:p w14:paraId="3D4D91AF">
      <w:pPr>
        <w:pStyle w:val="18"/>
        <w:numPr>
          <w:ilvl w:val="0"/>
          <w:numId w:val="18"/>
        </w:numPr>
        <w:spacing w:line="360" w:lineRule="auto"/>
        <w:ind w:firstLineChars="0"/>
      </w:pPr>
      <w:r>
        <w:rPr>
          <w:rFonts w:hint="eastAsia"/>
        </w:rPr>
        <w:t>邻居子图扰动：解构原始邻接特征</w:t>
      </w:r>
    </w:p>
    <w:p w14:paraId="63DABB3E">
      <w:pPr>
        <w:spacing w:line="360" w:lineRule="auto"/>
        <w:ind w:firstLine="480"/>
      </w:pPr>
      <w:r>
        <w:rPr>
          <w:rFonts w:hint="eastAsia"/>
        </w:rPr>
        <w:t>在邻居子图扰动层面，平台借助递减度序列驱动机制，将原始图节点按度数降序排列为</w:t>
      </w:r>
      <w:r>
        <w:t>dseq​=[d1,d2,…,dn]</w:t>
      </w:r>
      <w:r>
        <w:rPr>
          <w:rFonts w:hint="eastAsia"/>
        </w:rPr>
        <w:t>，优先对度数高的节点进行处理，因其邻接边更多，扰动影响范围更广，可确保每次扰动覆盖关键节点的邻接结构；采用贪心式边修改策略，对每个节点</w:t>
      </w:r>
      <w:r>
        <w:t>vi</w:t>
      </w:r>
      <w:r>
        <w:rPr>
          <w:rFonts w:hint="eastAsia"/>
        </w:rPr>
        <w:t>，查找与其拥有最多共同邻居的节点</w:t>
      </w:r>
      <w:r>
        <w:t>vj</w:t>
      </w:r>
      <w:r>
        <w:rPr>
          <w:rFonts w:hint="eastAsia"/>
        </w:rPr>
        <w:t>，通过删除或添加边</w:t>
      </w:r>
      <w:r>
        <w:t>(vi,vj)</w:t>
      </w:r>
      <w:r>
        <w:rPr>
          <w:rFonts w:hint="eastAsia"/>
        </w:rPr>
        <w:t>来扰动双方的</w:t>
      </w:r>
      <w:r>
        <w:t>1-</w:t>
      </w:r>
      <w:r>
        <w:rPr>
          <w:rFonts w:hint="eastAsia"/>
        </w:rPr>
        <w:t>邻居子图，例如节点</w:t>
      </w:r>
      <w:r>
        <w:t>A</w:t>
      </w:r>
      <w:r>
        <w:rPr>
          <w:rFonts w:hint="eastAsia"/>
        </w:rPr>
        <w:t>与节点</w:t>
      </w:r>
      <w:r>
        <w:t>B</w:t>
      </w:r>
      <w:r>
        <w:rPr>
          <w:rFonts w:hint="eastAsia"/>
        </w:rPr>
        <w:t>有</w:t>
      </w:r>
      <w:r>
        <w:t>3</w:t>
      </w:r>
      <w:r>
        <w:rPr>
          <w:rFonts w:hint="eastAsia"/>
        </w:rPr>
        <w:t>个共同邻居时，删除边</w:t>
      </w:r>
      <w:r>
        <w:t xml:space="preserve"> (A,B) </w:t>
      </w:r>
      <w:r>
        <w:rPr>
          <w:rFonts w:hint="eastAsia"/>
        </w:rPr>
        <w:t>会同时改变</w:t>
      </w:r>
      <w:r>
        <w:t xml:space="preserve"> A</w:t>
      </w:r>
      <w:r>
        <w:rPr>
          <w:rFonts w:hint="eastAsia"/>
        </w:rPr>
        <w:t>、</w:t>
      </w:r>
      <w:r>
        <w:t xml:space="preserve">B </w:t>
      </w:r>
      <w:r>
        <w:rPr>
          <w:rFonts w:hint="eastAsia"/>
        </w:rPr>
        <w:t>及其</w:t>
      </w:r>
      <w:r>
        <w:t>3</w:t>
      </w:r>
      <w:r>
        <w:rPr>
          <w:rFonts w:hint="eastAsia"/>
        </w:rPr>
        <w:t>个邻居的子图结构，使原始子图无法匹配；通过邻接矩阵记录未扰动节点以避免重复操作，实现复杂度优化，算法时间复杂度最优为O(m)（m为边数），能够处理百万级边规模的图数据。</w:t>
      </w:r>
    </w:p>
    <w:p w14:paraId="594E1D1A">
      <w:pPr>
        <w:pStyle w:val="18"/>
        <w:numPr>
          <w:ilvl w:val="0"/>
          <w:numId w:val="18"/>
        </w:numPr>
        <w:spacing w:line="360" w:lineRule="auto"/>
        <w:ind w:firstLineChars="0"/>
      </w:pPr>
      <w:r>
        <w:rPr>
          <w:rFonts w:hint="eastAsia"/>
        </w:rPr>
        <w:t>k度匿名：精细化节点隐私保护</w:t>
      </w:r>
    </w:p>
    <w:p w14:paraId="24BF57A6">
      <w:pPr>
        <w:spacing w:line="360" w:lineRule="auto"/>
        <w:ind w:firstLine="480"/>
      </w:pPr>
      <w:r>
        <w:rPr>
          <w:rFonts w:hint="eastAsia"/>
        </w:rPr>
        <w:t>完成邻居子图扰动后，平台进一步深化隐私保护强度，借助度序列匿名化算法对图数据进行精细化处理。该算法遵循分治策略，巧妙地依据节点的度序列对节点进行优化划分，构建起匿名组的框架。具体而言，算法采用最大邻居差划分技术，深入分析节点度序列，精准识别序列中的最大邻居差位置，并以此为依据将节点度序列划分为多个子序列。每个子序列的长度都被严格控制在满足特定条件的范围内，确保子序列内的节点度差异尽可能小，从而在最小化信息损失的前提下，实现节点的匿名化。进一步地，平台按照最小信息损失原则，为每个子序列量身定制目标度，驱动节点度序列向匿名化转型。这一步骤如同为图数据披上了一层度匿名的外衣，使得攻击者难以凭借节点度信息进行精准识别，大大增强了图数据的隐私防护能力。</w:t>
      </w:r>
    </w:p>
    <w:p w14:paraId="5B922FAE">
      <w:pPr>
        <w:pStyle w:val="18"/>
        <w:numPr>
          <w:ilvl w:val="0"/>
          <w:numId w:val="18"/>
        </w:numPr>
        <w:spacing w:line="360" w:lineRule="auto"/>
        <w:ind w:firstLineChars="0"/>
      </w:pPr>
      <w:r>
        <w:rPr>
          <w:rFonts w:hint="eastAsia"/>
        </w:rPr>
        <w:t>图结构重构：低损耗的匿名化实现</w:t>
      </w:r>
    </w:p>
    <w:p w14:paraId="123BFEC8">
      <w:pPr>
        <w:spacing w:line="360" w:lineRule="auto"/>
        <w:ind w:firstLine="480"/>
      </w:pPr>
      <w:r>
        <w:rPr>
          <w:rFonts w:hint="eastAsia"/>
        </w:rPr>
        <w:t>在图结构重构环节，平台通过边缘操作组合实现匿名图的高效重构。进行基础边修改，对度数高于目标度的节点执行删边操作，对度数不足的节点执行增边操作；引入第三方节点辅助的边缘添加 / 删除策略来处理复杂场景，当节点A（度数&gt;目标度）与节点B（度数&lt;目标度）无直接连接且无法通过直接增删边调整度数时，删除A与第三方节点C的边，同时添加B与C的边，通过“移边”操作平衡双方度数，避免破坏原始图连通性；通过控制边修改范围（优先修改边缘节点的边），平台可将边变化比例降低至5%-30%，信息损失减少4.74%-39.72%，同时使聚类系数变化降低38%-88%，显著优于传统k度匿名算法。</w:t>
      </w:r>
    </w:p>
    <w:p w14:paraId="22A9E698">
      <w:pPr>
        <w:pStyle w:val="18"/>
        <w:numPr>
          <w:ilvl w:val="0"/>
          <w:numId w:val="18"/>
        </w:numPr>
        <w:spacing w:line="360" w:lineRule="auto"/>
        <w:ind w:firstLineChars="0"/>
      </w:pPr>
      <w:r>
        <w:rPr>
          <w:rFonts w:hint="eastAsia"/>
        </w:rPr>
        <w:t>技术优势与场景适配</w:t>
      </w:r>
    </w:p>
    <w:p w14:paraId="6B0027F0">
      <w:pPr>
        <w:spacing w:line="360" w:lineRule="auto"/>
        <w:ind w:firstLine="480"/>
      </w:pPr>
      <w:r>
        <w:rPr>
          <w:rFonts w:hint="eastAsia"/>
        </w:rPr>
        <w:t>该技术体系具备显著的技术优势与广泛的场景适配性。在安全性上实现双重攻击免疫，通过邻居子图扰动抵御子图匹配攻击，通过k-度匿名防御度数统计攻击，较 TSRAM、NaFa4KDA等模型实现“结构 + 度数”双维度安全提升；在效率方面具有高效低耗特性，采用贪心算法与分治策略，整体时间复杂度为O(m+n2)（n为节点数），支持国产化软硬件环境（如鲲鹏芯片、麒麟系统），能够满足实时数据流通需求；在应用场景上具有跨行业适用性，可在金融风控（如社交网络关系匿名）、医疗数据共享（如患者诊疗图谱脱敏）等场景中，基于NDKD模型生成合规可用的匿名化图数据，同时满足《数据安全法》对隐私保护的要求。</w:t>
      </w:r>
      <w:r>
        <w:rPr>
          <w:rFonts w:hint="eastAsia"/>
        </w:rPr>
        <w:tab/>
      </w:r>
      <w:r>
        <w:rPr>
          <w:rFonts w:hint="eastAsia"/>
        </w:rPr>
        <w:t>通过上述技术体系，平台实现了隐私保护强度与数据可用性的动态平衡，为数据要素流通提供了 “可证明安全、可量化效用” 的技术底座。</w:t>
      </w:r>
    </w:p>
    <w:p w14:paraId="00091069">
      <w:pPr>
        <w:spacing w:line="360" w:lineRule="auto"/>
        <w:ind w:firstLine="480"/>
      </w:pPr>
      <w:r>
        <w:rPr>
          <w:rFonts w:hint="eastAsia"/>
        </w:rPr>
        <w:t>3）</w:t>
      </w:r>
      <w:r>
        <w:t>实验评估</w:t>
      </w:r>
    </w:p>
    <w:p w14:paraId="76C7471C">
      <w:pPr>
        <w:spacing w:line="360" w:lineRule="auto"/>
        <w:ind w:firstLine="480"/>
      </w:pPr>
      <w:r>
        <w:t>首先将所提出的NDKD隐私模型与TSRAM、NaFa4KDA模型进行分析对比，从理论层面分析不同图数据匿名隐私保护模型的差异；其次，利用Facebook、Wiki和Github真实数据集进行实验，从匿名隐私保护算法对图数据的边变化、信息损失、节点平均度和聚类系数的影响进行对比，量化对比不同匿名隐私保 护算法的效用与隐私影响。</w:t>
      </w:r>
    </w:p>
    <w:p w14:paraId="55FFFB80">
      <w:pPr>
        <w:spacing w:line="360" w:lineRule="auto"/>
        <w:ind w:firstLine="480"/>
      </w:pPr>
      <w:r>
        <w:t>相较于传统的ｋ度匿名，文中所提出的NDKD模型增加了１个邻居扰动模块。该模块会增加一定的时 间开销和空间开销，但能进一步增加模型的抗隐私攻击能力。此外，在度序列匿名阶段和重构图阶段，所提 模型采用的方法与另外两种匿名模型均存在差异。在度序列匿名阶段，NDKD采用最大邻居差划分匿名组；在重构图阶段，则引入两种匿名化操作方式。具体对比如表</w:t>
      </w:r>
      <w:r>
        <w:rPr>
          <w:rFonts w:hint="eastAsia"/>
          <w:lang w:val="en-US" w:eastAsia="zh-CN"/>
        </w:rPr>
        <w:t>6</w:t>
      </w:r>
      <w:r>
        <w:t>所示。</w:t>
      </w:r>
    </w:p>
    <w:p w14:paraId="01B2EE31">
      <w:pPr>
        <w:spacing w:line="360" w:lineRule="auto"/>
        <w:ind w:left="0" w:leftChars="0" w:firstLine="0" w:firstLineChars="0"/>
        <w:jc w:val="both"/>
      </w:pPr>
      <w:r>
        <w:drawing>
          <wp:inline distT="0" distB="0" distL="0" distR="0">
            <wp:extent cx="5274310" cy="1199515"/>
            <wp:effectExtent l="0" t="0" r="2540" b="635"/>
            <wp:docPr id="6718685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68552" name="图片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1199515"/>
                    </a:xfrm>
                    <a:prstGeom prst="rect">
                      <a:avLst/>
                    </a:prstGeom>
                    <a:noFill/>
                    <a:ln>
                      <a:noFill/>
                    </a:ln>
                  </pic:spPr>
                </pic:pic>
              </a:graphicData>
            </a:graphic>
          </wp:inline>
        </w:drawing>
      </w:r>
    </w:p>
    <w:p w14:paraId="42A0E52D">
      <w:pPr>
        <w:pStyle w:val="21"/>
        <w:jc w:val="center"/>
      </w:pPr>
      <w:r>
        <w:rPr>
          <w:rFonts w:hint="eastAsia"/>
        </w:rPr>
        <w:t>表</w:t>
      </w:r>
      <w:r>
        <w:rPr>
          <w:rFonts w:hint="eastAsia"/>
          <w:lang w:val="en-US" w:eastAsia="zh-CN"/>
        </w:rPr>
        <w:t xml:space="preserve">6 </w:t>
      </w:r>
      <w:r>
        <w:t>对比</w:t>
      </w:r>
      <w:r>
        <w:rPr>
          <w:rFonts w:hint="eastAsia"/>
          <w:lang w:val="en-US" w:eastAsia="zh-CN"/>
        </w:rPr>
        <w:t>表</w:t>
      </w:r>
    </w:p>
    <w:p w14:paraId="4868754A">
      <w:pPr>
        <w:spacing w:line="360" w:lineRule="auto"/>
        <w:ind w:firstLine="480"/>
      </w:pPr>
      <w:r>
        <w:t>在安全性方面，TSRAM和NaFa4KDA仅能抵抗节点度攻击，而NDKD模型能同时抗节点度攻击和１－邻居子图攻击。这是由于NDKD模型采用了基于1－邻居子图扰动的边扰动模式，扰乱了图中节点的１－邻居子图，使得原始图数据节点的1－邻居子图无法在邻居扰动后的图数据中进行匹配，同时对扰动后的图数 据进行了ｋ度匿名隐私保护，提高了去匿名化攻击的难度，增强了模型的隐私安全性。</w:t>
      </w:r>
    </w:p>
    <w:p w14:paraId="6A686728">
      <w:pPr>
        <w:spacing w:line="360" w:lineRule="auto"/>
        <w:ind w:firstLine="480"/>
      </w:pPr>
      <w:r>
        <w:t>为了评价所提NDKD模型的数据效用，将所提NDKD模型与TSRAM、NaFa4KDA模型在真实图数据集上进行实验来对比算法性能。</w:t>
      </w:r>
    </w:p>
    <w:p w14:paraId="424A611E">
      <w:pPr>
        <w:pStyle w:val="21"/>
        <w:jc w:val="center"/>
      </w:pPr>
      <w:r>
        <w:drawing>
          <wp:inline distT="0" distB="0" distL="0" distR="0">
            <wp:extent cx="5274310" cy="989330"/>
            <wp:effectExtent l="0" t="0" r="2540" b="1270"/>
            <wp:docPr id="9254932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3206" name="图片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989330"/>
                    </a:xfrm>
                    <a:prstGeom prst="rect">
                      <a:avLst/>
                    </a:prstGeom>
                    <a:noFill/>
                    <a:ln>
                      <a:noFill/>
                    </a:ln>
                  </pic:spPr>
                </pic:pic>
              </a:graphicData>
            </a:graphic>
          </wp:inline>
        </w:drawing>
      </w:r>
      <w:r>
        <w:rPr>
          <w:rFonts w:hint="eastAsia"/>
        </w:rPr>
        <w:t>表</w:t>
      </w:r>
      <w:r>
        <w:rPr>
          <w:rFonts w:hint="eastAsia"/>
          <w:lang w:val="en-US" w:eastAsia="zh-CN"/>
        </w:rPr>
        <w:t xml:space="preserve">7 </w:t>
      </w:r>
      <w:r>
        <w:t xml:space="preserve">真实图数据集 </w:t>
      </w:r>
    </w:p>
    <w:p w14:paraId="3A7C91D8">
      <w:pPr>
        <w:spacing w:line="360" w:lineRule="auto"/>
        <w:ind w:firstLine="480"/>
      </w:pPr>
      <w:r>
        <w:t>由图</w:t>
      </w:r>
      <w:r>
        <w:rPr>
          <w:rFonts w:hint="eastAsia"/>
          <w:lang w:val="en-US" w:eastAsia="zh-CN"/>
        </w:rPr>
        <w:t>10</w:t>
      </w:r>
      <w:r>
        <w:t>可知，在Facebook数据集中，当ｋ值在10～30之间时，NDKD模型的平均聚类系数变化量小，当ｋ值大于30，３种匿 名方法所造成的聚类系数变化趋向于相同，都保持了较小的平均聚类系数的变化；在Wiki数据集和Github数据集中，由于数据集的规模的增大，NDKD模型在保持图数据结构数据效用方面的优势显著，相比于TSRAM和NaFa4KDA模型，该模型的平均聚类系数变化显著降低。总体而言，NDKD模型保留图数据的结构性数据效用显著提升。与TSRAM和NaFa4KDA模型相比，在Facebook数据集中，NDKD模型的平 均聚类系数变化分别降低了3.45％和1.75％；在Wiki数据集中，分别降低2.86％和62.64％；在Github数据集中，分别降低了38.46％和38.46％。 NDKD模型能显著提升图数据的结构性数据效用的原因是，文中提出的匿名组划分方式比TSRAM的度序列构建树和NaFa4KDA的匿名组划分方式造成的信息损失更小，从而保留了更多的数据效用。在此基础上，NDKD进行的边缘添加和边缘删除的匿名操作方式相比增加噪音节点图修改的方式，对图数据结构关系造成的影响更小。</w:t>
      </w:r>
    </w:p>
    <w:p w14:paraId="57F3CC0E">
      <w:pPr>
        <w:spacing w:line="360" w:lineRule="auto"/>
        <w:ind w:firstLine="480"/>
      </w:pPr>
      <w:r>
        <w:drawing>
          <wp:inline distT="0" distB="0" distL="0" distR="0">
            <wp:extent cx="5274310" cy="1522730"/>
            <wp:effectExtent l="0" t="0" r="2540" b="1270"/>
            <wp:docPr id="11227078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7800" name="图片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1522730"/>
                    </a:xfrm>
                    <a:prstGeom prst="rect">
                      <a:avLst/>
                    </a:prstGeom>
                    <a:noFill/>
                    <a:ln>
                      <a:noFill/>
                    </a:ln>
                  </pic:spPr>
                </pic:pic>
              </a:graphicData>
            </a:graphic>
          </wp:inline>
        </w:drawing>
      </w:r>
      <w:r>
        <w:t xml:space="preserve"> </w:t>
      </w:r>
    </w:p>
    <w:p w14:paraId="2D255CA2">
      <w:pPr>
        <w:pStyle w:val="21"/>
        <w:jc w:val="center"/>
      </w:pPr>
      <w:r>
        <w:rPr>
          <w:rFonts w:hint="eastAsia"/>
          <w:lang w:val="en-US" w:eastAsia="zh-CN"/>
        </w:rPr>
        <w:t xml:space="preserve">图10 </w:t>
      </w:r>
      <w:r>
        <w:rPr>
          <w:rFonts w:hint="eastAsia"/>
        </w:rPr>
        <w:t>数据治理相关政策统计（不完全统计）</w:t>
      </w:r>
    </w:p>
    <w:p w14:paraId="6ADE85BF">
      <w:pPr>
        <w:pStyle w:val="5"/>
        <w:spacing w:line="360" w:lineRule="auto"/>
      </w:pPr>
      <w:r>
        <w:rPr>
          <w:rFonts w:hint="eastAsia"/>
        </w:rPr>
        <w:t>基于 VPCS 的加密图数据可信查询技术</w:t>
      </w:r>
    </w:p>
    <w:p w14:paraId="75BDD9CF">
      <w:pPr>
        <w:spacing w:line="360" w:lineRule="auto"/>
        <w:ind w:firstLine="480"/>
      </w:pPr>
      <w:r>
        <w:rPr>
          <w:rFonts w:hint="eastAsia"/>
        </w:rPr>
        <w:t>“数智安行” 引入 VPCS（Verifiable Query Scheme for Privacy-preserving Constrained Shortest Path over Encrypted Graph Data）技术，构建了针对加密图数据的隐私保护约束最短路径（CSP）查询与验证体系。该技术基于阈值 Paillier 密码系统（TPC）的同态特性与零知识证明，解决了数据外包场景下 CSP 查询的隐私保护与结果可验证性问题，适用于金融风控、物流路径优化等对路径约束敏感的场景。</w:t>
      </w:r>
    </w:p>
    <w:p w14:paraId="0F59C9EC">
      <w:pPr>
        <w:spacing w:line="360" w:lineRule="auto"/>
        <w:ind w:firstLine="480"/>
      </w:pPr>
      <w:r>
        <w:rPr>
          <w:rFonts w:hint="eastAsia"/>
        </w:rPr>
        <w:t>1）技术介绍</w:t>
      </w:r>
    </w:p>
    <w:p w14:paraId="02A40F9F">
      <w:pPr>
        <w:pStyle w:val="18"/>
        <w:numPr>
          <w:ilvl w:val="0"/>
          <w:numId w:val="19"/>
        </w:numPr>
        <w:spacing w:line="360" w:lineRule="auto"/>
        <w:ind w:firstLineChars="0"/>
      </w:pPr>
      <w:r>
        <w:rPr>
          <w:rFonts w:hint="eastAsia"/>
        </w:rPr>
        <w:t>阈值Paillier 密码系统</w:t>
      </w:r>
    </w:p>
    <w:p w14:paraId="6AF7F2AB">
      <w:pPr>
        <w:spacing w:line="360" w:lineRule="auto"/>
        <w:ind w:firstLine="480"/>
      </w:pPr>
      <w:r>
        <w:rPr>
          <w:rFonts w:hint="eastAsia"/>
        </w:rPr>
        <w:t>阈值 Paillier 密码系统（TPC）是基于 Paillier 加密算法的阈值扩展方案，其核心原理是通过引入阈值机制将私钥拆分为多个部分，要求至少k个部分协作才能完成解密，以此增强安全性。TPC的加密过程利用同态特性，允许对加密后的图数据（如邻接矩阵中的距离、成本、时间等属性）进行加法运算，结果解密后与明文运算一致，同时保持语义安全。具体而言，TPC通过生成公钥和私钥，利用随机数对明文进行加密得到密文，解密时需多个参与者通过部分私钥协作恢复明文。该系统还支持虚拟边混淆技术，通过在邻接矩阵中引入虚拟边并加密，使云服务器无法区分真实边与虚拟边，仅能获取顶点数量，从而隐藏图的拓扑结构。TPC的同态性和密钥拆分机制为安全多方计算中的比较、最小值查询等操作提供了基础，确保在加密图数据上执行约束最短路径查询时的隐私保护与结果正确性。</w:t>
      </w:r>
    </w:p>
    <w:p w14:paraId="452574E5">
      <w:pPr>
        <w:pStyle w:val="18"/>
        <w:numPr>
          <w:ilvl w:val="0"/>
          <w:numId w:val="19"/>
        </w:numPr>
        <w:spacing w:line="360" w:lineRule="auto"/>
        <w:ind w:firstLineChars="0"/>
      </w:pPr>
      <w:r>
        <w:rPr>
          <w:rFonts w:hint="eastAsia"/>
        </w:rPr>
        <w:t>安全多方计算</w:t>
      </w:r>
    </w:p>
    <w:p w14:paraId="49025FD0">
      <w:pPr>
        <w:spacing w:line="360" w:lineRule="auto"/>
        <w:ind w:firstLine="480"/>
      </w:pPr>
      <w:r>
        <w:rPr>
          <w:rFonts w:hint="eastAsia"/>
        </w:rPr>
        <w:t>安全多方计算（</w:t>
      </w:r>
      <w:r>
        <w:t>MPC</w:t>
      </w:r>
      <w:r>
        <w:rPr>
          <w:rFonts w:hint="eastAsia"/>
        </w:rPr>
        <w:t>）用于支持加密图数据上的隐私保护约束最短路径查询，其核心思想是允许多个不可信参与者（如计算服务器</w:t>
      </w:r>
      <w:r>
        <w:t>CS</w:t>
      </w:r>
      <w:r>
        <w:rPr>
          <w:rFonts w:hint="eastAsia"/>
        </w:rPr>
        <w:t>和半诚实代理</w:t>
      </w:r>
      <w:r>
        <w:t>Proxy</w:t>
      </w:r>
      <w:r>
        <w:rPr>
          <w:rFonts w:hint="eastAsia"/>
        </w:rPr>
        <w:t>）在不泄露各自输入信息的前提下协作完成计算任务。具体而言，</w:t>
      </w:r>
      <w:r>
        <w:t xml:space="preserve">CS </w:t>
      </w:r>
      <w:r>
        <w:rPr>
          <w:rFonts w:hint="eastAsia"/>
        </w:rPr>
        <w:t>和</w:t>
      </w:r>
      <w:r>
        <w:t xml:space="preserve"> Proxy </w:t>
      </w:r>
      <w:r>
        <w:rPr>
          <w:rFonts w:hint="eastAsia"/>
        </w:rPr>
        <w:t>分别持有阈值</w:t>
      </w:r>
      <w:r>
        <w:t xml:space="preserve"> Paillier </w:t>
      </w:r>
      <w:r>
        <w:rPr>
          <w:rFonts w:hint="eastAsia"/>
        </w:rPr>
        <w:t>密码系统的部分私钥</w:t>
      </w:r>
      <w:r>
        <w:t>sk2</w:t>
      </w:r>
      <w:r>
        <w:rPr>
          <w:rFonts w:hint="eastAsia"/>
        </w:rPr>
        <w:t>和</w:t>
      </w:r>
      <w:r>
        <w:t>sk1</w:t>
      </w:r>
      <w:r>
        <w:rPr>
          <w:rFonts w:hint="eastAsia"/>
        </w:rPr>
        <w:t>，通过</w:t>
      </w:r>
      <w:r>
        <w:t xml:space="preserve"> MPC</w:t>
      </w:r>
      <w:r>
        <w:rPr>
          <w:rFonts w:hint="eastAsia"/>
        </w:rPr>
        <w:t>协议协同处理查询请求，避免单一参与者掌握完整数据或计算逻辑。例如，在</w:t>
      </w:r>
      <w:r>
        <w:t>CSPQuery</w:t>
      </w:r>
      <w:r>
        <w:rPr>
          <w:rFonts w:hint="eastAsia"/>
        </w:rPr>
        <w:t>协议中，</w:t>
      </w:r>
      <w:r>
        <w:t>CS</w:t>
      </w:r>
      <w:r>
        <w:rPr>
          <w:rFonts w:hint="eastAsia"/>
        </w:rPr>
        <w:t>基于加密的邻接矩阵</w:t>
      </w:r>
      <w:r>
        <w:t>A</w:t>
      </w:r>
      <w:r>
        <w:rPr>
          <w:rFonts w:hint="eastAsia"/>
        </w:rPr>
        <w:t>和查询令牌</w:t>
      </w:r>
      <w:r>
        <w:t>TQst​</w:t>
      </w:r>
      <w:r>
        <w:rPr>
          <w:rFonts w:hint="eastAsia"/>
        </w:rPr>
        <w:t>执行路径搜索，</w:t>
      </w:r>
      <w:r>
        <w:t>Proxy</w:t>
      </w:r>
      <w:r>
        <w:rPr>
          <w:rFonts w:hint="eastAsia"/>
        </w:rPr>
        <w:t>则通过安全共享比较协议（</w:t>
      </w:r>
      <w:r>
        <w:t>SSC</w:t>
      </w:r>
      <w:r>
        <w:rPr>
          <w:rFonts w:hint="eastAsia"/>
        </w:rPr>
        <w:t>）和安全最小值协议（</w:t>
      </w:r>
      <w:r>
        <w:t>S</w:t>
      </w:r>
      <w:r>
        <w:rPr>
          <w:rFonts w:hint="eastAsia"/>
        </w:rPr>
        <w:t>M）与CS协作，在加密域中完成约束条件（如成本、时间阈值）的比较和最短路径的筛选。在此过程中，MPC确保 CS无法获取Proxy的私钥信息，而Proxy也无法知晓CS存储的具体密文内容，双方仅通过加密交互和部分解密结果（如比较结果的布尔值）完成协作，从而防止图结构、查询约束等敏感信息在计算过程中泄露。同时，MPC与零知识证明（ZKP）结合，使Proxy能够生成可验证的证明参数，供查询用户（QU）验证结果的正确性，而无需暴露计算过程的细节，最终在恶意模型下保证查询的安全性和隐私性。</w:t>
      </w:r>
    </w:p>
    <w:p w14:paraId="7B229A9B">
      <w:pPr>
        <w:pStyle w:val="18"/>
        <w:numPr>
          <w:ilvl w:val="0"/>
          <w:numId w:val="19"/>
        </w:numPr>
        <w:spacing w:line="360" w:lineRule="auto"/>
        <w:ind w:firstLineChars="0"/>
      </w:pPr>
      <w:r>
        <w:rPr>
          <w:rFonts w:hint="eastAsia"/>
        </w:rPr>
        <w:t>双线性映射</w:t>
      </w:r>
    </w:p>
    <w:p w14:paraId="799229A9">
      <w:pPr>
        <w:spacing w:line="360" w:lineRule="auto"/>
        <w:ind w:firstLine="480"/>
      </w:pPr>
      <w:r>
        <w:rPr>
          <w:rFonts w:hint="eastAsia"/>
        </w:rPr>
        <w:t>双线性映射是一种密码学工具 ，它能在两个特定的乘法群之间建立联系，具有一个关键特性：当对群中的元素进行指数运算后再映射，结果等同于先映射再进行相应的乘法运算。通俗来说，就是如果有群里的元素g，以及两个数a和b，先让g分别进行a次方和b次方运算，再通过双线性映射处理，得到的结果和先将 g 通过双线性映射处理后再进行乘法运算的结果是一致的。</w:t>
      </w:r>
      <w:r>
        <w:rPr>
          <w:rFonts w:hint="eastAsia"/>
        </w:rPr>
        <w:tab/>
      </w:r>
      <w:r>
        <w:rPr>
          <w:rFonts w:hint="eastAsia"/>
        </w:rPr>
        <w:t>在VPCS方案里，双线性映射主要用于查询结果的验证环节，确保计算服务器和代理返回的约束最短路径结果是正确且未被篡改的。例如，查询用户在验证时，会利用双线性映射的特性，对比不同参数通过映射后的结果是否匹配，以此来判断结果的有效性。这种验证方式不需要暴露路径的具体信息，就能确认结果的正确性，从而在保护隐私的前提下实现了对查询结果的可靠验证。同时，双线性映射结合密码学中的难解问题，为方案的安全性提供了理论支撑，使得攻击者很难通过伪造或篡改数据来绕过验证机制。</w:t>
      </w:r>
    </w:p>
    <w:p w14:paraId="7755343F">
      <w:pPr>
        <w:spacing w:line="360" w:lineRule="auto"/>
        <w:ind w:firstLine="480"/>
      </w:pPr>
      <w:r>
        <w:rPr>
          <w:rFonts w:hint="eastAsia"/>
        </w:rPr>
        <w:t>2）实现原理</w:t>
      </w:r>
    </w:p>
    <w:p w14:paraId="1AC25ED5">
      <w:pPr>
        <w:pStyle w:val="18"/>
        <w:numPr>
          <w:ilvl w:val="0"/>
          <w:numId w:val="20"/>
        </w:numPr>
        <w:spacing w:line="360" w:lineRule="auto"/>
        <w:ind w:firstLineChars="0"/>
      </w:pPr>
      <w:r>
        <w:rPr>
          <w:rFonts w:hint="eastAsia"/>
        </w:rPr>
        <w:t>系统参与者与角色分工</w:t>
      </w:r>
    </w:p>
    <w:p w14:paraId="2DBCD44B">
      <w:pPr>
        <w:spacing w:line="360" w:lineRule="auto"/>
        <w:ind w:firstLine="480"/>
      </w:pPr>
      <w:r>
        <w:rPr>
          <w:rFonts w:hint="eastAsia"/>
        </w:rPr>
        <w:t>图数据所有者（GO）：作为数据的拥有者，GO 负责初始的密钥生成与数据加密工作。其首先通过阈值 Paillier 密码系统生成密钥对，并将私钥拆分为两部分，分别交给计算服务器（CS）和代理服务器（Proxy），确保任何一方无法单独解密数据。接着，GO 将原始图数据加密为密文形式，加密时会引入虚拟边来混淆真实的图结构，使外部无法区分真实边与虚拟边，仅暴露顶点数量。此外，GO 还会生成辅助验证信息，如顶点的哈希值、随机参数等，分发给其他参与者，为后续的查询和验证提供基础支持。</w:t>
      </w:r>
    </w:p>
    <w:p w14:paraId="4028FC97">
      <w:pPr>
        <w:spacing w:line="360" w:lineRule="auto"/>
        <w:ind w:firstLine="480"/>
      </w:pPr>
      <w:r>
        <w:rPr>
          <w:rFonts w:hint="eastAsia"/>
        </w:rPr>
        <w:t>计算服务器（CS）：主要负责存储加密后的图数据和辅助信息，并执行约束最短路径的查询计算。CS 被假设为潜在的恶意参与者，可能在计算过程中尝试篡改数据或隐瞒真实结果。在处理查询时，CS 需要与 Proxy 协作，利用安全多方计算协议完成加密数据的比较和最短路径筛选。尽管 CS 掌握部分私钥并参与计算，但其无法获取完整的解密能力，且计算过程受到 Proxy 的监督，最终需向查询用户返回计算结果。</w:t>
      </w:r>
    </w:p>
    <w:p w14:paraId="6091B5A5">
      <w:pPr>
        <w:spacing w:line="360" w:lineRule="auto"/>
        <w:ind w:firstLine="480"/>
      </w:pPr>
      <w:r>
        <w:rPr>
          <w:rFonts w:hint="eastAsia"/>
        </w:rPr>
        <w:t>代理服务器（Proxy）：作为半诚实参与者，Proxy 协助 CS 完成查询计算，并承担生成验证证明的关键任务。Proxy 持有另一部分私钥，与 CS 协作执行安全比较和最小值计算等操作，但不会主动篡改数据。在计算完成后，Proxy 会根据结果生成零知识证明参数，这些参数用于向查询用户证明结果的正确性，同时不泄露任何敏感信息。Proxy的存在确保了即使 CS 存在恶意行为，查询用户也能通过验证证明参数来判断结果的可靠性。</w:t>
      </w:r>
    </w:p>
    <w:p w14:paraId="50F270A7">
      <w:pPr>
        <w:spacing w:line="360" w:lineRule="auto"/>
        <w:ind w:firstLine="480"/>
      </w:pPr>
      <w:r>
        <w:rPr>
          <w:rFonts w:hint="eastAsia"/>
        </w:rPr>
        <w:t>查询用户（QU）：是发起约束最短路径查询的主体，负责生成查询令牌并验证最终结果。QU 在发起查询时，会将目标顶点和约束条件进行加密处理，生成包含哈希值和加密参数的查询令牌，发送给 CS 和 Proxy。在接收到返回的路径结果和证明参数后，QU 利用双线性映射等技术对结果进行验证，确认其正确性和完整性。若验证通过，QU 使用私钥解密结果，获取满足约束条件的最短路径，整个过程中 QU 无需信任 CS 或 Proxy，仅通过密码学证明实现结果验证。</w:t>
      </w:r>
    </w:p>
    <w:p w14:paraId="7FD89E37">
      <w:pPr>
        <w:spacing w:line="360" w:lineRule="auto"/>
        <w:ind w:firstLine="480"/>
      </w:pPr>
      <w:r>
        <w:rPr>
          <w:rFonts w:hint="eastAsia"/>
        </w:rPr>
        <w:t>这四个参与者通过明确的角色分工和密码学技术的协同，在保证数据隐私的前提下，实现了对加密图数据的可验证约束最短路径查询，其中GO和QU侧重数据隐私保护与验证，CS 和Proxy 则专注于加密计算与证明生成，共同构建了一个安全可靠的查询系统。</w:t>
      </w:r>
    </w:p>
    <w:p w14:paraId="343AA53C">
      <w:pPr>
        <w:pStyle w:val="18"/>
        <w:numPr>
          <w:ilvl w:val="0"/>
          <w:numId w:val="20"/>
        </w:numPr>
        <w:spacing w:line="360" w:lineRule="auto"/>
        <w:ind w:firstLineChars="0"/>
      </w:pPr>
      <w:r>
        <w:rPr>
          <w:rFonts w:hint="eastAsia"/>
        </w:rPr>
        <w:t>初始化与数据加密</w:t>
      </w:r>
    </w:p>
    <w:p w14:paraId="48E1AF03">
      <w:pPr>
        <w:spacing w:line="360" w:lineRule="auto"/>
        <w:ind w:firstLine="480"/>
      </w:pPr>
      <w:r>
        <w:rPr>
          <w:rFonts w:hint="eastAsia"/>
        </w:rPr>
        <w:t>GO首先生成一套特殊的加密密钥，就像给数据上了两把不同的锁。GO 将这两把锁的钥匙分别交给计算服务器（CS）和代理服务器（Proxy），确保只有两者合作才能打开数据，避免单一服务器泄露隐私。GO 将原始图数据（如社交网络中的节点和连接）转换为加密的矩阵形式，每个连接的距离、成本、时间等信息都被加密成密文。同时，GO 故意添加一些虚拟的 “假连接”，这些假连接的参数被设为很大的随机数，使得云服务器无法区分真实连接和假连接，从而隐藏真实的图结构，仅暴露节点数量。GO 生成一些用于验证的辅助信息（如节点的 “哈希标签” 和随机参数），分发给 CS、Proxy 和查询用户（QU），这些信息将用于后续的查询验证，但不会泄露原始数据内容。</w:t>
      </w:r>
    </w:p>
    <w:p w14:paraId="1503D31E">
      <w:pPr>
        <w:pStyle w:val="18"/>
        <w:numPr>
          <w:ilvl w:val="0"/>
          <w:numId w:val="20"/>
        </w:numPr>
        <w:spacing w:line="360" w:lineRule="auto"/>
        <w:ind w:firstLineChars="0"/>
      </w:pPr>
      <w:r>
        <w:rPr>
          <w:rFonts w:hint="eastAsia"/>
        </w:rPr>
        <w:t>查询令牌生成</w:t>
      </w:r>
    </w:p>
    <w:p w14:paraId="4EC6F53F">
      <w:pPr>
        <w:spacing w:line="360" w:lineRule="auto"/>
        <w:ind w:firstLine="480"/>
      </w:pPr>
      <w:r>
        <w:rPr>
          <w:rFonts w:hint="eastAsia"/>
        </w:rPr>
        <w:t>查询令牌生成是查询用户（</w:t>
      </w:r>
      <w:r>
        <w:t>QU</w:t>
      </w:r>
      <w:r>
        <w:rPr>
          <w:rFonts w:hint="eastAsia"/>
        </w:rPr>
        <w:t>）发起约束最短路径查询并实现隐私保护的关键环节。当</w:t>
      </w:r>
      <w:r>
        <w:t>QU</w:t>
      </w:r>
      <w:r>
        <w:rPr>
          <w:rFonts w:hint="eastAsia"/>
        </w:rPr>
        <w:t>需要查询从顶点</w:t>
      </w:r>
      <w:r>
        <w:t>s</w:t>
      </w:r>
      <w:r>
        <w:rPr>
          <w:rFonts w:hint="eastAsia"/>
        </w:rPr>
        <w:t>到顶点</w:t>
      </w:r>
      <w:r>
        <w:t>t</w:t>
      </w:r>
      <w:r>
        <w:rPr>
          <w:rFonts w:hint="eastAsia"/>
        </w:rPr>
        <w:t>满足成本和时间约束的路径时，会通过</w:t>
      </w:r>
      <w:r>
        <w:t xml:space="preserve"> TokenGen</w:t>
      </w:r>
      <w:r>
        <w:rPr>
          <w:rFonts w:hint="eastAsia"/>
        </w:rPr>
        <w:t>算法生成一个特殊的“查询令牌”，该过程通过多重隐私保护技术隐藏真实查询意图：</w:t>
      </w:r>
      <w:r>
        <w:t>QU</w:t>
      </w:r>
      <w:r>
        <w:rPr>
          <w:rFonts w:hint="eastAsia"/>
        </w:rPr>
        <w:t>首先使用伪随机函数对真实顶点</w:t>
      </w:r>
      <w:r>
        <w:t>s</w:t>
      </w:r>
      <w:r>
        <w:rPr>
          <w:rFonts w:hint="eastAsia"/>
        </w:rPr>
        <w:t>和</w:t>
      </w:r>
      <w:r>
        <w:t>t</w:t>
      </w:r>
      <w:r>
        <w:rPr>
          <w:rFonts w:hint="eastAsia"/>
        </w:rPr>
        <w:t>进行哈希处理，将其转换为虚拟的哈希值</w:t>
      </w:r>
      <w:r>
        <w:t>hs</w:t>
      </w:r>
      <w:r>
        <w:rPr>
          <w:rFonts w:hint="eastAsia"/>
        </w:rPr>
        <w:t>和</w:t>
      </w:r>
      <w:r>
        <w:t xml:space="preserve"> ht</w:t>
      </w:r>
      <w:r>
        <w:rPr>
          <w:rFonts w:hint="eastAsia"/>
        </w:rPr>
        <w:t>（类似为顶点分配匿名代号），避免在查询中直接暴露真实顶点</w:t>
      </w:r>
      <w:r>
        <w:t xml:space="preserve"> ID</w:t>
      </w:r>
      <w:r>
        <w:rPr>
          <w:rFonts w:hint="eastAsia"/>
        </w:rPr>
        <w:t>。接着，</w:t>
      </w:r>
      <w:r>
        <w:t xml:space="preserve">QU </w:t>
      </w:r>
      <w:r>
        <w:rPr>
          <w:rFonts w:hint="eastAsia"/>
        </w:rPr>
        <w:t>利用阈值</w:t>
      </w:r>
      <w:r>
        <w:t xml:space="preserve"> Paillier </w:t>
      </w:r>
      <w:r>
        <w:rPr>
          <w:rFonts w:hint="eastAsia"/>
        </w:rPr>
        <w:t>密码系统（</w:t>
      </w:r>
      <w:r>
        <w:t>TPC</w:t>
      </w:r>
      <w:r>
        <w:rPr>
          <w:rFonts w:hint="eastAsia"/>
        </w:rPr>
        <w:t>）对约束条件</w:t>
      </w:r>
      <w:r>
        <w:t xml:space="preserve"> θ₁</w:t>
      </w:r>
      <w:r>
        <w:rPr>
          <w:rFonts w:hint="eastAsia"/>
        </w:rPr>
        <w:t>和</w:t>
      </w:r>
      <w:r>
        <w:t xml:space="preserve"> θ₂</w:t>
      </w:r>
      <w:r>
        <w:rPr>
          <w:rFonts w:hint="eastAsia"/>
        </w:rPr>
        <w:t>进行加密，得到密文，确保云服务器（</w:t>
      </w:r>
      <w:r>
        <w:t>CS</w:t>
      </w:r>
      <w:r>
        <w:rPr>
          <w:rFonts w:hint="eastAsia"/>
        </w:rPr>
        <w:t>）和代理（Proxy）无法获取明文约束阈值。此外，QU生成一个随机数α，这些随机参数用于后续验证阶段构造零知识证明，确保查询结果的完整性和正确性。最终，QU 将哈希值、加密约束条件和随机参数打包为查询令牌 TQst，发送给 CS 和 Proxy。整个过程中，真实顶点、约束条件和验证参数均以加密或哈希形式存在，云服务器无法通过令牌推断出具体的查询目标或约束细节，从而实现了查询发起阶段的隐私保护。</w:t>
      </w:r>
    </w:p>
    <w:p w14:paraId="41BB5970">
      <w:pPr>
        <w:pStyle w:val="18"/>
        <w:numPr>
          <w:ilvl w:val="0"/>
          <w:numId w:val="20"/>
        </w:numPr>
        <w:spacing w:line="360" w:lineRule="auto"/>
        <w:ind w:firstLineChars="0"/>
      </w:pPr>
      <w:r>
        <w:rPr>
          <w:rFonts w:hint="eastAsia"/>
        </w:rPr>
        <w:t>零知识证明与结果验证</w:t>
      </w:r>
    </w:p>
    <w:p w14:paraId="4B62F893">
      <w:pPr>
        <w:spacing w:line="360" w:lineRule="auto"/>
        <w:ind w:firstLine="480"/>
      </w:pPr>
      <w:r>
        <w:rPr>
          <w:rFonts w:hint="eastAsia"/>
        </w:rPr>
        <w:t>零知识证明与结果验证是保障查询结果可信且隐私不泄露的核心机制。Proxy在与CS协作完成约束最短路径查询后，会生成一组特殊的证明参数，这些参数本质上是对计算结果的加密 “摘要”，用于向QU证明结果的正确性，同时不透露任何敏感信息。</w:t>
      </w:r>
    </w:p>
    <w:p w14:paraId="2EE705E8">
      <w:pPr>
        <w:spacing w:line="360" w:lineRule="auto"/>
        <w:ind w:firstLine="480"/>
      </w:pPr>
      <w:r>
        <w:rPr>
          <w:rFonts w:hint="eastAsia"/>
        </w:rPr>
        <w:t>具体来说，Proxy 会根据计算得到的最短路径，生成包含顶点哈希汇总信息的证明参数。QU 收到 CS 返回的路径结果和 Proxy 的证明参数后，通过两个关键步骤进行验证：首先，检查全局顶点的哈希汇总与路径顶点的哈希汇总是否一致，确保路径中的顶点都是原图中存在的，避免伪造；其次，利用一种特殊的密码学映射工具（双线性映射），验证证明参数与自己发起查询时生成的随机参数是否匹配，以此判断结果是否被篡改或伪造。</w:t>
      </w:r>
    </w:p>
    <w:p w14:paraId="6FDA5B56">
      <w:pPr>
        <w:spacing w:line="360" w:lineRule="auto"/>
        <w:ind w:firstLine="480"/>
      </w:pPr>
      <w:r>
        <w:rPr>
          <w:rFonts w:hint="eastAsia"/>
        </w:rPr>
        <w:t>整个验证过程不需要 QU 解密原始数据或知晓路径的具体细节，仅通过密码学证明就能确认结果的正确性，就像通过核对密封信件上的签名来确认内容未被修改一样。这种方式确保了即使 CS 是恶意的，QU 也能通过验证机制发现数据篡改，同时 Proxy 生成的证明参数不会泄露图结构、约束条件等敏感信息，从而实现了 “零知识” 验证 —— 即只证明结果正确，不暴露任何额外知识。</w:t>
      </w:r>
    </w:p>
    <w:p w14:paraId="26EEEC14">
      <w:pPr>
        <w:spacing w:line="360" w:lineRule="auto"/>
        <w:ind w:firstLine="480"/>
      </w:pPr>
      <w:r>
        <w:rPr>
          <w:rFonts w:hint="eastAsia"/>
        </w:rPr>
        <w:t>3）实验评估</w:t>
      </w:r>
    </w:p>
    <w:p w14:paraId="36E37C3B">
      <w:pPr>
        <w:spacing w:line="360" w:lineRule="auto"/>
        <w:ind w:firstLine="480"/>
      </w:pPr>
      <w:r>
        <w:rPr>
          <w:rFonts w:hint="eastAsia"/>
        </w:rPr>
        <w:t>通过对比不同图数据外包计算方案的效率，从计算复杂度（Computation CPX ）和通信复杂度（Communication</w:t>
      </w:r>
      <w:r>
        <w:rPr>
          <w:rFonts w:hint="eastAsia"/>
          <w:lang w:eastAsia="zh-CN"/>
        </w:rPr>
        <w:t>，</w:t>
      </w:r>
      <w:r>
        <w:rPr>
          <w:rFonts w:hint="eastAsia"/>
        </w:rPr>
        <w:t>CPX ）两个维度，直观呈现各方案在处理图数据查询任务时的性能差异，辅助论证研究方案（Our VPCS ）的优势或特点。</w:t>
      </w:r>
    </w:p>
    <w:p w14:paraId="5021A96A">
      <w:pPr>
        <w:spacing w:line="360" w:lineRule="auto"/>
        <w:jc w:val="left"/>
        <w:rPr>
          <w:rFonts w:hint="eastAsia"/>
        </w:rPr>
      </w:pPr>
      <w:r>
        <w:rPr>
          <w:rFonts w:hint="eastAsia"/>
        </w:rPr>
        <w:drawing>
          <wp:inline distT="0" distB="0" distL="0" distR="0">
            <wp:extent cx="5268595" cy="2019300"/>
            <wp:effectExtent l="0" t="0" r="8255" b="0"/>
            <wp:docPr id="16326033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03359" name="图片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8595" cy="2019300"/>
                    </a:xfrm>
                    <a:prstGeom prst="rect">
                      <a:avLst/>
                    </a:prstGeom>
                    <a:noFill/>
                    <a:ln>
                      <a:noFill/>
                    </a:ln>
                  </pic:spPr>
                </pic:pic>
              </a:graphicData>
            </a:graphic>
          </wp:inline>
        </w:drawing>
      </w:r>
    </w:p>
    <w:p w14:paraId="28285B39">
      <w:pPr>
        <w:pStyle w:val="21"/>
        <w:jc w:val="center"/>
        <w:rPr>
          <w:rFonts w:hint="eastAsia" w:eastAsia="黑体"/>
          <w:lang w:val="en-US" w:eastAsia="zh-CN"/>
        </w:rPr>
      </w:pPr>
      <w:r>
        <w:rPr>
          <w:rFonts w:hint="eastAsia"/>
        </w:rPr>
        <w:t>表</w:t>
      </w:r>
      <w:r>
        <w:rPr>
          <w:rFonts w:hint="eastAsia"/>
          <w:lang w:val="en-US" w:eastAsia="zh-CN"/>
        </w:rPr>
        <w:t xml:space="preserve">8 </w:t>
      </w:r>
      <w:r>
        <w:rPr>
          <w:rFonts w:hint="eastAsia"/>
        </w:rPr>
        <w:t>不同图数据外包计算方案的效率</w:t>
      </w:r>
      <w:r>
        <w:rPr>
          <w:rFonts w:hint="eastAsia"/>
          <w:lang w:val="en-US" w:eastAsia="zh-CN"/>
        </w:rPr>
        <w:t>对比</w:t>
      </w:r>
    </w:p>
    <w:p w14:paraId="366D3A60">
      <w:pPr>
        <w:spacing w:line="360" w:lineRule="auto"/>
        <w:ind w:firstLine="480"/>
        <w:jc w:val="center"/>
      </w:pPr>
      <w:r>
        <w:rPr>
          <w:rFonts w:hint="eastAsia"/>
        </w:rPr>
        <w:t>这张表格对比不同图数据外包计算方案，能看出：不同方案支持的查询类型有差异，从单约束到双约束、从近似到精确，VPCS实现了更复杂的双约束路径查询 。计算复杂度上，各环节（图加密、查询处理等）因功能和策略不同有区别，我们的方案为支持双约束路径，图加密复杂度虽更高，但核心查询环节效率和其他方案相当。通信复杂度方面，各方案都控制得较好，VPCS在复杂查询下也没额外增加通信负担 。整体说明 Our VPCS 能覆盖更复杂查询场景，虽加密有代价，但核心效率和通信有保障，体现其在图数据外包计算里的优势与价值。</w:t>
      </w:r>
      <w:r>
        <w:rPr>
          <w:rFonts w:hint="eastAsia"/>
        </w:rPr>
        <w:drawing>
          <wp:inline distT="0" distB="0" distL="0" distR="0">
            <wp:extent cx="5257800" cy="1153795"/>
            <wp:effectExtent l="0" t="0" r="0" b="8255"/>
            <wp:docPr id="19206779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77929"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57800" cy="1153795"/>
                    </a:xfrm>
                    <a:prstGeom prst="rect">
                      <a:avLst/>
                    </a:prstGeom>
                    <a:noFill/>
                    <a:ln>
                      <a:noFill/>
                    </a:ln>
                  </pic:spPr>
                </pic:pic>
              </a:graphicData>
            </a:graphic>
          </wp:inline>
        </w:drawing>
      </w:r>
    </w:p>
    <w:p w14:paraId="176539D0">
      <w:pPr>
        <w:pStyle w:val="21"/>
        <w:jc w:val="center"/>
      </w:pPr>
      <w:r>
        <w:rPr>
          <w:rFonts w:hint="eastAsia"/>
        </w:rPr>
        <w:t>图</w:t>
      </w:r>
      <w:r>
        <w:rPr>
          <w:rFonts w:hint="eastAsia"/>
          <w:lang w:val="en-US" w:eastAsia="zh-CN"/>
        </w:rPr>
        <w:t>7</w:t>
      </w:r>
      <w:r>
        <w:rPr>
          <w:rFonts w:hint="eastAsia"/>
        </w:rPr>
        <w:t xml:space="preserve"> 各种查询时间对比</w:t>
      </w:r>
    </w:p>
    <w:p w14:paraId="2167983D">
      <w:pPr>
        <w:spacing w:line="360" w:lineRule="auto"/>
        <w:ind w:firstLine="480"/>
        <w:jc w:val="left"/>
      </w:pPr>
      <w:r>
        <w:rPr>
          <w:rFonts w:hint="eastAsia"/>
        </w:rPr>
        <w:t>如上图</w:t>
      </w:r>
      <w:r>
        <w:rPr>
          <w:rFonts w:hint="eastAsia"/>
          <w:lang w:val="en-US" w:eastAsia="zh-CN"/>
        </w:rPr>
        <w:t>7</w:t>
      </w:r>
      <w:r>
        <w:rPr>
          <w:rFonts w:hint="eastAsia"/>
        </w:rPr>
        <w:t>所示，通过对比不同图数据查询方案（VPCS - I、VPCS - II、SPCS、PGAS ）在顶点数量变化时的时间效率，辅助评估各方案性能。整体上，所有方案耗时都随顶点数量增加而上升，体现图规模越大查询越耗时；其中 PGAS 因功能基础（仅单约束查询 ），耗时增长最慢、效率最高；SPCS 和 VPCS - I/II 支持更复杂查询（双约束等 ），耗时增长更明显且相互接近，虽耗时高于 PGAS，但能覆盖更复杂场景，展现出功能拓展后的性能特点，说明 VPCS 等方案在功能与效率权衡中适配实际复杂需求 。</w:t>
      </w:r>
      <w:r>
        <w:rPr>
          <w:rFonts w:hint="eastAsia"/>
        </w:rPr>
        <w:drawing>
          <wp:inline distT="0" distB="0" distL="0" distR="0">
            <wp:extent cx="5268595" cy="1088390"/>
            <wp:effectExtent l="0" t="0" r="8255" b="0"/>
            <wp:docPr id="41954676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46768" name="图片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8595" cy="1088390"/>
                    </a:xfrm>
                    <a:prstGeom prst="rect">
                      <a:avLst/>
                    </a:prstGeom>
                    <a:noFill/>
                    <a:ln>
                      <a:noFill/>
                    </a:ln>
                  </pic:spPr>
                </pic:pic>
              </a:graphicData>
            </a:graphic>
          </wp:inline>
        </w:drawing>
      </w:r>
    </w:p>
    <w:p w14:paraId="1E480E11">
      <w:pPr>
        <w:pStyle w:val="21"/>
        <w:jc w:val="center"/>
      </w:pPr>
      <w:r>
        <w:rPr>
          <w:rFonts w:hint="eastAsia"/>
        </w:rPr>
        <w:t>图</w:t>
      </w:r>
      <w:r>
        <w:rPr>
          <w:rFonts w:hint="eastAsia"/>
          <w:lang w:val="en-US" w:eastAsia="zh-CN"/>
        </w:rPr>
        <w:t>8</w:t>
      </w:r>
      <w:r>
        <w:rPr>
          <w:rFonts w:hint="eastAsia"/>
        </w:rPr>
        <w:t xml:space="preserve"> 各种验证时间对比</w:t>
      </w:r>
    </w:p>
    <w:p w14:paraId="4D50549A">
      <w:pPr>
        <w:spacing w:line="360" w:lineRule="auto"/>
        <w:ind w:firstLine="480"/>
      </w:pPr>
      <w:r>
        <w:rPr>
          <w:rFonts w:hint="eastAsia"/>
        </w:rPr>
        <w:t>如上图</w:t>
      </w:r>
      <w:r>
        <w:rPr>
          <w:rFonts w:hint="eastAsia"/>
          <w:lang w:val="en-US" w:eastAsia="zh-CN"/>
        </w:rPr>
        <w:t>8</w:t>
      </w:r>
      <w:r>
        <w:rPr>
          <w:rFonts w:hint="eastAsia"/>
        </w:rPr>
        <w:t>所示，通过对比了不同方案（VPCS-I、VPCS-II、SPCS、PGAS）在 ego-facebook、p2p-Gnutella06、wiki-vote、email-eu-core 四个真实图数据集下，随着顶点数量增加的验证时间表现。整体来看，所有方案的验证时间都随顶点数增多而上升，反映出图规模越大验证越耗时；其中 PGAS 因功能相对基础（单约束查询 ），验证时间增长最慢、效率最高；SPCS和VPCS-I/II支持更复杂查询（双约束等 ），验证时间增长更明显且相互接近，虽耗时高于PGAS，但能覆盖更复杂场景，体现它们在功能拓展（如隐私保护、双约束 ）后在验证环节的性能特点，说明 VPCS 等方案在复杂查询需求下，验证效率虽有代价但可适配实际场景 。</w:t>
      </w:r>
    </w:p>
    <w:p w14:paraId="1DCA7B27">
      <w:pPr>
        <w:pStyle w:val="5"/>
        <w:spacing w:line="360" w:lineRule="auto"/>
      </w:pPr>
      <w:r>
        <w:rPr>
          <w:rFonts w:hint="eastAsia"/>
        </w:rPr>
        <w:t>基于混洗差分隐私的图聚类系数收集方案GCC-SDP</w:t>
      </w:r>
    </w:p>
    <w:p w14:paraId="7BE34D86">
      <w:pPr>
        <w:widowControl/>
        <w:spacing w:line="360" w:lineRule="auto"/>
        <w:ind w:firstLine="0" w:firstLineChars="0"/>
        <w:jc w:val="center"/>
        <w:rPr>
          <w:rFonts w:hint="eastAsia" w:ascii="宋体" w:hAnsi="宋体" w:eastAsia="宋体" w:cs="宋体"/>
          <w:kern w:val="0"/>
        </w:rPr>
      </w:pPr>
      <w:r>
        <w:rPr>
          <w:rFonts w:hint="eastAsia" w:ascii="宋体" w:hAnsi="宋体" w:eastAsia="宋体" w:cs="宋体"/>
          <w:kern w:val="0"/>
        </w:rPr>
        <w:drawing>
          <wp:inline distT="0" distB="0" distL="0" distR="0">
            <wp:extent cx="5259705" cy="2446655"/>
            <wp:effectExtent l="0" t="0" r="0" b="0"/>
            <wp:docPr id="200569755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97555" name="图片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59705" cy="2446655"/>
                    </a:xfrm>
                    <a:prstGeom prst="rect">
                      <a:avLst/>
                    </a:prstGeom>
                    <a:noFill/>
                    <a:ln>
                      <a:noFill/>
                    </a:ln>
                  </pic:spPr>
                </pic:pic>
              </a:graphicData>
            </a:graphic>
          </wp:inline>
        </w:drawing>
      </w:r>
    </w:p>
    <w:p w14:paraId="16B785E1">
      <w:pPr>
        <w:pStyle w:val="21"/>
        <w:jc w:val="center"/>
        <w:rPr>
          <w:bCs/>
        </w:rPr>
      </w:pPr>
      <w:r>
        <w:rPr>
          <w:rFonts w:hint="eastAsia"/>
          <w:lang w:val="en-US" w:eastAsia="zh-CN"/>
        </w:rPr>
        <w:t xml:space="preserve">图9 </w:t>
      </w:r>
      <w:r>
        <w:rPr>
          <w:rFonts w:hint="eastAsia"/>
        </w:rPr>
        <w:t>方案GCC-SDP</w:t>
      </w:r>
    </w:p>
    <w:p w14:paraId="64F4A605">
      <w:pPr>
        <w:spacing w:line="360" w:lineRule="auto"/>
        <w:ind w:firstLine="480"/>
      </w:pPr>
      <w:r>
        <w:rPr>
          <w:rFonts w:hint="eastAsia"/>
        </w:rPr>
        <w:t>1）技术介绍</w:t>
      </w:r>
    </w:p>
    <w:p w14:paraId="1891FBAA">
      <w:pPr>
        <w:pStyle w:val="18"/>
        <w:numPr>
          <w:ilvl w:val="0"/>
          <w:numId w:val="21"/>
        </w:numPr>
        <w:spacing w:line="360" w:lineRule="auto"/>
        <w:ind w:firstLineChars="0"/>
      </w:pPr>
      <w:r>
        <w:rPr>
          <w:rFonts w:hint="eastAsia"/>
        </w:rPr>
        <w:t>混洗差分隐私（Shuffled Differential Privacy, SDP）</w:t>
      </w:r>
    </w:p>
    <w:p w14:paraId="3370672D">
      <w:pPr>
        <w:spacing w:line="360" w:lineRule="auto"/>
        <w:ind w:firstLine="480"/>
      </w:pPr>
      <w:r>
        <w:rPr>
          <w:rFonts w:hint="eastAsia"/>
        </w:rPr>
        <w:t>混洗差分隐私（Shuffled Differential Privacy, SDP）是一种增强型隐私保护技术，其核心原理是通过引入一个独立的混洗器（Shuffler）作为中间层，在用户本地扰动数据的基础上进一步切断数据与用户身份的关联。具体来说，用户首先在本地对敏感数据（如边信息或统计量）添加噪声（例如通过随机响应扰动），然后将扰动后的数据发送给混洗器；混洗器收集所有用户的数据后，彻底打乱数据的提交顺序，使得数据无法追溯到原始用户，最后将匿名化后的混乱数据集发送给数据收集器。这一混洗操作的关键优势在于隐私放大效应：即使单个用户在本地仅满足较弱的隐私保护（如较小的本地隐私预算），经过混洗后，全局结果却能满足更强的差分隐私保证（如更高的全局隐私预算），从而在相同隐私水平下显著降低噪声量，提升数据可用性。此外，混洗器与数据收集器不共谋的假设进一步防止了身份重识别攻击，使得攻击者即使获取混洗后的数据，也无法推断出特定用户的原始信息。这种技术特别适用于分布式场景（如联邦学习或图数据分析），能够在保护个体隐私的同时维持较高的统计准确性。</w:t>
      </w:r>
    </w:p>
    <w:p w14:paraId="7A32E895">
      <w:pPr>
        <w:pStyle w:val="18"/>
        <w:numPr>
          <w:ilvl w:val="0"/>
          <w:numId w:val="21"/>
        </w:numPr>
        <w:spacing w:line="360" w:lineRule="auto"/>
        <w:ind w:firstLineChars="0"/>
      </w:pPr>
      <w:r>
        <w:rPr>
          <w:rFonts w:hint="eastAsia"/>
        </w:rPr>
        <w:t>随机响应（Randomized Response, RR）</w:t>
      </w:r>
    </w:p>
    <w:p w14:paraId="0E11A806">
      <w:pPr>
        <w:spacing w:line="360" w:lineRule="auto"/>
        <w:ind w:firstLine="480"/>
      </w:pPr>
      <w:r>
        <w:rPr>
          <w:rFonts w:hint="eastAsia"/>
        </w:rPr>
        <w:t>随机响应（Randomized Response, RR）是一种经典的隐私保护技术，其核心思想是通过让用户以可控的概率对敏感问题提供虚假回答来隐藏真实信息。具体来说，当用户需要报告一个二元敏感数据（例如"是否拥有某条边"或"是否患有某种疾病"）时，系统会要求用户按照预先设定的概率随机决定是如实回答还是故意翻转答案（例如将"是"改为"否"或反之）。这个随机化过程确保外部观察者无法确定接收到的回答是真实的还是随机生成的，从而保护了用户的真实隐私。由于扰动概率是已知且精确控制的，数据收集者可以通过统计方法从大量扰动后的回答中反推出原始数据的总体分布特征，而无法准确推断任何个体的真实信息。这种技术在满足本地差分隐私的同时，特别适合处理分类数据或二元数据，既保护了个人隐私，又保留了数据的统计效用。</w:t>
      </w:r>
    </w:p>
    <w:p w14:paraId="5667A673">
      <w:pPr>
        <w:pStyle w:val="18"/>
        <w:numPr>
          <w:ilvl w:val="0"/>
          <w:numId w:val="21"/>
        </w:numPr>
        <w:spacing w:line="360" w:lineRule="auto"/>
        <w:ind w:firstLineChars="0"/>
      </w:pPr>
      <w:r>
        <w:rPr>
          <w:rFonts w:hint="eastAsia"/>
        </w:rPr>
        <w:t>拉普拉斯机制（Laplace Mechanism）</w:t>
      </w:r>
    </w:p>
    <w:p w14:paraId="6169736D">
      <w:pPr>
        <w:spacing w:line="360" w:lineRule="auto"/>
        <w:ind w:firstLine="480"/>
      </w:pPr>
      <w:r>
        <w:rPr>
          <w:rFonts w:hint="eastAsia"/>
        </w:rPr>
        <w:t>拉普拉斯机制是差分隐私中最常用的噪声添加技术，其核心原理是根据数据的敏感度和隐私需求，从拉普拉斯分布中抽取适量的随机噪声来掩盖真实数值。该机制首先确定查询函数的全局敏感度（即任意两个相邻数据集查询结果的最大可能差值），然后根据预设的隐私预算参数，计算出需要添加的噪声规模——隐私要求越严格（隐私预算越小），添加的噪声就越大。具体实现时，系统会从一个以零为中心、尺度参数与敏感度和隐私预算相关的拉普拉斯分布中随机采样，将这个噪声值叠加到真实的查询结果上。由于拉普拉斯分布具有重尾特性，既能有效保护个体隐私，又能保证扰动后的数据仍能保持较好的统计准确性。这种机制特别适用于保护数值型数据的隐私，如统计量、聚合值等，是差分隐私框架下实现隐私与效用平衡的关键技术。</w:t>
      </w:r>
    </w:p>
    <w:p w14:paraId="257DFAC9">
      <w:pPr>
        <w:pStyle w:val="18"/>
        <w:numPr>
          <w:ilvl w:val="0"/>
          <w:numId w:val="21"/>
        </w:numPr>
        <w:spacing w:line="360" w:lineRule="auto"/>
        <w:ind w:firstLineChars="0"/>
      </w:pPr>
      <w:r>
        <w:rPr>
          <w:rFonts w:hint="eastAsia"/>
        </w:rPr>
        <w:t>无偏估计与优化校准（Unbiased Estimation &amp; Calibration）</w:t>
      </w:r>
    </w:p>
    <w:p w14:paraId="6D0AB0DB">
      <w:pPr>
        <w:spacing w:line="360" w:lineRule="auto"/>
        <w:ind w:firstLine="480"/>
      </w:pPr>
      <w:r>
        <w:rPr>
          <w:rFonts w:hint="eastAsia"/>
        </w:rPr>
        <w:t>无偏估计与优化校准是GCC-SDP中确保数据可用性的关键技术，其核心思想是通过统计反演和优化方法从噪声数据中恢复出接近真实的统计量。在扰动数据收集完成后，系统首先基于已知的噪声分布特性（如随机响应的翻转概率或拉普拉斯噪声的参数），通过概率反推的方法计算原始数据的无偏估计值，消除系统性偏差。例如，对于被随机响应扰动的二元数据，可以通过统计回答分布和已知的扰动概率，计算出原始真实回答的期望值。接着，系统会利用多个相关统计量之间的内在一致性（如节点的度数与邻接关系之间的逻辑关联），构建优化问题，通过最小化估计误差或最大化似然概率等方法，对初步估计值进行联合校准，进一步提升数据准确性。这种两步走的策略既保留了差分隐私的保护效果，又最大程度地还原了数据真实的统计特征，使得最终的聚类系数等复杂图统计量能够保持较高的精确度。</w:t>
      </w:r>
    </w:p>
    <w:p w14:paraId="4E2FB878">
      <w:pPr>
        <w:spacing w:line="360" w:lineRule="auto"/>
        <w:ind w:firstLine="480"/>
      </w:pPr>
      <w:r>
        <w:rPr>
          <w:rFonts w:hint="eastAsia"/>
        </w:rPr>
        <w:t>2）实现原理</w:t>
      </w:r>
    </w:p>
    <w:p w14:paraId="17C4B7A0">
      <w:pPr>
        <w:spacing w:line="360" w:lineRule="auto"/>
        <w:ind w:firstLine="480"/>
      </w:pPr>
      <w:r>
        <w:rPr>
          <w:rFonts w:hint="eastAsia"/>
        </w:rPr>
        <w:t>GCC-SDP 的完整流程分为四个步骤，具体如下：</w:t>
      </w:r>
    </w:p>
    <w:p w14:paraId="70C53B68">
      <w:pPr>
        <w:pStyle w:val="18"/>
        <w:numPr>
          <w:ilvl w:val="0"/>
          <w:numId w:val="22"/>
        </w:numPr>
        <w:spacing w:line="360" w:lineRule="auto"/>
        <w:ind w:firstLineChars="0"/>
      </w:pPr>
      <w:r>
        <w:rPr>
          <w:rFonts w:hint="eastAsia"/>
        </w:rPr>
        <w:t>隐私预算分配</w:t>
      </w:r>
    </w:p>
    <w:p w14:paraId="5984ED28">
      <w:pPr>
        <w:spacing w:line="360" w:lineRule="auto"/>
        <w:ind w:firstLine="480"/>
      </w:pPr>
      <w:r>
        <w:rPr>
          <w:rFonts w:hint="eastAsia"/>
        </w:rPr>
        <w:t>在GCC-SDP的第一步中，系统会预先配置隐私保护的核心参数，包括总隐私预算、隐私泄露风险阈值以及预算分配比例。总隐私预算决定了整体隐私保护的强度，需要合理分配给不同阶段的数据处理任务。具体来说，系统将预算划分为两部分：一部分用于保护图的边信息（邻接位向量）和楔形列表的收集，另一部分用于保护节点的度值数据。此外，基于混洗差分隐私的放大效应，系统会动态计算本地扰动所需的隐私预算，确保在满足全局隐私要求的前提下，尽可能减少噪声的添加量。这一步骤的关键在于平衡不同数据处理阶段的隐私需求，为后续的扰动和收集奠定基础。</w:t>
      </w:r>
    </w:p>
    <w:p w14:paraId="5B8AF26B">
      <w:pPr>
        <w:pStyle w:val="18"/>
        <w:numPr>
          <w:ilvl w:val="0"/>
          <w:numId w:val="22"/>
        </w:numPr>
        <w:spacing w:line="360" w:lineRule="auto"/>
        <w:ind w:firstLineChars="0"/>
      </w:pPr>
      <w:r>
        <w:rPr>
          <w:rFonts w:hint="eastAsia"/>
        </w:rPr>
        <w:t>报告邻接位向量与楔形列表</w:t>
      </w:r>
    </w:p>
    <w:p w14:paraId="7C82D95F">
      <w:pPr>
        <w:spacing w:line="360" w:lineRule="auto"/>
        <w:ind w:firstLine="480"/>
      </w:pPr>
      <w:r>
        <w:rPr>
          <w:rFonts w:hint="eastAsia"/>
        </w:rPr>
        <w:t>在这一阶段，每个用户需要对其本地存储的图数据（如邻接关系和楔形信息）进行隐私保护处理。对于邻接位向量，用户采用随机响应技术，以一定概率翻转二进制位，从而隐藏真实的边信息。同时，对于楔形列表（即描述潜在三角形结构的中间节点信息），用户同样通过随机响应扰动数据，并将结果发送至混洗器。混洗器的作用是打乱所有用户提交的数据顺序，切断数据与用户身份的关联，从而进一步增强隐私性。这一过程不仅保护了边和楔形信息的隐私，还通过混洗操作降低了全局噪声需求，提升了数据可用性。</w:t>
      </w:r>
    </w:p>
    <w:p w14:paraId="42D9FDEF">
      <w:pPr>
        <w:pStyle w:val="18"/>
        <w:numPr>
          <w:ilvl w:val="0"/>
          <w:numId w:val="22"/>
        </w:numPr>
        <w:spacing w:line="360" w:lineRule="auto"/>
        <w:ind w:firstLineChars="0"/>
      </w:pPr>
      <w:r>
        <w:rPr>
          <w:rFonts w:hint="eastAsia"/>
        </w:rPr>
        <w:t>报告扰动度值</w:t>
      </w:r>
    </w:p>
    <w:p w14:paraId="3FEF8D5F">
      <w:pPr>
        <w:spacing w:line="360" w:lineRule="auto"/>
        <w:ind w:firstLine="480"/>
      </w:pPr>
      <w:r>
        <w:rPr>
          <w:rFonts w:hint="eastAsia"/>
        </w:rPr>
        <w:t>每个用户在本步骤中需要上报其节点的度值（即连接的边数），但为了保护隐私，用户不会直接上传真实数据。相反，系统采用拉普拉斯机制，向真实度值中添加符合特定分布的随机噪声。噪声的规模由分配的隐私预算决定，确保攻击者无法准确推断原始度值。由于度值是数值型数据，拉普拉斯机制能够在提供强隐私保护的同时，保持数据的统计特性。扰动后的度值被直接发送给数据收集器，用于后续的聚合与校准。</w:t>
      </w:r>
    </w:p>
    <w:p w14:paraId="640F3D4B">
      <w:pPr>
        <w:pStyle w:val="18"/>
        <w:numPr>
          <w:ilvl w:val="0"/>
          <w:numId w:val="22"/>
        </w:numPr>
        <w:spacing w:line="360" w:lineRule="auto"/>
        <w:ind w:firstLineChars="0"/>
      </w:pPr>
      <w:r>
        <w:rPr>
          <w:rFonts w:hint="eastAsia"/>
        </w:rPr>
        <w:t>数据聚合与校准</w:t>
      </w:r>
    </w:p>
    <w:p w14:paraId="37AF4089">
      <w:pPr>
        <w:spacing w:line="360" w:lineRule="auto"/>
        <w:ind w:firstLine="480"/>
      </w:pPr>
      <w:r>
        <w:rPr>
          <w:rFonts w:hint="eastAsia"/>
        </w:rPr>
        <w:t>在收集到所有扰动数据后，系统进入最终的聚合与校准阶段。首先，数据收集器基于已知的噪声分布（如随机响应的翻转概率或拉普拉斯噪声参数），对邻接位向量和楔形列表进行统计反推，估算出接近真实的边信息和三角形数量。接着，利用优化算法结合扰动后的度值和邻接关系，进一步校准节点的度数值，减少噪声引入的偏差。最终，系统通过这些校准后的数据计算每个节点的局部聚类系数，并聚合为全局聚类系数。这一步骤的核心在于通过数学优化和统计校正，在保证隐私的前提下，最大限度地恢复数据的准确性和可用性。</w:t>
      </w:r>
    </w:p>
    <w:p w14:paraId="594B9CE3">
      <w:pPr>
        <w:spacing w:line="360" w:lineRule="auto"/>
        <w:ind w:firstLine="480"/>
        <w:jc w:val="left"/>
      </w:pPr>
      <w:r>
        <w:rPr>
          <w:rFonts w:hint="eastAsia"/>
        </w:rPr>
        <w:t>3）实验评估</w:t>
      </w:r>
      <w:r>
        <w:rPr>
          <w:rFonts w:hint="eastAsia"/>
        </w:rPr>
        <w:drawing>
          <wp:inline distT="0" distB="0" distL="0" distR="0">
            <wp:extent cx="5268595" cy="2552700"/>
            <wp:effectExtent l="0" t="0" r="8255" b="0"/>
            <wp:docPr id="144422019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20192" name="图片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8595" cy="2552700"/>
                    </a:xfrm>
                    <a:prstGeom prst="rect">
                      <a:avLst/>
                    </a:prstGeom>
                    <a:noFill/>
                    <a:ln>
                      <a:noFill/>
                    </a:ln>
                  </pic:spPr>
                </pic:pic>
              </a:graphicData>
            </a:graphic>
          </wp:inline>
        </w:drawing>
      </w:r>
    </w:p>
    <w:p w14:paraId="44CE977E">
      <w:pPr>
        <w:spacing w:line="360" w:lineRule="auto"/>
        <w:ind w:firstLine="480"/>
        <w:jc w:val="center"/>
      </w:pPr>
    </w:p>
    <w:p w14:paraId="44968D3F">
      <w:pPr>
        <w:pStyle w:val="21"/>
        <w:jc w:val="center"/>
      </w:pPr>
      <w:r>
        <w:rPr>
          <w:rFonts w:hint="eastAsia"/>
        </w:rPr>
        <w:t>图3</w:t>
      </w:r>
      <w:r>
        <w:rPr>
          <w:rFonts w:hint="eastAsia"/>
          <w:lang w:val="en-US" w:eastAsia="zh-CN"/>
        </w:rPr>
        <w:t xml:space="preserve"> </w:t>
      </w:r>
      <w:r>
        <w:rPr>
          <w:rFonts w:hint="eastAsia"/>
        </w:rPr>
        <w:t>四种真实图数据集上不同隐私保护方案的效用对比</w:t>
      </w:r>
    </w:p>
    <w:p w14:paraId="5EB586DF">
      <w:pPr>
        <w:spacing w:line="360" w:lineRule="auto"/>
        <w:ind w:firstLine="480"/>
      </w:pPr>
      <w:r>
        <w:rPr>
          <w:rFonts w:hint="eastAsia"/>
        </w:rPr>
        <w:t>图3对比了GCC-SDP与三种基于LDP的方案（LF-GDPR、RABV-only、Local2Rounds△）在四个真实数据集（Facebook、Lastfm、AstroPh、Email-Enron）上收集聚类系数的误差表现（MSE和MAE），隐私预算ε从1到5递增。在大多数情况下（尤其是Facebook、Lastfm和AstroPh数据集），GCC-SDP的误差显著低于LDP方案。例如在Facebook数据集上，GCC-SDP的MSE和MAE比RABV-only和Local2Rounds△最高提升66.5%和51%，比LF-GDPR最高提升30%和18%。SDP的混洗操作通过隐私放大效应降低了噪声需求，而LDP方案因严格的本地隐私约束需添加更多噪声，导致效用下降。</w:t>
      </w:r>
    </w:p>
    <w:p w14:paraId="750402CF">
      <w:pPr>
        <w:spacing w:line="360" w:lineRule="auto"/>
        <w:ind w:firstLine="480"/>
      </w:pPr>
      <w:r>
        <w:drawing>
          <wp:inline distT="0" distB="0" distL="0" distR="0">
            <wp:extent cx="5274310" cy="2577465"/>
            <wp:effectExtent l="0" t="0" r="2540" b="0"/>
            <wp:docPr id="122610163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01634" name="图片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2577465"/>
                    </a:xfrm>
                    <a:prstGeom prst="rect">
                      <a:avLst/>
                    </a:prstGeom>
                    <a:noFill/>
                    <a:ln>
                      <a:noFill/>
                    </a:ln>
                  </pic:spPr>
                </pic:pic>
              </a:graphicData>
            </a:graphic>
          </wp:inline>
        </w:drawing>
      </w:r>
      <w:r>
        <w:rPr>
          <w:rFonts w:hint="eastAsia"/>
        </w:rPr>
        <w:t xml:space="preserve"> </w:t>
      </w:r>
    </w:p>
    <w:p w14:paraId="537546D3">
      <w:pPr>
        <w:pStyle w:val="21"/>
        <w:jc w:val="center"/>
      </w:pPr>
      <w:r>
        <w:rPr>
          <w:rFonts w:hint="eastAsia"/>
        </w:rPr>
        <w:t>图</w:t>
      </w:r>
      <w:r>
        <w:rPr>
          <w:rFonts w:hint="eastAsia"/>
          <w:lang w:val="en-US" w:eastAsia="zh-CN"/>
        </w:rPr>
        <w:t xml:space="preserve">10 </w:t>
      </w:r>
      <w:r>
        <w:rPr>
          <w:rFonts w:hint="eastAsia"/>
        </w:rPr>
        <w:t>隐私预算分配率α在均方误差(MSE)和平均绝对误差(MAE)中的效用影响</w:t>
      </w:r>
    </w:p>
    <w:p w14:paraId="552AE4EB">
      <w:pPr>
        <w:spacing w:line="360" w:lineRule="auto"/>
        <w:ind w:firstLine="480"/>
      </w:pPr>
      <w:r>
        <w:rPr>
          <w:rFonts w:hint="eastAsia"/>
          <w:lang w:val="en-US" w:eastAsia="zh-CN"/>
        </w:rPr>
        <w:t>10</w:t>
      </w:r>
      <w:r>
        <w:rPr>
          <w:rFonts w:hint="eastAsia"/>
        </w:rPr>
        <w:t>分析了隐私预算分配率（0.3至0.9）对GCC-SDP精度的影响，固定ε从1到5，展示不同α下MSE和MAE的变化。对于Facebook和Email-Enron数据集，α=0.7时误差最小，表明应分配更多预算给边和楔形列表的收集。对于Lastfm和AstroPh数据集，α=0.9性能最佳，说明这些图的聚类系数更依赖高精度的边信息。当α在0.7~0.9之间时，GCC-SDP的性能差异较小，表明方案对α的选择具有一定容错性。</w:t>
      </w:r>
    </w:p>
    <w:p w14:paraId="699CE429">
      <w:pPr>
        <w:pStyle w:val="5"/>
        <w:spacing w:line="360" w:lineRule="auto"/>
      </w:pPr>
      <w:r>
        <w:rPr>
          <w:rFonts w:hint="eastAsia"/>
        </w:rPr>
        <w:t>FedGNN 隐私保护的联邦学习框架</w:t>
      </w:r>
    </w:p>
    <w:p w14:paraId="42E9DC1A">
      <w:pPr>
        <w:widowControl/>
        <w:spacing w:line="360" w:lineRule="auto"/>
        <w:ind w:firstLine="0" w:firstLineChars="0"/>
        <w:jc w:val="center"/>
        <w:rPr>
          <w:rFonts w:hint="eastAsia" w:ascii="宋体" w:hAnsi="宋体" w:eastAsia="宋体" w:cs="宋体"/>
          <w:kern w:val="0"/>
        </w:rPr>
      </w:pPr>
      <w:r>
        <w:rPr>
          <w:rFonts w:hint="eastAsia" w:ascii="宋体" w:hAnsi="宋体" w:eastAsia="宋体" w:cs="宋体"/>
          <w:kern w:val="0"/>
        </w:rPr>
        <w:drawing>
          <wp:inline distT="0" distB="0" distL="0" distR="0">
            <wp:extent cx="4855210" cy="2842895"/>
            <wp:effectExtent l="0" t="0" r="8890" b="1905"/>
            <wp:docPr id="112424877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48770" name="图片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855210" cy="2842895"/>
                    </a:xfrm>
                    <a:prstGeom prst="rect">
                      <a:avLst/>
                    </a:prstGeom>
                    <a:noFill/>
                    <a:ln>
                      <a:noFill/>
                    </a:ln>
                  </pic:spPr>
                </pic:pic>
              </a:graphicData>
            </a:graphic>
          </wp:inline>
        </w:drawing>
      </w:r>
    </w:p>
    <w:p w14:paraId="20AD97CE">
      <w:pPr>
        <w:pStyle w:val="21"/>
        <w:jc w:val="center"/>
      </w:pPr>
      <w:r>
        <w:rPr>
          <w:rFonts w:hint="eastAsia"/>
        </w:rPr>
        <w:t>图</w:t>
      </w:r>
      <w:r>
        <w:rPr>
          <w:rFonts w:hint="eastAsia"/>
          <w:lang w:val="en-US" w:eastAsia="zh-CN"/>
        </w:rPr>
        <w:t xml:space="preserve">11 </w:t>
      </w:r>
      <w:r>
        <w:rPr>
          <w:rFonts w:hint="eastAsia"/>
        </w:rPr>
        <w:t>FedGNN框架图</w:t>
      </w:r>
    </w:p>
    <w:p w14:paraId="3EA582D1">
      <w:pPr>
        <w:widowControl/>
        <w:spacing w:line="360" w:lineRule="auto"/>
        <w:ind w:firstLine="0" w:firstLineChars="0"/>
        <w:jc w:val="center"/>
        <w:rPr>
          <w:rFonts w:hint="eastAsia" w:ascii="宋体" w:hAnsi="宋体" w:eastAsia="宋体" w:cs="宋体"/>
          <w:kern w:val="0"/>
        </w:rPr>
      </w:pPr>
    </w:p>
    <w:p w14:paraId="6E98629E">
      <w:pPr>
        <w:spacing w:line="360" w:lineRule="auto"/>
        <w:ind w:firstLine="480"/>
      </w:pPr>
      <w:r>
        <w:rPr>
          <w:rFonts w:hint="eastAsia"/>
        </w:rPr>
        <w:t>1）技术介绍</w:t>
      </w:r>
    </w:p>
    <w:p w14:paraId="670C274E">
      <w:pPr>
        <w:pStyle w:val="18"/>
        <w:numPr>
          <w:ilvl w:val="0"/>
          <w:numId w:val="23"/>
        </w:numPr>
        <w:spacing w:line="360" w:lineRule="auto"/>
        <w:ind w:firstLineChars="0"/>
      </w:pPr>
      <w:r>
        <w:t>局部差分隐私（Local Differential Privacy, LDP）</w:t>
      </w:r>
    </w:p>
    <w:p w14:paraId="584CC85B">
      <w:pPr>
        <w:spacing w:line="360" w:lineRule="auto"/>
        <w:ind w:firstLine="480"/>
      </w:pPr>
      <w:r>
        <w:rPr>
          <w:rFonts w:hint="eastAsia"/>
        </w:rPr>
        <w:t>局部差分隐私是</w:t>
      </w:r>
      <w:r>
        <w:t xml:space="preserve"> FedGNN </w:t>
      </w:r>
      <w:r>
        <w:rPr>
          <w:rFonts w:hint="eastAsia"/>
        </w:rPr>
        <w:t>中核心的隐私保护技术，其核心原理是在用户本地对模型梯度进行扰动，以切断数据与用户身份的直接关联。</w:t>
      </w:r>
    </w:p>
    <w:p w14:paraId="14AF2FEA">
      <w:pPr>
        <w:spacing w:line="360" w:lineRule="auto"/>
        <w:ind w:firstLine="480"/>
      </w:pPr>
      <w:r>
        <w:rPr>
          <w:rFonts w:hint="eastAsia"/>
        </w:rPr>
        <w:t xml:space="preserve">具体而言，用户客户端首先对计算得到的 </w:t>
      </w:r>
      <w:r>
        <w:t xml:space="preserve">GNN </w:t>
      </w:r>
      <w:r>
        <w:rPr>
          <w:rFonts w:hint="eastAsia"/>
        </w:rPr>
        <w:t xml:space="preserve">模型梯度（包括模型参数梯度和用户 </w:t>
      </w:r>
      <w:r>
        <w:t xml:space="preserve">/ </w:t>
      </w:r>
      <w:r>
        <w:rPr>
          <w:rFonts w:hint="eastAsia"/>
        </w:rPr>
        <w:t>物品嵌入梯度）进行裁剪（</w:t>
      </w:r>
      <w:r>
        <w:t>Clip</w:t>
      </w:r>
      <w:r>
        <w:rPr>
          <w:rFonts w:hint="eastAsia"/>
        </w:rPr>
        <w:t>），通过设置阈值</w:t>
      </w:r>
      <w:r>
        <w:t>\delta</w:t>
      </w:r>
      <w:r>
        <w:rPr>
          <w:rFonts w:hint="eastAsia"/>
        </w:rPr>
        <w:t>限制梯度的范数，避免极端值对隐私保护和模型训练的影响；随后，向裁剪后的梯度中注入拉普拉斯噪声（</w:t>
      </w:r>
      <w:r>
        <w:t>Laplace Noise</w:t>
      </w:r>
      <w:r>
        <w:rPr>
          <w:rFonts w:hint="eastAsia"/>
        </w:rPr>
        <w:t>），噪声强度由参数控制，最终得到扰动后的梯度，确保梯度中不泄露用户真实交互数据细节，数值越小表示隐私保护强度越高。通过</w:t>
      </w:r>
      <w:r>
        <w:t xml:space="preserve"> LDP</w:t>
      </w:r>
      <w:r>
        <w:rPr>
          <w:rFonts w:hint="eastAsia"/>
        </w:rPr>
        <w:t xml:space="preserve">，即使服务器获取梯度，也无法通过反推恢复用户的原始交互数据，从而在梯度传输过程中实现 </w:t>
      </w:r>
      <w:r>
        <w:t>“</w:t>
      </w:r>
      <w:r>
        <w:rPr>
          <w:rFonts w:hint="eastAsia"/>
        </w:rPr>
        <w:t>数据可用不可见</w:t>
      </w:r>
      <w:r>
        <w:t>”</w:t>
      </w:r>
      <w:r>
        <w:rPr>
          <w:rFonts w:hint="eastAsia"/>
        </w:rPr>
        <w:t>。</w:t>
      </w:r>
    </w:p>
    <w:p w14:paraId="1FCDEA38">
      <w:pPr>
        <w:pStyle w:val="18"/>
        <w:numPr>
          <w:ilvl w:val="0"/>
          <w:numId w:val="23"/>
        </w:numPr>
        <w:spacing w:line="360" w:lineRule="auto"/>
        <w:ind w:firstLineChars="0"/>
      </w:pPr>
      <w:r>
        <w:rPr>
          <w:b/>
          <w:bCs/>
        </w:rPr>
        <w:t>伪交互物品采样（Pseudo Interacted Item Sampling）</w:t>
      </w:r>
    </w:p>
    <w:p w14:paraId="399F2163">
      <w:pPr>
        <w:spacing w:line="360" w:lineRule="auto"/>
        <w:ind w:firstLine="480"/>
      </w:pPr>
      <w:r>
        <w:rPr>
          <w:rFonts w:hint="eastAsia"/>
        </w:rPr>
        <w:t>伪交互物品采样是</w:t>
      </w:r>
      <w:r>
        <w:t xml:space="preserve"> FedGNN </w:t>
      </w:r>
      <w:r>
        <w:rPr>
          <w:rFonts w:hint="eastAsia"/>
        </w:rPr>
        <w:t>为保护用户真实交互物品隐私而设计的技术。其核心思想是通过引入虚假的物品交互信息来混淆真实数据，避免服务器通过梯度中的非零值推断用户实际交互的物品。</w:t>
      </w:r>
    </w:p>
    <w:p w14:paraId="28D0B1E7">
      <w:pPr>
        <w:spacing w:line="360" w:lineRule="auto"/>
        <w:ind w:firstLine="480"/>
      </w:pPr>
      <w:r>
        <w:rPr>
          <w:rFonts w:hint="eastAsia"/>
        </w:rPr>
        <w:t>具体实现中，客户端从全量物品集合中随机采样</w:t>
      </w:r>
      <w:r>
        <w:t>M</w:t>
      </w:r>
      <w:r>
        <w:rPr>
          <w:rFonts w:hint="eastAsia"/>
        </w:rPr>
        <w:t xml:space="preserve">个用户未真实交互的物品作为 </w:t>
      </w:r>
      <w:r>
        <w:t>“</w:t>
      </w:r>
      <w:r>
        <w:rPr>
          <w:rFonts w:hint="eastAsia"/>
        </w:rPr>
        <w:t>伪交互物品</w:t>
      </w:r>
      <w:r>
        <w:t>”</w:t>
      </w:r>
      <w:r>
        <w:rPr>
          <w:rFonts w:hint="eastAsia"/>
        </w:rPr>
        <w:t>，并为这些伪物品生成与真实物品嵌入梯度同分布的随机梯度。随后，将真实物品的梯度与伪物品的梯度混合，形成统一的梯度后上传至服务器。由于真实物品和伪物品的梯度具有相同的均值和协方差，服务器无法通过梯度值区分两者，从而保护了用户真实交互物品的隐私。</w:t>
      </w:r>
    </w:p>
    <w:p w14:paraId="6945A3B6">
      <w:pPr>
        <w:pStyle w:val="18"/>
        <w:numPr>
          <w:ilvl w:val="0"/>
          <w:numId w:val="23"/>
        </w:numPr>
        <w:spacing w:line="360" w:lineRule="auto"/>
        <w:ind w:firstLineChars="0"/>
      </w:pPr>
      <w:r>
        <w:rPr>
          <w:b/>
          <w:bCs/>
        </w:rPr>
        <w:t xml:space="preserve">同态加密（Homomorphic Encryption） </w:t>
      </w:r>
    </w:p>
    <w:p w14:paraId="2FA6712F">
      <w:pPr>
        <w:spacing w:line="360" w:lineRule="auto"/>
        <w:ind w:firstLine="480"/>
      </w:pPr>
      <w:r>
        <w:rPr>
          <w:rFonts w:hint="eastAsia"/>
        </w:rPr>
        <w:t>同态加密技术在</w:t>
      </w:r>
      <w:r>
        <w:t xml:space="preserve"> FedGNN </w:t>
      </w:r>
      <w:r>
        <w:rPr>
          <w:rFonts w:hint="eastAsia"/>
        </w:rPr>
        <w:t xml:space="preserve">中用于保护用户交互物品 </w:t>
      </w:r>
      <w:r>
        <w:t xml:space="preserve">ID </w:t>
      </w:r>
      <w:r>
        <w:rPr>
          <w:rFonts w:hint="eastAsia"/>
        </w:rPr>
        <w:t xml:space="preserve">的隐私，确保在图结构扩展过程中不泄露真实物品信息。其核心原理是用户客户端使用服务器生成的公钥对交互物品的 </w:t>
      </w:r>
      <w:r>
        <w:t xml:space="preserve">ID </w:t>
      </w:r>
      <w:r>
        <w:rPr>
          <w:rFonts w:hint="eastAsia"/>
        </w:rPr>
        <w:t xml:space="preserve">进行加密，加密后的 </w:t>
      </w:r>
      <w:r>
        <w:t xml:space="preserve">ID </w:t>
      </w:r>
      <w:r>
        <w:rPr>
          <w:rFonts w:hint="eastAsia"/>
        </w:rPr>
        <w:t>以密文形式存在，第三方服务器或推荐服务器无法直接读取明文内容。</w:t>
      </w:r>
    </w:p>
    <w:p w14:paraId="1F50D96A">
      <w:pPr>
        <w:spacing w:line="360" w:lineRule="auto"/>
        <w:ind w:firstLine="480"/>
      </w:pPr>
      <w:r>
        <w:rPr>
          <w:rFonts w:hint="eastAsia"/>
        </w:rPr>
        <w:t xml:space="preserve">具体流程为：首先，中央服务器生成公钥并分发给所有用户客户端；然后，客户端使用公钥对本地交互物品的 </w:t>
      </w:r>
      <w:r>
        <w:t xml:space="preserve">ID </w:t>
      </w:r>
      <w:r>
        <w:rPr>
          <w:rFonts w:hint="eastAsia"/>
        </w:rPr>
        <w:t>进行加密，例如将物品</w:t>
      </w:r>
      <w:r>
        <w:t>t</w:t>
      </w:r>
      <w:r>
        <w:rPr>
          <w:vertAlign w:val="subscript"/>
        </w:rPr>
        <w:t>i,1</w:t>
      </w:r>
      <w:r>
        <w:t>, t</w:t>
      </w:r>
      <w:r>
        <w:rPr>
          <w:vertAlign w:val="subscript"/>
        </w:rPr>
        <w:t>i,2</w:t>
      </w:r>
      <w:r>
        <w:t>,</w:t>
      </w:r>
      <w:r>
        <w:rPr>
          <w:rFonts w:hint="eastAsia"/>
        </w:rPr>
        <w:t>...</w:t>
      </w:r>
      <w:r>
        <w:t>, t</w:t>
      </w:r>
      <w:r>
        <w:rPr>
          <w:vertAlign w:val="subscript"/>
        </w:rPr>
        <w:t>i,K</w:t>
      </w:r>
      <w:r>
        <w:rPr>
          <w:rFonts w:hint="eastAsia"/>
        </w:rPr>
        <w:t xml:space="preserve">的 </w:t>
      </w:r>
      <w:r>
        <w:t xml:space="preserve">ID </w:t>
      </w:r>
      <w:r>
        <w:rPr>
          <w:rFonts w:hint="eastAsia"/>
        </w:rPr>
        <w:t xml:space="preserve">加密为密文；接着，将加密后的物品 </w:t>
      </w:r>
      <w:r>
        <w:t xml:space="preserve">ID </w:t>
      </w:r>
      <w:r>
        <w:rPr>
          <w:rFonts w:hint="eastAsia"/>
        </w:rPr>
        <w:t>与用户嵌入</w:t>
      </w:r>
      <w:r>
        <w:t>e</w:t>
      </w:r>
      <w:r>
        <w:rPr>
          <w:vertAlign w:val="subscript"/>
        </w:rPr>
        <w:t>i</w:t>
      </w:r>
      <w:r>
        <w:rPr>
          <w:vertAlign w:val="superscript"/>
        </w:rPr>
        <w:t>u</w:t>
      </w:r>
      <w:r>
        <w:rPr>
          <w:rFonts w:hint="eastAsia"/>
        </w:rPr>
        <w:t xml:space="preserve">一同上传至第三方服务器，用于发现共交互用户,即与当前用户有共同交互物品的其他用户。第三方服务器仅能通过加密后的物品 </w:t>
      </w:r>
      <w:r>
        <w:t xml:space="preserve">ID </w:t>
      </w:r>
      <w:r>
        <w:rPr>
          <w:rFonts w:hint="eastAsia"/>
        </w:rPr>
        <w:t xml:space="preserve">密文进行匹配操作（如哈希碰撞），确定哪些用户之间存在共交互物品，但无法解密 </w:t>
      </w:r>
      <w:r>
        <w:t xml:space="preserve">ID </w:t>
      </w:r>
      <w:r>
        <w:rPr>
          <w:rFonts w:hint="eastAsia"/>
        </w:rPr>
        <w:t xml:space="preserve">内容或获取用户的真实身份信息。推荐服务器全程不接触原始物品 </w:t>
      </w:r>
      <w:r>
        <w:t>ID</w:t>
      </w:r>
      <w:r>
        <w:rPr>
          <w:rFonts w:hint="eastAsia"/>
        </w:rPr>
        <w:t xml:space="preserve">，仅通过第三方服务器返回的匿名邻居用户嵌入扩展本地图结构，从而在保护物品 </w:t>
      </w:r>
      <w:r>
        <w:t xml:space="preserve">ID </w:t>
      </w:r>
      <w:r>
        <w:rPr>
          <w:rFonts w:hint="eastAsia"/>
        </w:rPr>
        <w:t xml:space="preserve">隐私的前提下，实现高阶用户 </w:t>
      </w:r>
      <w:r>
        <w:t xml:space="preserve">- </w:t>
      </w:r>
      <w:r>
        <w:rPr>
          <w:rFonts w:hint="eastAsia"/>
        </w:rPr>
        <w:t>物品交互信息的建模。</w:t>
      </w:r>
    </w:p>
    <w:p w14:paraId="7BB179F7">
      <w:pPr>
        <w:pStyle w:val="18"/>
        <w:numPr>
          <w:ilvl w:val="0"/>
          <w:numId w:val="23"/>
        </w:numPr>
        <w:spacing w:line="360" w:lineRule="auto"/>
        <w:ind w:firstLineChars="0"/>
      </w:pPr>
      <w:r>
        <w:rPr>
          <w:b/>
          <w:bCs/>
        </w:rPr>
        <w:t>隐私保护图扩展（Privacy-Preserving Graph Expansion）​</w:t>
      </w:r>
    </w:p>
    <w:p w14:paraId="62A0FD5A">
      <w:pPr>
        <w:spacing w:line="360" w:lineRule="auto"/>
        <w:ind w:firstLine="480"/>
      </w:pPr>
      <w:r>
        <w:rPr>
          <w:rFonts w:hint="eastAsia"/>
        </w:rPr>
        <w:t>隐私保护图扩展是 FedGNN 中用于建模高阶用户 - 物品交互的关键技术，其核心原理是通过安全多方计算和匿名化处理，在不泄露用户隐私的前提下扩展本地用户 - 物品图的结构。</w:t>
      </w:r>
    </w:p>
    <w:p w14:paraId="55245304">
      <w:pPr>
        <w:spacing w:line="360" w:lineRule="auto"/>
        <w:ind w:firstLine="480"/>
      </w:pPr>
      <w:r>
        <w:rPr>
          <w:rFonts w:hint="eastAsia"/>
        </w:rPr>
        <w:t>具体实现步骤如下：首先，用户客户端使用同态加密技术对交互物品 ID 进行加密，并将加密后的 ID 和用户嵌入上传至第三方服务器。</w:t>
      </w:r>
      <w:r>
        <w:rPr>
          <w:rFonts w:cs="Times New Roman"/>
        </w:rPr>
        <w:t>​</w:t>
      </w:r>
      <w:r>
        <w:rPr>
          <w:rFonts w:hint="eastAsia" w:ascii="宋体" w:hAnsi="宋体" w:eastAsia="宋体" w:cs="宋体"/>
        </w:rPr>
        <w:t>接着，第三方服务器基于加密的物品</w:t>
      </w:r>
      <w:r>
        <w:rPr>
          <w:rFonts w:hint="eastAsia"/>
        </w:rPr>
        <w:t xml:space="preserve"> ID，通过匹配共有的加密物品 ID，识别出与当前用户存在共交互物品的其他用户（即邻居用户），但无法获取这些用户的真实身份。第三方服务器将邻居用户的嵌入向量（无身份标识）分发给当前用户客户端，客户端将这些匿名邻居用户的嵌入加入本地图，构建包含 “用户 - 物品 - 邻居用户” 路径的二阶子图。最后，客户端使用扩展后的二阶子图训练 GNN 模型，通过图神经网络捕捉用户与邻居用户之间的高阶交互信息，从而增强用户和物品的表示学习。该技术通过匿名化处理和安全多方计算，确保在图结构扩展过程中不泄露用户的真实交互物品和身份信息，同时有效引入高阶交互信息，提升模型的性能。</w:t>
      </w:r>
    </w:p>
    <w:p w14:paraId="6D919AD0">
      <w:pPr>
        <w:spacing w:line="360" w:lineRule="auto"/>
        <w:ind w:firstLine="480"/>
      </w:pPr>
      <w:r>
        <w:rPr>
          <w:rFonts w:hint="eastAsia"/>
        </w:rPr>
        <w:t>2）实现原理</w:t>
      </w:r>
    </w:p>
    <w:p w14:paraId="05ED2004">
      <w:pPr>
        <w:spacing w:line="360" w:lineRule="auto"/>
        <w:ind w:firstLine="480"/>
      </w:pPr>
      <w:r>
        <w:rPr>
          <w:rFonts w:hint="eastAsia"/>
        </w:rPr>
        <w:t>FedGNN 的完整实现流程主要包括本地图构建、梯度计算与隐私保护、梯度聚合与模型更新、隐私保护图扩展四个关键步骤，具体如下：</w:t>
      </w:r>
    </w:p>
    <w:p w14:paraId="74F1F611">
      <w:pPr>
        <w:pStyle w:val="18"/>
        <w:numPr>
          <w:ilvl w:val="0"/>
          <w:numId w:val="24"/>
        </w:numPr>
        <w:spacing w:line="360" w:lineRule="auto"/>
        <w:ind w:firstLineChars="0"/>
      </w:pPr>
      <w:r>
        <w:t>本地图构建​</w:t>
      </w:r>
    </w:p>
    <w:p w14:paraId="0179E85C">
      <w:pPr>
        <w:spacing w:line="360" w:lineRule="auto"/>
        <w:ind w:firstLine="480"/>
      </w:pPr>
      <w:r>
        <w:t>每个用户客户端基于本地存储的用户 - 物品交互数据构建一阶本地子图​G</w:t>
      </w:r>
      <w:r>
        <w:rPr>
          <w:vertAlign w:val="subscript"/>
        </w:rPr>
        <w:t>i</w:t>
      </w:r>
      <w:r>
        <w:t>。子图中包含用户节点u</w:t>
      </w:r>
      <w:r>
        <w:rPr>
          <w:vertAlign w:val="subscript"/>
        </w:rPr>
        <w:t>i</w:t>
      </w:r>
      <w:r>
        <w:t>、该用户直接交互的物品节点[t</w:t>
      </w:r>
      <w:r>
        <w:rPr>
          <w:vertAlign w:val="subscript"/>
        </w:rPr>
        <w:t>i,1</w:t>
      </w:r>
      <w:r>
        <w:t>,t</w:t>
      </w:r>
      <w:r>
        <w:rPr>
          <w:vertAlign w:val="subscript"/>
        </w:rPr>
        <w:t>i,2​</w:t>
      </w:r>
      <w:r>
        <w:t>,…,t</w:t>
      </w:r>
      <w:r>
        <w:rPr>
          <w:vertAlign w:val="subscript"/>
        </w:rPr>
        <w:t>i,K</w:t>
      </w:r>
      <w:r>
        <w:t>]，以及通过隐私保护图扩展获取的邻居用户节点[u</w:t>
      </w:r>
      <w:r>
        <w:rPr>
          <w:vertAlign w:val="subscript"/>
        </w:rPr>
        <w:t>i,1</w:t>
      </w:r>
      <w:r>
        <w:t>,u</w:t>
      </w:r>
      <w:r>
        <w:rPr>
          <w:vertAlign w:val="subscript"/>
        </w:rPr>
        <w:t>i,2</w:t>
      </w:r>
      <w:r>
        <w:t>,…,u</w:t>
      </w:r>
      <w:r>
        <w:rPr>
          <w:vertAlign w:val="subscript"/>
        </w:rPr>
        <w:t>i,N</w:t>
      </w:r>
      <w:r>
        <w:t>]。在模型训练初期（前T轮），邻居用户节点的嵌入暂不参与计算，以避免不准确的初始值影响模型训练；待模型训练一定轮次后，再将邻居用户嵌入纳入计算，以利用高阶交互信息。</w:t>
      </w:r>
    </w:p>
    <w:p w14:paraId="3CD3C067">
      <w:pPr>
        <w:pStyle w:val="18"/>
        <w:numPr>
          <w:ilvl w:val="0"/>
          <w:numId w:val="24"/>
        </w:numPr>
        <w:spacing w:line="360" w:lineRule="auto"/>
        <w:ind w:firstLineChars="0"/>
      </w:pPr>
      <w:r>
        <w:t>梯度计算与隐私保护​</w:t>
      </w:r>
    </w:p>
    <w:p w14:paraId="228904FD">
      <w:pPr>
        <w:spacing w:line="360" w:lineRule="auto"/>
        <w:ind w:firstLine="480"/>
      </w:pPr>
      <w:r>
        <w:t>GNN 模型计算：客户端使用GNN 模型（如GAT、GCN）对本地子图进行处理，将用户节点、物品节点和邻居用户节点的嵌入输入模型，输出节点的隐藏表示h</w:t>
      </w:r>
      <w:r>
        <w:rPr>
          <w:vertAlign w:val="subscript"/>
        </w:rPr>
        <w:t>i</w:t>
      </w:r>
      <w:r>
        <w:rPr>
          <w:vertAlign w:val="superscript"/>
        </w:rPr>
        <w:t>u​</w:t>
      </w:r>
      <w:r>
        <w:t>,[h</w:t>
      </w:r>
      <w:r>
        <w:rPr>
          <w:vertAlign w:val="subscript"/>
        </w:rPr>
        <w:t>i,1</w:t>
      </w:r>
      <w:r>
        <w:rPr>
          <w:vertAlign w:val="superscript"/>
        </w:rPr>
        <w:t>t</w:t>
      </w:r>
      <w:r>
        <w:t>,h</w:t>
      </w:r>
      <w:r>
        <w:rPr>
          <w:vertAlign w:val="subscript"/>
        </w:rPr>
        <w:t>i,2</w:t>
      </w:r>
      <w:r>
        <w:rPr>
          <w:vertAlign w:val="superscript"/>
        </w:rPr>
        <w:t>t</w:t>
      </w:r>
      <w:r>
        <w:t>,…,h</w:t>
      </w:r>
      <w:r>
        <w:rPr>
          <w:vertAlign w:val="subscript"/>
        </w:rPr>
        <w:t>i,K</w:t>
      </w:r>
      <w:r>
        <w:rPr>
          <w:vertAlign w:val="superscript"/>
        </w:rPr>
        <w:t>t</w:t>
      </w:r>
      <w:r>
        <w:t>],[h</w:t>
      </w:r>
      <w:r>
        <w:rPr>
          <w:vertAlign w:val="subscript"/>
        </w:rPr>
        <w:t>i,1</w:t>
      </w:r>
      <w:r>
        <w:rPr>
          <w:vertAlign w:val="superscript"/>
        </w:rPr>
        <w:t>u</w:t>
      </w:r>
      <w:r>
        <w:t>,h</w:t>
      </w:r>
      <w:r>
        <w:rPr>
          <w:vertAlign w:val="subscript"/>
        </w:rPr>
        <w:t>i,2</w:t>
      </w:r>
      <w:r>
        <w:rPr>
          <w:vertAlign w:val="superscript"/>
        </w:rPr>
        <w:t>u</w:t>
      </w:r>
      <w:r>
        <w:t>,…,h</w:t>
      </w:r>
      <w:r>
        <w:rPr>
          <w:vertAlign w:val="subscript"/>
        </w:rPr>
        <w:t>i,N</w:t>
      </w:r>
      <w:r>
        <w:rPr>
          <w:vertAlign w:val="superscript"/>
        </w:rPr>
        <w:t>u</w:t>
      </w:r>
      <w:r>
        <w:t>]。通过评分预测模块计算预测评分，并与真实评分​对比，计算损失函数</w:t>
      </w:r>
      <w:r>
        <w:rPr>
          <w:vertAlign w:val="subscript"/>
        </w:rPr>
        <w:t>​</w:t>
      </w:r>
      <w:r>
        <w:t>，进而推导模型参数和嵌入的梯度g</w:t>
      </w:r>
      <w:r>
        <w:rPr>
          <w:vertAlign w:val="subscript"/>
        </w:rPr>
        <w:t>i</w:t>
      </w:r>
      <w:r>
        <w:rPr>
          <w:vertAlign w:val="superscript"/>
        </w:rPr>
        <w:t>m</w:t>
      </w:r>
      <w:r>
        <w:t>和g</w:t>
      </w:r>
      <w:r>
        <w:rPr>
          <w:vertAlign w:val="subscript"/>
        </w:rPr>
        <w:t>i</w:t>
      </w:r>
      <w:r>
        <w:rPr>
          <w:vertAlign w:val="superscript"/>
        </w:rPr>
        <w:t>e</w:t>
      </w:r>
      <w:r>
        <w:t>。</w:t>
      </w:r>
    </w:p>
    <w:p w14:paraId="7D912D7B">
      <w:pPr>
        <w:spacing w:line="360" w:lineRule="auto"/>
        <w:ind w:firstLine="480"/>
      </w:pPr>
      <w:r>
        <w:t>隐私保护处理：为保护梯度隐私，客户端对梯度进行伪交互物品采样和局部差分隐私处理</w:t>
      </w:r>
      <w:r>
        <w:rPr>
          <w:rFonts w:hint="eastAsia"/>
        </w:rPr>
        <w:t>（见下图）。</w:t>
      </w:r>
      <w:r>
        <w:t>具体而言，随机生成M个伪交互物品的梯度g</w:t>
      </w:r>
      <w:r>
        <w:rPr>
          <w:vertAlign w:val="subscript"/>
        </w:rPr>
        <w:t>i</w:t>
      </w:r>
      <w:r>
        <w:rPr>
          <w:vertAlign w:val="superscript"/>
        </w:rPr>
        <w:t>p</w:t>
      </w:r>
      <w:r>
        <w:t>​，与真实梯度混合后，再通过 LDP 机制添加拉普拉斯噪声，得到最终上传的扰动梯度g</w:t>
      </w:r>
      <w:r>
        <w:rPr>
          <w:vertAlign w:val="subscript"/>
        </w:rPr>
        <w:t>i</w:t>
      </w:r>
      <w:r>
        <w:t>=(g</w:t>
      </w:r>
      <w:r>
        <w:rPr>
          <w:vertAlign w:val="subscript"/>
        </w:rPr>
        <w:t>i</w:t>
      </w:r>
      <w:r>
        <w:rPr>
          <w:vertAlign w:val="superscript"/>
        </w:rPr>
        <w:t>m</w:t>
      </w:r>
      <w:r>
        <w:t>,g</w:t>
      </w:r>
      <w:r>
        <w:rPr>
          <w:vertAlign w:val="subscript"/>
        </w:rPr>
        <w:t>i</w:t>
      </w:r>
      <w:r>
        <w:rPr>
          <w:vertAlign w:val="superscript"/>
        </w:rPr>
        <w:t>e</w:t>
      </w:r>
      <w:r>
        <w:t>,g</w:t>
      </w:r>
      <w:r>
        <w:rPr>
          <w:vertAlign w:val="subscript"/>
        </w:rPr>
        <w:t>i</w:t>
      </w:r>
      <w:r>
        <w:rPr>
          <w:vertAlign w:val="superscript"/>
        </w:rPr>
        <w:t>p</w:t>
      </w:r>
      <w:r>
        <w:t>)，公式为：</w:t>
      </w:r>
    </w:p>
    <w:p w14:paraId="458AC424">
      <w:pPr>
        <w:spacing w:line="360" w:lineRule="auto"/>
        <w:ind w:firstLine="480"/>
      </w:pPr>
      <w:r>
        <w:t>g</w:t>
      </w:r>
      <w:r>
        <w:rPr>
          <w:vertAlign w:val="subscript"/>
        </w:rPr>
        <w:t>i</w:t>
      </w:r>
      <w:r>
        <w:t>=clip((g</w:t>
      </w:r>
      <w:r>
        <w:rPr>
          <w:vertAlign w:val="subscript"/>
        </w:rPr>
        <w:t>i</w:t>
      </w:r>
      <w:r>
        <w:rPr>
          <w:vertAlign w:val="superscript"/>
        </w:rPr>
        <w:t>m</w:t>
      </w:r>
      <w:r>
        <w:t>,g</w:t>
      </w:r>
      <w:r>
        <w:rPr>
          <w:vertAlign w:val="subscript"/>
        </w:rPr>
        <w:t>i</w:t>
      </w:r>
      <w:r>
        <w:rPr>
          <w:vertAlign w:val="superscript"/>
        </w:rPr>
        <w:t>e</w:t>
      </w:r>
      <w:r>
        <w:t>,g</w:t>
      </w:r>
      <w:r>
        <w:rPr>
          <w:vertAlign w:val="subscript"/>
        </w:rPr>
        <w:t>i</w:t>
      </w:r>
      <w:r>
        <w:rPr>
          <w:vertAlign w:val="superscript"/>
        </w:rPr>
        <w:t>p</w:t>
      </w:r>
      <w:r>
        <w:t>),δ)+Laplace(0,λ)</w:t>
      </w:r>
    </w:p>
    <w:tbl>
      <w:tblPr>
        <w:tblStyle w:val="13"/>
        <w:tblW w:w="0" w:type="auto"/>
        <w:jc w:val="center"/>
        <w:tblCellSpacing w:w="0" w:type="dxa"/>
        <w:tblLayout w:type="autofit"/>
        <w:tblCellMar>
          <w:top w:w="0" w:type="dxa"/>
          <w:left w:w="0" w:type="dxa"/>
          <w:bottom w:w="0" w:type="dxa"/>
          <w:right w:w="0" w:type="dxa"/>
        </w:tblCellMar>
      </w:tblPr>
      <w:tblGrid>
        <w:gridCol w:w="1245"/>
        <w:gridCol w:w="6660"/>
      </w:tblGrid>
      <w:tr w14:paraId="6CFD4670">
        <w:tblPrEx>
          <w:tblCellMar>
            <w:top w:w="0" w:type="dxa"/>
            <w:left w:w="0" w:type="dxa"/>
            <w:bottom w:w="0" w:type="dxa"/>
            <w:right w:w="0" w:type="dxa"/>
          </w:tblCellMar>
        </w:tblPrEx>
        <w:trPr>
          <w:gridAfter w:val="1"/>
          <w:wAfter w:w="6180" w:type="dxa"/>
          <w:tblCellSpacing w:w="0" w:type="dxa"/>
          <w:jc w:val="center"/>
        </w:trPr>
        <w:tc>
          <w:tcPr>
            <w:tcW w:w="1245" w:type="dxa"/>
            <w:vAlign w:val="center"/>
          </w:tcPr>
          <w:p w14:paraId="779367AD">
            <w:pPr>
              <w:numPr>
                <w:ilvl w:val="0"/>
                <w:numId w:val="3"/>
              </w:numPr>
              <w:spacing w:line="360" w:lineRule="auto"/>
              <w:ind w:firstLine="482"/>
              <w:rPr>
                <w:b/>
              </w:rPr>
            </w:pPr>
          </w:p>
        </w:tc>
      </w:tr>
      <w:tr w14:paraId="0B965C14">
        <w:tblPrEx>
          <w:tblCellMar>
            <w:top w:w="0" w:type="dxa"/>
            <w:left w:w="0" w:type="dxa"/>
            <w:bottom w:w="0" w:type="dxa"/>
            <w:right w:w="0" w:type="dxa"/>
          </w:tblCellMar>
        </w:tblPrEx>
        <w:trPr>
          <w:tblCellSpacing w:w="0" w:type="dxa"/>
          <w:jc w:val="center"/>
        </w:trPr>
        <w:tc>
          <w:tcPr>
            <w:tcW w:w="0" w:type="auto"/>
            <w:vAlign w:val="center"/>
          </w:tcPr>
          <w:p w14:paraId="4B843AC9">
            <w:pPr>
              <w:spacing w:line="360" w:lineRule="auto"/>
              <w:ind w:firstLine="480"/>
            </w:pPr>
          </w:p>
        </w:tc>
        <w:tc>
          <w:tcPr>
            <w:tcW w:w="0" w:type="auto"/>
            <w:vAlign w:val="center"/>
          </w:tcPr>
          <w:p w14:paraId="2AD013DA">
            <w:pPr>
              <w:spacing w:line="360" w:lineRule="auto"/>
              <w:ind w:firstLine="480"/>
            </w:pPr>
            <w:r>
              <w:rPr>
                <w:rFonts w:hint="eastAsia"/>
              </w:rPr>
              <w:drawing>
                <wp:inline distT="0" distB="0" distL="0" distR="0">
                  <wp:extent cx="3924300" cy="3505200"/>
                  <wp:effectExtent l="0" t="0" r="0" b="0"/>
                  <wp:docPr id="10005863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6320" name="图片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924300" cy="3505200"/>
                          </a:xfrm>
                          <a:prstGeom prst="rect">
                            <a:avLst/>
                          </a:prstGeom>
                          <a:noFill/>
                          <a:ln>
                            <a:noFill/>
                          </a:ln>
                        </pic:spPr>
                      </pic:pic>
                    </a:graphicData>
                  </a:graphic>
                </wp:inline>
              </w:drawing>
            </w:r>
          </w:p>
        </w:tc>
      </w:tr>
    </w:tbl>
    <w:p w14:paraId="2257227D">
      <w:pPr>
        <w:pStyle w:val="21"/>
        <w:jc w:val="center"/>
      </w:pPr>
      <w:r>
        <w:rPr>
          <w:rFonts w:hint="eastAsia"/>
        </w:rPr>
        <w:t>图</w:t>
      </w:r>
      <w:r>
        <w:rPr>
          <w:rFonts w:hint="eastAsia"/>
          <w:lang w:val="en-US" w:eastAsia="zh-CN"/>
        </w:rPr>
        <w:t xml:space="preserve">12 </w:t>
      </w:r>
      <w:r>
        <w:rPr>
          <w:rFonts w:hint="eastAsia"/>
        </w:rPr>
        <w:t>隐私保护的用户-物品交互图拓展</w:t>
      </w:r>
    </w:p>
    <w:p w14:paraId="03D2EA3C">
      <w:pPr>
        <w:pStyle w:val="18"/>
        <w:numPr>
          <w:ilvl w:val="0"/>
          <w:numId w:val="24"/>
        </w:numPr>
        <w:spacing w:line="360" w:lineRule="auto"/>
        <w:ind w:firstLineChars="0"/>
        <w:jc w:val="left"/>
      </w:pPr>
      <w:r>
        <w:t>梯度聚合与模型更新​</w:t>
      </w:r>
    </w:p>
    <w:p w14:paraId="7566EF72">
      <w:pPr>
        <w:spacing w:line="360" w:lineRule="auto"/>
        <w:ind w:firstLine="480"/>
      </w:pPr>
      <w:r>
        <w:t>中央服务器负责协调用户客户端的模型训练过程。在每一轮训练中，服务器随机选择一部分用户客户端，收集它们上传的扰动梯度，并通过FedAvg 算法进行聚合，得到全局梯度​</w:t>
      </w:r>
      <w:r>
        <w:br w:type="textWrapping"/>
      </w:r>
      <w:r>
        <w:rPr>
          <w:i/>
          <w:iCs/>
        </w:rPr>
        <w:t>g</w:t>
      </w:r>
      <w:r>
        <w:t>=</w:t>
      </w:r>
      <w:r>
        <w:rPr>
          <w:rFonts w:ascii="Cambria Math" w:hAnsi="Cambria Math" w:cs="Cambria Math"/>
        </w:rPr>
        <w:t>∣</w:t>
      </w:r>
      <w:r>
        <w:rPr>
          <w:i/>
          <w:iCs/>
        </w:rPr>
        <w:t>S</w:t>
      </w:r>
      <w:r>
        <w:rPr>
          <w:rFonts w:ascii="Cambria Math" w:hAnsi="Cambria Math" w:cs="Cambria Math"/>
        </w:rPr>
        <w:t>∣</w:t>
      </w:r>
      <w:r>
        <w:t>1</w:t>
      </w:r>
      <w:r>
        <w:rPr>
          <w:i/>
          <w:iCs/>
        </w:rPr>
        <w:t>ui</w:t>
      </w:r>
      <w:r>
        <w:rPr>
          <w:rFonts w:ascii="Cambria Math" w:hAnsi="Cambria Math" w:cs="Cambria Math"/>
        </w:rPr>
        <w:t>∈</w:t>
      </w:r>
      <w:r>
        <w:rPr>
          <w:i/>
          <w:iCs/>
        </w:rPr>
        <w:t>S</w:t>
      </w:r>
      <w:r>
        <w:t>∑</w:t>
      </w:r>
      <w:r>
        <w:rPr>
          <w:i/>
          <w:iCs/>
        </w:rPr>
        <w:t>gi</w:t>
      </w:r>
      <w:r>
        <w:t>​（其中S为选中的客户端集合，</w:t>
      </w:r>
      <w:r>
        <w:rPr>
          <w:rFonts w:ascii="Cambria Math" w:hAnsi="Cambria Math" w:cs="Cambria Math"/>
        </w:rPr>
        <w:t>∣</w:t>
      </w:r>
      <w:r>
        <w:t>S</w:t>
      </w:r>
      <w:r>
        <w:rPr>
          <w:rFonts w:ascii="Cambria Math" w:hAnsi="Cambria Math" w:cs="Cambria Math"/>
        </w:rPr>
        <w:t>∣</w:t>
      </w:r>
      <w:r>
        <w:t>为集合大小）。聚合后的全局梯度被分发回各个客户端，用于更新本地模型参数</w:t>
      </w:r>
      <w:r>
        <w:rPr>
          <w:i/>
          <w:iCs/>
        </w:rPr>
        <w:t>Θi</w:t>
      </w:r>
      <w:r>
        <w:t>，更新公式为：</w:t>
      </w:r>
      <w:r>
        <w:rPr>
          <w:i/>
          <w:iCs/>
        </w:rPr>
        <w:t>​​​Θi=Θi−αg</w:t>
      </w:r>
      <w:r>
        <w:t>其中</w:t>
      </w:r>
      <w:r>
        <w:rPr>
          <w:i/>
          <w:iCs/>
        </w:rPr>
        <w:t>α</w:t>
      </w:r>
      <w:r>
        <w:t>为学习率。该过程迭代执行，直至模型收敛。</w:t>
      </w:r>
    </w:p>
    <w:p w14:paraId="08FCEA45">
      <w:pPr>
        <w:pStyle w:val="18"/>
        <w:numPr>
          <w:ilvl w:val="0"/>
          <w:numId w:val="24"/>
        </w:numPr>
        <w:spacing w:line="360" w:lineRule="auto"/>
        <w:ind w:firstLineChars="0"/>
      </w:pPr>
      <w:r>
        <w:t>隐私保护图扩展​</w:t>
      </w:r>
    </w:p>
    <w:p w14:paraId="69B4044C">
      <w:pPr>
        <w:spacing w:line="360" w:lineRule="auto"/>
        <w:ind w:firstLine="480"/>
      </w:pPr>
      <w:r>
        <w:t>加密与匿名化：当模型训练达到一定轮次（如超过</w:t>
      </w:r>
      <w:r>
        <w:rPr>
          <w:i/>
          <w:iCs/>
        </w:rPr>
        <w:t>T</w:t>
      </w:r>
      <w:r>
        <w:rPr>
          <w:rFonts w:ascii="Cambria Math" w:hAnsi="Cambria Math" w:cs="Cambria Math"/>
          <w:i/>
          <w:iCs/>
        </w:rPr>
        <w:t>⋅</w:t>
      </w:r>
      <w:r>
        <w:rPr>
          <w:i/>
          <w:iCs/>
        </w:rPr>
        <w:t>P</w:t>
      </w:r>
      <w:r>
        <w:t>次迭代，</w:t>
      </w:r>
      <w:r>
        <w:rPr>
          <w:i/>
          <w:iCs/>
        </w:rPr>
        <w:t>P</w:t>
      </w:r>
      <w:r>
        <w:t>为用户总数）后，触发隐私保护图扩展流程。客户端使用同态加密技术加密交互物品ID，并与用户嵌入一同上传至第三方服务器。​</w:t>
      </w:r>
    </w:p>
    <w:p w14:paraId="3A15D065">
      <w:pPr>
        <w:spacing w:line="360" w:lineRule="auto"/>
        <w:ind w:firstLine="480"/>
      </w:pPr>
      <w:r>
        <w:t>邻居发现与嵌入交换：第三方服务器通过加密的物品ID匹配共交互用户，生成匿名邻居用户的嵌入列表，并分发给客户端。客户端将匿名邻居用户节点加入本地子图，构建包含二阶交互信息的扩展图，以便后续训练中利用高阶交互提升模型性能。</w:t>
      </w:r>
    </w:p>
    <w:p w14:paraId="71E88509">
      <w:pPr>
        <w:pStyle w:val="18"/>
        <w:numPr>
          <w:ilvl w:val="1"/>
          <w:numId w:val="15"/>
        </w:numPr>
        <w:spacing w:line="360" w:lineRule="auto"/>
        <w:ind w:firstLineChars="0"/>
      </w:pPr>
      <w:r>
        <w:rPr>
          <w:rFonts w:hint="eastAsia"/>
          <w:b/>
          <w:bCs/>
        </w:rPr>
        <w:t>实验评估</w:t>
      </w:r>
    </w:p>
    <w:p w14:paraId="00449C04">
      <w:pPr>
        <w:spacing w:line="360" w:lineRule="auto"/>
        <w:ind w:firstLine="480"/>
      </w:pPr>
      <w:r>
        <w:drawing>
          <wp:inline distT="0" distB="0" distL="0" distR="0">
            <wp:extent cx="5274310" cy="968375"/>
            <wp:effectExtent l="0" t="0" r="2540" b="3175"/>
            <wp:docPr id="129879521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5212" name="图片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968375"/>
                    </a:xfrm>
                    <a:prstGeom prst="rect">
                      <a:avLst/>
                    </a:prstGeom>
                    <a:noFill/>
                    <a:ln>
                      <a:noFill/>
                    </a:ln>
                  </pic:spPr>
                </pic:pic>
              </a:graphicData>
            </a:graphic>
          </wp:inline>
        </w:drawing>
      </w:r>
    </w:p>
    <w:p w14:paraId="6321EEBD">
      <w:pPr>
        <w:pStyle w:val="21"/>
        <w:jc w:val="center"/>
      </w:pPr>
      <w:r>
        <w:rPr>
          <w:rFonts w:hint="eastAsia"/>
        </w:rPr>
        <w:t>图</w:t>
      </w:r>
      <w:r>
        <w:rPr>
          <w:rFonts w:hint="eastAsia"/>
          <w:lang w:val="en-US" w:eastAsia="zh-CN"/>
        </w:rPr>
        <w:t>1</w:t>
      </w:r>
      <w:r>
        <w:rPr>
          <w:rFonts w:hint="eastAsia"/>
        </w:rPr>
        <w:t>3</w:t>
      </w:r>
      <w:r>
        <w:rPr>
          <w:rFonts w:hint="eastAsia"/>
          <w:lang w:val="en-US" w:eastAsia="zh-CN"/>
        </w:rPr>
        <w:t xml:space="preserve"> </w:t>
      </w:r>
      <w:r>
        <w:rPr>
          <w:rFonts w:hint="eastAsia"/>
        </w:rPr>
        <w:t>二阶信息与不同图神经网络架构的影响</w:t>
      </w:r>
    </w:p>
    <w:p w14:paraId="27D0A5B9">
      <w:pPr>
        <w:spacing w:line="360" w:lineRule="auto"/>
        <w:ind w:firstLine="480"/>
      </w:pPr>
      <w:r>
        <w:rPr>
          <w:rFonts w:hint="eastAsia"/>
        </w:rPr>
        <w:t>验证纳入用户项目图高阶信息的有效性以及我们方法的通用性。我们比较了 FedGNN 及其变体在具有完全可训练的邻居用户嵌入或不具有高阶用户 - 项目交互时的性能。此外，我们还比较了它们在不同GNN 模型实现（GGNN、GCN和GAT）下的结果。结果如图</w:t>
      </w:r>
      <w:r>
        <w:rPr>
          <w:rFonts w:hint="eastAsia"/>
          <w:lang w:val="en-US" w:eastAsia="zh-CN"/>
        </w:rPr>
        <w:t>14</w:t>
      </w:r>
      <w:r>
        <w:rPr>
          <w:rFonts w:hint="eastAsia"/>
        </w:rPr>
        <w:t>所示，揭示了几个发现。这一结果表明我们的方法与不同的 GNN 架构兼容。其次，FedGNN 略优于基于GCN和GGNN 的变体。第三，通过使用我们的 FedGNN 框架能够利用高阶信息的变体比没有高阶信息的变体表现更好。这验证了我们的方法在将用户 - 项目图的高阶信息纳入推荐中的有效性。第四，我们发现使用经过一定数量迭代训练的固定邻居用户嵌入比使用在每次迭代中更新的完全可训练的邻居用户嵌入略好。</w:t>
      </w:r>
    </w:p>
    <w:p w14:paraId="0A728300">
      <w:pPr>
        <w:spacing w:line="360" w:lineRule="auto"/>
        <w:ind w:firstLine="480"/>
        <w:jc w:val="center"/>
      </w:pPr>
      <w:r>
        <w:drawing>
          <wp:inline distT="0" distB="0" distL="0" distR="0">
            <wp:extent cx="5268595" cy="969010"/>
            <wp:effectExtent l="0" t="0" r="8255" b="2540"/>
            <wp:docPr id="63717669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6699" name="图片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68595" cy="969010"/>
                    </a:xfrm>
                    <a:prstGeom prst="rect">
                      <a:avLst/>
                    </a:prstGeom>
                    <a:noFill/>
                    <a:ln>
                      <a:noFill/>
                    </a:ln>
                  </pic:spPr>
                </pic:pic>
              </a:graphicData>
            </a:graphic>
          </wp:inline>
        </w:drawing>
      </w:r>
    </w:p>
    <w:p w14:paraId="4E554BD3">
      <w:pPr>
        <w:pStyle w:val="21"/>
        <w:jc w:val="center"/>
      </w:pPr>
      <w:r>
        <w:rPr>
          <w:rFonts w:hint="eastAsia"/>
        </w:rPr>
        <w:t>图</w:t>
      </w:r>
      <w:r>
        <w:rPr>
          <w:rFonts w:hint="eastAsia"/>
          <w:lang w:val="en-US" w:eastAsia="zh-CN"/>
        </w:rPr>
        <w:t xml:space="preserve">14 </w:t>
      </w:r>
      <w:r>
        <w:rPr>
          <w:rFonts w:hint="eastAsia"/>
        </w:rPr>
        <w:t>均方根误差与隐私预算随不同截断阈值</w:t>
      </w:r>
      <w:r>
        <w:rPr>
          <w:rFonts w:ascii="Cambria Math" w:hAnsi="Cambria Math" w:cs="Cambria Math"/>
        </w:rPr>
        <w:t>𝛿</w:t>
      </w:r>
      <w:r>
        <w:rPr>
          <w:rFonts w:hint="eastAsia"/>
        </w:rPr>
        <w:t>及噪声强度</w:t>
      </w:r>
      <w:r>
        <w:t>λ</w:t>
      </w:r>
      <w:r>
        <w:rPr>
          <w:rFonts w:hint="eastAsia"/>
        </w:rPr>
        <w:t>的变化关系</w:t>
      </w:r>
    </w:p>
    <w:p w14:paraId="394ACCFF">
      <w:pPr>
        <w:spacing w:line="360" w:lineRule="auto"/>
        <w:ind w:firstLine="480"/>
      </w:pPr>
      <w:r>
        <w:rPr>
          <w:rFonts w:hint="eastAsia"/>
        </w:rPr>
        <w:t xml:space="preserve">探讨了三个重要超参数的影响，即梯度裁剪阈值 </w:t>
      </w:r>
      <w:r>
        <w:rPr>
          <w:rFonts w:ascii="Cambria Math" w:hAnsi="Cambria Math" w:cs="Cambria Math"/>
        </w:rPr>
        <w:t>𝛿</w:t>
      </w:r>
      <w:r>
        <w:rPr>
          <w:rFonts w:hint="eastAsia"/>
        </w:rPr>
        <w:t xml:space="preserve">、LDP 模块中拉普拉斯噪声的强度 </w:t>
      </w:r>
      <w:r>
        <w:t>λ</w:t>
      </w:r>
      <w:r>
        <w:rPr>
          <w:rFonts w:hint="eastAsia"/>
        </w:rPr>
        <w:t>和伪交互项目的数量M。我们首先通过改变这两个超参数来比较我们的 FedGNN 方法的性能，结果如图</w:t>
      </w:r>
      <w:r>
        <w:rPr>
          <w:rFonts w:hint="eastAsia"/>
          <w:lang w:val="en-US" w:eastAsia="zh-CN"/>
        </w:rPr>
        <w:t>1</w:t>
      </w:r>
      <w:r>
        <w:rPr>
          <w:rFonts w:hint="eastAsia"/>
        </w:rPr>
        <w:t xml:space="preserve">5所示。根据这些结果，我们发现 </w:t>
      </w:r>
      <w:r>
        <w:rPr>
          <w:rFonts w:ascii="Cambria Math" w:hAnsi="Cambria Math" w:cs="Cambria Math"/>
        </w:rPr>
        <w:t>𝛿</w:t>
      </w:r>
      <w:r>
        <w:rPr>
          <w:rFonts w:hint="eastAsia"/>
        </w:rPr>
        <w:t xml:space="preserve"> = 0.1和 </w:t>
      </w:r>
      <w:r>
        <w:rPr>
          <w:rFonts w:ascii="Cambria Math" w:hAnsi="Cambria Math" w:cs="Cambria Math"/>
        </w:rPr>
        <w:t>𝛿</w:t>
      </w:r>
      <w:r>
        <w:rPr>
          <w:rFonts w:hint="eastAsia"/>
        </w:rPr>
        <w:t xml:space="preserve"> = 0.2 下的模型性能差异相当小。然而，如果我们使用较小的阈值如 0.05 来裁剪梯度，预测误差将大幅增加。因此，我们倾向于将</w:t>
      </w:r>
      <w:r>
        <w:rPr>
          <w:rFonts w:ascii="Cambria Math" w:hAnsi="Cambria Math" w:cs="Cambria Math"/>
        </w:rPr>
        <w:t>𝛿</w:t>
      </w:r>
      <w:r>
        <w:rPr>
          <w:rFonts w:hint="eastAsia"/>
        </w:rPr>
        <w:t>设置为 0.1，因为我们可以在不牺牲太多模型性能的情况下实现更好的隐私保护。此外，模型性能随着噪声强度</w:t>
      </w:r>
      <w:r>
        <w:t>λ</w:t>
      </w:r>
      <w:r>
        <w:rPr>
          <w:rFonts w:hint="eastAsia"/>
        </w:rPr>
        <w:t>的增加而下降，而如果</w:t>
      </w:r>
      <w:r>
        <w:t>λ</w:t>
      </w:r>
      <w:r>
        <w:rPr>
          <w:rFonts w:hint="eastAsia"/>
        </w:rPr>
        <w:t>不太大，性能损失不会太重。因此，选择适中的</w:t>
      </w:r>
      <w:r>
        <w:t>λ</w:t>
      </w:r>
      <w:r>
        <w:rPr>
          <w:rFonts w:hint="eastAsia"/>
        </w:rPr>
        <w:t xml:space="preserve"> 值如 0.2 更可取，以在隐私保护和推荐准确性之间取得良好平衡。</w:t>
      </w:r>
    </w:p>
    <w:p w14:paraId="05A72955">
      <w:pPr>
        <w:pStyle w:val="21"/>
      </w:pPr>
      <w:r>
        <w:drawing>
          <wp:inline distT="0" distB="0" distL="0" distR="0">
            <wp:extent cx="5274310" cy="968375"/>
            <wp:effectExtent l="0" t="0" r="2540" b="3175"/>
            <wp:docPr id="63565687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6872" name="图片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968375"/>
                    </a:xfrm>
                    <a:prstGeom prst="rect">
                      <a:avLst/>
                    </a:prstGeom>
                    <a:noFill/>
                    <a:ln>
                      <a:noFill/>
                    </a:ln>
                  </pic:spPr>
                </pic:pic>
              </a:graphicData>
            </a:graphic>
          </wp:inline>
        </w:drawing>
      </w:r>
      <w:r>
        <w:t xml:space="preserve"> </w:t>
      </w:r>
    </w:p>
    <w:p w14:paraId="78E95B6C">
      <w:pPr>
        <w:pStyle w:val="21"/>
        <w:jc w:val="center"/>
      </w:pPr>
      <w:r>
        <w:rPr>
          <w:rFonts w:hint="eastAsia"/>
        </w:rPr>
        <w:t>图</w:t>
      </w:r>
      <w:r>
        <w:rPr>
          <w:rFonts w:hint="eastAsia"/>
          <w:lang w:val="en-US" w:eastAsia="zh-CN"/>
        </w:rPr>
        <w:t>15</w:t>
      </w:r>
      <w:r>
        <w:rPr>
          <w:rFonts w:hint="eastAsia"/>
        </w:rPr>
        <w:t>均方根误差（左侧纵轴）与通信成本（右侧纵轴）随伪交互项目数量变化的对应关系</w:t>
      </w:r>
    </w:p>
    <w:p w14:paraId="2B652B42">
      <w:pPr>
        <w:spacing w:line="360" w:lineRule="auto"/>
        <w:ind w:firstLine="480"/>
      </w:pPr>
      <w:r>
        <w:t>在图</w:t>
      </w:r>
      <w:r>
        <w:rPr>
          <w:rFonts w:hint="eastAsia"/>
          <w:lang w:val="en-US" w:eastAsia="zh-CN"/>
        </w:rPr>
        <w:t>1</w:t>
      </w:r>
      <w:r>
        <w:rPr>
          <w:rFonts w:hint="eastAsia"/>
        </w:rPr>
        <w:t>5</w:t>
      </w:r>
      <w:r>
        <w:t xml:space="preserve"> 中比较了 FedGNN 在不同 M 下的性能和通信成本。从图 </w:t>
      </w:r>
      <w:r>
        <w:rPr>
          <w:rFonts w:hint="eastAsia"/>
        </w:rPr>
        <w:t>5</w:t>
      </w:r>
      <w:r>
        <w:t xml:space="preserve"> 中，我们观察到当 M = 0 时性能最好，但用户 - 项目交互历史无法得到保护。如果 M 太小，用户隐私无法得到很好的保护。此外，性能也会下降，因为随机生成的梯度会影响项目梯度的准确性。通过比较三个 MovieLens 数据集的结果，我们发现评分矩阵越稀疏，可能需要更大的 M 来保持良好的推荐性能。这是因为当 M 较大时，伪交互项目的随机梯度在聚合后将更好地被抵消，其影响将被减轻。然而，如图 </w:t>
      </w:r>
      <w:r>
        <w:rPr>
          <w:rFonts w:hint="eastAsia"/>
        </w:rPr>
        <w:t>5</w:t>
      </w:r>
      <w:r>
        <w:t xml:space="preserve"> 所示，通信成本也与 M 成正比，如果 M 太大，通信成本将非常沉重。因此，我们选择 M = 1,000，以在合理的通信成本下实现良好的隐私保护和推荐性能。</w:t>
      </w:r>
    </w:p>
    <w:p w14:paraId="6339418A">
      <w:pPr>
        <w:pStyle w:val="5"/>
        <w:spacing w:line="360" w:lineRule="auto"/>
      </w:pPr>
      <w:r>
        <w:rPr>
          <w:rFonts w:hint="eastAsia"/>
        </w:rPr>
        <w:t>基于零知识证明的图神经网络模型完整性验证方案（zkGNN）</w:t>
      </w:r>
    </w:p>
    <w:p w14:paraId="26943EAD">
      <w:pPr>
        <w:spacing w:line="360" w:lineRule="auto"/>
        <w:ind w:firstLine="480"/>
      </w:pPr>
      <w:r>
        <w:rPr>
          <w:rFonts w:hint="eastAsia"/>
        </w:rPr>
        <w:t>“智安行”融合了在机器学习即服务（MLaaS）场景下，如何验证图神经网络（GNN）预测过程的完整性。我们的zkGNN提出了一个基于零知识简洁非交互式知识论证（zk-SNARK）的图神经网络模型完整性验证方案，该方案可以在不泄露图神经网络模型关键或私有参数信息的情况下，验证模型预测过程的完整性，可以提升图数据作为数据要素在用户与平台流通过程中的互信。</w:t>
      </w:r>
    </w:p>
    <w:p w14:paraId="203529C6">
      <w:pPr>
        <w:spacing w:line="360" w:lineRule="auto"/>
        <w:ind w:firstLine="480"/>
      </w:pPr>
      <w:r>
        <w:rPr>
          <w:rFonts w:hint="eastAsia"/>
        </w:rPr>
        <w:t>1）技术介绍</w:t>
      </w:r>
    </w:p>
    <w:p w14:paraId="329049E0">
      <w:pPr>
        <w:pStyle w:val="18"/>
        <w:numPr>
          <w:ilvl w:val="0"/>
          <w:numId w:val="25"/>
        </w:numPr>
        <w:spacing w:line="360" w:lineRule="auto"/>
        <w:ind w:firstLineChars="0"/>
      </w:pPr>
      <w:r>
        <w:rPr>
          <w:rFonts w:hint="eastAsia"/>
        </w:rPr>
        <w:t>图神经网络GAT（Graph Attention Networks）和GCN（Graph Convolutional Networks）</w:t>
      </w:r>
    </w:p>
    <w:p w14:paraId="646EF203">
      <w:pPr>
        <w:spacing w:line="360" w:lineRule="auto"/>
        <w:ind w:firstLine="480"/>
      </w:pPr>
      <w:r>
        <w:rPr>
          <w:rFonts w:hint="eastAsia"/>
        </w:rPr>
        <w:t>图神经网络（Graph Neural Networks，GNNs）是一类专门处理图结构数据的神经网络。它们能够直接在图结构上进行操作，学习节点的表示，这些表示可以用于各种任务，如节点分类、链接预测、图分类等。GAT和GCN是图神经网络中的两种流行模型，它们各自有不同的特点和优势。</w:t>
      </w:r>
    </w:p>
    <w:p w14:paraId="0F473C8D">
      <w:pPr>
        <w:spacing w:line="360" w:lineRule="auto"/>
        <w:ind w:firstLine="480"/>
      </w:pPr>
      <w:r>
        <w:rPr>
          <w:rFonts w:hint="eastAsia"/>
        </w:rPr>
        <w:t>GAT：图注意力网络（GAT）是由Velickovic等人在2017年提出的，它在GCN的基础上引入了注意力机制。GAT的核心思想是允许模型在聚合邻居节点信息时，根据邻居节点的重要性动态调整权重，而不是简单地平均或求和。GAT通过以下步骤更新节点的特征表示。1、意力系数计算：对于每个节点，计算它与邻居节点之间的注意力系数，这些系数反映了邻居节点的重要性。2、加权特征聚合：根据注意力系数对邻居节点的特征进行加权聚合。3、特征转换和激活：将聚合的特征通过一个线性变换进行转换，并应用非线性激活函数。其公式可以被表示为：</w:t>
      </w:r>
    </w:p>
    <w:p w14:paraId="3AEAB06F">
      <w:pPr>
        <w:spacing w:line="360" w:lineRule="auto"/>
        <w:ind w:firstLine="480"/>
        <w:jc w:val="center"/>
      </w:pPr>
      <w:r>
        <w:rPr>
          <w:rFonts w:hint="eastAsia"/>
        </w:rPr>
        <w:drawing>
          <wp:inline distT="0" distB="0" distL="0" distR="0">
            <wp:extent cx="4250690" cy="588010"/>
            <wp:effectExtent l="0" t="0" r="0" b="2540"/>
            <wp:docPr id="12993070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7070" name="图片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250690" cy="588010"/>
                    </a:xfrm>
                    <a:prstGeom prst="rect">
                      <a:avLst/>
                    </a:prstGeom>
                    <a:noFill/>
                    <a:ln>
                      <a:noFill/>
                    </a:ln>
                  </pic:spPr>
                </pic:pic>
              </a:graphicData>
            </a:graphic>
          </wp:inline>
        </w:drawing>
      </w:r>
    </w:p>
    <w:p w14:paraId="587F698A">
      <w:pPr>
        <w:spacing w:line="360" w:lineRule="auto"/>
        <w:ind w:firstLine="480"/>
      </w:pPr>
      <w:r>
        <w:rPr>
          <w:rFonts w:hint="eastAsia"/>
        </w:rPr>
        <w:t>其中αij表示节点之间的关注系数i和j，W是可训练的投影矩阵，hi和hj是节点特征向量，a是权重向量，||表示连接。</w:t>
      </w:r>
    </w:p>
    <w:p w14:paraId="2B00BD75">
      <w:pPr>
        <w:spacing w:line="360" w:lineRule="auto"/>
        <w:ind w:firstLine="480"/>
      </w:pPr>
      <w:r>
        <w:rPr>
          <w:rFonts w:hint="eastAsia"/>
        </w:rPr>
        <w:t>GCN:图卷积网络（GCN）是由Kipf和Welling在2016年提出的，它是一种基于图卷积操作的神经网络。GCN的核心思想是将卷积操作扩展到图结构数据上，通过在图的节点上聚合邻居节点的信息来更新节点的表示。 GCN通过以下步骤更新节点的特征表示。1、邻居聚合：对于图中的每个节点，聚合其邻居节点的特征。2、特征转换：将聚合的特征通过一个线性变换（通常是权重矩阵乘法）进行转换。3、非线性激活：应用一个非线性激活函数（如ReLU）来引入非线性特性。GCN的关键优势在于它的简单性和有效性，它能够很好地捕捉图结构中的局部连接模式。此外，GCN的参数共享机制使得模型在处理不同大小的图时具有良好的泛化能力。其公式可以被表示为：</w:t>
      </w:r>
    </w:p>
    <w:p w14:paraId="567101AD">
      <w:pPr>
        <w:spacing w:line="360" w:lineRule="auto"/>
        <w:ind w:firstLine="480"/>
        <w:jc w:val="center"/>
      </w:pPr>
      <w:r>
        <w:rPr>
          <w:rFonts w:hint="eastAsia"/>
        </w:rPr>
        <w:drawing>
          <wp:inline distT="0" distB="0" distL="0" distR="0">
            <wp:extent cx="4239895" cy="582295"/>
            <wp:effectExtent l="0" t="0" r="8255" b="8255"/>
            <wp:docPr id="98751661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6612" name="图片 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9895" cy="582295"/>
                    </a:xfrm>
                    <a:prstGeom prst="rect">
                      <a:avLst/>
                    </a:prstGeom>
                    <a:noFill/>
                    <a:ln>
                      <a:noFill/>
                    </a:ln>
                  </pic:spPr>
                </pic:pic>
              </a:graphicData>
            </a:graphic>
          </wp:inline>
        </w:drawing>
      </w:r>
    </w:p>
    <w:p w14:paraId="485A3153">
      <w:pPr>
        <w:spacing w:line="360" w:lineRule="auto"/>
        <w:ind w:firstLine="480"/>
      </w:pPr>
      <w:r>
        <w:rPr>
          <w:rFonts w:hint="eastAsia"/>
        </w:rPr>
        <w:t>其中H（l）是第l层的特征矩阵，W（l）为可学习矩阵第1层的权重矩阵，A=A+IN是邻接矩阵添加了自循环的A（其中IN是单位矩阵），D是A的对角度矩阵，b是可选的偏差项。</w:t>
      </w:r>
    </w:p>
    <w:p w14:paraId="47231112">
      <w:pPr>
        <w:spacing w:line="360" w:lineRule="auto"/>
        <w:ind w:firstLine="480"/>
      </w:pPr>
      <w:r>
        <w:rPr>
          <w:rFonts w:hint="eastAsia"/>
        </w:rPr>
        <w:t>σ是一个非线性激活函数，通常为ReLU。</w:t>
      </w:r>
    </w:p>
    <w:p w14:paraId="2752CA2A">
      <w:pPr>
        <w:pStyle w:val="18"/>
        <w:numPr>
          <w:ilvl w:val="0"/>
          <w:numId w:val="25"/>
        </w:numPr>
        <w:spacing w:line="360" w:lineRule="auto"/>
        <w:ind w:firstLineChars="0"/>
      </w:pPr>
      <w:r>
        <w:rPr>
          <w:rFonts w:hint="eastAsia"/>
        </w:rPr>
        <w:t>零知识证明</w:t>
      </w:r>
    </w:p>
    <w:p w14:paraId="2E2272F1">
      <w:pPr>
        <w:spacing w:line="360" w:lineRule="auto"/>
        <w:ind w:firstLine="480"/>
      </w:pPr>
      <w:r>
        <w:rPr>
          <w:rFonts w:hint="eastAsia"/>
        </w:rPr>
        <w:t>零知识证明（Zero-Knowledge Proof，简称ZKP）是一种密码学协议，它允许一方向另一方证明某个陈述是正确的，同时不透露任何额外的信息。这种证明方式的核心在于“零知识”，即验证者（Verifier）在确认陈述的真实性后，对陈述以外的信息一无所知。零知识证明的特点主要有以下三点，其中满足这三点才能说是符合零知识证明的概念。1、完整性（Completeness）：如果陈述是真实的，那么诚实的证明者（Prover）能够向验证者证明这一点。2、可靠性（Soundness）：如果陈述是错误的，那么证明者不可能说服验证者相信它是真的，除非证明者拥有某种“知识”或“秘密”。3、零知识性（Zero-Knowledge）：证明过程中，验证者除了知道陈述是真实的之外，不会获得任何其他信息。</w:t>
      </w:r>
    </w:p>
    <w:p w14:paraId="7AA05E8A">
      <w:pPr>
        <w:spacing w:line="360" w:lineRule="auto"/>
        <w:ind w:firstLine="480"/>
      </w:pPr>
      <w:r>
        <w:rPr>
          <w:rFonts w:hint="eastAsia"/>
        </w:rPr>
        <w:t>从类型上分类又可以分为1、交互式零知识证明（Interactive ZKP）：证明者和验证者之间需要进行多轮交互，每一轮都可能包含挑战和响应。2、非交互式零知识证明（Non-Interactive ZKP）：证明者生成一个证明，验证者可以在任何时候独立验证，不需要与证明者进一步交互。3、简洁零知识证明（Succinct ZKP）：生成的证明非常小，验证过程非常快，即使对于复杂的计算任务也是如此。4、zk-SNARK（Zero-Knowledge Succinct Non-Interactive Argument of Knowledge）：一种特别高效的简洁零知识证明，它允许生成非常小的证明，这些证明可以非常快速地被验证，而且不需要交互。</w:t>
      </w:r>
    </w:p>
    <w:p w14:paraId="7557CFE9">
      <w:pPr>
        <w:spacing w:line="360" w:lineRule="auto"/>
        <w:ind w:firstLine="480"/>
        <w:jc w:val="left"/>
        <w:rPr>
          <w:rFonts w:hint="eastAsia"/>
        </w:rPr>
      </w:pPr>
      <w:r>
        <w:rPr>
          <w:rFonts w:hint="eastAsia"/>
        </w:rPr>
        <w:t>零知识证明的工作流程如图</w:t>
      </w:r>
      <w:r>
        <w:rPr>
          <w:rFonts w:hint="eastAsia"/>
          <w:lang w:val="en-US" w:eastAsia="zh-CN"/>
        </w:rPr>
        <w:t>16</w:t>
      </w:r>
      <w:r>
        <w:rPr>
          <w:rFonts w:hint="eastAsia"/>
        </w:rPr>
        <w:t>所示。证明者（Prover）：拥有某个秘密信息或知识，并希望证明他知道这个信息而不泄露它。验证者（Verifier）：希望确认证明者确实拥有这个信息，但不想获得任何额外的信息。挑战-响应协议：在交互式零知识证明中，验证者可能会提出挑战，证明者需要根据挑战提供响应。证明生成和验证：证明者生成一个证明，验证者验证这个证明的正确性</w:t>
      </w:r>
      <w:r>
        <w:rPr>
          <w:rFonts w:hint="eastAsia"/>
        </w:rPr>
        <w:drawing>
          <wp:inline distT="0" distB="0" distL="0" distR="0">
            <wp:extent cx="5268595" cy="2449195"/>
            <wp:effectExtent l="0" t="0" r="8255" b="8255"/>
            <wp:docPr id="15975736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367" name="图片 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68595" cy="2449195"/>
                    </a:xfrm>
                    <a:prstGeom prst="rect">
                      <a:avLst/>
                    </a:prstGeom>
                    <a:noFill/>
                    <a:ln>
                      <a:noFill/>
                    </a:ln>
                  </pic:spPr>
                </pic:pic>
              </a:graphicData>
            </a:graphic>
          </wp:inline>
        </w:drawing>
      </w:r>
    </w:p>
    <w:p w14:paraId="3D0DF219">
      <w:pPr>
        <w:pStyle w:val="21"/>
        <w:jc w:val="center"/>
        <w:rPr>
          <w:rFonts w:hint="eastAsia"/>
        </w:rPr>
      </w:pPr>
      <w:r>
        <w:rPr>
          <w:rFonts w:hint="eastAsia"/>
          <w:lang w:val="en-US" w:eastAsia="zh-CN"/>
        </w:rPr>
        <w:t xml:space="preserve">图16 </w:t>
      </w:r>
      <w:r>
        <w:rPr>
          <w:rFonts w:hint="eastAsia"/>
        </w:rPr>
        <w:t>零知识证明的工作流程</w:t>
      </w:r>
    </w:p>
    <w:p w14:paraId="44D0208B">
      <w:pPr>
        <w:pStyle w:val="18"/>
        <w:numPr>
          <w:ilvl w:val="0"/>
          <w:numId w:val="25"/>
        </w:numPr>
        <w:spacing w:line="360" w:lineRule="auto"/>
        <w:ind w:firstLineChars="0"/>
      </w:pPr>
      <w:r>
        <w:rPr>
          <w:rFonts w:hint="eastAsia"/>
        </w:rPr>
        <w:t>zk-SNARK</w:t>
      </w:r>
    </w:p>
    <w:p w14:paraId="7F7D5AEB">
      <w:pPr>
        <w:spacing w:line="360" w:lineRule="auto"/>
        <w:ind w:firstLine="480"/>
      </w:pPr>
      <w:r>
        <w:rPr>
          <w:rFonts w:hint="eastAsia"/>
        </w:rPr>
        <w:t>zk-SNARK（Zero-Knowledge Succinct Non-Interactive Argument of Knowledge）是一种非交互式的零知识证明算法，它允许证明者向验证者证明某个陈述是正确的，而无需透露任何额外的信息。这种证明方式在保护用户隐私的同时，也确保了整个系统的可信度。zk-SNARK的实现涉及到许多复杂的数学和密码学原理，其中最核心的包括椭圆曲线密码学、有限域、双线性配对等。首先，证明者需要将想要证明的断言转化为一种特定的形式，然后生成一组用于证明的参数。接下来，证明者会生成证明，并将这一证明传递给验证者。验证者使用这些参数和证明来验证断言的真实性，而无需了解证明者的私密信息。zk-SNARK技术的特点包括零知识证明机制，除证明者外再无他人知晓证明者的身份信息（zero-knowledge）；该技术产生的证明信息简短，验证速度快（succinct）；证明者与验证者之间的交互很少，甚至可以没有交互（Non-interactive）；验证者的验证只对算力受限的证明者有效（Argument）；运算的前提是证明者拥有验证者无法获取到的私有信息（Knowledge）。</w:t>
      </w:r>
    </w:p>
    <w:p w14:paraId="0715F531">
      <w:pPr>
        <w:spacing w:line="360" w:lineRule="auto"/>
        <w:ind w:firstLine="480"/>
      </w:pPr>
      <w:r>
        <w:rPr>
          <w:rFonts w:hint="eastAsia"/>
        </w:rPr>
        <w:t xml:space="preserve">  在区块链技术中有着广泛的应用。最为著名的就是以太坊中的Zcash，它使用zk-SNARK来保护交易隐私，确保交易的可追溯性，同时又不泄露任何关于交易双方和交易金额的信息。此外，zk-SNARK还可以应用于身份验证、投票系统等领域，为用户提供更加安全和隐私的服务。 Zcash 是一种使用 zk-SNARK 实现隐私交易的加密货币。用户可以隐藏交易的发送者、接收者和交易金额，从而保护自己的隐私。</w:t>
      </w:r>
    </w:p>
    <w:p w14:paraId="706C0A2D">
      <w:pPr>
        <w:spacing w:line="360" w:lineRule="auto"/>
        <w:ind w:firstLine="480"/>
      </w:pPr>
      <w:r>
        <w:rPr>
          <w:rFonts w:hint="eastAsia"/>
        </w:rPr>
        <w:t>2）实现原理</w:t>
      </w:r>
    </w:p>
    <w:p w14:paraId="7BCF5515">
      <w:pPr>
        <w:pStyle w:val="18"/>
        <w:numPr>
          <w:ilvl w:val="0"/>
          <w:numId w:val="26"/>
        </w:numPr>
        <w:spacing w:line="360" w:lineRule="auto"/>
        <w:ind w:firstLineChars="0"/>
      </w:pPr>
      <w:r>
        <w:rPr>
          <w:rFonts w:hint="eastAsia"/>
        </w:rPr>
        <w:t>zkGNN方案</w:t>
      </w:r>
    </w:p>
    <w:p w14:paraId="5C0006D4">
      <w:pPr>
        <w:spacing w:line="360" w:lineRule="auto"/>
        <w:ind w:firstLine="480"/>
      </w:pPr>
      <w:r>
        <w:rPr>
          <w:rFonts w:hint="eastAsia"/>
        </w:rPr>
        <w:t>具体来说，在GNN MLaaS场景中，证明者（云服务提供商）有一个预先训练好的GNN模型，该模型保持机密。验证者（用户）使用一些输入数据向证明者请求推理服务。证明者需要向验证者（用户）证明，使用此底层GNN模型对用户的输入数据执行了完整的推理过程，从而产生真实和正确的推断结果。为了满足这一要求，我们假设验证者知道模型架构，并提出zkGNN方案来提供GNN推理过程的完整性验证。这是第一个基于零知识证明的GNN推理方案。所提出的zkGNN的工作流程如图n所示。</w:t>
      </w:r>
    </w:p>
    <w:p w14:paraId="0812EB21">
      <w:pPr>
        <w:spacing w:line="360" w:lineRule="auto"/>
        <w:ind w:firstLine="480"/>
        <w:jc w:val="left"/>
        <w:rPr>
          <w:rFonts w:hint="eastAsia"/>
        </w:rPr>
      </w:pPr>
      <w:r>
        <w:rPr>
          <w:rFonts w:hint="eastAsia"/>
        </w:rPr>
        <w:t>在图n中，有四个核心组件和五个步骤。1）在证明者发布GNN模型M后，验证器向推理服务查询特定的数据样本D。2）证明者在GNN推理过程中从每一层的计算逻辑CAL中提取矩阵信息MI（包括公共主输入sta和见证w，其中sta表示公共输入，包括第一层的输入和输出、第二层的输入等，而w表示私有参数，如模型权重、偏差和其他机密组件），将CAL转换为简单的算术表达式和算术电路C，基于C构建R1CS，最后将R1CS转换为算术QAP多项式。3）证明器根据电路大小生成密钥PK（用于证明生成）和VK（进行验证）。4）证明者使用C、sta、w和PK生成完整性证明π，并将其发送给验证者。如果是最后一层，则推断结果$Y$也会发送给验证器。5）验证器使用PK和π验证该层的完整性。一旦所有层都得到验证，验证器就会认为Y是模型的合法输出。从形式上讲，zkGNN的过程被示为Protocol 1，如图</w:t>
      </w:r>
      <w:r>
        <w:rPr>
          <w:rFonts w:hint="eastAsia"/>
          <w:lang w:val="en-US" w:eastAsia="zh-CN"/>
        </w:rPr>
        <w:t>17</w:t>
      </w:r>
      <w:r>
        <w:rPr>
          <w:rFonts w:hint="eastAsia"/>
        </w:rPr>
        <w:t>1所示。</w:t>
      </w:r>
      <w:r>
        <w:rPr>
          <w:rFonts w:hint="eastAsia"/>
        </w:rPr>
        <w:drawing>
          <wp:inline distT="0" distB="0" distL="0" distR="0">
            <wp:extent cx="5268595" cy="3479165"/>
            <wp:effectExtent l="0" t="0" r="0" b="0"/>
            <wp:docPr id="48255003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50030" name="图片 76"/>
                    <pic:cNvPicPr>
                      <a:picLocks noChangeAspect="1" noChangeArrowheads="1"/>
                    </pic:cNvPicPr>
                  </pic:nvPicPr>
                  <pic:blipFill>
                    <a:blip r:embed="rId37">
                      <a:extLst>
                        <a:ext uri="{28A0092B-C50C-407E-A947-70E740481C1C}">
                          <a14:useLocalDpi xmlns:a14="http://schemas.microsoft.com/office/drawing/2010/main" val="0"/>
                        </a:ext>
                      </a:extLst>
                    </a:blip>
                    <a:srcRect b="12196"/>
                    <a:stretch>
                      <a:fillRect/>
                    </a:stretch>
                  </pic:blipFill>
                  <pic:spPr>
                    <a:xfrm>
                      <a:off x="0" y="0"/>
                      <a:ext cx="5268595" cy="3479165"/>
                    </a:xfrm>
                    <a:prstGeom prst="rect">
                      <a:avLst/>
                    </a:prstGeom>
                    <a:noFill/>
                    <a:ln>
                      <a:noFill/>
                    </a:ln>
                  </pic:spPr>
                </pic:pic>
              </a:graphicData>
            </a:graphic>
          </wp:inline>
        </w:drawing>
      </w:r>
    </w:p>
    <w:p w14:paraId="04984914">
      <w:pPr>
        <w:pStyle w:val="21"/>
        <w:jc w:val="center"/>
        <w:rPr>
          <w:rFonts w:hint="eastAsia"/>
        </w:rPr>
      </w:pPr>
      <w:r>
        <w:rPr>
          <w:rFonts w:hint="eastAsia"/>
          <w:lang w:val="en-US" w:eastAsia="zh-CN"/>
        </w:rPr>
        <w:t xml:space="preserve">图17 </w:t>
      </w:r>
      <w:r>
        <w:rPr>
          <w:rFonts w:hint="eastAsia"/>
        </w:rPr>
        <w:t>零知识证明的工作流程</w:t>
      </w:r>
    </w:p>
    <w:p w14:paraId="58D30AFB">
      <w:pPr>
        <w:spacing w:line="360" w:lineRule="auto"/>
        <w:ind w:firstLine="480"/>
      </w:pPr>
      <w:r>
        <w:rPr>
          <w:rFonts w:hint="eastAsia"/>
        </w:rPr>
        <w:t>2）实验与评估</w:t>
      </w:r>
    </w:p>
    <w:p w14:paraId="33592FA7">
      <w:pPr>
        <w:spacing w:line="360" w:lineRule="auto"/>
        <w:ind w:firstLine="480"/>
      </w:pPr>
      <w:r>
        <w:rPr>
          <w:rFonts w:hint="eastAsia"/>
        </w:rPr>
        <w:t>我们选择了两个常见的图数据集，即MUTAG和Cora。MUTAG包括188种硝基化合物，标记表明该化合物是芳香族还是杂环芳香族。科拉包含2708篇科学出版物，5429篇边缘，共7个类。在这个实验中，我们分别使用GCN和GAT对MUTAG进行图分类，对Cora进行节点分类。我们的模型由两个图卷积层、一个ReLU层、一个全局平均池层和一个全连接层组成。在MUTAG数据集上实现用于图分类的GAT模型时，我们的模型包括一个图注意力层（GATConv）、一个ReLU层、一个全局平均池层和一个softmax层。在推理过程中，我们从模型的每一层提取矩阵信息（对应于本文中的模型提取和R1CS构造准备部分），并将其保存为CSV文件。我们使用libsnar为模型的每一层构建完整性验证电路。我们选择Groth16（ZKP协议）来确保验证时间和证明大小的简单性。电路生成、证明生成和验证器验证都在X7340H0服务器上执行，该服务器具有双核CPU Hygon 7381程序，32G内存和256GB存储空间，运行Ubuntu 64位。GNN模型层的完整性验证电路的时间和存储开销。时间开销包括设置、证明生成和验证阶段，而存储开销包括密钥PK和VK的大小。</w:t>
      </w:r>
    </w:p>
    <w:p w14:paraId="7F85E5CB">
      <w:pPr>
        <w:spacing w:line="360" w:lineRule="auto"/>
        <w:ind w:firstLine="480"/>
      </w:pPr>
      <w:r>
        <w:rPr>
          <w:rFonts w:hint="eastAsia"/>
        </w:rPr>
        <w:t>GCN-MUTAG：如图</w:t>
      </w:r>
      <w:r>
        <w:rPr>
          <w:rFonts w:hint="eastAsia"/>
          <w:lang w:val="en-US" w:eastAsia="zh-CN"/>
        </w:rPr>
        <w:t>18</w:t>
      </w:r>
      <w:r>
        <w:rPr>
          <w:rFonts w:hint="eastAsia"/>
        </w:rPr>
        <w:t>所示，zkGNN在GCN-MUTAG上的时间开销由三个主要部分组成，即设置、证明生成和验证阶段。在GCN-MUTAG上的zkGNN的每个阶段，都有五个不同的层，即GCNConv1、ReLU、GCNConv2、GMPooling和FC。由于数据量小和电路简单，所有三相的时间成本相对较低。具体来说，在设置阶段，总时间成本约为5.3秒，在证明生成阶段的总时间成本为4.5秒；验证阶段的总时间成本为67ms。</w:t>
      </w:r>
    </w:p>
    <w:p w14:paraId="4ECD8B91">
      <w:pPr>
        <w:spacing w:line="360" w:lineRule="auto"/>
        <w:ind w:firstLine="480"/>
        <w:rPr>
          <w:rFonts w:hint="eastAsia"/>
        </w:rPr>
      </w:pPr>
      <w:r>
        <w:rPr>
          <w:rFonts w:hint="eastAsia"/>
        </w:rPr>
        <w:drawing>
          <wp:inline distT="0" distB="0" distL="0" distR="0">
            <wp:extent cx="5268595" cy="1721485"/>
            <wp:effectExtent l="0" t="0" r="0" b="0"/>
            <wp:docPr id="161864360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3605" name="图片 78"/>
                    <pic:cNvPicPr>
                      <a:picLocks noChangeAspect="1" noChangeArrowheads="1"/>
                    </pic:cNvPicPr>
                  </pic:nvPicPr>
                  <pic:blipFill>
                    <a:blip r:embed="rId38">
                      <a:extLst>
                        <a:ext uri="{28A0092B-C50C-407E-A947-70E740481C1C}">
                          <a14:useLocalDpi xmlns:a14="http://schemas.microsoft.com/office/drawing/2010/main" val="0"/>
                        </a:ext>
                      </a:extLst>
                    </a:blip>
                    <a:srcRect b="15886"/>
                    <a:stretch>
                      <a:fillRect/>
                    </a:stretch>
                  </pic:blipFill>
                  <pic:spPr>
                    <a:xfrm>
                      <a:off x="0" y="0"/>
                      <a:ext cx="5268595" cy="1721485"/>
                    </a:xfrm>
                    <a:prstGeom prst="rect">
                      <a:avLst/>
                    </a:prstGeom>
                    <a:noFill/>
                    <a:ln>
                      <a:noFill/>
                    </a:ln>
                  </pic:spPr>
                </pic:pic>
              </a:graphicData>
            </a:graphic>
          </wp:inline>
        </w:drawing>
      </w:r>
    </w:p>
    <w:p w14:paraId="7B0E0512">
      <w:pPr>
        <w:pStyle w:val="21"/>
        <w:jc w:val="center"/>
        <w:rPr>
          <w:rFonts w:hint="eastAsia"/>
        </w:rPr>
      </w:pPr>
      <w:r>
        <w:rPr>
          <w:rFonts w:hint="eastAsia"/>
          <w:lang w:val="en-US" w:eastAsia="zh-CN"/>
        </w:rPr>
        <w:t xml:space="preserve">图18 </w:t>
      </w:r>
      <w:r>
        <w:rPr>
          <w:rFonts w:hint="eastAsia"/>
        </w:rPr>
        <w:t>零知识证明的工作流程</w:t>
      </w:r>
    </w:p>
    <w:p w14:paraId="3E700607">
      <w:pPr>
        <w:spacing w:line="360" w:lineRule="auto"/>
        <w:ind w:firstLine="480"/>
        <w:jc w:val="left"/>
      </w:pPr>
      <w:r>
        <w:rPr>
          <w:rFonts w:hint="eastAsia"/>
        </w:rPr>
        <w:t>GAT-MUTAG：zkGNN在GAT-MUTAG上的时间开销如图</w:t>
      </w:r>
      <w:r>
        <w:rPr>
          <w:rFonts w:hint="eastAsia"/>
          <w:lang w:val="en-US" w:eastAsia="zh-CN"/>
        </w:rPr>
        <w:t>19</w:t>
      </w:r>
      <w:r>
        <w:rPr>
          <w:rFonts w:hint="eastAsia"/>
        </w:rPr>
        <w:t>所示。与图N+3不同，每个阶段只有三层。在图\ref{Fig:GAT_MUTAG}中，我们可以看到最耗时的层是GCNConv，它在设置、证明生成和验证阶段分别花费3870秒、294秒和79毫秒。如图\ref{Fig:GAT_MUTAG}所示，尽管模型的输入数据是一个相对较小尺度的小分子图，但由于模型的分裂，验证步骤的数量增加，导致与GCN-MUTAG模型相比，完整性验证的时间开销更高。请注意，在验证阶段，总时间开销为136ms，因此zkGNN可以有效地让验证者在资源有限的设备上验证证明者的结果。</w:t>
      </w:r>
      <w:r>
        <w:rPr>
          <w:rFonts w:hint="eastAsia"/>
        </w:rPr>
        <w:drawing>
          <wp:inline distT="0" distB="0" distL="0" distR="0">
            <wp:extent cx="5268595" cy="1631315"/>
            <wp:effectExtent l="0" t="0" r="0" b="0"/>
            <wp:docPr id="188781202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12024" name="图片 80"/>
                    <pic:cNvPicPr>
                      <a:picLocks noChangeAspect="1" noChangeArrowheads="1"/>
                    </pic:cNvPicPr>
                  </pic:nvPicPr>
                  <pic:blipFill>
                    <a:blip r:embed="rId39">
                      <a:extLst>
                        <a:ext uri="{28A0092B-C50C-407E-A947-70E740481C1C}">
                          <a14:useLocalDpi xmlns:a14="http://schemas.microsoft.com/office/drawing/2010/main" val="0"/>
                        </a:ext>
                      </a:extLst>
                    </a:blip>
                    <a:srcRect b="15577"/>
                    <a:stretch>
                      <a:fillRect/>
                    </a:stretch>
                  </pic:blipFill>
                  <pic:spPr>
                    <a:xfrm>
                      <a:off x="0" y="0"/>
                      <a:ext cx="5268595" cy="1631315"/>
                    </a:xfrm>
                    <a:prstGeom prst="rect">
                      <a:avLst/>
                    </a:prstGeom>
                    <a:noFill/>
                    <a:ln>
                      <a:noFill/>
                    </a:ln>
                  </pic:spPr>
                </pic:pic>
              </a:graphicData>
            </a:graphic>
          </wp:inline>
        </w:drawing>
      </w:r>
    </w:p>
    <w:p w14:paraId="2FA73E29">
      <w:pPr>
        <w:pStyle w:val="21"/>
        <w:jc w:val="center"/>
      </w:pPr>
      <w:r>
        <w:rPr>
          <w:rFonts w:hint="eastAsia"/>
          <w:lang w:val="en-US" w:eastAsia="zh-CN"/>
        </w:rPr>
        <w:t xml:space="preserve">图19 </w:t>
      </w:r>
      <w:r>
        <w:rPr>
          <w:rFonts w:hint="eastAsia"/>
        </w:rPr>
        <w:t>零知识证明的工作流程</w:t>
      </w:r>
    </w:p>
    <w:p w14:paraId="3443F1B5">
      <w:pPr>
        <w:spacing w:line="360" w:lineRule="auto"/>
        <w:ind w:firstLine="480"/>
        <w:jc w:val="left"/>
        <w:rPr>
          <w:rFonts w:hint="eastAsia"/>
        </w:rPr>
      </w:pPr>
      <w:r>
        <w:rPr>
          <w:rFonts w:hint="eastAsia"/>
        </w:rPr>
        <w:t>GCN-Cora：zkGNN相对于GCN-Cora:节点分类的时间成本如图</w:t>
      </w:r>
      <w:r>
        <w:rPr>
          <w:rFonts w:hint="eastAsia"/>
          <w:lang w:val="en-US" w:eastAsia="zh-CN"/>
        </w:rPr>
        <w:t>20</w:t>
      </w:r>
      <w:r>
        <w:rPr>
          <w:rFonts w:hint="eastAsia"/>
        </w:rPr>
        <w:t>所示。它表明每个阶段有四层，最耗时的层是GCNConv1，在设置、证明生成和验证阶段分别花费约870s、1600s和120ms。与GCN-MUTAG相比，GCN-Cora的总时间开销显著增加，原因是Cora数据集包含2708个节点，每个节点的特征维度为1433，远大于MUTAG中的单个图。因此，模型推理过程每一层的计算规模要大得多，导致时间开销大大增加。我们可以看到，GCN-Cora每层的验证时间不超过120毫秒。值得注意的是，尽管验证时间随着模型输入的大小而增加，但它仍然相对较小，每层所需时间不到0.12秒。</w:t>
      </w:r>
      <w:r>
        <w:rPr>
          <w:rFonts w:hint="eastAsia"/>
        </w:rPr>
        <w:drawing>
          <wp:inline distT="0" distB="0" distL="0" distR="0">
            <wp:extent cx="5268595" cy="1713230"/>
            <wp:effectExtent l="0" t="0" r="0" b="0"/>
            <wp:docPr id="211027499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4992" name="图片 82"/>
                    <pic:cNvPicPr>
                      <a:picLocks noChangeAspect="1" noChangeArrowheads="1"/>
                    </pic:cNvPicPr>
                  </pic:nvPicPr>
                  <pic:blipFill>
                    <a:blip r:embed="rId40">
                      <a:extLst>
                        <a:ext uri="{28A0092B-C50C-407E-A947-70E740481C1C}">
                          <a14:useLocalDpi xmlns:a14="http://schemas.microsoft.com/office/drawing/2010/main" val="0"/>
                        </a:ext>
                      </a:extLst>
                    </a:blip>
                    <a:srcRect b="13526"/>
                    <a:stretch>
                      <a:fillRect/>
                    </a:stretch>
                  </pic:blipFill>
                  <pic:spPr>
                    <a:xfrm>
                      <a:off x="0" y="0"/>
                      <a:ext cx="5268595" cy="1713230"/>
                    </a:xfrm>
                    <a:prstGeom prst="rect">
                      <a:avLst/>
                    </a:prstGeom>
                    <a:noFill/>
                    <a:ln>
                      <a:noFill/>
                    </a:ln>
                  </pic:spPr>
                </pic:pic>
              </a:graphicData>
            </a:graphic>
          </wp:inline>
        </w:drawing>
      </w:r>
    </w:p>
    <w:p w14:paraId="51C0AE6C">
      <w:pPr>
        <w:pStyle w:val="21"/>
        <w:jc w:val="center"/>
        <w:rPr>
          <w:rFonts w:hint="eastAsia"/>
        </w:rPr>
      </w:pPr>
      <w:r>
        <w:rPr>
          <w:rFonts w:hint="eastAsia"/>
          <w:lang w:val="en-US" w:eastAsia="zh-CN"/>
        </w:rPr>
        <w:t>图20</w:t>
      </w:r>
      <w:r>
        <w:rPr>
          <w:rFonts w:hint="eastAsia"/>
        </w:rPr>
        <w:t>零知识证明的工作流程</w:t>
      </w:r>
    </w:p>
    <w:p w14:paraId="11C058AF">
      <w:pPr>
        <w:spacing w:line="360" w:lineRule="auto"/>
        <w:ind w:firstLine="480"/>
        <w:jc w:val="left"/>
      </w:pPr>
      <w:r>
        <w:rPr>
          <w:rFonts w:hint="eastAsia"/>
        </w:rPr>
        <w:t>GAT-Cora：zkGNN在GAT-Cora上进行节点分类的时间成本如图</w:t>
      </w:r>
      <w:r>
        <w:rPr>
          <w:rFonts w:hint="eastAsia"/>
          <w:lang w:val="en-US" w:eastAsia="zh-CN"/>
        </w:rPr>
        <w:t>21</w:t>
      </w:r>
      <w:r>
        <w:rPr>
          <w:rFonts w:hint="eastAsia"/>
        </w:rPr>
        <w:t>所示。大部分计算开销发生在每个阶段的GATConv层。这是因为初始输入图数据是一个大规模矩阵。在应用线性变换矩阵后，矩阵规模变大。在连接之后会产生更大的计算成本。尽管GATConv层的计算很复杂，并主导了整个运行时间，但验证时间仍然是可控的，仍然可以控制在10秒内。</w:t>
      </w:r>
    </w:p>
    <w:p w14:paraId="1B16EB0C">
      <w:pPr>
        <w:spacing w:line="360" w:lineRule="auto"/>
        <w:ind w:firstLine="480"/>
        <w:jc w:val="center"/>
        <w:rPr>
          <w:rFonts w:hint="eastAsia"/>
        </w:rPr>
      </w:pPr>
      <w:r>
        <w:rPr>
          <w:rFonts w:hint="eastAsia"/>
        </w:rPr>
        <w:drawing>
          <wp:inline distT="0" distB="0" distL="0" distR="0">
            <wp:extent cx="5268595" cy="1637030"/>
            <wp:effectExtent l="0" t="0" r="0" b="0"/>
            <wp:docPr id="203756974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9744" name="图片 85"/>
                    <pic:cNvPicPr>
                      <a:picLocks noChangeAspect="1" noChangeArrowheads="1"/>
                    </pic:cNvPicPr>
                  </pic:nvPicPr>
                  <pic:blipFill>
                    <a:blip r:embed="rId41">
                      <a:extLst>
                        <a:ext uri="{28A0092B-C50C-407E-A947-70E740481C1C}">
                          <a14:useLocalDpi xmlns:a14="http://schemas.microsoft.com/office/drawing/2010/main" val="0"/>
                        </a:ext>
                      </a:extLst>
                    </a:blip>
                    <a:srcRect b="17372"/>
                    <a:stretch>
                      <a:fillRect/>
                    </a:stretch>
                  </pic:blipFill>
                  <pic:spPr>
                    <a:xfrm>
                      <a:off x="0" y="0"/>
                      <a:ext cx="5268595" cy="1637030"/>
                    </a:xfrm>
                    <a:prstGeom prst="rect">
                      <a:avLst/>
                    </a:prstGeom>
                    <a:noFill/>
                    <a:ln>
                      <a:noFill/>
                    </a:ln>
                  </pic:spPr>
                </pic:pic>
              </a:graphicData>
            </a:graphic>
          </wp:inline>
        </w:drawing>
      </w:r>
    </w:p>
    <w:p w14:paraId="24FADC09">
      <w:pPr>
        <w:pStyle w:val="21"/>
        <w:jc w:val="center"/>
        <w:rPr>
          <w:rFonts w:hint="eastAsia"/>
        </w:rPr>
      </w:pPr>
      <w:r>
        <w:rPr>
          <w:rFonts w:hint="eastAsia"/>
          <w:lang w:val="en-US" w:eastAsia="zh-CN"/>
        </w:rPr>
        <w:t xml:space="preserve">图21 </w:t>
      </w:r>
      <w:r>
        <w:rPr>
          <w:rFonts w:hint="eastAsia"/>
        </w:rPr>
        <w:t>零知识证明的工作流程</w:t>
      </w:r>
    </w:p>
    <w:p w14:paraId="5943EB0C">
      <w:pPr>
        <w:spacing w:line="360" w:lineRule="auto"/>
        <w:ind w:firstLine="480"/>
      </w:pPr>
      <w:r>
        <w:rPr>
          <w:rFonts w:hint="eastAsia"/>
        </w:rPr>
        <w:t>如表格所示分析了MUTAG和Cora上GCN和GAT模型的完整性验证电路的存储开销。对于轻量级任务（例如GCN-MUTAG和GAT-MUTAG），PK和VK的总存储成本分别为37.44 MB和23.65 MB。这些成本随着GNN层的矩阵维数呈线性增长，因为算术运算的数量直接影响R1CS电路的复杂性。从实际应用的角度来看，这些存储需求是完全可行和可接受的，证明了基于zk-SNARK的完整性验证方案在轻量级部署中的现实可行性。对于更大规模的任务（例如，GCN-Cora和GAT-Cora），由于输入数据的高维度，存储需求显著增加。例如，GAT-Cora模型总共需要36.508 GB，主要由GATConv层主导（36.47 GB，开销为PK）。</w:t>
      </w:r>
    </w:p>
    <w:p w14:paraId="1D9D1456">
      <w:pPr>
        <w:spacing w:line="360" w:lineRule="auto"/>
        <w:ind w:firstLine="480"/>
        <w:rPr>
          <w:rFonts w:hint="eastAsia"/>
        </w:rPr>
      </w:pPr>
      <w:r>
        <w:t xml:space="preserve"> </w:t>
      </w:r>
      <w:r>
        <w:rPr>
          <w:rFonts w:hint="eastAsia"/>
        </w:rPr>
        <w:drawing>
          <wp:inline distT="0" distB="0" distL="0" distR="0">
            <wp:extent cx="4407535" cy="2806700"/>
            <wp:effectExtent l="0" t="0" r="0" b="0"/>
            <wp:docPr id="12509165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653" name="图片 87"/>
                    <pic:cNvPicPr>
                      <a:picLocks noChangeAspect="1" noChangeArrowheads="1"/>
                    </pic:cNvPicPr>
                  </pic:nvPicPr>
                  <pic:blipFill>
                    <a:blip r:embed="rId42">
                      <a:extLst>
                        <a:ext uri="{28A0092B-C50C-407E-A947-70E740481C1C}">
                          <a14:useLocalDpi xmlns:a14="http://schemas.microsoft.com/office/drawing/2010/main" val="0"/>
                        </a:ext>
                      </a:extLst>
                    </a:blip>
                    <a:srcRect t="11298"/>
                    <a:stretch>
                      <a:fillRect/>
                    </a:stretch>
                  </pic:blipFill>
                  <pic:spPr>
                    <a:xfrm>
                      <a:off x="0" y="0"/>
                      <a:ext cx="4411380" cy="2806700"/>
                    </a:xfrm>
                    <a:prstGeom prst="rect">
                      <a:avLst/>
                    </a:prstGeom>
                    <a:noFill/>
                    <a:ln>
                      <a:noFill/>
                    </a:ln>
                  </pic:spPr>
                </pic:pic>
              </a:graphicData>
            </a:graphic>
          </wp:inline>
        </w:drawing>
      </w:r>
    </w:p>
    <w:p w14:paraId="2E21ED14">
      <w:pPr>
        <w:pStyle w:val="21"/>
        <w:jc w:val="center"/>
        <w:rPr>
          <w:rFonts w:hint="eastAsia" w:eastAsia="黑体"/>
          <w:lang w:val="en-US" w:eastAsia="zh-CN"/>
        </w:rPr>
      </w:pPr>
      <w:r>
        <w:rPr>
          <w:rFonts w:hint="eastAsia"/>
          <w:lang w:val="en-US" w:eastAsia="zh-CN"/>
        </w:rPr>
        <w:t xml:space="preserve">表9 </w:t>
      </w:r>
      <w:r>
        <w:rPr>
          <w:rFonts w:hint="eastAsia"/>
        </w:rPr>
        <w:t>完整性验证电路存储开销</w:t>
      </w:r>
      <w:r>
        <w:rPr>
          <w:rFonts w:hint="eastAsia"/>
          <w:lang w:val="en-US" w:eastAsia="zh-CN"/>
        </w:rPr>
        <w:t>对比</w:t>
      </w:r>
    </w:p>
    <w:p w14:paraId="6690D6D4">
      <w:pPr>
        <w:pStyle w:val="4"/>
        <w:numPr>
          <w:ilvl w:val="0"/>
          <w:numId w:val="16"/>
        </w:numPr>
        <w:spacing w:line="360" w:lineRule="auto"/>
      </w:pPr>
      <w:r>
        <w:rPr>
          <w:rFonts w:hint="eastAsia"/>
        </w:rPr>
        <w:t>产品技术优势分析</w:t>
      </w:r>
    </w:p>
    <w:p w14:paraId="5D8E768E">
      <w:pPr>
        <w:spacing w:line="360" w:lineRule="auto"/>
        <w:ind w:firstLine="480"/>
      </w:pPr>
      <w:r>
        <w:rPr>
          <w:rFonts w:hint="eastAsia"/>
        </w:rPr>
        <w:t>面向图数据要素流通全过程的数据可信治理机制与平台开发，是一个高度专业化且技术密集型的项目。该平台旨在确保图数据在流通、计算、共享和发布过程中的安全性、隐私保护和互信。根据所提供的整体框架图，该平台的技术优势可以从以下几个方面进行分析：</w:t>
      </w:r>
    </w:p>
    <w:p w14:paraId="3D6702DF">
      <w:pPr>
        <w:spacing w:line="360" w:lineRule="auto"/>
        <w:ind w:firstLine="480"/>
      </w:pPr>
      <w:r>
        <w:rPr>
          <w:rFonts w:hint="eastAsia"/>
        </w:rPr>
        <w:t>（一）该平台采用了先进的隐私保护技术，如多方安全计算、差分隐私和数据混淆器。这些技术能够在不泄露数据本身的前提下，允许多个参与方共同进行计算和分析。例如，多方安全计算允许在不暴露各方数据的情况下进行数据联合分析，而差分隐私则通过添加噪声来保护个人隐私，防止敏感信息的泄露。数据混淆器则进一步增强了数据的安全性，使得数据在共享过程中更加安全。</w:t>
      </w:r>
    </w:p>
    <w:p w14:paraId="33E60452">
      <w:pPr>
        <w:spacing w:line="360" w:lineRule="auto"/>
        <w:ind w:firstLine="480"/>
      </w:pPr>
      <w:r>
        <w:rPr>
          <w:rFonts w:hint="eastAsia"/>
        </w:rPr>
        <w:t>（二）平台利用了图结构重构和邻居子图扰动技术来保护图数据的隐私。这些技术通过对图的结构进行改变，使得即使图数据被泄露，也无法轻易推断出原始数据。图结构重构改变了图的拓扑结构，而邻居子图扰动则对图的局部结构进行修改，这些技术共同作用，提高了图数据的隐私保护水平。</w:t>
      </w:r>
    </w:p>
    <w:p w14:paraId="1A40996E">
      <w:pPr>
        <w:spacing w:line="360" w:lineRule="auto"/>
        <w:ind w:firstLine="480"/>
      </w:pPr>
      <w:r>
        <w:rPr>
          <w:rFonts w:hint="eastAsia"/>
        </w:rPr>
        <w:t>（三）平台采用了零知识证明技术，特别是zk-SNARK，来确保模型参数的安全性和互信。zk-SNARK允许在不泄露任何有用信息的情况下验证信息的真实性，这对于保护模型参数不被未授权访问至关重要。通过这种方式，可以在不牺牲隐私的前提下，验证模型的正确性和完整性。</w:t>
      </w:r>
    </w:p>
    <w:p w14:paraId="3B4ACA0F">
      <w:pPr>
        <w:spacing w:line="360" w:lineRule="auto"/>
        <w:ind w:firstLine="480"/>
      </w:pPr>
      <w:r>
        <w:rPr>
          <w:rFonts w:hint="eastAsia"/>
        </w:rPr>
        <w:t>（四）平台还采用了联邦学习技术，允许多个数据持有者在不共享原始数据的情况下共同训练模型。这种分布式的学习方法不仅保护了数据隐私，还提高了模型训练的效率和准确性。联邦学习技术使得数据可以在本地进行处理，只有模型参数在各方之间进行共享，从而减少了数据传输的需求，降低了数据泄露的风险。</w:t>
      </w:r>
    </w:p>
    <w:p w14:paraId="3F3664A9">
      <w:pPr>
        <w:spacing w:line="360" w:lineRule="auto"/>
        <w:ind w:firstLine="480"/>
      </w:pPr>
      <w:r>
        <w:rPr>
          <w:rFonts w:hint="eastAsia"/>
        </w:rPr>
        <w:t>（五）平台的整体设计考虑了跨领域应用的灵活性和可扩展性。通过模块化的设计，平台可以适应不同的应用场景和需求，无论是金融分析、社交网络分析还是医疗健康领域，都能够提供定制化的解决方案。这种灵活性使得平台能够快速响应市场变化，满足不同客户的需求。</w:t>
      </w:r>
    </w:p>
    <w:p w14:paraId="24C07E9D">
      <w:pPr>
        <w:spacing w:line="360" w:lineRule="auto"/>
        <w:ind w:firstLine="480"/>
      </w:pPr>
      <w:r>
        <w:rPr>
          <w:rFonts w:hint="eastAsia"/>
        </w:rPr>
        <w:t>综上所述，该平台通过整合多方安全计算、差分隐私、数据混淆器、图结构重构、邻居子图扰动、零知识证明、联邦学习等一系列先进技术，构建了一个全面的数据可信治理机制。这不仅确保了图数据要素流通过程中的安全性和隐私保护，还提高了数据的互信和治理效率，为图数据的高效利用和价值创造提供了强有力的技术支持。</w:t>
      </w:r>
    </w:p>
    <w:p w14:paraId="07C61100">
      <w:pPr>
        <w:pStyle w:val="4"/>
        <w:numPr>
          <w:ilvl w:val="0"/>
          <w:numId w:val="16"/>
        </w:numPr>
        <w:spacing w:line="360" w:lineRule="auto"/>
      </w:pPr>
      <w:r>
        <w:rPr>
          <w:rFonts w:hint="eastAsia"/>
        </w:rPr>
        <w:t>产品技术研发趋势</w:t>
      </w:r>
    </w:p>
    <w:p w14:paraId="5486D6CF">
      <w:pPr>
        <w:spacing w:line="360" w:lineRule="auto"/>
        <w:ind w:firstLine="480"/>
      </w:pPr>
      <w:r>
        <w:rPr>
          <w:rFonts w:hint="eastAsia"/>
        </w:rPr>
        <w:t>在当前的产品技术研发趋势中，我们可以看到几个关键方向，这些趋势将对我们面向图数据要素流通全过程中的数据可信治理机制与平台开发产生重要影响。首先，随着人工智能和机器学习技术的快速发展，自适应AI系统可以从过去的人类和机器经验，以及运行环境中学习行为模式，支持模型行为在部署后进行调整，以更快地适应不断变化的现实世界。这种自适应能力对于我们的平台来说至关重要，因为它可以帮助我们的系统在不断变化的数据环境中保持有效性和准确性。其次，应用可观测性是指以高度协调和整合的方式在业务职能部门、应用和运维团队中应用可观测的数据。基于对业务背景的语义理解，对可观测数据进行编目、设计与分层，便可以形成主动和被动元数据。这将有助于我们更好地监控和分析图数据流通过程中的各个环节，确保数据的完整性和安全性。此外，数字免疫系统的建设也是一个重要的趋势。到2025年，投资建设数字免疫系统的企业机构，将减少80%的省机时间，从而提高客户满意度。数字免疫系统结合了可观测性、人工智能增强测试、混沌工程、自动修复、站点可靠性工程以及软件供应链安全领域的实践和技术，旨在提高产品、服务和系统的韧性。这对于我们的平台来说是一个重要的发展方向，因为它可以帮助我们在面对潜在风险时做好准备，并通过学习失败经验，打造具备韧性的、能够抵御失败的卓越客户和用户体验。最后，随着绿色环保成为社会高质量发展的必由之路，可持续时尚是全球时尚行业未来趋势之一，让时尚更加绿色、环保已成为越来越多品牌和利益相关方的共识。这表明，我们的平台开发也需要考虑环境因素，推动打造产业链健康生态，这不仅有助于提升品牌形象，也是对社会和环境负责的表现。</w:t>
      </w:r>
    </w:p>
    <w:p w14:paraId="53EBAAAD">
      <w:pPr>
        <w:spacing w:line="360" w:lineRule="auto"/>
        <w:ind w:firstLine="480"/>
      </w:pPr>
      <w:r>
        <w:rPr>
          <w:rFonts w:hint="eastAsia"/>
        </w:rPr>
        <w:t>综上所述，这些技术趋势和发展方向将为我们的平台开发提供指导，帮助我们构建一个更加智能、安全、可靠和环保的数据可信治理机制与平台</w:t>
      </w:r>
    </w:p>
    <w:p w14:paraId="12FF82C5">
      <w:pPr>
        <w:pStyle w:val="3"/>
        <w:spacing w:line="360" w:lineRule="auto"/>
        <w:ind w:firstLine="480"/>
      </w:pPr>
      <w:bookmarkStart w:id="11" w:name="_Toc21612"/>
      <w:r>
        <w:rPr>
          <w:rFonts w:hint="eastAsia"/>
        </w:rPr>
        <w:t>生产经营计划</w:t>
      </w:r>
      <w:bookmarkEnd w:id="11"/>
    </w:p>
    <w:p w14:paraId="6F4883D3">
      <w:pPr>
        <w:pStyle w:val="4"/>
        <w:numPr>
          <w:ilvl w:val="0"/>
          <w:numId w:val="27"/>
        </w:numPr>
        <w:spacing w:line="360" w:lineRule="auto"/>
      </w:pPr>
      <w:r>
        <w:rPr>
          <w:rFonts w:hint="eastAsia"/>
        </w:rPr>
        <w:t>产品生产流程</w:t>
      </w:r>
    </w:p>
    <w:p w14:paraId="4BF621B3">
      <w:pPr>
        <w:spacing w:line="360" w:lineRule="auto"/>
        <w:ind w:firstLine="480"/>
      </w:pPr>
      <w:r>
        <w:rPr>
          <w:rFonts w:hint="eastAsia"/>
        </w:rPr>
        <w:t>"数智安行"平台采用模块化、标准化的产品生产流程，确保图数据隐私保护技术的可靠性和可扩展性。首先，通过需求分析引擎，智能识别用户数据类型（如社交网络、金融交易图等）和隐私保护等级需求；其次，基于自主研发的隐私保护决策树，自动匹配最优技术组合；然后进入分布式处理环节，利用边缘计算节点实现本地化数据脱敏；最后通过智能聚合层完成数据校准与可视化输出。整个流程采用微服务架构，支持动态加载新型隐私保护算法，确保技术持续迭代。</w:t>
      </w:r>
    </w:p>
    <w:p w14:paraId="3C77A72B">
      <w:pPr>
        <w:pStyle w:val="4"/>
        <w:numPr>
          <w:ilvl w:val="0"/>
          <w:numId w:val="27"/>
        </w:numPr>
        <w:spacing w:line="360" w:lineRule="auto"/>
        <w:ind w:firstLine="480"/>
      </w:pPr>
      <w:r>
        <w:rPr>
          <w:rFonts w:hint="eastAsia"/>
        </w:rPr>
        <w:t>产品生产经营计划</w:t>
      </w:r>
    </w:p>
    <w:p w14:paraId="5554FFFA">
      <w:pPr>
        <w:spacing w:line="360" w:lineRule="auto"/>
        <w:ind w:firstLine="480"/>
      </w:pPr>
      <w:r>
        <w:rPr>
          <w:rFonts w:hint="eastAsia"/>
        </w:rPr>
        <w:t>平台实施"三步走"经营战略：短期（1年内）聚焦金融、医疗行业，提供标准化图数据脱敏SaaS服务；中期（2-3年）通过API开放平台，向智慧城市、物联网等领域输出核心隐私计算能力；长期构建隐私保护技术生态，与高校联合研发下一代抗量子加密图算法。采用"订阅制+定制化"双轨收费模式，基础功能按数据处理量计费，高级功能如跨机构联合计算采用项目制合作。同步建立华东、华南、西部三大区域服务中心，确保7×24小时应急响应。</w:t>
      </w:r>
    </w:p>
    <w:p w14:paraId="38ECEE1E">
      <w:pPr>
        <w:pStyle w:val="4"/>
        <w:numPr>
          <w:ilvl w:val="0"/>
          <w:numId w:val="27"/>
        </w:numPr>
        <w:spacing w:line="360" w:lineRule="auto"/>
        <w:ind w:firstLine="480"/>
      </w:pPr>
      <w:r>
        <w:rPr>
          <w:rFonts w:hint="eastAsia"/>
        </w:rPr>
        <w:t>产品质量管控方案</w:t>
      </w:r>
    </w:p>
    <w:p w14:paraId="7477B5A2">
      <w:pPr>
        <w:spacing w:line="360" w:lineRule="auto"/>
        <w:ind w:firstLine="480"/>
      </w:pPr>
      <w:r>
        <w:rPr>
          <w:rFonts w:hint="eastAsia"/>
        </w:rPr>
        <w:t>我们构建四维质量保障体系：1）技术层通过形式化验证（如ProVerif工具）确保算法满足差分隐私数学定义；2）工程层实施全链路测试，包括百万级图数据压力测试和对抗样本渗透测试；3）管理层获得ISO/IEC 27701隐私信息管理体系认证；4）监督层引入第三方审计，每季度对数据脱敏效果进行K-匿名性、L-多样性等指标检测。建立缺陷溯源机制，任何数据异常均可追溯到具体处理环节，确保问题2小时内定位，24小时内提供热修复方案。</w:t>
      </w:r>
    </w:p>
    <w:p w14:paraId="2F8005A8">
      <w:pPr>
        <w:pStyle w:val="3"/>
        <w:spacing w:line="360" w:lineRule="auto"/>
        <w:ind w:firstLine="480"/>
      </w:pPr>
      <w:bookmarkStart w:id="12" w:name="_Toc7810"/>
      <w:r>
        <w:rPr>
          <w:rFonts w:hint="eastAsia"/>
        </w:rPr>
        <w:t>产品服务介绍</w:t>
      </w:r>
      <w:bookmarkEnd w:id="12"/>
    </w:p>
    <w:p w14:paraId="5D65D6F8">
      <w:pPr>
        <w:spacing w:line="360" w:lineRule="auto"/>
        <w:ind w:firstLine="480"/>
        <w:rPr>
          <w:rFonts w:hint="eastAsia" w:ascii="宋体" w:hAnsi="宋体"/>
        </w:rPr>
      </w:pPr>
      <w:r>
        <w:rPr>
          <w:rFonts w:ascii="Noto Sans" w:hAnsi="Noto Sans" w:cs="Noto Sans"/>
          <w:shd w:val="clear" w:color="auto" w:fill="FFFFFF"/>
        </w:rPr>
        <w:t>产品的服务定位与客户价值是确保产品成功的关键因素。针对面向图数据要素流通全过程中的数据可信治理机制与平台开发，以下是详细的服务定位和客户价值分析：</w:t>
      </w:r>
      <w:r>
        <w:rPr>
          <w:rFonts w:hint="eastAsia" w:ascii="宋体" w:hAnsi="宋体"/>
        </w:rPr>
        <w:t xml:space="preserve"> </w:t>
      </w:r>
    </w:p>
    <w:p w14:paraId="26F4D93D">
      <w:pPr>
        <w:pStyle w:val="4"/>
        <w:numPr>
          <w:ilvl w:val="0"/>
          <w:numId w:val="28"/>
        </w:numPr>
        <w:spacing w:line="360" w:lineRule="auto"/>
      </w:pPr>
      <w:r>
        <w:rPr>
          <w:rFonts w:hint="eastAsia"/>
        </w:rPr>
        <w:t>服务定位</w:t>
      </w:r>
    </w:p>
    <w:p w14:paraId="1A3EB747">
      <w:pPr>
        <w:spacing w:line="360" w:lineRule="auto"/>
        <w:ind w:firstLine="480"/>
      </w:pPr>
      <w:r>
        <w:rPr>
          <w:rFonts w:hint="eastAsia"/>
        </w:rPr>
        <w:t>在数据驱动的世界中，确保数据的安全性和隐私性是至关重要的。企业必须采取先进的加密技术、访问控制和监控系统来保护数据免受未经授权的访问和泄露。此外，随着数据泄露事件的频繁发生，企业需要建立一个强大的数据安全框架，包括数据分类、数据生命周期管理和数据泄露响应计划。通过这些措施，企业不仅能够保护其数据资产，还能够增强客户对其数据处理能力的信任。</w:t>
      </w:r>
    </w:p>
    <w:p w14:paraId="7309E885">
      <w:pPr>
        <w:pStyle w:val="5"/>
        <w:numPr>
          <w:ilvl w:val="0"/>
          <w:numId w:val="29"/>
        </w:numPr>
        <w:spacing w:line="360" w:lineRule="auto"/>
      </w:pPr>
      <w:r>
        <w:rPr>
          <w:rFonts w:hint="eastAsia"/>
        </w:rPr>
        <w:t>数据安全与隐私保护</w:t>
      </w:r>
    </w:p>
    <w:p w14:paraId="5E2A2C54">
      <w:pPr>
        <w:spacing w:line="360" w:lineRule="auto"/>
        <w:ind w:firstLine="480"/>
      </w:pPr>
      <w:r>
        <w:rPr>
          <w:rFonts w:hint="eastAsia"/>
        </w:rPr>
        <w:t>数据治理是确保数据质量、安全性和合规性的关键。企业需要建立一套完整的数据治理框架，包括数据政策、标准和流程。这包括对数据的收集、存储、处理和共享进行严格控制，以确保遵守相关的数据保护法规，如欧盟的通用数据保护条例（GDPR）和加州消费者隐私法案（CCPA）。通过有效的数据治理，企业能够提高数据的透明度和可追溯性，从而增强客户和监管机构的信任。</w:t>
      </w:r>
    </w:p>
    <w:p w14:paraId="12F36FA8">
      <w:pPr>
        <w:pStyle w:val="5"/>
        <w:spacing w:line="360" w:lineRule="auto"/>
      </w:pPr>
      <w:r>
        <w:rPr>
          <w:rFonts w:hint="eastAsia"/>
        </w:rPr>
        <w:t>数据治理与合规性</w:t>
      </w:r>
    </w:p>
    <w:p w14:paraId="200F2B0B">
      <w:pPr>
        <w:spacing w:line="360" w:lineRule="auto"/>
        <w:ind w:firstLine="480"/>
      </w:pPr>
      <w:r>
        <w:rPr>
          <w:rFonts w:hint="eastAsia"/>
        </w:rPr>
        <w:t>在数据共享和交易中，建立互信是至关重要的。企业需要确保数据的来源可靠，处理过程透明，以便其他组织能够信任这些数据。通过实施区块链技术和零知识证明等技术，企业可以在不泄露敏感信息的情况下验证数据的真实性和完整性。这种透明度有助于建立数据提供者和消费者之间的信任，促进数据的共享和合作。</w:t>
      </w:r>
    </w:p>
    <w:p w14:paraId="00F30284">
      <w:pPr>
        <w:pStyle w:val="5"/>
        <w:spacing w:line="360" w:lineRule="auto"/>
      </w:pPr>
      <w:r>
        <w:rPr>
          <w:rFonts w:hint="eastAsia"/>
        </w:rPr>
        <w:t>数据互信与透明度</w:t>
      </w:r>
    </w:p>
    <w:p w14:paraId="05B43A4E">
      <w:pPr>
        <w:spacing w:line="360" w:lineRule="auto"/>
        <w:ind w:firstLine="480"/>
      </w:pPr>
      <w:r>
        <w:rPr>
          <w:rFonts w:hint="eastAsia"/>
        </w:rPr>
        <w:t>在数据共享和交易中，建立互信是至关重要的。企业需要确保数据的来源可靠，处理过程透明，以便其他组织能够信任这些数据。通过实施区块链技术和零知识证明等技术，企业可以在不泄露敏感信息的情况下验证数据的真实性和完整性。这种透明度有助于建立数据提供者和消费者之间的信任，促进数据的共享和合作。</w:t>
      </w:r>
    </w:p>
    <w:p w14:paraId="6E2D663A">
      <w:pPr>
        <w:pStyle w:val="5"/>
        <w:spacing w:line="360" w:lineRule="auto"/>
      </w:pPr>
      <w:r>
        <w:rPr>
          <w:rFonts w:hint="eastAsia"/>
        </w:rPr>
        <w:t>高性能计算与分析</w:t>
      </w:r>
    </w:p>
    <w:p w14:paraId="5EB7A4A1">
      <w:pPr>
        <w:spacing w:line="360" w:lineRule="auto"/>
        <w:ind w:firstLine="480"/>
      </w:pPr>
      <w:r>
        <w:rPr>
          <w:rFonts w:hint="eastAsia"/>
        </w:rPr>
        <w:t>随着数据量的爆炸性增长，企业需要高性能的计算资源来处理和分析大量数据。这包括使用图神经网络、机器学习和人工智能等先进技术来提取有价值的洞察。高性能计算不仅能够提高数据处理的速度，还能够支持复杂的分析任务，如模式识别、预测分析和优化算法。通过这些技术，企业能够更快地做出基于数据的决策，提高业务效率和竞争力。</w:t>
      </w:r>
    </w:p>
    <w:p w14:paraId="4633A21C">
      <w:pPr>
        <w:pStyle w:val="5"/>
        <w:spacing w:line="360" w:lineRule="auto"/>
      </w:pPr>
      <w:r>
        <w:t>跨领域应用支持</w:t>
      </w:r>
    </w:p>
    <w:p w14:paraId="45DEDC0C">
      <w:pPr>
        <w:spacing w:line="360" w:lineRule="auto"/>
        <w:ind w:firstLine="480"/>
      </w:pPr>
      <w:r>
        <w:t>在不同的行业和领域中，数据的应用需求各不相同。因此，企业需要一个灵活且可扩展的平台来支持跨领域的数据应用。这包括金融、医疗、教育、交通等多个领域。通过提供定制化的解决方案和API，企业能够将其数据平台与不同的业务流程和应用系统集成，从而实现数据的最大化利用。</w:t>
      </w:r>
    </w:p>
    <w:p w14:paraId="11AC83F7">
      <w:pPr>
        <w:pStyle w:val="4"/>
        <w:spacing w:line="360" w:lineRule="auto"/>
      </w:pPr>
      <w:r>
        <w:rPr>
          <w:rFonts w:hint="eastAsia"/>
        </w:rPr>
        <w:t>客户价值</w:t>
      </w:r>
    </w:p>
    <w:p w14:paraId="224F58C6">
      <w:pPr>
        <w:pStyle w:val="5"/>
        <w:numPr>
          <w:ilvl w:val="0"/>
          <w:numId w:val="30"/>
        </w:numPr>
        <w:spacing w:line="360" w:lineRule="auto"/>
        <w:jc w:val="left"/>
      </w:pPr>
      <w:r>
        <w:rPr>
          <w:rFonts w:hint="eastAsia"/>
        </w:rPr>
        <w:t>增强数据安全性：</w:t>
      </w:r>
    </w:p>
    <w:p w14:paraId="590D66B1">
      <w:pPr>
        <w:spacing w:line="360" w:lineRule="auto"/>
        <w:ind w:firstLine="480"/>
      </w:pPr>
      <w:r>
        <w:rPr>
          <w:rFonts w:hint="eastAsia"/>
        </w:rPr>
        <w:t>通过采用最新的安全技术和最佳实践，企业能够显著增强其数据安全性。这包括使用多因素认证、入侵检测系统和安全信息事件管理（SIEM）等技术。此外，定期的安全审计和漏洞评估也是确保数据安全的重要措施。通过这些方法，企业能够及时发现和修复安全漏洞，防止数据泄露和网络攻击。</w:t>
      </w:r>
    </w:p>
    <w:p w14:paraId="72296811">
      <w:pPr>
        <w:pStyle w:val="5"/>
        <w:spacing w:line="360" w:lineRule="auto"/>
        <w:jc w:val="left"/>
      </w:pPr>
      <w:r>
        <w:rPr>
          <w:rFonts w:hint="eastAsia"/>
        </w:rPr>
        <w:t>提升合规性与信任度：</w:t>
      </w:r>
    </w:p>
    <w:p w14:paraId="398A573A">
      <w:pPr>
        <w:spacing w:line="360" w:lineRule="auto"/>
        <w:ind w:firstLine="480"/>
      </w:pPr>
      <w:r>
        <w:rPr>
          <w:rFonts w:hint="eastAsia"/>
        </w:rPr>
        <w:t>在全球化的商业环境中，遵守不同地区的数据保护法规是企业必须面对的挑战。通过建立严格的数据治理和合规性框架，企业能够确保其数据处理活动符合相关法规要求。这不仅有助于避免法律风险和罚款，还能够提升客户和合作伙伴的信任度，增强企业的品牌形象。</w:t>
      </w:r>
    </w:p>
    <w:p w14:paraId="0B411A13">
      <w:pPr>
        <w:pStyle w:val="5"/>
        <w:spacing w:line="360" w:lineRule="auto"/>
      </w:pPr>
      <w:r>
        <w:rPr>
          <w:rFonts w:hint="eastAsia"/>
        </w:rPr>
        <w:t>优化数据处理效率：</w:t>
      </w:r>
    </w:p>
    <w:p w14:paraId="5B9201C0">
      <w:pPr>
        <w:spacing w:line="360" w:lineRule="auto"/>
        <w:ind w:firstLine="480"/>
      </w:pPr>
      <w:r>
        <w:rPr>
          <w:rFonts w:hint="eastAsia"/>
        </w:rPr>
        <w:t>高效的数据处理是企业竞争力的关键。通过自动化和优化数据处理流程，企业能够减少人工干预和错误，提高数据处理的速度和准确性。这包括使用数据清洗、数据集成和数据质量管理等技术。通过优化数据处理，企业能够更快地响应市场变化，提高决策的效率和效果。</w:t>
      </w:r>
    </w:p>
    <w:p w14:paraId="0B59FB18">
      <w:pPr>
        <w:pStyle w:val="5"/>
        <w:spacing w:line="360" w:lineRule="auto"/>
      </w:pPr>
      <w:r>
        <w:rPr>
          <w:rFonts w:hint="eastAsia"/>
        </w:rPr>
        <w:t>促进数据共享与合作：</w:t>
      </w:r>
    </w:p>
    <w:p w14:paraId="1602811E">
      <w:pPr>
        <w:spacing w:line="360" w:lineRule="auto"/>
        <w:ind w:firstLine="480"/>
      </w:pPr>
      <w:r>
        <w:rPr>
          <w:rFonts w:hint="eastAsia"/>
        </w:rPr>
        <w:t>在数据驱动的商业环境中，数据共享和合作是创新和增长的关键。通过建立安全和可靠的数据共享平台，企业能够与其他组织共享数据，共同开发新的产品和服务。这不仅有助于创造新的商业机会，还能够促进跨行业的合作和知识共享。</w:t>
      </w:r>
    </w:p>
    <w:p w14:paraId="7920149E">
      <w:pPr>
        <w:pStyle w:val="5"/>
        <w:spacing w:line="360" w:lineRule="auto"/>
      </w:pPr>
      <w:r>
        <w:rPr>
          <w:rFonts w:hint="eastAsia"/>
        </w:rPr>
        <w:t>支持业务增长与创新：</w:t>
      </w:r>
    </w:p>
    <w:p w14:paraId="5EC3DE7E">
      <w:pPr>
        <w:spacing w:line="360" w:lineRule="auto"/>
        <w:ind w:firstLine="480"/>
      </w:pPr>
      <w:r>
        <w:rPr>
          <w:rFonts w:hint="eastAsia"/>
        </w:rPr>
        <w:t>数据是企业创新的重要源泉。通过对数据的深入分析，企业能够发现新的市场趋势、客户需求和业务机会。这包括使用数据分析、机器学习和人工智能等技术来开发新的业务模式和产品。通过数据驱动的创新，企业能够提高其市场竞争力，实现可持续的业务增长。 3.1.2.6支持业务增长与创新：</w:t>
      </w:r>
    </w:p>
    <w:p w14:paraId="1B3B7399">
      <w:pPr>
        <w:spacing w:line="360" w:lineRule="auto"/>
        <w:ind w:firstLine="480"/>
      </w:pPr>
      <w:r>
        <w:rPr>
          <w:rFonts w:hint="eastAsia"/>
        </w:rPr>
        <w:t>通过自动化和优化数据处理流程，企业能够显著降低运营成本。这包括减少数据处理的人力成本、提高数据处理的效率和减少数据处理错误。通过降低运营成本，企业能够提高其盈利能力，将更多资源投入到创新和增长领域。</w:t>
      </w:r>
    </w:p>
    <w:p w14:paraId="52CE76AB">
      <w:pPr>
        <w:pStyle w:val="5"/>
        <w:spacing w:line="360" w:lineRule="auto"/>
      </w:pPr>
      <w:r>
        <w:rPr>
          <w:rFonts w:hint="eastAsia"/>
        </w:rPr>
        <w:t>降低运营成本：</w:t>
      </w:r>
    </w:p>
    <w:p w14:paraId="55AB5FE7">
      <w:pPr>
        <w:spacing w:line="360" w:lineRule="auto"/>
        <w:ind w:firstLine="480"/>
      </w:pPr>
      <w:r>
        <w:rPr>
          <w:rFonts w:hint="eastAsia"/>
        </w:rPr>
        <w:t>通过自动化和优化数据处理流程，企业能够显著降低运营成本。这包括减少数据处理的人力成本、提高数据处理的效率和减少数据处理错误。通过降低运营成本，企业能够提高其盈利能力，将更多资源投入到创新和增长领域。</w:t>
      </w:r>
    </w:p>
    <w:p w14:paraId="2A8AFC55">
      <w:pPr>
        <w:pStyle w:val="5"/>
        <w:spacing w:line="360" w:lineRule="auto"/>
      </w:pPr>
      <w:r>
        <w:rPr>
          <w:rFonts w:hint="eastAsia"/>
        </w:rPr>
        <w:t>增强客户体验：</w:t>
      </w:r>
    </w:p>
    <w:p w14:paraId="30FF136F">
      <w:pPr>
        <w:spacing w:line="360" w:lineRule="auto"/>
        <w:ind w:firstLine="480"/>
      </w:pPr>
      <w:r>
        <w:rPr>
          <w:rFonts w:hint="eastAsia"/>
        </w:rPr>
        <w:t>在客户为王的商业环境中，提供卓越的客户体验是企业成功的关键。通过对客户数据的深入分析，企业能够更好地理解客户需求和行为，从而提供个性化的产品和服务。这包括使用客户细分、客户旅程分析和客户反馈分析等技术。通过增强客户体验，企业能够提高客户满意度和忠诚度，实现长期的客户关系。</w:t>
      </w:r>
    </w:p>
    <w:p w14:paraId="449958E6">
      <w:pPr>
        <w:pStyle w:val="5"/>
        <w:spacing w:line="360" w:lineRule="auto"/>
      </w:pPr>
      <w:r>
        <w:rPr>
          <w:rFonts w:hint="eastAsia"/>
        </w:rPr>
        <w:t>环境责任与可持续性：</w:t>
      </w:r>
    </w:p>
    <w:p w14:paraId="49F445A6">
      <w:pPr>
        <w:spacing w:line="360" w:lineRule="auto"/>
        <w:ind w:firstLine="480"/>
      </w:pPr>
      <w:r>
        <w:rPr>
          <w:rFonts w:hint="eastAsia"/>
        </w:rPr>
        <w:t>在可持续发展成为全球共识的今天，企业需要承担起环境责任。通过对数据处理和存储的优化，企业能够减少能源消耗和碳排放，实现绿色数据处理。这包括使用能源效率更高的数据中心、采用可再生能源和优化数据存储技术。通过承担环境责任，企业不仅能够提高其社会形象，还能够为可持续发展做出贡献。</w:t>
      </w:r>
    </w:p>
    <w:p w14:paraId="3B20BFD5">
      <w:pPr>
        <w:spacing w:line="360" w:lineRule="auto"/>
        <w:ind w:firstLine="480"/>
      </w:pPr>
      <w:r>
        <w:rPr>
          <w:rFonts w:hint="eastAsia"/>
        </w:rPr>
        <w:t>综上所述，通过在数据安全与隐私保护、数据治理与合规性、数据互信与透明度、高性能计算与分析、跨领域应用支持等方面进行深入的探讨和实践，企业能够建立一个全面的数据管理和利用体系，从而实现数据的最大化价值，推动企业的持续发展和创新。</w:t>
      </w:r>
    </w:p>
    <w:p w14:paraId="726C0FA4">
      <w:pPr>
        <w:pStyle w:val="5"/>
        <w:spacing w:line="360" w:lineRule="auto"/>
      </w:pPr>
      <w:r>
        <w:rPr>
          <w:rFonts w:hint="eastAsia"/>
        </w:rPr>
        <w:t>产品功能与亮点</w:t>
      </w:r>
    </w:p>
    <w:p w14:paraId="36A0E86F">
      <w:pPr>
        <w:spacing w:line="360" w:lineRule="auto"/>
        <w:ind w:firstLine="480"/>
      </w:pPr>
      <w:r>
        <w:rPr>
          <w:rFonts w:hint="eastAsia"/>
        </w:rPr>
        <w:t>我们的产品是一个综合性的数据可信治理机制与平台，专为图数据要素流通的全过程设计，以确保数据的安全性、合规性、互信与透明度，并提供高性能的计算与分析能力。产品功能丰富，亮点纷呈，旨在为客户提供一个全面、可靠且高效的数据处理解决方案。</w:t>
      </w:r>
    </w:p>
    <w:p w14:paraId="5601CCDB">
      <w:pPr>
        <w:spacing w:line="360" w:lineRule="auto"/>
        <w:ind w:firstLine="480"/>
      </w:pPr>
      <w:r>
        <w:rPr>
          <w:rFonts w:hint="eastAsia"/>
        </w:rPr>
        <w:t>产品的核心功能包括数据加密、访问控制、数据脱敏、差分隐私保护以及基于零知识证明的验证机制，这些功能共同构成了一个强大的数据安全体系，确保数据在传输、存储和处理过程中的安全性和隐私性。同时，我们的产品提供全面的数据治理工具，帮助客户满足各种数据保护法规要求，如GDPR和CCPA等，通过自动化的数据分类、数据生命周期管理和数据泄露响应计划，提高数据管理的效率和合规性。</w:t>
      </w:r>
    </w:p>
    <w:p w14:paraId="1E1CC1EE">
      <w:pPr>
        <w:spacing w:line="360" w:lineRule="auto"/>
        <w:ind w:firstLine="480"/>
      </w:pPr>
      <w:r>
        <w:rPr>
          <w:rFonts w:hint="eastAsia"/>
        </w:rPr>
        <w:t>产品的互信与透明度功能通过区块链技术和零知识证明，确保数据的真实性和完整性，同时保护数据提供者和消费者的隐私。这种透明度有助于建立数据交易和共享的信任基础，促进跨组织的数据合作。</w:t>
      </w:r>
    </w:p>
    <w:p w14:paraId="50488F2B">
      <w:pPr>
        <w:spacing w:line="360" w:lineRule="auto"/>
        <w:ind w:firstLine="480"/>
      </w:pPr>
      <w:r>
        <w:rPr>
          <w:rFonts w:hint="eastAsia"/>
        </w:rPr>
        <w:t>在高性能计算与分析方面，我们的产品利用最新的图神经网络、机器学习和人工智能技术，提供快速且准确的数据处理和分析服务。无论是大规模图数据的快速处理，还是复杂分析任务，如模式识别、预测分析和优化算法，我们的产品都能提供强大的支持。</w:t>
      </w:r>
    </w:p>
    <w:p w14:paraId="0AA937F2">
      <w:pPr>
        <w:spacing w:line="360" w:lineRule="auto"/>
        <w:ind w:firstLine="480"/>
      </w:pPr>
      <w:r>
        <w:rPr>
          <w:rFonts w:hint="eastAsia"/>
        </w:rPr>
        <w:t>此外，我们的产品支持跨领域应用，通过模块化设计和灵活的API接口，能够适应金融、医疗、社交网络分析等多个领域的数据处理需求。这种跨领域的应用支持，使得我们的产品能够为客户提供定制化的解决方案，实现数据的最大化利用。</w:t>
      </w:r>
    </w:p>
    <w:p w14:paraId="18D3F1CB">
      <w:pPr>
        <w:spacing w:line="360" w:lineRule="auto"/>
        <w:ind w:firstLine="480"/>
      </w:pPr>
      <w:r>
        <w:rPr>
          <w:rFonts w:hint="eastAsia"/>
        </w:rPr>
        <w:t>产品的亮点在于其增强的数据安全性、提升的合规性与信任度、优化的数据处理效率、促进的数据共享与合作、支持的业务增长与创新、降低的运营成本以及增强的客户体验。通过自动化和优化数据处理流程，我们的产品不仅能够提高数据处理的速度和准确性，还能够减少人工干预和错误，从而降低运营成本。同时，通过对客户数据的深入分析，我们的产品能够帮助企业更好地理解客户需求和行为，提供个性化的产品和服务，增强客户体验。</w:t>
      </w:r>
    </w:p>
    <w:p w14:paraId="289A6244">
      <w:pPr>
        <w:spacing w:line="360" w:lineRule="auto"/>
        <w:ind w:firstLine="480"/>
      </w:pPr>
      <w:r>
        <w:rPr>
          <w:rFonts w:hint="eastAsia"/>
        </w:rPr>
        <w:t>最后，我们的产品还承担着环境责任，通过优化数据处理和存储，减少能源消耗和碳排放，实现绿色数据处理，为可持续发展做出贡献。总之，我们的产品是一个全面、创新且高效的数据治理平台，它不仅能够满足客户在数据安全、合规性、互信、透明度和高性能计算方面的需求，还能够支持业务增长和创新，降低运营成本，并提升客户体验，同时承担起环境责任，实现可持续发展。</w:t>
      </w:r>
    </w:p>
    <w:p w14:paraId="45B895EE">
      <w:pPr>
        <w:pStyle w:val="4"/>
        <w:spacing w:line="360" w:lineRule="auto"/>
      </w:pPr>
      <w:r>
        <w:rPr>
          <w:rFonts w:hint="eastAsia"/>
        </w:rPr>
        <w:t>产品的服务效果与应用反馈</w:t>
      </w:r>
    </w:p>
    <w:p w14:paraId="555CB363">
      <w:pPr>
        <w:spacing w:line="360" w:lineRule="auto"/>
        <w:ind w:firstLine="480"/>
      </w:pPr>
      <w:r>
        <w:rPr>
          <w:rFonts w:hint="eastAsia"/>
        </w:rPr>
        <w:t>我们的产品服务效果显著，在多个领域和行业中得到了广泛应用。作为一个全面的数据可信治理机制与平台，它不仅提高了数据处理的安全性和隐私保护水平，还增强了数据治理的合规性和透明度。用户反馈表明，该平台在确保数据安全和隐私方面发挥了关键作用，特别是在处理敏感信息时，其加密技术和访问控制机制有效地防止了数据泄露和未授权访问。</w:t>
      </w:r>
    </w:p>
    <w:p w14:paraId="605AB454">
      <w:pPr>
        <w:spacing w:line="360" w:lineRule="auto"/>
        <w:ind w:firstLine="480"/>
      </w:pPr>
      <w:r>
        <w:rPr>
          <w:rFonts w:hint="eastAsia"/>
        </w:rPr>
        <w:t>在数据治理和合规性方面，该平台的自动化工具和合规性检查功能极大地简化了用户的工作流程，确保了数据处理活动符合国际和地区数据保护法规的要求。用户特别赞赏平台在自动化数据分类和数据生命周期管理方面的功能，这些功能不仅提高了数据处理的效率，还减少了因人为错误导致的合规风险。</w:t>
      </w:r>
    </w:p>
    <w:p w14:paraId="12C4F2C7">
      <w:pPr>
        <w:spacing w:line="360" w:lineRule="auto"/>
        <w:ind w:firstLine="480"/>
      </w:pPr>
      <w:r>
        <w:rPr>
          <w:rFonts w:hint="eastAsia"/>
        </w:rPr>
        <w:t>平台的互信与透明度功能也得到了用户的广泛认可。通过区块链技术和零知识证明，平台成功地在不泄露敏感信息的情况下验证了数据的真实性和完整性，这在数据共享和交易中建立了强大的信任基础。用户反馈显示，这种透明度有助于促进跨组织的数据合作，特别是在需要高度信任的环境中。</w:t>
      </w:r>
    </w:p>
    <w:p w14:paraId="28A2843A">
      <w:pPr>
        <w:spacing w:line="360" w:lineRule="auto"/>
        <w:ind w:firstLine="480"/>
      </w:pPr>
      <w:r>
        <w:rPr>
          <w:rFonts w:hint="eastAsia"/>
        </w:rPr>
        <w:t>在高性能计算与分析方面，用户对平台的处理速度和分析准确性给予了高度评价。平台利用图神经网络、机器学习和人工智能技术，提供了快速且准确的数据处理和分析服务，这使得用户能够更快地从数据中提取有价值的洞察，并据此做出更明智的业务决策。</w:t>
      </w:r>
    </w:p>
    <w:p w14:paraId="7DB766EE">
      <w:pPr>
        <w:spacing w:line="360" w:lineRule="auto"/>
        <w:ind w:firstLine="480"/>
      </w:pPr>
      <w:r>
        <w:rPr>
          <w:rFonts w:hint="eastAsia"/>
        </w:rPr>
        <w:t>跨领域应用支持是平台的另一个亮点。用户反馈表明，平台的模块化设计和灵活的API接口使得它能够适应不同行业和应用场景的需求，从而实现数据的最大化利用。无论是金融、医疗、社交网络分析还是其他领域，用户都能够通过定制化的解决方案来满足其特定的数据处理需求。</w:t>
      </w:r>
    </w:p>
    <w:p w14:paraId="686BD9F3">
      <w:pPr>
        <w:spacing w:line="360" w:lineRule="auto"/>
        <w:ind w:firstLine="480"/>
      </w:pPr>
      <w:r>
        <w:rPr>
          <w:rFonts w:hint="eastAsia"/>
        </w:rPr>
        <w:t>总体而言，产品的服务效果在增强数据安全性、提升合规性与信任度、优化数据处理效率、促进数据共享与合作、支持业务增长与创新、降低运营成本以及增强客户体验等方面都得到了用户的积极反馈。用户普遍认为，该平台不仅提高了他们对数据处理能力的信心，还帮助他们在数据驱动的商业环境中保持竞争力。此外，平台的环境责任和可持续性也得到了用户的认可，他们认为这体现了企业的社会责任感和对可持续发展的承诺。随着技术的不断进步和市场需求的不断变化，我们将继续优化和升级平台，以满足用户不断增长的需求。</w:t>
      </w:r>
    </w:p>
    <w:p w14:paraId="0C953D16">
      <w:pPr>
        <w:pStyle w:val="4"/>
        <w:spacing w:line="360" w:lineRule="auto"/>
      </w:pPr>
      <w:r>
        <w:rPr>
          <w:rFonts w:hint="eastAsia"/>
        </w:rPr>
        <w:t>产品未来展望与未来规划</w:t>
      </w:r>
    </w:p>
    <w:p w14:paraId="5455277E">
      <w:pPr>
        <w:spacing w:line="360" w:lineRule="auto"/>
        <w:ind w:firstLine="480"/>
      </w:pPr>
      <w:r>
        <w:rPr>
          <w:rFonts w:hint="eastAsia"/>
        </w:rPr>
        <w:t>我们的数据可信治理机制与平台将继续在数据安全、隐私保护、合规性、互信与透明度、高性能计算与分析以及跨领域应用支持等方面发挥关键作用。随着数据量的不断增长和数据类型的日益多样化，我们的产品将不断演进，以适应新的挑战和需求。</w:t>
      </w:r>
    </w:p>
    <w:p w14:paraId="61D8F6F2">
      <w:pPr>
        <w:spacing w:line="360" w:lineRule="auto"/>
        <w:ind w:firstLine="480"/>
      </w:pPr>
      <w:r>
        <w:rPr>
          <w:rFonts w:hint="eastAsia"/>
        </w:rPr>
        <w:t>在未来规划中，我们将继续投资于研发，以确保平台的技术领先性和创新能力。这包括对现有功能的持续优化，以及引入新的技术和方法，如更先进的加密算法、更高效的数据处理技术、更智能的分析模型等。我们也将密切关注数据保护法规的发展趋势，确保平台能够及时适应新的合规要求。我们计划扩大平台的应用范围，探索新的行业和领域，如物联网、边缘计算和云计算等，以满足不同客户的需求。我们还将加强与合作伙伴的合作，包括技术供应商、行业专家和研究机构，以共同推动数据治理技术的发展和应用。</w:t>
      </w:r>
    </w:p>
    <w:p w14:paraId="5B868A83">
      <w:pPr>
        <w:spacing w:line="360" w:lineRule="auto"/>
        <w:ind w:firstLine="480"/>
      </w:pPr>
      <w:r>
        <w:rPr>
          <w:rFonts w:hint="eastAsia"/>
        </w:rPr>
        <w:t>在用户体验方面，我们将继续致力于提升平台的易用性和灵活性，使其更加直观和易于集成。我们计划引入更多的自动化和智能化功能，如智能推荐、自动优化和预测分析等，以帮助用户更高效地管理和分析数据。我们还计划加强对环境责任和可持续性的关注，通过优化数据处理流程和提高能源效率，减少平台的碳足迹。我们相信，通过这些努力，我们的产品不仅能够帮助客户实现业务目标，还能够为社会的可持续发展做出贡献。</w:t>
      </w:r>
    </w:p>
    <w:p w14:paraId="537CB34F">
      <w:pPr>
        <w:spacing w:line="360" w:lineRule="auto"/>
        <w:ind w:firstLine="480"/>
      </w:pPr>
      <w:r>
        <w:rPr>
          <w:rFonts w:hint="eastAsia"/>
        </w:rPr>
        <w:t>最后，我们认识到数据治理是一个不断发展的领域，需要持续的学习和适应。因此，我们计划建立一个强大的社区和生态系统，包括用户、开发者、合作伙伴和行业专家，共同推动数据治理技术的发展和创新。通过这个社区，我们可以共享知识、经验和最佳实践，共同应对未来的挑战和机遇。</w:t>
      </w:r>
    </w:p>
    <w:p w14:paraId="71F7B0DE">
      <w:pPr>
        <w:spacing w:line="360" w:lineRule="auto"/>
        <w:ind w:firstLine="480"/>
      </w:pPr>
      <w:r>
        <w:rPr>
          <w:rFonts w:hint="eastAsia"/>
        </w:rPr>
        <w:t>总的来说，我们对未来充满信心，相信我们的数据可信治理机制与平台将继续在数据治理领域发挥重要作用，帮助客户实现数据的最大化价值，同时确保数据的安全性、合规性和可持续性。我们期待与所有利益相关者一起，共同塑造数据治理的未来。</w:t>
      </w:r>
    </w:p>
    <w:p w14:paraId="46492651">
      <w:pPr>
        <w:pStyle w:val="2"/>
        <w:spacing w:line="360" w:lineRule="auto"/>
        <w:ind w:firstLine="562"/>
      </w:pPr>
      <w:bookmarkStart w:id="13" w:name="_Toc20721"/>
      <w:r>
        <w:rPr>
          <w:rFonts w:hint="eastAsia"/>
        </w:rPr>
        <w:t>营销策略</w:t>
      </w:r>
      <w:bookmarkEnd w:id="13"/>
    </w:p>
    <w:p w14:paraId="7F4FBA07">
      <w:pPr>
        <w:pStyle w:val="3"/>
        <w:numPr>
          <w:ilvl w:val="0"/>
          <w:numId w:val="31"/>
        </w:numPr>
        <w:spacing w:line="360" w:lineRule="auto"/>
        <w:ind w:firstLine="480"/>
      </w:pPr>
      <w:bookmarkStart w:id="14" w:name="_Toc28354"/>
      <w:r>
        <w:rPr>
          <w:rFonts w:hint="eastAsia"/>
        </w:rPr>
        <w:t>目标市场</w:t>
      </w:r>
      <w:bookmarkEnd w:id="14"/>
    </w:p>
    <w:p w14:paraId="30A09F1F">
      <w:pPr>
        <w:spacing w:line="360" w:lineRule="auto"/>
        <w:ind w:firstLine="480"/>
      </w:pPr>
      <w:r>
        <w:rPr>
          <w:rFonts w:hint="eastAsia"/>
        </w:rPr>
        <w:t>我们精准锚定对数据合规流通需求最为迫切的核心行业领域，聚焦金融、医疗、政务、互联网、保险、交通等支柱性产业，并前瞻布局新能源、智能制造等新兴领域。深度切入金融领域跨机构风控建模联合体构建、医疗科研场景下基于隐私保护的多中心数据协同、政务体系内跨层级跨部门的数据互通共享等高价值核心业务场景，并积极拓展满足新能源产业链协同、智能制造供应链优化等新兴领域的数据要素市场化配置需求。</w:t>
      </w:r>
    </w:p>
    <w:p w14:paraId="1D05366A">
      <w:pPr>
        <w:pStyle w:val="3"/>
        <w:numPr>
          <w:ilvl w:val="0"/>
          <w:numId w:val="31"/>
        </w:numPr>
        <w:spacing w:line="360" w:lineRule="auto"/>
        <w:ind w:firstLine="480"/>
      </w:pPr>
      <w:bookmarkStart w:id="15" w:name="_Toc96"/>
      <w:r>
        <w:rPr>
          <w:rFonts w:hint="eastAsia"/>
          <w:sz w:val="24"/>
        </w:rPr>
        <w:t>核心优势</w:t>
      </w:r>
      <w:bookmarkEnd w:id="15"/>
    </w:p>
    <w:p w14:paraId="388DA3A3">
      <w:pPr>
        <w:spacing w:line="360" w:lineRule="auto"/>
        <w:ind w:firstLine="897" w:firstLineChars="374"/>
        <w:rPr>
          <w:rFonts w:hint="eastAsia" w:eastAsiaTheme="minorEastAsia"/>
          <w:lang w:eastAsia="zh-CN"/>
        </w:rPr>
      </w:pPr>
      <w:r>
        <w:rPr>
          <w:rFonts w:hint="eastAsia"/>
        </w:rPr>
        <w:t>核心优势体系化呈现为五大维度</w:t>
      </w:r>
      <w:r>
        <w:rPr>
          <w:rFonts w:hint="eastAsia"/>
          <w:lang w:eastAsia="zh-CN"/>
        </w:rPr>
        <w:t>。</w:t>
      </w:r>
    </w:p>
    <w:p w14:paraId="21401E59">
      <w:pPr>
        <w:spacing w:line="360" w:lineRule="auto"/>
        <w:rPr>
          <w:rFonts w:ascii="Calibri" w:hAnsi="Calibri" w:eastAsia="宋体" w:cs="Times New Roman"/>
          <w:sz w:val="21"/>
          <w:szCs w:val="21"/>
          <w:lang w:bidi="ar"/>
        </w:rPr>
      </w:pPr>
      <w:r>
        <w:rPr>
          <w:rFonts w:ascii="Calibri" w:hAnsi="Calibri" w:eastAsia="宋体" w:cs="Times New Roman"/>
          <w:sz w:val="21"/>
          <w:szCs w:val="21"/>
          <w:lang w:bidi="ar"/>
        </w:rPr>
        <w:drawing>
          <wp:inline distT="0" distB="0" distL="114300" distR="114300">
            <wp:extent cx="5271770" cy="2550160"/>
            <wp:effectExtent l="0" t="0" r="1143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3"/>
                    <a:stretch>
                      <a:fillRect/>
                    </a:stretch>
                  </pic:blipFill>
                  <pic:spPr>
                    <a:xfrm>
                      <a:off x="0" y="0"/>
                      <a:ext cx="5271770" cy="2550160"/>
                    </a:xfrm>
                    <a:prstGeom prst="rect">
                      <a:avLst/>
                    </a:prstGeom>
                    <a:noFill/>
                    <a:ln w="9525">
                      <a:noFill/>
                    </a:ln>
                  </pic:spPr>
                </pic:pic>
              </a:graphicData>
            </a:graphic>
          </wp:inline>
        </w:drawing>
      </w:r>
    </w:p>
    <w:p w14:paraId="33D8F68D">
      <w:pPr>
        <w:pStyle w:val="21"/>
        <w:jc w:val="center"/>
      </w:pPr>
      <w:r>
        <w:rPr>
          <w:rFonts w:hint="eastAsia"/>
          <w:lang w:val="en-US" w:eastAsia="zh-CN"/>
        </w:rPr>
        <w:t xml:space="preserve">图19 </w:t>
      </w:r>
      <w:r>
        <w:rPr>
          <w:rFonts w:hint="eastAsia"/>
        </w:rPr>
        <w:t>核心优势</w:t>
      </w:r>
    </w:p>
    <w:p w14:paraId="25775E3C">
      <w:pPr>
        <w:pStyle w:val="3"/>
        <w:numPr>
          <w:ilvl w:val="0"/>
          <w:numId w:val="31"/>
        </w:numPr>
        <w:spacing w:line="360" w:lineRule="auto"/>
        <w:ind w:firstLine="480"/>
      </w:pPr>
      <w:bookmarkStart w:id="16" w:name="_Toc11013"/>
      <w:r>
        <w:rPr>
          <w:rFonts w:hint="eastAsia"/>
          <w:sz w:val="24"/>
        </w:rPr>
        <w:t>竞争分析</w:t>
      </w:r>
      <w:bookmarkEnd w:id="16"/>
    </w:p>
    <w:p w14:paraId="6F66E38F">
      <w:pPr>
        <w:pStyle w:val="4"/>
        <w:numPr>
          <w:ilvl w:val="0"/>
          <w:numId w:val="32"/>
        </w:numPr>
        <w:spacing w:line="360" w:lineRule="auto"/>
        <w:ind w:firstLine="560"/>
      </w:pPr>
      <w:r>
        <w:rPr>
          <w:rFonts w:hint="eastAsia"/>
        </w:rPr>
        <w:t>竞争对手</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FCD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91ACE0" w:sz="6" w:space="0"/>
              <w:left w:val="single" w:color="91ACE0" w:sz="6" w:space="0"/>
              <w:bottom w:val="single" w:color="D3DEF3" w:sz="6" w:space="0"/>
              <w:right w:val="single" w:color="91ACE0" w:sz="6" w:space="0"/>
            </w:tcBorders>
            <w:shd w:val="clear" w:color="auto" w:fill="auto"/>
          </w:tcPr>
          <w:p w14:paraId="42AD7CE9">
            <w:pPr>
              <w:ind w:firstLine="482"/>
              <w:jc w:val="center"/>
              <w:rPr>
                <w:b/>
                <w:bCs/>
              </w:rPr>
            </w:pPr>
            <w:r>
              <w:rPr>
                <w:rFonts w:hint="eastAsia"/>
                <w:b/>
                <w:bCs/>
              </w:rPr>
              <w:t>类型</w:t>
            </w:r>
          </w:p>
        </w:tc>
        <w:tc>
          <w:tcPr>
            <w:tcW w:w="1666" w:type="pct"/>
            <w:tcBorders>
              <w:top w:val="single" w:color="91ACE0" w:sz="6" w:space="0"/>
              <w:left w:val="nil"/>
              <w:bottom w:val="single" w:color="91ACE0" w:sz="6" w:space="0"/>
              <w:right w:val="single" w:color="91ACE0" w:sz="6" w:space="0"/>
            </w:tcBorders>
            <w:shd w:val="clear" w:color="auto" w:fill="auto"/>
          </w:tcPr>
          <w:p w14:paraId="149DD61B">
            <w:pPr>
              <w:ind w:firstLine="480"/>
              <w:jc w:val="center"/>
              <w:rPr>
                <w:bCs/>
              </w:rPr>
            </w:pPr>
            <w:r>
              <w:rPr>
                <w:rFonts w:hint="eastAsia"/>
                <w:bCs/>
              </w:rPr>
              <w:t>主体</w:t>
            </w:r>
          </w:p>
        </w:tc>
        <w:tc>
          <w:tcPr>
            <w:tcW w:w="1666" w:type="pct"/>
            <w:tcBorders>
              <w:top w:val="single" w:color="91ACE0" w:sz="6" w:space="0"/>
              <w:left w:val="nil"/>
              <w:bottom w:val="single" w:color="91ACE0" w:sz="6" w:space="0"/>
              <w:right w:val="single" w:color="91ACE0" w:sz="6" w:space="0"/>
            </w:tcBorders>
            <w:shd w:val="clear" w:color="auto" w:fill="auto"/>
          </w:tcPr>
          <w:p w14:paraId="062B8D06">
            <w:pPr>
              <w:ind w:firstLine="480"/>
              <w:jc w:val="center"/>
              <w:rPr>
                <w:bCs/>
              </w:rPr>
            </w:pPr>
            <w:r>
              <w:rPr>
                <w:rFonts w:hint="eastAsia"/>
                <w:bCs/>
              </w:rPr>
              <w:t>特点</w:t>
            </w:r>
          </w:p>
        </w:tc>
      </w:tr>
      <w:tr w14:paraId="1821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D3DEF3" w:sz="6" w:space="0"/>
              <w:left w:val="single" w:color="91ACE0" w:sz="6" w:space="0"/>
              <w:bottom w:val="single" w:color="D3DEF3" w:sz="6" w:space="0"/>
              <w:right w:val="single" w:color="91ACE0" w:sz="6" w:space="0"/>
            </w:tcBorders>
            <w:shd w:val="clear" w:color="auto" w:fill="auto"/>
            <w:vAlign w:val="center"/>
          </w:tcPr>
          <w:p w14:paraId="25B2AD3B">
            <w:pPr>
              <w:ind w:firstLine="482"/>
              <w:jc w:val="center"/>
              <w:rPr>
                <w:b/>
              </w:rPr>
            </w:pPr>
            <w:r>
              <w:rPr>
                <w:rFonts w:hint="eastAsia"/>
                <w:b/>
              </w:rPr>
              <w:t>Ⅰ</w:t>
            </w:r>
          </w:p>
        </w:tc>
        <w:tc>
          <w:tcPr>
            <w:tcW w:w="1666" w:type="pct"/>
            <w:tcBorders>
              <w:top w:val="single" w:color="91ACE0" w:sz="6" w:space="0"/>
              <w:left w:val="nil"/>
              <w:bottom w:val="single" w:color="91ACE0" w:sz="6" w:space="0"/>
              <w:right w:val="single" w:color="91ACE0" w:sz="6" w:space="0"/>
            </w:tcBorders>
            <w:shd w:val="clear" w:color="auto" w:fill="auto"/>
            <w:vAlign w:val="center"/>
          </w:tcPr>
          <w:p w14:paraId="52AC809B">
            <w:pPr>
              <w:ind w:firstLine="480"/>
              <w:jc w:val="center"/>
              <w:rPr>
                <w:rFonts w:hint="eastAsia"/>
              </w:rPr>
            </w:pPr>
            <w:r>
              <w:rPr>
                <w:rFonts w:hint="eastAsia"/>
              </w:rPr>
              <w:t>传统数据交易平台及大型互联网企业数据服务团队</w:t>
            </w:r>
          </w:p>
        </w:tc>
        <w:tc>
          <w:tcPr>
            <w:tcW w:w="1666" w:type="pct"/>
            <w:tcBorders>
              <w:top w:val="single" w:color="91ACE0" w:sz="6" w:space="0"/>
              <w:left w:val="nil"/>
              <w:bottom w:val="single" w:color="91ACE0" w:sz="6" w:space="0"/>
              <w:right w:val="single" w:color="91ACE0" w:sz="6" w:space="0"/>
            </w:tcBorders>
            <w:shd w:val="clear" w:color="auto" w:fill="auto"/>
          </w:tcPr>
          <w:p w14:paraId="3ECEA1C9">
            <w:pPr>
              <w:ind w:firstLine="480"/>
              <w:jc w:val="center"/>
              <w:rPr>
                <w:rFonts w:hint="eastAsia"/>
              </w:rPr>
            </w:pPr>
            <w:r>
              <w:t>1.</w:t>
            </w:r>
            <w:r>
              <w:rPr>
                <w:rFonts w:hint="eastAsia"/>
              </w:rPr>
              <w:t>依托流量或渠道优势提供数据接口服务</w:t>
            </w:r>
          </w:p>
        </w:tc>
      </w:tr>
      <w:tr w14:paraId="07EE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D3DEF3" w:sz="6" w:space="0"/>
              <w:left w:val="single" w:color="91ACE0" w:sz="6" w:space="0"/>
              <w:bottom w:val="single" w:color="D3DEF3" w:sz="6" w:space="0"/>
              <w:right w:val="single" w:color="91ACE0" w:sz="6" w:space="0"/>
            </w:tcBorders>
            <w:shd w:val="clear" w:color="auto" w:fill="auto"/>
            <w:vAlign w:val="center"/>
          </w:tcPr>
          <w:p w14:paraId="55D034CF">
            <w:pPr>
              <w:ind w:firstLine="482"/>
              <w:jc w:val="center"/>
              <w:rPr>
                <w:rFonts w:hint="eastAsia"/>
                <w:b/>
              </w:rPr>
            </w:pPr>
            <w:r>
              <w:rPr>
                <w:rFonts w:hint="eastAsia"/>
                <w:b/>
              </w:rPr>
              <w:t>Ⅱ</w:t>
            </w:r>
          </w:p>
        </w:tc>
        <w:tc>
          <w:tcPr>
            <w:tcW w:w="1666" w:type="pct"/>
            <w:tcBorders>
              <w:top w:val="single" w:color="91ACE0" w:sz="6" w:space="0"/>
              <w:left w:val="nil"/>
              <w:bottom w:val="single" w:color="91ACE0" w:sz="6" w:space="0"/>
              <w:right w:val="single" w:color="91ACE0" w:sz="6" w:space="0"/>
            </w:tcBorders>
            <w:shd w:val="clear" w:color="auto" w:fill="auto"/>
            <w:vAlign w:val="center"/>
          </w:tcPr>
          <w:p w14:paraId="2F86D53F">
            <w:pPr>
              <w:ind w:firstLine="480"/>
              <w:jc w:val="center"/>
              <w:rPr>
                <w:rFonts w:hint="eastAsia"/>
              </w:rPr>
            </w:pPr>
            <w:r>
              <w:rPr>
                <w:rFonts w:hint="eastAsia"/>
              </w:rPr>
              <w:t>地方性数据服务商</w:t>
            </w:r>
          </w:p>
        </w:tc>
        <w:tc>
          <w:tcPr>
            <w:tcW w:w="1666" w:type="pct"/>
            <w:tcBorders>
              <w:top w:val="single" w:color="91ACE0" w:sz="6" w:space="0"/>
              <w:left w:val="nil"/>
              <w:bottom w:val="single" w:color="91ACE0" w:sz="6" w:space="0"/>
              <w:right w:val="single" w:color="91ACE0" w:sz="6" w:space="0"/>
            </w:tcBorders>
            <w:shd w:val="clear" w:color="auto" w:fill="auto"/>
          </w:tcPr>
          <w:p w14:paraId="62AFA8E0">
            <w:pPr>
              <w:ind w:firstLine="480"/>
              <w:jc w:val="center"/>
              <w:rPr>
                <w:rFonts w:hint="eastAsia"/>
              </w:rPr>
            </w:pPr>
            <w:r>
              <w:t>1.</w:t>
            </w:r>
            <w:r>
              <w:rPr>
                <w:rFonts w:hint="eastAsia"/>
              </w:rPr>
              <w:t>具备区域性政府合作基础</w:t>
            </w:r>
            <w:r>
              <w:t>2.</w:t>
            </w:r>
            <w:r>
              <w:rPr>
                <w:rFonts w:hint="eastAsia"/>
              </w:rPr>
              <w:t>技术纵深与资源整合能力薄弱</w:t>
            </w:r>
          </w:p>
        </w:tc>
      </w:tr>
      <w:tr w14:paraId="350F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D3DEF3" w:sz="6" w:space="0"/>
              <w:left w:val="single" w:color="91ACE0" w:sz="6" w:space="0"/>
              <w:bottom w:val="single" w:color="91ACE0" w:sz="6" w:space="0"/>
              <w:right w:val="single" w:color="91ACE0" w:sz="6" w:space="0"/>
            </w:tcBorders>
            <w:shd w:val="clear" w:color="auto" w:fill="auto"/>
            <w:vAlign w:val="center"/>
          </w:tcPr>
          <w:p w14:paraId="66DCFC11">
            <w:pPr>
              <w:ind w:firstLine="482"/>
              <w:jc w:val="center"/>
              <w:rPr>
                <w:rFonts w:hint="eastAsia"/>
                <w:b/>
              </w:rPr>
            </w:pPr>
            <w:r>
              <w:rPr>
                <w:rFonts w:hint="eastAsia"/>
                <w:b/>
              </w:rPr>
              <w:t>Ⅲ</w:t>
            </w:r>
          </w:p>
        </w:tc>
        <w:tc>
          <w:tcPr>
            <w:tcW w:w="1666" w:type="pct"/>
            <w:tcBorders>
              <w:top w:val="single" w:color="91ACE0" w:sz="6" w:space="0"/>
              <w:left w:val="nil"/>
              <w:bottom w:val="single" w:color="91ACE0" w:sz="6" w:space="0"/>
              <w:right w:val="single" w:color="91ACE0" w:sz="6" w:space="0"/>
            </w:tcBorders>
            <w:shd w:val="clear" w:color="auto" w:fill="auto"/>
            <w:vAlign w:val="center"/>
          </w:tcPr>
          <w:p w14:paraId="46BEFE87">
            <w:pPr>
              <w:ind w:firstLine="480"/>
              <w:jc w:val="center"/>
              <w:rPr>
                <w:rFonts w:hint="eastAsia"/>
              </w:rPr>
            </w:pPr>
            <w:r>
              <w:rPr>
                <w:rFonts w:hint="eastAsia"/>
              </w:rPr>
              <w:t>专业技术厂商</w:t>
            </w:r>
          </w:p>
        </w:tc>
        <w:tc>
          <w:tcPr>
            <w:tcW w:w="1666" w:type="pct"/>
            <w:tcBorders>
              <w:top w:val="single" w:color="91ACE0" w:sz="6" w:space="0"/>
              <w:left w:val="nil"/>
              <w:bottom w:val="single" w:color="91ACE0" w:sz="6" w:space="0"/>
              <w:right w:val="single" w:color="91ACE0" w:sz="6" w:space="0"/>
            </w:tcBorders>
            <w:shd w:val="clear" w:color="auto" w:fill="auto"/>
          </w:tcPr>
          <w:p w14:paraId="28375F88">
            <w:pPr>
              <w:ind w:firstLine="480"/>
              <w:jc w:val="center"/>
              <w:rPr>
                <w:rFonts w:hint="eastAsia"/>
              </w:rPr>
            </w:pPr>
            <w:r>
              <w:t>1.</w:t>
            </w:r>
            <w:r>
              <w:rPr>
                <w:rFonts w:hint="eastAsia"/>
              </w:rPr>
              <w:t>专注于单一隐私计算技术栈（如联邦学习、安全多方计算）</w:t>
            </w:r>
          </w:p>
          <w:p w14:paraId="6F5899C1">
            <w:pPr>
              <w:ind w:firstLine="480"/>
              <w:jc w:val="center"/>
              <w:rPr>
                <w:rFonts w:hint="eastAsia"/>
              </w:rPr>
            </w:pPr>
            <w:r>
              <w:t>2.</w:t>
            </w:r>
            <w:r>
              <w:rPr>
                <w:rFonts w:hint="eastAsia"/>
              </w:rPr>
              <w:t>缺乏端到端全链路解决方案能力</w:t>
            </w:r>
          </w:p>
        </w:tc>
      </w:tr>
    </w:tbl>
    <w:p w14:paraId="1F2813B9">
      <w:pPr>
        <w:pStyle w:val="21"/>
        <w:jc w:val="center"/>
        <w:rPr>
          <w:rFonts w:hint="eastAsia"/>
        </w:rPr>
      </w:pPr>
      <w:r>
        <w:rPr>
          <w:rFonts w:hint="eastAsia"/>
          <w:lang w:val="en-US" w:eastAsia="zh-CN"/>
        </w:rPr>
        <w:t xml:space="preserve">表10 </w:t>
      </w:r>
      <w:r>
        <w:rPr>
          <w:rFonts w:hint="eastAsia"/>
        </w:rPr>
        <w:t>零知识证明的工作流程</w:t>
      </w:r>
    </w:p>
    <w:p w14:paraId="5934D4E4">
      <w:pPr>
        <w:pStyle w:val="4"/>
        <w:numPr>
          <w:ilvl w:val="0"/>
          <w:numId w:val="32"/>
        </w:numPr>
        <w:spacing w:line="360" w:lineRule="auto"/>
        <w:ind w:firstLine="560"/>
      </w:pPr>
      <w:r>
        <w:rPr>
          <w:rFonts w:hint="eastAsia"/>
        </w:rPr>
        <w:t>竞争策略</w:t>
      </w:r>
    </w:p>
    <w:p w14:paraId="1A5EBFB4">
      <w:pPr>
        <w:ind w:firstLine="480"/>
        <w:rPr>
          <w:rFonts w:eastAsia="宋体" w:cs="Times New Roman"/>
          <w:sz w:val="21"/>
          <w:szCs w:val="21"/>
        </w:rPr>
      </w:pPr>
      <w:r>
        <w:rPr>
          <w:rFonts w:hint="eastAsia" w:ascii="宋体" w:hAnsi="宋体"/>
        </w:rPr>
        <w:t>以“国有合规根基、全链治理能力、场景闭环交付”三位一体构建核心差异化壁垒</w:t>
      </w:r>
    </w:p>
    <w:p w14:paraId="3FED0D3F">
      <w:pPr>
        <w:ind w:firstLine="480"/>
      </w:pPr>
      <w:r>
        <w:drawing>
          <wp:inline distT="0" distB="0" distL="0" distR="0">
            <wp:extent cx="4911090" cy="1102995"/>
            <wp:effectExtent l="0" t="0" r="3810" b="1905"/>
            <wp:docPr id="18059943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4360" name="图片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911090" cy="1102995"/>
                    </a:xfrm>
                    <a:prstGeom prst="rect">
                      <a:avLst/>
                    </a:prstGeom>
                    <a:noFill/>
                    <a:ln>
                      <a:noFill/>
                    </a:ln>
                  </pic:spPr>
                </pic:pic>
              </a:graphicData>
            </a:graphic>
          </wp:inline>
        </w:drawing>
      </w:r>
    </w:p>
    <w:p w14:paraId="21CAA8C7">
      <w:pPr>
        <w:pStyle w:val="21"/>
        <w:jc w:val="center"/>
      </w:pPr>
      <w:r>
        <w:rPr>
          <w:rFonts w:hint="eastAsia"/>
          <w:lang w:val="en-US" w:eastAsia="zh-CN"/>
        </w:rPr>
        <w:t xml:space="preserve">图22 </w:t>
      </w:r>
      <w:r>
        <w:rPr>
          <w:rFonts w:hint="eastAsia"/>
        </w:rPr>
        <w:t>竞争策略</w:t>
      </w:r>
    </w:p>
    <w:p w14:paraId="6062C3BB">
      <w:pPr>
        <w:ind w:firstLine="480"/>
        <w:rPr>
          <w:rFonts w:hint="eastAsia"/>
        </w:rPr>
      </w:pPr>
    </w:p>
    <w:p w14:paraId="7EDA3A7B">
      <w:pPr>
        <w:ind w:firstLine="480"/>
        <w:rPr>
          <w:rFonts w:hint="eastAsia"/>
        </w:rPr>
      </w:pPr>
    </w:p>
    <w:p w14:paraId="5AD8170D">
      <w:pPr>
        <w:pStyle w:val="4"/>
        <w:numPr>
          <w:ilvl w:val="0"/>
          <w:numId w:val="32"/>
        </w:numPr>
        <w:spacing w:line="360" w:lineRule="auto"/>
        <w:ind w:firstLine="560"/>
      </w:pPr>
      <w:r>
        <w:rPr>
          <w:rFonts w:hint="eastAsia"/>
        </w:rPr>
        <w:t>竞品分析</w:t>
      </w:r>
    </w:p>
    <w:p w14:paraId="2FDD03AF">
      <w:pPr>
        <w:spacing w:line="360" w:lineRule="auto"/>
        <w:ind w:firstLine="480"/>
        <w:rPr>
          <w:rFonts w:hint="eastAsia" w:eastAsia="宋体" w:cs="Times New Roman"/>
          <w:sz w:val="21"/>
          <w:szCs w:val="21"/>
        </w:rPr>
      </w:pPr>
      <w:r>
        <w:rPr>
          <w:rFonts w:hint="eastAsia" w:ascii="宋体" w:hAnsi="宋体"/>
        </w:rPr>
        <w:t>深度剖析揭示，多数竞争对手普遍存在以下结构性短板：数据权属界定机制模糊不清、复杂异构环境下的跨域流通能力显著不足、数据治理</w:t>
      </w:r>
      <w:r>
        <w:rPr>
          <w:rFonts w:cs="Calibri"/>
        </w:rPr>
        <w:t>-</w:t>
      </w:r>
      <w:r>
        <w:rPr>
          <w:rFonts w:hint="eastAsia" w:ascii="宋体" w:hAnsi="宋体"/>
        </w:rPr>
        <w:t>加工</w:t>
      </w:r>
      <w:r>
        <w:rPr>
          <w:rFonts w:cs="Calibri"/>
        </w:rPr>
        <w:t>-</w:t>
      </w:r>
      <w:r>
        <w:rPr>
          <w:rFonts w:hint="eastAsia" w:ascii="宋体" w:hAnsi="宋体"/>
        </w:rPr>
        <w:t>应用</w:t>
      </w:r>
      <w:r>
        <w:rPr>
          <w:rFonts w:cs="Calibri"/>
        </w:rPr>
        <w:t>-</w:t>
      </w:r>
      <w:r>
        <w:rPr>
          <w:rFonts w:hint="eastAsia" w:ascii="宋体" w:hAnsi="宋体"/>
        </w:rPr>
        <w:t>流通全生命周期链条存在严重断裂。相比之下，本公司依托国家级国有数据代运营核心资质、国内领先的数据流通合规体系化建设能力，以及大规模政企协同复杂项目的成熟交付体系，已确立显著的市场主导地位，形成降维竞争优势。</w:t>
      </w:r>
    </w:p>
    <w:p w14:paraId="2B3E0525">
      <w:pPr>
        <w:pStyle w:val="3"/>
        <w:numPr>
          <w:ilvl w:val="0"/>
          <w:numId w:val="31"/>
        </w:numPr>
        <w:spacing w:line="360" w:lineRule="auto"/>
        <w:ind w:firstLine="480"/>
      </w:pPr>
      <w:bookmarkStart w:id="17" w:name="_Toc27274"/>
      <w:r>
        <w:rPr>
          <w:rFonts w:hint="eastAsia"/>
        </w:rPr>
        <w:t>市场营销</w:t>
      </w:r>
      <w:bookmarkEnd w:id="17"/>
    </w:p>
    <w:p w14:paraId="055825E0">
      <w:pPr>
        <w:spacing w:line="360" w:lineRule="auto"/>
        <w:ind w:firstLine="480"/>
        <w:rPr>
          <w:rFonts w:hint="eastAsia"/>
        </w:rPr>
      </w:pPr>
      <w:r>
        <w:tab/>
      </w:r>
      <w:r>
        <w:rPr>
          <w:rFonts w:hint="eastAsia"/>
        </w:rPr>
        <w:t>以“可信数据治理，智能合规流通”为核心价值主张，实施立体化市场推进策略：积极参与国家级数据要素政策与产业高端论坛，重磅发布《数据要素市场化“数据宝模式”》行业白皮书，塑造专业领导力形象，强化模式市场认知；在金融领域精耕细作，组织“风控宝”等标杆产品案例深度路演，联合头部银行、保险机构举办数据安全合规高端闭门研讨会，引领行业标准制定；深化与顶尖医疗科研机构战略合作，共同打造基于隐私计算的科研数据共享标杆示范项目；以省市级政务数据开放平台建设为关键战略支点，推动实施区域级数据流通示范工程；创新实践“政府权威背书</w:t>
      </w:r>
      <w:r>
        <w:t>+</w:t>
      </w:r>
      <w:r>
        <w:rPr>
          <w:rFonts w:hint="eastAsia"/>
        </w:rPr>
        <w:t>行业标杆案例</w:t>
      </w:r>
      <w:r>
        <w:t>+</w:t>
      </w:r>
      <w:r>
        <w:rPr>
          <w:rFonts w:hint="eastAsia"/>
        </w:rPr>
        <w:t>生态巨头联合”三位一体市场拓展模式，持续通过官网及权威行业媒体矩阵，系统性输出前沿技术洞察白皮书与高价值场景化解决方案成功案例，持续强化价值主张的行业渗透力。</w:t>
      </w:r>
    </w:p>
    <w:p w14:paraId="21B1B627">
      <w:pPr>
        <w:ind w:firstLine="480"/>
      </w:pPr>
    </w:p>
    <w:p w14:paraId="39A5BD5A">
      <w:pPr>
        <w:pStyle w:val="3"/>
        <w:numPr>
          <w:ilvl w:val="0"/>
          <w:numId w:val="31"/>
        </w:numPr>
        <w:spacing w:line="360" w:lineRule="auto"/>
        <w:ind w:firstLine="480"/>
        <w:rPr>
          <w:sz w:val="24"/>
        </w:rPr>
      </w:pPr>
      <w:bookmarkStart w:id="18" w:name="_Toc5071"/>
      <w:r>
        <w:rPr>
          <w:rFonts w:hint="eastAsia"/>
          <w:sz w:val="24"/>
        </w:rPr>
        <w:t>战略规划</w:t>
      </w:r>
      <w:bookmarkEnd w:id="18"/>
    </w:p>
    <w:p w14:paraId="32496691">
      <w:pPr>
        <w:spacing w:line="360" w:lineRule="auto"/>
        <w:ind w:firstLine="480"/>
        <w:rPr>
          <w:rFonts w:eastAsia="宋体" w:cs="Times New Roman"/>
          <w:sz w:val="21"/>
          <w:szCs w:val="21"/>
        </w:rPr>
      </w:pPr>
      <w:r>
        <w:rPr>
          <w:rFonts w:hint="eastAsia" w:ascii="宋体" w:hAnsi="宋体"/>
        </w:rPr>
        <w:t>分阶段清晰明确：短期（</w:t>
      </w:r>
      <w:r>
        <w:rPr>
          <w:rFonts w:cs="Calibri"/>
        </w:rPr>
        <w:t>1-2</w:t>
      </w:r>
      <w:r>
        <w:rPr>
          <w:rFonts w:hint="eastAsia" w:ascii="宋体" w:hAnsi="宋体"/>
        </w:rPr>
        <w:t>年） 聚焦深耕金融风控联合建模、政务数据共享交换、医疗科研隐私计算协同三大战略级标杆场景，确保核心平台在</w:t>
      </w:r>
      <w:r>
        <w:rPr>
          <w:rFonts w:cs="Calibri"/>
        </w:rPr>
        <w:t>10+</w:t>
      </w:r>
      <w:r>
        <w:rPr>
          <w:rFonts w:hint="eastAsia" w:ascii="宋体" w:hAnsi="宋体"/>
        </w:rPr>
        <w:t>省级大数据平台实现深度部署与规模化应用；中期（</w:t>
      </w:r>
      <w:r>
        <w:rPr>
          <w:rFonts w:cs="Calibri"/>
        </w:rPr>
        <w:t>3-5</w:t>
      </w:r>
      <w:r>
        <w:rPr>
          <w:rFonts w:hint="eastAsia" w:ascii="宋体" w:hAnsi="宋体"/>
        </w:rPr>
        <w:t>年） 战略性拓展至新能源车联网、智能制造业供应链优化等新兴领域，着力构建“可信数据治理</w:t>
      </w:r>
      <w:r>
        <w:rPr>
          <w:rFonts w:cs="Calibri"/>
        </w:rPr>
        <w:t>+AI</w:t>
      </w:r>
      <w:r>
        <w:rPr>
          <w:rFonts w:hint="eastAsia" w:ascii="宋体" w:hAnsi="宋体"/>
        </w:rPr>
        <w:t>驱动数据增值服务”开放生态，实现跨行业、跨区域数据流通网络的规模化覆盖与价值释放；长期（</w:t>
      </w:r>
      <w:r>
        <w:rPr>
          <w:rFonts w:cs="Calibri"/>
        </w:rPr>
        <w:t>5</w:t>
      </w:r>
      <w:r>
        <w:rPr>
          <w:rFonts w:hint="eastAsia" w:ascii="宋体" w:hAnsi="宋体"/>
        </w:rPr>
        <w:t>年以上） 致力于成为支撑国家级数据要素统一大市场建设的核心流通基础设施与服务商，深度参与并引领数据资产化确权、评估、入表标准体系的全流程建设，依托平台生态聚合效应，构建数据要素市场化可信生态联盟，为国家数字经济新型基础设施建设提供核心驱动动能。</w:t>
      </w:r>
    </w:p>
    <w:p w14:paraId="118D6689">
      <w:pPr>
        <w:ind w:firstLine="480"/>
        <w:rPr>
          <w:rFonts w:hint="eastAsia"/>
        </w:rPr>
      </w:pPr>
    </w:p>
    <w:p w14:paraId="265DEE9A">
      <w:pPr>
        <w:pStyle w:val="2"/>
        <w:spacing w:line="360" w:lineRule="auto"/>
        <w:ind w:firstLine="562"/>
      </w:pPr>
      <w:bookmarkStart w:id="19" w:name="_Toc11763"/>
      <w:r>
        <w:rPr>
          <w:rFonts w:hint="eastAsia"/>
        </w:rPr>
        <w:t>财务分析</w:t>
      </w:r>
      <w:bookmarkEnd w:id="19"/>
    </w:p>
    <w:p w14:paraId="7C9759AA">
      <w:pPr>
        <w:pStyle w:val="3"/>
        <w:numPr>
          <w:ilvl w:val="0"/>
          <w:numId w:val="33"/>
        </w:numPr>
        <w:spacing w:line="360" w:lineRule="auto"/>
      </w:pPr>
      <w:bookmarkStart w:id="20" w:name="_Toc30048"/>
      <w:r>
        <w:rPr>
          <w:rFonts w:hint="eastAsia"/>
        </w:rPr>
        <w:t>财务假设</w:t>
      </w:r>
      <w:bookmarkEnd w:id="20"/>
    </w:p>
    <w:p w14:paraId="5557D926">
      <w:pPr>
        <w:spacing w:line="360" w:lineRule="auto"/>
        <w:ind w:firstLine="480"/>
      </w:pPr>
      <w:r>
        <w:rPr>
          <w:rFonts w:hint="eastAsia"/>
        </w:rPr>
        <w:t>1.本公司符合一般纳税人认定条件，增值税率为 17%；</w:t>
      </w:r>
    </w:p>
    <w:p w14:paraId="26327387">
      <w:pPr>
        <w:spacing w:line="360" w:lineRule="auto"/>
        <w:ind w:firstLine="480"/>
      </w:pPr>
      <w:r>
        <w:rPr>
          <w:rFonts w:hint="eastAsia"/>
        </w:rPr>
        <w:t>2.公司按25%的税率缴纳所得税，所得税按年支付，本年所得税是汇算清缴；</w:t>
      </w:r>
    </w:p>
    <w:p w14:paraId="7886CB05">
      <w:pPr>
        <w:spacing w:line="360" w:lineRule="auto"/>
        <w:ind w:firstLine="480"/>
      </w:pPr>
      <w:r>
        <w:rPr>
          <w:rFonts w:hint="eastAsia"/>
        </w:rPr>
        <w:t>3.城建税 7%（公司注册地址位于贵阳市高新技术产业开发区适用贵阳市观山湖区 7%的税率）及教育加费3%，无需缴纳地方教育附加费，计税依据增值税税额，公司不适用消费税。</w:t>
      </w:r>
    </w:p>
    <w:p w14:paraId="66277BDF">
      <w:pPr>
        <w:spacing w:line="360" w:lineRule="auto"/>
        <w:ind w:firstLine="480"/>
      </w:pPr>
      <w:r>
        <w:rPr>
          <w:rFonts w:hint="eastAsia"/>
        </w:rPr>
        <w:t>4.固定资产（办公设备）折旧年限为 5 年，按年限平均法计算折旧，无残值；无形资产（专利）摊销年限为 10 年，按年限平均法计算摊销额，无残值；</w:t>
      </w:r>
    </w:p>
    <w:p w14:paraId="13C7F9FF">
      <w:pPr>
        <w:spacing w:line="360" w:lineRule="auto"/>
        <w:ind w:firstLine="480"/>
      </w:pPr>
      <w:r>
        <w:rPr>
          <w:rFonts w:hint="eastAsia"/>
        </w:rPr>
        <w:t>5.公司利润主要用于资本积累，从盈利开始，每年提取法定盈余公积金 10％，任意盈余公积金5%。团队投资者与风险投资者第四年起按可分配利润的20%进行分红，当年计提并支付；</w:t>
      </w:r>
    </w:p>
    <w:p w14:paraId="79CE7942">
      <w:pPr>
        <w:spacing w:line="360" w:lineRule="auto"/>
        <w:ind w:firstLine="480"/>
      </w:pPr>
      <w:r>
        <w:rPr>
          <w:rFonts w:hint="eastAsia"/>
        </w:rPr>
        <w:t>6.假设本公司当年无应付账款，当年收入当年能全部收回即无应收账款，职工薪酬当月支付，税费当年计提下年支付。</w:t>
      </w:r>
    </w:p>
    <w:p w14:paraId="010EE014">
      <w:pPr>
        <w:pStyle w:val="3"/>
        <w:spacing w:line="360" w:lineRule="auto"/>
      </w:pPr>
      <w:bookmarkStart w:id="21" w:name="_Toc5758"/>
      <w:r>
        <w:rPr>
          <w:rFonts w:hint="eastAsia"/>
        </w:rPr>
        <w:t>预计成本费用</w:t>
      </w:r>
      <w:bookmarkEnd w:id="21"/>
    </w:p>
    <w:p w14:paraId="32B6FF90">
      <w:pPr>
        <w:spacing w:line="360" w:lineRule="auto"/>
        <w:ind w:firstLine="480"/>
      </w:pPr>
      <w:r>
        <w:rPr>
          <w:rFonts w:hint="eastAsia"/>
        </w:rPr>
        <w:t>1、预期成本费用</w:t>
      </w:r>
    </w:p>
    <w:tbl>
      <w:tblPr>
        <w:tblStyle w:val="13"/>
        <w:tblW w:w="8290" w:type="dxa"/>
        <w:jc w:val="center"/>
        <w:tblLayout w:type="autofit"/>
        <w:tblCellMar>
          <w:top w:w="0" w:type="dxa"/>
          <w:left w:w="108" w:type="dxa"/>
          <w:bottom w:w="0" w:type="dxa"/>
          <w:right w:w="108" w:type="dxa"/>
        </w:tblCellMar>
      </w:tblPr>
      <w:tblGrid>
        <w:gridCol w:w="2542"/>
        <w:gridCol w:w="1196"/>
        <w:gridCol w:w="1196"/>
        <w:gridCol w:w="1196"/>
        <w:gridCol w:w="1196"/>
        <w:gridCol w:w="1196"/>
      </w:tblGrid>
      <w:tr w14:paraId="3DC6DDB3">
        <w:tblPrEx>
          <w:tblCellMar>
            <w:top w:w="0" w:type="dxa"/>
            <w:left w:w="108" w:type="dxa"/>
            <w:bottom w:w="0" w:type="dxa"/>
            <w:right w:w="108" w:type="dxa"/>
          </w:tblCellMar>
        </w:tblPrEx>
        <w:trPr>
          <w:trHeight w:val="190" w:hRule="atLeast"/>
          <w:jc w:val="center"/>
        </w:trPr>
        <w:tc>
          <w:tcPr>
            <w:tcW w:w="2575" w:type="dxa"/>
            <w:tcBorders>
              <w:top w:val="double" w:color="3F3F3F" w:sz="2" w:space="0"/>
              <w:left w:val="double" w:color="3F3F3F" w:sz="2" w:space="0"/>
              <w:bottom w:val="double" w:color="3F3F3F" w:sz="2" w:space="0"/>
              <w:right w:val="double" w:color="3F3F3F" w:sz="2" w:space="0"/>
            </w:tcBorders>
            <w:shd w:val="clear" w:color="auto" w:fill="9BC2E6"/>
            <w:noWrap/>
            <w:vAlign w:val="bottom"/>
          </w:tcPr>
          <w:p w14:paraId="3BC0B18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制造成本</w:t>
            </w:r>
          </w:p>
        </w:tc>
        <w:tc>
          <w:tcPr>
            <w:tcW w:w="1143" w:type="dxa"/>
            <w:tcBorders>
              <w:top w:val="double" w:color="3F3F3F" w:sz="2" w:space="0"/>
              <w:left w:val="nil"/>
              <w:bottom w:val="double" w:color="3F3F3F" w:sz="2" w:space="0"/>
              <w:right w:val="double" w:color="3F3F3F" w:sz="2" w:space="0"/>
            </w:tcBorders>
            <w:shd w:val="clear" w:color="auto" w:fill="9BC2E6"/>
            <w:noWrap/>
            <w:vAlign w:val="bottom"/>
          </w:tcPr>
          <w:p w14:paraId="6A68118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第一年</w:t>
            </w:r>
          </w:p>
        </w:tc>
        <w:tc>
          <w:tcPr>
            <w:tcW w:w="1143" w:type="dxa"/>
            <w:tcBorders>
              <w:top w:val="double" w:color="3F3F3F" w:sz="2" w:space="0"/>
              <w:left w:val="nil"/>
              <w:bottom w:val="double" w:color="3F3F3F" w:sz="2" w:space="0"/>
              <w:right w:val="double" w:color="3F3F3F" w:sz="2" w:space="0"/>
            </w:tcBorders>
            <w:shd w:val="clear" w:color="auto" w:fill="9BC2E6"/>
            <w:noWrap/>
            <w:vAlign w:val="bottom"/>
          </w:tcPr>
          <w:p w14:paraId="35762D8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第二年</w:t>
            </w:r>
          </w:p>
        </w:tc>
        <w:tc>
          <w:tcPr>
            <w:tcW w:w="1143" w:type="dxa"/>
            <w:tcBorders>
              <w:top w:val="double" w:color="3F3F3F" w:sz="2" w:space="0"/>
              <w:left w:val="nil"/>
              <w:bottom w:val="double" w:color="3F3F3F" w:sz="2" w:space="0"/>
              <w:right w:val="double" w:color="3F3F3F" w:sz="2" w:space="0"/>
            </w:tcBorders>
            <w:shd w:val="clear" w:color="auto" w:fill="9BC2E6"/>
            <w:noWrap/>
            <w:vAlign w:val="bottom"/>
          </w:tcPr>
          <w:p w14:paraId="11BD960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第三年</w:t>
            </w:r>
          </w:p>
        </w:tc>
        <w:tc>
          <w:tcPr>
            <w:tcW w:w="1143" w:type="dxa"/>
            <w:tcBorders>
              <w:top w:val="double" w:color="3F3F3F" w:sz="2" w:space="0"/>
              <w:left w:val="nil"/>
              <w:bottom w:val="double" w:color="3F3F3F" w:sz="2" w:space="0"/>
              <w:right w:val="double" w:color="3F3F3F" w:sz="2" w:space="0"/>
            </w:tcBorders>
            <w:shd w:val="clear" w:color="auto" w:fill="9BC2E6"/>
            <w:noWrap/>
            <w:vAlign w:val="bottom"/>
          </w:tcPr>
          <w:p w14:paraId="3132037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第四年</w:t>
            </w:r>
          </w:p>
        </w:tc>
        <w:tc>
          <w:tcPr>
            <w:tcW w:w="1143" w:type="dxa"/>
            <w:tcBorders>
              <w:top w:val="double" w:color="3F3F3F" w:sz="2" w:space="0"/>
              <w:left w:val="nil"/>
              <w:bottom w:val="double" w:color="3F3F3F" w:sz="2" w:space="0"/>
              <w:right w:val="double" w:color="3F3F3F" w:sz="2" w:space="0"/>
            </w:tcBorders>
            <w:shd w:val="clear" w:color="auto" w:fill="9BC2E6"/>
            <w:noWrap/>
            <w:vAlign w:val="bottom"/>
          </w:tcPr>
          <w:p w14:paraId="66BB62B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第五年</w:t>
            </w:r>
          </w:p>
        </w:tc>
      </w:tr>
      <w:tr w14:paraId="52553DF9">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1133DFF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直接人工</w:t>
            </w:r>
          </w:p>
        </w:tc>
        <w:tc>
          <w:tcPr>
            <w:tcW w:w="1143" w:type="dxa"/>
            <w:tcBorders>
              <w:top w:val="nil"/>
              <w:left w:val="nil"/>
              <w:bottom w:val="double" w:color="3F3F3F" w:sz="2" w:space="0"/>
              <w:right w:val="double" w:color="3F3F3F" w:sz="2" w:space="0"/>
            </w:tcBorders>
            <w:shd w:val="clear" w:color="auto" w:fill="DDEBF7"/>
            <w:noWrap/>
            <w:vAlign w:val="center"/>
          </w:tcPr>
          <w:p w14:paraId="0E24BD1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3276B61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0F34FDB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c>
          <w:tcPr>
            <w:tcW w:w="1143" w:type="dxa"/>
            <w:tcBorders>
              <w:top w:val="nil"/>
              <w:left w:val="nil"/>
              <w:bottom w:val="double" w:color="3F3F3F" w:sz="2" w:space="0"/>
              <w:right w:val="double" w:color="3F3F3F" w:sz="2" w:space="0"/>
            </w:tcBorders>
            <w:shd w:val="clear" w:color="auto" w:fill="DDEBF7"/>
            <w:noWrap/>
            <w:vAlign w:val="center"/>
          </w:tcPr>
          <w:p w14:paraId="7EF6B33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48.00</w:t>
            </w:r>
          </w:p>
        </w:tc>
        <w:tc>
          <w:tcPr>
            <w:tcW w:w="1143" w:type="dxa"/>
            <w:tcBorders>
              <w:top w:val="nil"/>
              <w:left w:val="nil"/>
              <w:bottom w:val="double" w:color="3F3F3F" w:sz="2" w:space="0"/>
              <w:right w:val="double" w:color="3F3F3F" w:sz="2" w:space="0"/>
            </w:tcBorders>
            <w:shd w:val="clear" w:color="auto" w:fill="DDEBF7"/>
            <w:noWrap/>
            <w:vAlign w:val="center"/>
          </w:tcPr>
          <w:p w14:paraId="59454AD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60.00</w:t>
            </w:r>
          </w:p>
        </w:tc>
      </w:tr>
      <w:tr w14:paraId="2BF5A82D">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2B375CD0">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直接材料消耗</w:t>
            </w:r>
          </w:p>
        </w:tc>
        <w:tc>
          <w:tcPr>
            <w:tcW w:w="1143" w:type="dxa"/>
            <w:tcBorders>
              <w:top w:val="nil"/>
              <w:left w:val="nil"/>
              <w:bottom w:val="double" w:color="3F3F3F" w:sz="2" w:space="0"/>
              <w:right w:val="double" w:color="3F3F3F" w:sz="2" w:space="0"/>
            </w:tcBorders>
            <w:shd w:val="clear" w:color="auto" w:fill="DDEBF7"/>
            <w:noWrap/>
            <w:vAlign w:val="center"/>
          </w:tcPr>
          <w:p w14:paraId="05F06BD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c>
          <w:tcPr>
            <w:tcW w:w="1143" w:type="dxa"/>
            <w:tcBorders>
              <w:top w:val="nil"/>
              <w:left w:val="nil"/>
              <w:bottom w:val="double" w:color="3F3F3F" w:sz="2" w:space="0"/>
              <w:right w:val="double" w:color="3F3F3F" w:sz="2" w:space="0"/>
            </w:tcBorders>
            <w:shd w:val="clear" w:color="auto" w:fill="DDEBF7"/>
            <w:noWrap/>
            <w:vAlign w:val="center"/>
          </w:tcPr>
          <w:p w14:paraId="736697A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c>
          <w:tcPr>
            <w:tcW w:w="1143" w:type="dxa"/>
            <w:tcBorders>
              <w:top w:val="nil"/>
              <w:left w:val="nil"/>
              <w:bottom w:val="double" w:color="3F3F3F" w:sz="2" w:space="0"/>
              <w:right w:val="double" w:color="3F3F3F" w:sz="2" w:space="0"/>
            </w:tcBorders>
            <w:shd w:val="clear" w:color="auto" w:fill="DDEBF7"/>
            <w:noWrap/>
            <w:vAlign w:val="center"/>
          </w:tcPr>
          <w:p w14:paraId="41D505D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60.00</w:t>
            </w:r>
          </w:p>
        </w:tc>
        <w:tc>
          <w:tcPr>
            <w:tcW w:w="1143" w:type="dxa"/>
            <w:tcBorders>
              <w:top w:val="nil"/>
              <w:left w:val="nil"/>
              <w:bottom w:val="double" w:color="3F3F3F" w:sz="2" w:space="0"/>
              <w:right w:val="double" w:color="3F3F3F" w:sz="2" w:space="0"/>
            </w:tcBorders>
            <w:shd w:val="clear" w:color="auto" w:fill="DDEBF7"/>
            <w:noWrap/>
            <w:vAlign w:val="center"/>
          </w:tcPr>
          <w:p w14:paraId="244DBBA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120.00</w:t>
            </w:r>
          </w:p>
        </w:tc>
        <w:tc>
          <w:tcPr>
            <w:tcW w:w="1143" w:type="dxa"/>
            <w:tcBorders>
              <w:top w:val="nil"/>
              <w:left w:val="nil"/>
              <w:bottom w:val="double" w:color="3F3F3F" w:sz="2" w:space="0"/>
              <w:right w:val="double" w:color="3F3F3F" w:sz="2" w:space="0"/>
            </w:tcBorders>
            <w:shd w:val="clear" w:color="auto" w:fill="DDEBF7"/>
            <w:noWrap/>
            <w:vAlign w:val="center"/>
          </w:tcPr>
          <w:p w14:paraId="5525F35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200.00</w:t>
            </w:r>
          </w:p>
        </w:tc>
      </w:tr>
      <w:tr w14:paraId="18E54BCD">
        <w:tblPrEx>
          <w:tblCellMar>
            <w:top w:w="0" w:type="dxa"/>
            <w:left w:w="108" w:type="dxa"/>
            <w:bottom w:w="0" w:type="dxa"/>
            <w:right w:w="108" w:type="dxa"/>
          </w:tblCellMar>
        </w:tblPrEx>
        <w:trPr>
          <w:trHeight w:val="363"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0A41901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生产单位管理人员工资</w:t>
            </w:r>
          </w:p>
        </w:tc>
        <w:tc>
          <w:tcPr>
            <w:tcW w:w="1143" w:type="dxa"/>
            <w:tcBorders>
              <w:top w:val="nil"/>
              <w:left w:val="nil"/>
              <w:bottom w:val="double" w:color="3F3F3F" w:sz="2" w:space="0"/>
              <w:right w:val="double" w:color="3F3F3F" w:sz="2" w:space="0"/>
            </w:tcBorders>
            <w:shd w:val="clear" w:color="auto" w:fill="DDEBF7"/>
            <w:noWrap/>
            <w:vAlign w:val="center"/>
          </w:tcPr>
          <w:p w14:paraId="10411EE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w:t>
            </w:r>
          </w:p>
        </w:tc>
        <w:tc>
          <w:tcPr>
            <w:tcW w:w="1143" w:type="dxa"/>
            <w:tcBorders>
              <w:top w:val="nil"/>
              <w:left w:val="nil"/>
              <w:bottom w:val="double" w:color="3F3F3F" w:sz="2" w:space="0"/>
              <w:right w:val="double" w:color="3F3F3F" w:sz="2" w:space="0"/>
            </w:tcBorders>
            <w:shd w:val="clear" w:color="auto" w:fill="DDEBF7"/>
            <w:noWrap/>
            <w:vAlign w:val="center"/>
          </w:tcPr>
          <w:p w14:paraId="2D4BD41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w:t>
            </w:r>
          </w:p>
        </w:tc>
        <w:tc>
          <w:tcPr>
            <w:tcW w:w="1143" w:type="dxa"/>
            <w:tcBorders>
              <w:top w:val="nil"/>
              <w:left w:val="nil"/>
              <w:bottom w:val="double" w:color="3F3F3F" w:sz="2" w:space="0"/>
              <w:right w:val="double" w:color="3F3F3F" w:sz="2" w:space="0"/>
            </w:tcBorders>
            <w:shd w:val="clear" w:color="auto" w:fill="DDEBF7"/>
            <w:noWrap/>
            <w:vAlign w:val="center"/>
          </w:tcPr>
          <w:p w14:paraId="511380F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7446858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c>
          <w:tcPr>
            <w:tcW w:w="1143" w:type="dxa"/>
            <w:tcBorders>
              <w:top w:val="nil"/>
              <w:left w:val="nil"/>
              <w:bottom w:val="double" w:color="3F3F3F" w:sz="2" w:space="0"/>
              <w:right w:val="double" w:color="3F3F3F" w:sz="2" w:space="0"/>
            </w:tcBorders>
            <w:shd w:val="clear" w:color="auto" w:fill="DDEBF7"/>
            <w:noWrap/>
            <w:vAlign w:val="center"/>
          </w:tcPr>
          <w:p w14:paraId="507E508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r>
      <w:tr w14:paraId="000BA349">
        <w:tblPrEx>
          <w:tblCellMar>
            <w:top w:w="0" w:type="dxa"/>
            <w:left w:w="108" w:type="dxa"/>
            <w:bottom w:w="0" w:type="dxa"/>
            <w:right w:w="108" w:type="dxa"/>
          </w:tblCellMar>
        </w:tblPrEx>
        <w:trPr>
          <w:trHeight w:val="363"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2F99C6C0">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生产单位管理人员福利费</w:t>
            </w:r>
          </w:p>
        </w:tc>
        <w:tc>
          <w:tcPr>
            <w:tcW w:w="1143" w:type="dxa"/>
            <w:tcBorders>
              <w:top w:val="nil"/>
              <w:left w:val="nil"/>
              <w:bottom w:val="double" w:color="3F3F3F" w:sz="2" w:space="0"/>
              <w:right w:val="double" w:color="3F3F3F" w:sz="2" w:space="0"/>
            </w:tcBorders>
            <w:shd w:val="clear" w:color="auto" w:fill="DDEBF7"/>
            <w:noWrap/>
            <w:vAlign w:val="center"/>
          </w:tcPr>
          <w:p w14:paraId="396A6DF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4309A21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639CA59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0B88C1F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1886A24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r>
      <w:tr w14:paraId="62F496F1">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5983CAC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经营租赁费用</w:t>
            </w:r>
          </w:p>
        </w:tc>
        <w:tc>
          <w:tcPr>
            <w:tcW w:w="1143" w:type="dxa"/>
            <w:tcBorders>
              <w:top w:val="nil"/>
              <w:left w:val="nil"/>
              <w:bottom w:val="double" w:color="3F3F3F" w:sz="2" w:space="0"/>
              <w:right w:val="double" w:color="3F3F3F" w:sz="2" w:space="0"/>
            </w:tcBorders>
            <w:shd w:val="clear" w:color="auto" w:fill="DDEBF7"/>
            <w:noWrap/>
            <w:vAlign w:val="center"/>
          </w:tcPr>
          <w:p w14:paraId="3008563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w:t>
            </w:r>
          </w:p>
        </w:tc>
        <w:tc>
          <w:tcPr>
            <w:tcW w:w="1143" w:type="dxa"/>
            <w:tcBorders>
              <w:top w:val="nil"/>
              <w:left w:val="nil"/>
              <w:bottom w:val="double" w:color="3F3F3F" w:sz="2" w:space="0"/>
              <w:right w:val="double" w:color="3F3F3F" w:sz="2" w:space="0"/>
            </w:tcBorders>
            <w:shd w:val="clear" w:color="auto" w:fill="DDEBF7"/>
            <w:noWrap/>
            <w:vAlign w:val="center"/>
          </w:tcPr>
          <w:p w14:paraId="4AE1775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w:t>
            </w:r>
          </w:p>
        </w:tc>
        <w:tc>
          <w:tcPr>
            <w:tcW w:w="1143" w:type="dxa"/>
            <w:tcBorders>
              <w:top w:val="nil"/>
              <w:left w:val="nil"/>
              <w:bottom w:val="double" w:color="3F3F3F" w:sz="2" w:space="0"/>
              <w:right w:val="double" w:color="3F3F3F" w:sz="2" w:space="0"/>
            </w:tcBorders>
            <w:shd w:val="clear" w:color="auto" w:fill="DDEBF7"/>
            <w:noWrap/>
            <w:vAlign w:val="center"/>
          </w:tcPr>
          <w:p w14:paraId="46AC373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w:t>
            </w:r>
          </w:p>
        </w:tc>
        <w:tc>
          <w:tcPr>
            <w:tcW w:w="1143" w:type="dxa"/>
            <w:tcBorders>
              <w:top w:val="nil"/>
              <w:left w:val="nil"/>
              <w:bottom w:val="double" w:color="3F3F3F" w:sz="2" w:space="0"/>
              <w:right w:val="double" w:color="3F3F3F" w:sz="2" w:space="0"/>
            </w:tcBorders>
            <w:shd w:val="clear" w:color="auto" w:fill="DDEBF7"/>
            <w:noWrap/>
            <w:vAlign w:val="center"/>
          </w:tcPr>
          <w:p w14:paraId="57D04247">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40.00</w:t>
            </w:r>
          </w:p>
        </w:tc>
        <w:tc>
          <w:tcPr>
            <w:tcW w:w="1143" w:type="dxa"/>
            <w:tcBorders>
              <w:top w:val="nil"/>
              <w:left w:val="nil"/>
              <w:bottom w:val="double" w:color="3F3F3F" w:sz="2" w:space="0"/>
              <w:right w:val="double" w:color="3F3F3F" w:sz="2" w:space="0"/>
            </w:tcBorders>
            <w:shd w:val="clear" w:color="auto" w:fill="DDEBF7"/>
            <w:noWrap/>
            <w:vAlign w:val="center"/>
          </w:tcPr>
          <w:p w14:paraId="6B8B8830">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40.00</w:t>
            </w:r>
          </w:p>
        </w:tc>
      </w:tr>
      <w:tr w14:paraId="799722FB">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5C4F7EF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合计</w:t>
            </w:r>
          </w:p>
        </w:tc>
        <w:tc>
          <w:tcPr>
            <w:tcW w:w="1143" w:type="dxa"/>
            <w:tcBorders>
              <w:top w:val="nil"/>
              <w:left w:val="nil"/>
              <w:bottom w:val="double" w:color="3F3F3F" w:sz="2" w:space="0"/>
              <w:right w:val="double" w:color="3F3F3F" w:sz="2" w:space="0"/>
            </w:tcBorders>
            <w:shd w:val="clear" w:color="auto" w:fill="DDEBF7"/>
            <w:noWrap/>
            <w:vAlign w:val="center"/>
          </w:tcPr>
          <w:p w14:paraId="70C73E7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59.00</w:t>
            </w:r>
          </w:p>
        </w:tc>
        <w:tc>
          <w:tcPr>
            <w:tcW w:w="1143" w:type="dxa"/>
            <w:tcBorders>
              <w:top w:val="nil"/>
              <w:left w:val="nil"/>
              <w:bottom w:val="double" w:color="3F3F3F" w:sz="2" w:space="0"/>
              <w:right w:val="double" w:color="3F3F3F" w:sz="2" w:space="0"/>
            </w:tcBorders>
            <w:shd w:val="clear" w:color="auto" w:fill="DDEBF7"/>
            <w:noWrap/>
            <w:vAlign w:val="center"/>
          </w:tcPr>
          <w:p w14:paraId="26B37E6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59.00</w:t>
            </w:r>
          </w:p>
        </w:tc>
        <w:tc>
          <w:tcPr>
            <w:tcW w:w="1143" w:type="dxa"/>
            <w:tcBorders>
              <w:top w:val="nil"/>
              <w:left w:val="nil"/>
              <w:bottom w:val="double" w:color="3F3F3F" w:sz="2" w:space="0"/>
              <w:right w:val="double" w:color="3F3F3F" w:sz="2" w:space="0"/>
            </w:tcBorders>
            <w:shd w:val="clear" w:color="auto" w:fill="DDEBF7"/>
            <w:noWrap/>
            <w:vAlign w:val="center"/>
          </w:tcPr>
          <w:p w14:paraId="4F04C09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124.00</w:t>
            </w:r>
          </w:p>
        </w:tc>
        <w:tc>
          <w:tcPr>
            <w:tcW w:w="1143" w:type="dxa"/>
            <w:tcBorders>
              <w:top w:val="nil"/>
              <w:left w:val="nil"/>
              <w:bottom w:val="double" w:color="3F3F3F" w:sz="2" w:space="0"/>
              <w:right w:val="double" w:color="3F3F3F" w:sz="2" w:space="0"/>
            </w:tcBorders>
            <w:shd w:val="clear" w:color="auto" w:fill="DDEBF7"/>
            <w:noWrap/>
            <w:vAlign w:val="center"/>
          </w:tcPr>
          <w:p w14:paraId="045CF07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240.00</w:t>
            </w:r>
          </w:p>
        </w:tc>
        <w:tc>
          <w:tcPr>
            <w:tcW w:w="1143" w:type="dxa"/>
            <w:tcBorders>
              <w:top w:val="nil"/>
              <w:left w:val="nil"/>
              <w:bottom w:val="double" w:color="3F3F3F" w:sz="2" w:space="0"/>
              <w:right w:val="double" w:color="3F3F3F" w:sz="2" w:space="0"/>
            </w:tcBorders>
            <w:shd w:val="clear" w:color="auto" w:fill="DDEBF7"/>
            <w:noWrap/>
            <w:vAlign w:val="center"/>
          </w:tcPr>
          <w:p w14:paraId="7C80F07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335.00</w:t>
            </w:r>
          </w:p>
        </w:tc>
      </w:tr>
      <w:tr w14:paraId="4656E5AC">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3625F84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销售费用</w:t>
            </w:r>
          </w:p>
        </w:tc>
        <w:tc>
          <w:tcPr>
            <w:tcW w:w="1143" w:type="dxa"/>
            <w:tcBorders>
              <w:top w:val="nil"/>
              <w:left w:val="nil"/>
              <w:bottom w:val="double" w:color="3F3F3F" w:sz="2" w:space="0"/>
              <w:right w:val="double" w:color="3F3F3F" w:sz="2" w:space="0"/>
            </w:tcBorders>
            <w:shd w:val="clear" w:color="auto" w:fill="DDEBF7"/>
            <w:noWrap/>
            <w:vAlign w:val="bottom"/>
          </w:tcPr>
          <w:p w14:paraId="69B2E128">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0E74B72B">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2EA394DC">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54928427">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13E4A9E8">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r>
      <w:tr w14:paraId="47C5D95F">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0EB5E0C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广告、展览、宣传费</w:t>
            </w:r>
          </w:p>
        </w:tc>
        <w:tc>
          <w:tcPr>
            <w:tcW w:w="1143" w:type="dxa"/>
            <w:tcBorders>
              <w:top w:val="nil"/>
              <w:left w:val="nil"/>
              <w:bottom w:val="double" w:color="3F3F3F" w:sz="2" w:space="0"/>
              <w:right w:val="double" w:color="3F3F3F" w:sz="2" w:space="0"/>
            </w:tcBorders>
            <w:shd w:val="clear" w:color="auto" w:fill="DDEBF7"/>
            <w:noWrap/>
            <w:vAlign w:val="center"/>
          </w:tcPr>
          <w:p w14:paraId="727C542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26B6638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3E14B41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w:t>
            </w:r>
          </w:p>
        </w:tc>
        <w:tc>
          <w:tcPr>
            <w:tcW w:w="1143" w:type="dxa"/>
            <w:tcBorders>
              <w:top w:val="nil"/>
              <w:left w:val="nil"/>
              <w:bottom w:val="double" w:color="3F3F3F" w:sz="2" w:space="0"/>
              <w:right w:val="double" w:color="3F3F3F" w:sz="2" w:space="0"/>
            </w:tcBorders>
            <w:shd w:val="clear" w:color="auto" w:fill="DDEBF7"/>
            <w:noWrap/>
            <w:vAlign w:val="center"/>
          </w:tcPr>
          <w:p w14:paraId="3B4CC65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w:t>
            </w:r>
          </w:p>
        </w:tc>
        <w:tc>
          <w:tcPr>
            <w:tcW w:w="1143" w:type="dxa"/>
            <w:tcBorders>
              <w:top w:val="nil"/>
              <w:left w:val="nil"/>
              <w:bottom w:val="double" w:color="3F3F3F" w:sz="2" w:space="0"/>
              <w:right w:val="double" w:color="3F3F3F" w:sz="2" w:space="0"/>
            </w:tcBorders>
            <w:shd w:val="clear" w:color="auto" w:fill="DDEBF7"/>
            <w:noWrap/>
            <w:vAlign w:val="center"/>
          </w:tcPr>
          <w:p w14:paraId="0B61F377">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50.00</w:t>
            </w:r>
          </w:p>
        </w:tc>
      </w:tr>
      <w:tr w14:paraId="72AC1534">
        <w:tblPrEx>
          <w:tblCellMar>
            <w:top w:w="0" w:type="dxa"/>
            <w:left w:w="108" w:type="dxa"/>
            <w:bottom w:w="0" w:type="dxa"/>
            <w:right w:w="108" w:type="dxa"/>
          </w:tblCellMar>
        </w:tblPrEx>
        <w:trPr>
          <w:trHeight w:val="363"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0C30F3B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经营租赁费用</w:t>
            </w:r>
          </w:p>
        </w:tc>
        <w:tc>
          <w:tcPr>
            <w:tcW w:w="1143" w:type="dxa"/>
            <w:tcBorders>
              <w:top w:val="nil"/>
              <w:left w:val="nil"/>
              <w:bottom w:val="double" w:color="3F3F3F" w:sz="2" w:space="0"/>
              <w:right w:val="double" w:color="3F3F3F" w:sz="2" w:space="0"/>
            </w:tcBorders>
            <w:shd w:val="clear" w:color="auto" w:fill="DDEBF7"/>
            <w:noWrap/>
            <w:vAlign w:val="center"/>
          </w:tcPr>
          <w:p w14:paraId="4D039EE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1EF31C4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6F913B1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3193E28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w:t>
            </w:r>
          </w:p>
        </w:tc>
        <w:tc>
          <w:tcPr>
            <w:tcW w:w="1143" w:type="dxa"/>
            <w:tcBorders>
              <w:top w:val="nil"/>
              <w:left w:val="nil"/>
              <w:bottom w:val="double" w:color="3F3F3F" w:sz="2" w:space="0"/>
              <w:right w:val="double" w:color="3F3F3F" w:sz="2" w:space="0"/>
            </w:tcBorders>
            <w:shd w:val="clear" w:color="auto" w:fill="DDEBF7"/>
            <w:noWrap/>
            <w:vAlign w:val="center"/>
          </w:tcPr>
          <w:p w14:paraId="116534E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w:t>
            </w:r>
          </w:p>
        </w:tc>
      </w:tr>
      <w:tr w14:paraId="0F42A5FC">
        <w:tblPrEx>
          <w:tblCellMar>
            <w:top w:w="0" w:type="dxa"/>
            <w:left w:w="108" w:type="dxa"/>
            <w:bottom w:w="0" w:type="dxa"/>
            <w:right w:w="108" w:type="dxa"/>
          </w:tblCellMar>
        </w:tblPrEx>
        <w:trPr>
          <w:trHeight w:val="390"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4EB6531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销售部门人员工资</w:t>
            </w:r>
          </w:p>
        </w:tc>
        <w:tc>
          <w:tcPr>
            <w:tcW w:w="1143" w:type="dxa"/>
            <w:tcBorders>
              <w:top w:val="nil"/>
              <w:left w:val="nil"/>
              <w:bottom w:val="double" w:color="3F3F3F" w:sz="2" w:space="0"/>
              <w:right w:val="double" w:color="3F3F3F" w:sz="2" w:space="0"/>
            </w:tcBorders>
            <w:shd w:val="clear" w:color="auto" w:fill="DDEBF7"/>
            <w:noWrap/>
            <w:vAlign w:val="center"/>
          </w:tcPr>
          <w:p w14:paraId="439D91A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0EE9DC1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3CADDE3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24.00</w:t>
            </w:r>
          </w:p>
        </w:tc>
        <w:tc>
          <w:tcPr>
            <w:tcW w:w="1143" w:type="dxa"/>
            <w:tcBorders>
              <w:top w:val="nil"/>
              <w:left w:val="nil"/>
              <w:bottom w:val="double" w:color="3F3F3F" w:sz="2" w:space="0"/>
              <w:right w:val="double" w:color="3F3F3F" w:sz="2" w:space="0"/>
            </w:tcBorders>
            <w:shd w:val="clear" w:color="auto" w:fill="DDEBF7"/>
            <w:noWrap/>
            <w:vAlign w:val="center"/>
          </w:tcPr>
          <w:p w14:paraId="7533893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60.00</w:t>
            </w:r>
          </w:p>
        </w:tc>
        <w:tc>
          <w:tcPr>
            <w:tcW w:w="1143" w:type="dxa"/>
            <w:tcBorders>
              <w:top w:val="nil"/>
              <w:left w:val="nil"/>
              <w:bottom w:val="double" w:color="3F3F3F" w:sz="2" w:space="0"/>
              <w:right w:val="double" w:color="3F3F3F" w:sz="2" w:space="0"/>
            </w:tcBorders>
            <w:shd w:val="clear" w:color="auto" w:fill="DDEBF7"/>
            <w:noWrap/>
            <w:vAlign w:val="center"/>
          </w:tcPr>
          <w:p w14:paraId="552533D7">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120.00</w:t>
            </w:r>
          </w:p>
        </w:tc>
      </w:tr>
      <w:tr w14:paraId="6740EFE1">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0AE6771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销售部门人员福利费</w:t>
            </w:r>
          </w:p>
        </w:tc>
        <w:tc>
          <w:tcPr>
            <w:tcW w:w="1143" w:type="dxa"/>
            <w:tcBorders>
              <w:top w:val="nil"/>
              <w:left w:val="nil"/>
              <w:bottom w:val="double" w:color="3F3F3F" w:sz="2" w:space="0"/>
              <w:right w:val="double" w:color="3F3F3F" w:sz="2" w:space="0"/>
            </w:tcBorders>
            <w:shd w:val="clear" w:color="auto" w:fill="DDEBF7"/>
            <w:noWrap/>
            <w:vAlign w:val="center"/>
          </w:tcPr>
          <w:p w14:paraId="467345D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4F4BCB9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29CEEC7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50.00</w:t>
            </w:r>
          </w:p>
        </w:tc>
        <w:tc>
          <w:tcPr>
            <w:tcW w:w="1143" w:type="dxa"/>
            <w:tcBorders>
              <w:top w:val="nil"/>
              <w:left w:val="nil"/>
              <w:bottom w:val="double" w:color="3F3F3F" w:sz="2" w:space="0"/>
              <w:right w:val="double" w:color="3F3F3F" w:sz="2" w:space="0"/>
            </w:tcBorders>
            <w:shd w:val="clear" w:color="auto" w:fill="DDEBF7"/>
            <w:noWrap/>
            <w:vAlign w:val="center"/>
          </w:tcPr>
          <w:p w14:paraId="0252BEC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100.00</w:t>
            </w:r>
          </w:p>
        </w:tc>
        <w:tc>
          <w:tcPr>
            <w:tcW w:w="1143" w:type="dxa"/>
            <w:tcBorders>
              <w:top w:val="nil"/>
              <w:left w:val="nil"/>
              <w:bottom w:val="double" w:color="3F3F3F" w:sz="2" w:space="0"/>
              <w:right w:val="double" w:color="3F3F3F" w:sz="2" w:space="0"/>
            </w:tcBorders>
            <w:shd w:val="clear" w:color="auto" w:fill="DDEBF7"/>
            <w:noWrap/>
            <w:vAlign w:val="center"/>
          </w:tcPr>
          <w:p w14:paraId="3B6D32C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200.00</w:t>
            </w:r>
          </w:p>
        </w:tc>
      </w:tr>
      <w:tr w14:paraId="3922EAEB">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413F6C7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合计</w:t>
            </w:r>
          </w:p>
        </w:tc>
        <w:tc>
          <w:tcPr>
            <w:tcW w:w="1143" w:type="dxa"/>
            <w:tcBorders>
              <w:top w:val="nil"/>
              <w:left w:val="nil"/>
              <w:bottom w:val="double" w:color="3F3F3F" w:sz="2" w:space="0"/>
              <w:right w:val="double" w:color="3F3F3F" w:sz="2" w:space="0"/>
            </w:tcBorders>
            <w:shd w:val="clear" w:color="auto" w:fill="DDEBF7"/>
            <w:noWrap/>
            <w:vAlign w:val="center"/>
          </w:tcPr>
          <w:p w14:paraId="393025D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17.00</w:t>
            </w:r>
          </w:p>
        </w:tc>
        <w:tc>
          <w:tcPr>
            <w:tcW w:w="1143" w:type="dxa"/>
            <w:tcBorders>
              <w:top w:val="nil"/>
              <w:left w:val="nil"/>
              <w:bottom w:val="double" w:color="3F3F3F" w:sz="2" w:space="0"/>
              <w:right w:val="double" w:color="3F3F3F" w:sz="2" w:space="0"/>
            </w:tcBorders>
            <w:shd w:val="clear" w:color="auto" w:fill="DDEBF7"/>
            <w:noWrap/>
            <w:vAlign w:val="center"/>
          </w:tcPr>
          <w:p w14:paraId="0729379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23.00</w:t>
            </w:r>
          </w:p>
        </w:tc>
        <w:tc>
          <w:tcPr>
            <w:tcW w:w="1143" w:type="dxa"/>
            <w:tcBorders>
              <w:top w:val="nil"/>
              <w:left w:val="nil"/>
              <w:bottom w:val="double" w:color="3F3F3F" w:sz="2" w:space="0"/>
              <w:right w:val="double" w:color="3F3F3F" w:sz="2" w:space="0"/>
            </w:tcBorders>
            <w:shd w:val="clear" w:color="auto" w:fill="DDEBF7"/>
            <w:noWrap/>
            <w:vAlign w:val="center"/>
          </w:tcPr>
          <w:p w14:paraId="5346B7C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86.00</w:t>
            </w:r>
          </w:p>
        </w:tc>
        <w:tc>
          <w:tcPr>
            <w:tcW w:w="1143" w:type="dxa"/>
            <w:tcBorders>
              <w:top w:val="nil"/>
              <w:left w:val="nil"/>
              <w:bottom w:val="double" w:color="3F3F3F" w:sz="2" w:space="0"/>
              <w:right w:val="double" w:color="3F3F3F" w:sz="2" w:space="0"/>
            </w:tcBorders>
            <w:shd w:val="clear" w:color="auto" w:fill="DDEBF7"/>
            <w:noWrap/>
            <w:vAlign w:val="center"/>
          </w:tcPr>
          <w:p w14:paraId="5B054D4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184.00</w:t>
            </w:r>
          </w:p>
        </w:tc>
        <w:tc>
          <w:tcPr>
            <w:tcW w:w="1143" w:type="dxa"/>
            <w:tcBorders>
              <w:top w:val="nil"/>
              <w:left w:val="nil"/>
              <w:bottom w:val="double" w:color="3F3F3F" w:sz="2" w:space="0"/>
              <w:right w:val="double" w:color="3F3F3F" w:sz="2" w:space="0"/>
            </w:tcBorders>
            <w:shd w:val="clear" w:color="auto" w:fill="DDEBF7"/>
            <w:noWrap/>
            <w:vAlign w:val="center"/>
          </w:tcPr>
          <w:p w14:paraId="7572333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374.00</w:t>
            </w:r>
          </w:p>
        </w:tc>
      </w:tr>
      <w:tr w14:paraId="0B03AE93">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0B9B06A0">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管理费用</w:t>
            </w:r>
          </w:p>
        </w:tc>
        <w:tc>
          <w:tcPr>
            <w:tcW w:w="1143" w:type="dxa"/>
            <w:tcBorders>
              <w:top w:val="nil"/>
              <w:left w:val="nil"/>
              <w:bottom w:val="double" w:color="3F3F3F" w:sz="2" w:space="0"/>
              <w:right w:val="double" w:color="3F3F3F" w:sz="2" w:space="0"/>
            </w:tcBorders>
            <w:shd w:val="clear" w:color="auto" w:fill="DDEBF7"/>
            <w:noWrap/>
            <w:vAlign w:val="bottom"/>
          </w:tcPr>
          <w:p w14:paraId="5559E604">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74DA02A3">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6AA42996">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36DC61CB">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bottom"/>
          </w:tcPr>
          <w:p w14:paraId="3FA07DB7">
            <w:pPr>
              <w:widowControl/>
              <w:spacing w:line="360" w:lineRule="auto"/>
              <w:ind w:firstLine="360"/>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r>
      <w:tr w14:paraId="40BB1BFA">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274CEFC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行政管理人员工资</w:t>
            </w:r>
          </w:p>
        </w:tc>
        <w:tc>
          <w:tcPr>
            <w:tcW w:w="1143" w:type="dxa"/>
            <w:tcBorders>
              <w:top w:val="nil"/>
              <w:left w:val="nil"/>
              <w:bottom w:val="double" w:color="3F3F3F" w:sz="2" w:space="0"/>
              <w:right w:val="double" w:color="3F3F3F" w:sz="2" w:space="0"/>
            </w:tcBorders>
            <w:shd w:val="clear" w:color="auto" w:fill="DDEBF7"/>
            <w:noWrap/>
            <w:vAlign w:val="center"/>
          </w:tcPr>
          <w:p w14:paraId="4D969B5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25D2962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1AD804F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32.00</w:t>
            </w:r>
          </w:p>
        </w:tc>
        <w:tc>
          <w:tcPr>
            <w:tcW w:w="1143" w:type="dxa"/>
            <w:tcBorders>
              <w:top w:val="nil"/>
              <w:left w:val="nil"/>
              <w:bottom w:val="double" w:color="3F3F3F" w:sz="2" w:space="0"/>
              <w:right w:val="double" w:color="3F3F3F" w:sz="2" w:space="0"/>
            </w:tcBorders>
            <w:shd w:val="clear" w:color="auto" w:fill="DDEBF7"/>
            <w:noWrap/>
            <w:vAlign w:val="center"/>
          </w:tcPr>
          <w:p w14:paraId="6C42DED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32.00</w:t>
            </w:r>
          </w:p>
        </w:tc>
        <w:tc>
          <w:tcPr>
            <w:tcW w:w="1143" w:type="dxa"/>
            <w:tcBorders>
              <w:top w:val="nil"/>
              <w:left w:val="nil"/>
              <w:bottom w:val="double" w:color="3F3F3F" w:sz="2" w:space="0"/>
              <w:right w:val="double" w:color="3F3F3F" w:sz="2" w:space="0"/>
            </w:tcBorders>
            <w:shd w:val="clear" w:color="auto" w:fill="DDEBF7"/>
            <w:noWrap/>
            <w:vAlign w:val="center"/>
          </w:tcPr>
          <w:p w14:paraId="5C6C45B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50.00</w:t>
            </w:r>
          </w:p>
        </w:tc>
      </w:tr>
      <w:tr w14:paraId="0BC1AA0A">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652D1CE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行政管理人员福利费</w:t>
            </w:r>
          </w:p>
        </w:tc>
        <w:tc>
          <w:tcPr>
            <w:tcW w:w="1143" w:type="dxa"/>
            <w:tcBorders>
              <w:top w:val="nil"/>
              <w:left w:val="nil"/>
              <w:bottom w:val="double" w:color="3F3F3F" w:sz="2" w:space="0"/>
              <w:right w:val="double" w:color="3F3F3F" w:sz="2" w:space="0"/>
            </w:tcBorders>
            <w:shd w:val="clear" w:color="auto" w:fill="DDEBF7"/>
            <w:noWrap/>
            <w:vAlign w:val="center"/>
          </w:tcPr>
          <w:p w14:paraId="0EBA0CDB">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128BDF9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w:t>
            </w:r>
          </w:p>
        </w:tc>
        <w:tc>
          <w:tcPr>
            <w:tcW w:w="1143" w:type="dxa"/>
            <w:tcBorders>
              <w:top w:val="nil"/>
              <w:left w:val="nil"/>
              <w:bottom w:val="double" w:color="3F3F3F" w:sz="2" w:space="0"/>
              <w:right w:val="double" w:color="3F3F3F" w:sz="2" w:space="0"/>
            </w:tcBorders>
            <w:shd w:val="clear" w:color="auto" w:fill="DDEBF7"/>
            <w:noWrap/>
            <w:vAlign w:val="center"/>
          </w:tcPr>
          <w:p w14:paraId="1B0E4A67">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w:t>
            </w:r>
          </w:p>
        </w:tc>
        <w:tc>
          <w:tcPr>
            <w:tcW w:w="1143" w:type="dxa"/>
            <w:tcBorders>
              <w:top w:val="nil"/>
              <w:left w:val="nil"/>
              <w:bottom w:val="double" w:color="3F3F3F" w:sz="2" w:space="0"/>
              <w:right w:val="double" w:color="3F3F3F" w:sz="2" w:space="0"/>
            </w:tcBorders>
            <w:shd w:val="clear" w:color="auto" w:fill="DDEBF7"/>
            <w:noWrap/>
            <w:vAlign w:val="center"/>
          </w:tcPr>
          <w:p w14:paraId="0E49060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w:t>
            </w:r>
          </w:p>
        </w:tc>
        <w:tc>
          <w:tcPr>
            <w:tcW w:w="1143" w:type="dxa"/>
            <w:tcBorders>
              <w:top w:val="nil"/>
              <w:left w:val="nil"/>
              <w:bottom w:val="double" w:color="3F3F3F" w:sz="2" w:space="0"/>
              <w:right w:val="double" w:color="3F3F3F" w:sz="2" w:space="0"/>
            </w:tcBorders>
            <w:shd w:val="clear" w:color="auto" w:fill="DDEBF7"/>
            <w:noWrap/>
            <w:vAlign w:val="center"/>
          </w:tcPr>
          <w:p w14:paraId="2278B4E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w:t>
            </w:r>
          </w:p>
        </w:tc>
      </w:tr>
      <w:tr w14:paraId="7B25AB9F">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1FA4EF1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办公费</w:t>
            </w:r>
          </w:p>
        </w:tc>
        <w:tc>
          <w:tcPr>
            <w:tcW w:w="1143" w:type="dxa"/>
            <w:tcBorders>
              <w:top w:val="nil"/>
              <w:left w:val="nil"/>
              <w:bottom w:val="double" w:color="3F3F3F" w:sz="2" w:space="0"/>
              <w:right w:val="double" w:color="3F3F3F" w:sz="2" w:space="0"/>
            </w:tcBorders>
            <w:shd w:val="clear" w:color="auto" w:fill="DDEBF7"/>
            <w:noWrap/>
            <w:vAlign w:val="center"/>
          </w:tcPr>
          <w:p w14:paraId="15760F3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6D31949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w:t>
            </w:r>
          </w:p>
        </w:tc>
        <w:tc>
          <w:tcPr>
            <w:tcW w:w="1143" w:type="dxa"/>
            <w:tcBorders>
              <w:top w:val="nil"/>
              <w:left w:val="nil"/>
              <w:bottom w:val="double" w:color="3F3F3F" w:sz="2" w:space="0"/>
              <w:right w:val="double" w:color="3F3F3F" w:sz="2" w:space="0"/>
            </w:tcBorders>
            <w:shd w:val="clear" w:color="auto" w:fill="DDEBF7"/>
            <w:noWrap/>
            <w:vAlign w:val="center"/>
          </w:tcPr>
          <w:p w14:paraId="221ED4E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4.00</w:t>
            </w:r>
          </w:p>
        </w:tc>
        <w:tc>
          <w:tcPr>
            <w:tcW w:w="1143" w:type="dxa"/>
            <w:tcBorders>
              <w:top w:val="nil"/>
              <w:left w:val="nil"/>
              <w:bottom w:val="double" w:color="3F3F3F" w:sz="2" w:space="0"/>
              <w:right w:val="double" w:color="3F3F3F" w:sz="2" w:space="0"/>
            </w:tcBorders>
            <w:shd w:val="clear" w:color="auto" w:fill="DDEBF7"/>
            <w:noWrap/>
            <w:vAlign w:val="center"/>
          </w:tcPr>
          <w:p w14:paraId="13DB610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8.00</w:t>
            </w:r>
          </w:p>
        </w:tc>
        <w:tc>
          <w:tcPr>
            <w:tcW w:w="1143" w:type="dxa"/>
            <w:tcBorders>
              <w:top w:val="nil"/>
              <w:left w:val="nil"/>
              <w:bottom w:val="double" w:color="3F3F3F" w:sz="2" w:space="0"/>
              <w:right w:val="double" w:color="3F3F3F" w:sz="2" w:space="0"/>
            </w:tcBorders>
            <w:shd w:val="clear" w:color="auto" w:fill="DDEBF7"/>
            <w:noWrap/>
            <w:vAlign w:val="center"/>
          </w:tcPr>
          <w:p w14:paraId="6226876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w:t>
            </w:r>
          </w:p>
        </w:tc>
      </w:tr>
      <w:tr w14:paraId="6A629BD6">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6F35E2D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研发费用</w:t>
            </w:r>
          </w:p>
        </w:tc>
        <w:tc>
          <w:tcPr>
            <w:tcW w:w="1143" w:type="dxa"/>
            <w:tcBorders>
              <w:top w:val="nil"/>
              <w:left w:val="nil"/>
              <w:bottom w:val="double" w:color="3F3F3F" w:sz="2" w:space="0"/>
              <w:right w:val="double" w:color="3F3F3F" w:sz="2" w:space="0"/>
            </w:tcBorders>
            <w:shd w:val="clear" w:color="auto" w:fill="DDEBF7"/>
            <w:noWrap/>
            <w:vAlign w:val="center"/>
          </w:tcPr>
          <w:p w14:paraId="014CBB3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77B6BD6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w:t>
            </w:r>
          </w:p>
        </w:tc>
        <w:tc>
          <w:tcPr>
            <w:tcW w:w="1143" w:type="dxa"/>
            <w:tcBorders>
              <w:top w:val="nil"/>
              <w:left w:val="nil"/>
              <w:bottom w:val="double" w:color="3F3F3F" w:sz="2" w:space="0"/>
              <w:right w:val="double" w:color="3F3F3F" w:sz="2" w:space="0"/>
            </w:tcBorders>
            <w:shd w:val="clear" w:color="auto" w:fill="DDEBF7"/>
            <w:noWrap/>
            <w:vAlign w:val="center"/>
          </w:tcPr>
          <w:p w14:paraId="388C76B4">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w:t>
            </w:r>
          </w:p>
        </w:tc>
        <w:tc>
          <w:tcPr>
            <w:tcW w:w="1143" w:type="dxa"/>
            <w:tcBorders>
              <w:top w:val="nil"/>
              <w:left w:val="nil"/>
              <w:bottom w:val="double" w:color="3F3F3F" w:sz="2" w:space="0"/>
              <w:right w:val="double" w:color="3F3F3F" w:sz="2" w:space="0"/>
            </w:tcBorders>
            <w:shd w:val="clear" w:color="auto" w:fill="DDEBF7"/>
            <w:noWrap/>
            <w:vAlign w:val="center"/>
          </w:tcPr>
          <w:p w14:paraId="7FB2A07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60.00</w:t>
            </w:r>
          </w:p>
        </w:tc>
        <w:tc>
          <w:tcPr>
            <w:tcW w:w="1143" w:type="dxa"/>
            <w:tcBorders>
              <w:top w:val="nil"/>
              <w:left w:val="nil"/>
              <w:bottom w:val="double" w:color="3F3F3F" w:sz="2" w:space="0"/>
              <w:right w:val="double" w:color="3F3F3F" w:sz="2" w:space="0"/>
            </w:tcBorders>
            <w:shd w:val="clear" w:color="auto" w:fill="DDEBF7"/>
            <w:noWrap/>
            <w:vAlign w:val="center"/>
          </w:tcPr>
          <w:p w14:paraId="02C21314">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100.00</w:t>
            </w:r>
          </w:p>
        </w:tc>
      </w:tr>
      <w:tr w14:paraId="335E65E6">
        <w:tblPrEx>
          <w:tblCellMar>
            <w:top w:w="0" w:type="dxa"/>
            <w:left w:w="108" w:type="dxa"/>
            <w:bottom w:w="0" w:type="dxa"/>
            <w:right w:w="108" w:type="dxa"/>
          </w:tblCellMar>
        </w:tblPrEx>
        <w:trPr>
          <w:trHeight w:val="37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64015C1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合计</w:t>
            </w:r>
          </w:p>
        </w:tc>
        <w:tc>
          <w:tcPr>
            <w:tcW w:w="1143" w:type="dxa"/>
            <w:tcBorders>
              <w:top w:val="nil"/>
              <w:left w:val="nil"/>
              <w:bottom w:val="double" w:color="3F3F3F" w:sz="2" w:space="0"/>
              <w:right w:val="double" w:color="3F3F3F" w:sz="2" w:space="0"/>
            </w:tcBorders>
            <w:shd w:val="clear" w:color="auto" w:fill="DDEBF7"/>
            <w:noWrap/>
            <w:vAlign w:val="center"/>
          </w:tcPr>
          <w:p w14:paraId="233634F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27.00</w:t>
            </w:r>
          </w:p>
        </w:tc>
        <w:tc>
          <w:tcPr>
            <w:tcW w:w="1143" w:type="dxa"/>
            <w:tcBorders>
              <w:top w:val="nil"/>
              <w:left w:val="nil"/>
              <w:bottom w:val="double" w:color="3F3F3F" w:sz="2" w:space="0"/>
              <w:right w:val="double" w:color="3F3F3F" w:sz="2" w:space="0"/>
            </w:tcBorders>
            <w:shd w:val="clear" w:color="auto" w:fill="DDEBF7"/>
            <w:noWrap/>
            <w:vAlign w:val="center"/>
          </w:tcPr>
          <w:p w14:paraId="719BEA48">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27.00</w:t>
            </w:r>
          </w:p>
        </w:tc>
        <w:tc>
          <w:tcPr>
            <w:tcW w:w="1143" w:type="dxa"/>
            <w:tcBorders>
              <w:top w:val="nil"/>
              <w:left w:val="nil"/>
              <w:bottom w:val="double" w:color="3F3F3F" w:sz="2" w:space="0"/>
              <w:right w:val="double" w:color="3F3F3F" w:sz="2" w:space="0"/>
            </w:tcBorders>
            <w:shd w:val="clear" w:color="auto" w:fill="DDEBF7"/>
            <w:noWrap/>
            <w:vAlign w:val="center"/>
          </w:tcPr>
          <w:p w14:paraId="0577CF9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70.00</w:t>
            </w:r>
          </w:p>
        </w:tc>
        <w:tc>
          <w:tcPr>
            <w:tcW w:w="1143" w:type="dxa"/>
            <w:tcBorders>
              <w:top w:val="nil"/>
              <w:left w:val="nil"/>
              <w:bottom w:val="double" w:color="3F3F3F" w:sz="2" w:space="0"/>
              <w:right w:val="double" w:color="3F3F3F" w:sz="2" w:space="0"/>
            </w:tcBorders>
            <w:shd w:val="clear" w:color="auto" w:fill="DDEBF7"/>
            <w:noWrap/>
            <w:vAlign w:val="center"/>
          </w:tcPr>
          <w:p w14:paraId="606351A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104.00</w:t>
            </w:r>
          </w:p>
        </w:tc>
        <w:tc>
          <w:tcPr>
            <w:tcW w:w="1143" w:type="dxa"/>
            <w:tcBorders>
              <w:top w:val="nil"/>
              <w:left w:val="nil"/>
              <w:bottom w:val="double" w:color="3F3F3F" w:sz="2" w:space="0"/>
              <w:right w:val="double" w:color="3F3F3F" w:sz="2" w:space="0"/>
            </w:tcBorders>
            <w:shd w:val="clear" w:color="auto" w:fill="DDEBF7"/>
            <w:noWrap/>
            <w:vAlign w:val="center"/>
          </w:tcPr>
          <w:p w14:paraId="5D41762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170.00</w:t>
            </w:r>
          </w:p>
        </w:tc>
      </w:tr>
      <w:tr w14:paraId="49B8FCC9">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bottom"/>
          </w:tcPr>
          <w:p w14:paraId="4777F714">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财务费用</w:t>
            </w:r>
          </w:p>
        </w:tc>
        <w:tc>
          <w:tcPr>
            <w:tcW w:w="1143" w:type="dxa"/>
            <w:tcBorders>
              <w:top w:val="nil"/>
              <w:left w:val="nil"/>
              <w:bottom w:val="double" w:color="3F3F3F" w:sz="2" w:space="0"/>
              <w:right w:val="double" w:color="3F3F3F" w:sz="2" w:space="0"/>
            </w:tcBorders>
            <w:shd w:val="clear" w:color="auto" w:fill="DDEBF7"/>
            <w:noWrap/>
            <w:vAlign w:val="center"/>
          </w:tcPr>
          <w:p w14:paraId="604EA1E4">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center"/>
          </w:tcPr>
          <w:p w14:paraId="43A589A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center"/>
          </w:tcPr>
          <w:p w14:paraId="409FE0F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center"/>
          </w:tcPr>
          <w:p w14:paraId="5085DD70">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c>
          <w:tcPr>
            <w:tcW w:w="1143" w:type="dxa"/>
            <w:tcBorders>
              <w:top w:val="nil"/>
              <w:left w:val="nil"/>
              <w:bottom w:val="double" w:color="3F3F3F" w:sz="2" w:space="0"/>
              <w:right w:val="double" w:color="3F3F3F" w:sz="2" w:space="0"/>
            </w:tcBorders>
            <w:shd w:val="clear" w:color="auto" w:fill="DDEBF7"/>
            <w:noWrap/>
            <w:vAlign w:val="center"/>
          </w:tcPr>
          <w:p w14:paraId="3A8CE1A3">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w:t>
            </w:r>
          </w:p>
        </w:tc>
      </w:tr>
      <w:tr w14:paraId="526D4F03">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bottom"/>
          </w:tcPr>
          <w:p w14:paraId="58C68B4D">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利息支出</w:t>
            </w:r>
          </w:p>
        </w:tc>
        <w:tc>
          <w:tcPr>
            <w:tcW w:w="1143" w:type="dxa"/>
            <w:tcBorders>
              <w:top w:val="nil"/>
              <w:left w:val="nil"/>
              <w:bottom w:val="double" w:color="3F3F3F" w:sz="2" w:space="0"/>
              <w:right w:val="double" w:color="3F3F3F" w:sz="2" w:space="0"/>
            </w:tcBorders>
            <w:shd w:val="clear" w:color="auto" w:fill="DDEBF7"/>
            <w:noWrap/>
            <w:vAlign w:val="center"/>
          </w:tcPr>
          <w:p w14:paraId="53DAF279">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143" w:type="dxa"/>
            <w:tcBorders>
              <w:top w:val="nil"/>
              <w:left w:val="nil"/>
              <w:bottom w:val="double" w:color="3F3F3F" w:sz="2" w:space="0"/>
              <w:right w:val="double" w:color="3F3F3F" w:sz="2" w:space="0"/>
            </w:tcBorders>
            <w:shd w:val="clear" w:color="auto" w:fill="DDEBF7"/>
            <w:noWrap/>
            <w:vAlign w:val="center"/>
          </w:tcPr>
          <w:p w14:paraId="1194DC35">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16D0A55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5D63A40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5298FEA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r>
      <w:tr w14:paraId="69C0C539">
        <w:tblPrEx>
          <w:tblCellMar>
            <w:top w:w="0" w:type="dxa"/>
            <w:left w:w="108" w:type="dxa"/>
            <w:bottom w:w="0" w:type="dxa"/>
            <w:right w:w="108" w:type="dxa"/>
          </w:tblCellMar>
        </w:tblPrEx>
        <w:trPr>
          <w:trHeight w:val="381"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467D0ED7">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合计</w:t>
            </w:r>
          </w:p>
        </w:tc>
        <w:tc>
          <w:tcPr>
            <w:tcW w:w="1143" w:type="dxa"/>
            <w:tcBorders>
              <w:top w:val="nil"/>
              <w:left w:val="nil"/>
              <w:bottom w:val="double" w:color="3F3F3F" w:sz="2" w:space="0"/>
              <w:right w:val="double" w:color="3F3F3F" w:sz="2" w:space="0"/>
            </w:tcBorders>
            <w:shd w:val="clear" w:color="auto" w:fill="DDEBF7"/>
            <w:noWrap/>
            <w:vAlign w:val="center"/>
          </w:tcPr>
          <w:p w14:paraId="46AF2566">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143" w:type="dxa"/>
            <w:tcBorders>
              <w:top w:val="nil"/>
              <w:left w:val="nil"/>
              <w:bottom w:val="double" w:color="3F3F3F" w:sz="2" w:space="0"/>
              <w:right w:val="double" w:color="3F3F3F" w:sz="2" w:space="0"/>
            </w:tcBorders>
            <w:shd w:val="clear" w:color="auto" w:fill="DDEBF7"/>
            <w:noWrap/>
            <w:vAlign w:val="center"/>
          </w:tcPr>
          <w:p w14:paraId="483A84FC">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080C839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63216C6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143" w:type="dxa"/>
            <w:tcBorders>
              <w:top w:val="nil"/>
              <w:left w:val="nil"/>
              <w:bottom w:val="double" w:color="3F3F3F" w:sz="2" w:space="0"/>
              <w:right w:val="double" w:color="3F3F3F" w:sz="2" w:space="0"/>
            </w:tcBorders>
            <w:shd w:val="clear" w:color="auto" w:fill="DDEBF7"/>
            <w:noWrap/>
            <w:vAlign w:val="center"/>
          </w:tcPr>
          <w:p w14:paraId="1449AEBA">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r>
      <w:tr w14:paraId="05F83C85">
        <w:tblPrEx>
          <w:tblCellMar>
            <w:top w:w="0" w:type="dxa"/>
            <w:left w:w="108" w:type="dxa"/>
            <w:bottom w:w="0" w:type="dxa"/>
            <w:right w:w="108" w:type="dxa"/>
          </w:tblCellMar>
        </w:tblPrEx>
        <w:trPr>
          <w:trHeight w:val="363" w:hRule="atLeast"/>
          <w:jc w:val="center"/>
        </w:trPr>
        <w:tc>
          <w:tcPr>
            <w:tcW w:w="2575" w:type="dxa"/>
            <w:tcBorders>
              <w:top w:val="nil"/>
              <w:left w:val="double" w:color="3F3F3F" w:sz="2" w:space="0"/>
              <w:bottom w:val="double" w:color="3F3F3F" w:sz="2" w:space="0"/>
              <w:right w:val="double" w:color="3F3F3F" w:sz="2" w:space="0"/>
            </w:tcBorders>
            <w:shd w:val="clear" w:color="auto" w:fill="9BC2E6"/>
            <w:noWrap/>
            <w:vAlign w:val="center"/>
          </w:tcPr>
          <w:p w14:paraId="235B09A1">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总计</w:t>
            </w:r>
          </w:p>
        </w:tc>
        <w:tc>
          <w:tcPr>
            <w:tcW w:w="1143" w:type="dxa"/>
            <w:tcBorders>
              <w:top w:val="nil"/>
              <w:left w:val="nil"/>
              <w:bottom w:val="double" w:color="3F3F3F" w:sz="2" w:space="0"/>
              <w:right w:val="double" w:color="3F3F3F" w:sz="2" w:space="0"/>
            </w:tcBorders>
            <w:shd w:val="clear" w:color="auto" w:fill="DDEBF7"/>
            <w:noWrap/>
            <w:vAlign w:val="center"/>
          </w:tcPr>
          <w:p w14:paraId="768D2ADE">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103.00</w:t>
            </w:r>
          </w:p>
        </w:tc>
        <w:tc>
          <w:tcPr>
            <w:tcW w:w="1143" w:type="dxa"/>
            <w:tcBorders>
              <w:top w:val="nil"/>
              <w:left w:val="nil"/>
              <w:bottom w:val="double" w:color="3F3F3F" w:sz="2" w:space="0"/>
              <w:right w:val="double" w:color="3F3F3F" w:sz="2" w:space="0"/>
            </w:tcBorders>
            <w:shd w:val="clear" w:color="auto" w:fill="DDEBF7"/>
            <w:noWrap/>
            <w:vAlign w:val="center"/>
          </w:tcPr>
          <w:p w14:paraId="20B28E7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114.00</w:t>
            </w:r>
          </w:p>
        </w:tc>
        <w:tc>
          <w:tcPr>
            <w:tcW w:w="1143" w:type="dxa"/>
            <w:tcBorders>
              <w:top w:val="nil"/>
              <w:left w:val="nil"/>
              <w:bottom w:val="double" w:color="3F3F3F" w:sz="2" w:space="0"/>
              <w:right w:val="double" w:color="3F3F3F" w:sz="2" w:space="0"/>
            </w:tcBorders>
            <w:shd w:val="clear" w:color="auto" w:fill="DDEBF7"/>
            <w:noWrap/>
            <w:vAlign w:val="center"/>
          </w:tcPr>
          <w:p w14:paraId="7D115DB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285.00</w:t>
            </w:r>
          </w:p>
        </w:tc>
        <w:tc>
          <w:tcPr>
            <w:tcW w:w="1143" w:type="dxa"/>
            <w:tcBorders>
              <w:top w:val="nil"/>
              <w:left w:val="nil"/>
              <w:bottom w:val="double" w:color="3F3F3F" w:sz="2" w:space="0"/>
              <w:right w:val="double" w:color="3F3F3F" w:sz="2" w:space="0"/>
            </w:tcBorders>
            <w:shd w:val="clear" w:color="auto" w:fill="DDEBF7"/>
            <w:noWrap/>
            <w:vAlign w:val="center"/>
          </w:tcPr>
          <w:p w14:paraId="1E4670C2">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533.00</w:t>
            </w:r>
          </w:p>
        </w:tc>
        <w:tc>
          <w:tcPr>
            <w:tcW w:w="1143" w:type="dxa"/>
            <w:tcBorders>
              <w:top w:val="nil"/>
              <w:left w:val="nil"/>
              <w:bottom w:val="double" w:color="3F3F3F" w:sz="2" w:space="0"/>
              <w:right w:val="double" w:color="3F3F3F" w:sz="2" w:space="0"/>
            </w:tcBorders>
            <w:shd w:val="clear" w:color="auto" w:fill="DDEBF7"/>
            <w:noWrap/>
            <w:vAlign w:val="center"/>
          </w:tcPr>
          <w:p w14:paraId="0F608C6F">
            <w:pPr>
              <w:widowControl/>
              <w:spacing w:line="360" w:lineRule="auto"/>
              <w:ind w:firstLine="36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884.00</w:t>
            </w:r>
          </w:p>
        </w:tc>
      </w:tr>
    </w:tbl>
    <w:p w14:paraId="1F3664A7">
      <w:pPr>
        <w:pStyle w:val="21"/>
        <w:jc w:val="center"/>
        <w:rPr>
          <w:rFonts w:hint="eastAsia"/>
          <w:b w:val="0"/>
          <w:bCs/>
        </w:rPr>
      </w:pPr>
      <w:r>
        <w:rPr>
          <w:rFonts w:hint="eastAsia"/>
          <w:b w:val="0"/>
          <w:bCs/>
        </w:rPr>
        <w:t>附注：办公费用包括：水电费、物料消耗、电话费、邮递费、网络费等。</w:t>
      </w:r>
    </w:p>
    <w:p w14:paraId="473F375E">
      <w:pPr>
        <w:pStyle w:val="21"/>
        <w:jc w:val="center"/>
        <w:rPr>
          <w:rFonts w:hint="eastAsia"/>
          <w:b w:val="0"/>
          <w:bCs/>
        </w:rPr>
      </w:pPr>
      <w:r>
        <w:rPr>
          <w:rFonts w:hint="eastAsia"/>
          <w:lang w:val="en-US" w:eastAsia="zh-CN"/>
        </w:rPr>
        <w:t xml:space="preserve">表11 </w:t>
      </w:r>
      <w:r>
        <w:rPr>
          <w:rFonts w:hint="eastAsia"/>
        </w:rPr>
        <w:t>预计成本费用表（单位：万元）</w:t>
      </w:r>
    </w:p>
    <w:p w14:paraId="04C02633">
      <w:pPr>
        <w:spacing w:line="360" w:lineRule="auto"/>
        <w:ind w:firstLine="480"/>
      </w:pPr>
      <w:r>
        <w:rPr>
          <w:rFonts w:hint="eastAsia"/>
        </w:rPr>
        <w:t>2、主要财务指标</w:t>
      </w:r>
    </w:p>
    <w:p w14:paraId="5A862999">
      <w:pPr>
        <w:spacing w:after="160" w:line="360" w:lineRule="auto"/>
        <w:ind w:firstLine="480"/>
        <w:jc w:val="center"/>
      </w:pPr>
      <w:r>
        <w:drawing>
          <wp:inline distT="0" distB="0" distL="0" distR="0">
            <wp:extent cx="5274310" cy="2807970"/>
            <wp:effectExtent l="0" t="0" r="2540" b="0"/>
            <wp:docPr id="1297983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8390" name="图片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2807970"/>
                    </a:xfrm>
                    <a:prstGeom prst="rect">
                      <a:avLst/>
                    </a:prstGeom>
                    <a:noFill/>
                    <a:ln>
                      <a:noFill/>
                    </a:ln>
                  </pic:spPr>
                </pic:pic>
              </a:graphicData>
            </a:graphic>
          </wp:inline>
        </w:drawing>
      </w:r>
    </w:p>
    <w:p w14:paraId="0379B5BC">
      <w:pPr>
        <w:pStyle w:val="21"/>
        <w:jc w:val="center"/>
        <w:rPr>
          <w:rFonts w:hint="eastAsia"/>
          <w:b w:val="0"/>
          <w:bCs/>
        </w:rPr>
      </w:pPr>
      <w:r>
        <w:rPr>
          <w:rFonts w:hint="eastAsia"/>
          <w:lang w:val="en-US" w:eastAsia="zh-CN"/>
        </w:rPr>
        <w:t xml:space="preserve">表12 </w:t>
      </w:r>
      <w:r>
        <w:rPr>
          <w:rFonts w:hint="eastAsia"/>
        </w:rPr>
        <w:t>预计</w:t>
      </w:r>
      <w:r>
        <w:rPr>
          <w:rFonts w:hint="eastAsia"/>
          <w:lang w:val="en-US" w:eastAsia="zh-CN"/>
        </w:rPr>
        <w:t>盈利</w:t>
      </w:r>
      <w:r>
        <w:rPr>
          <w:rFonts w:hint="eastAsia"/>
        </w:rPr>
        <w:t>（单位：万元）</w:t>
      </w:r>
    </w:p>
    <w:p w14:paraId="54AE5C1E">
      <w:pPr>
        <w:spacing w:after="160" w:line="360" w:lineRule="auto"/>
        <w:ind w:firstLine="480"/>
        <w:jc w:val="center"/>
        <w:rPr>
          <w:rFonts w:hint="eastAsia"/>
        </w:rPr>
      </w:pPr>
    </w:p>
    <w:p w14:paraId="67F6BFD3">
      <w:pPr>
        <w:spacing w:line="360" w:lineRule="auto"/>
        <w:ind w:firstLine="480"/>
      </w:pPr>
      <w:r>
        <w:rPr>
          <w:rFonts w:hint="eastAsia"/>
        </w:rPr>
        <w:t>在项目初期，项目的不成熟导致盈利能力尚且不足，消耗成本较高，可能会导致一段时期的利润较低。但是，随着项目的不断迭代更新以及公司的逐年运营，必然会因为处理数据量的增加、业务量的稳步上升和优质的服务与售后追踪服务，扩大了市场并进行精准营销，从而进入财务上的快速发展期。</w:t>
      </w:r>
    </w:p>
    <w:p w14:paraId="0029FB6A">
      <w:pPr>
        <w:pStyle w:val="3"/>
        <w:spacing w:line="360" w:lineRule="auto"/>
      </w:pPr>
      <w:bookmarkStart w:id="22" w:name="_Toc25129"/>
      <w:r>
        <w:rPr>
          <w:rFonts w:hint="eastAsia"/>
        </w:rPr>
        <w:t>预期资产负债表</w:t>
      </w:r>
      <w:bookmarkEnd w:id="22"/>
    </w:p>
    <w:tbl>
      <w:tblPr>
        <w:tblStyle w:val="13"/>
        <w:tblW w:w="7580" w:type="dxa"/>
        <w:tblInd w:w="0" w:type="dxa"/>
        <w:tblLayout w:type="autofit"/>
        <w:tblCellMar>
          <w:top w:w="0" w:type="dxa"/>
          <w:left w:w="108" w:type="dxa"/>
          <w:bottom w:w="0" w:type="dxa"/>
          <w:right w:w="108" w:type="dxa"/>
        </w:tblCellMar>
      </w:tblPr>
      <w:tblGrid>
        <w:gridCol w:w="2180"/>
        <w:gridCol w:w="1080"/>
        <w:gridCol w:w="1080"/>
        <w:gridCol w:w="1080"/>
        <w:gridCol w:w="1080"/>
        <w:gridCol w:w="1080"/>
      </w:tblGrid>
      <w:tr w14:paraId="41A6B2BA">
        <w:tblPrEx>
          <w:tblCellMar>
            <w:top w:w="0" w:type="dxa"/>
            <w:left w:w="108" w:type="dxa"/>
            <w:bottom w:w="0" w:type="dxa"/>
            <w:right w:w="108" w:type="dxa"/>
          </w:tblCellMar>
        </w:tblPrEx>
        <w:trPr>
          <w:trHeight w:val="315" w:hRule="atLeast"/>
        </w:trPr>
        <w:tc>
          <w:tcPr>
            <w:tcW w:w="2180" w:type="dxa"/>
            <w:tcBorders>
              <w:top w:val="double" w:color="3F3F3F" w:sz="2" w:space="0"/>
              <w:left w:val="double" w:color="3F3F3F" w:sz="2" w:space="0"/>
              <w:bottom w:val="double" w:color="3F3F3F" w:sz="2" w:space="0"/>
              <w:right w:val="double" w:color="3F3F3F" w:sz="2" w:space="0"/>
            </w:tcBorders>
            <w:shd w:val="clear" w:color="auto" w:fill="9BC2E6"/>
            <w:noWrap/>
            <w:vAlign w:val="center"/>
          </w:tcPr>
          <w:p w14:paraId="17EC1E3B">
            <w:pPr>
              <w:widowControl/>
              <w:spacing w:line="360" w:lineRule="auto"/>
              <w:ind w:firstLine="44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项目</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585079D3">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第一年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225E7CE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第二年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1DEB71C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第三年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6C79C04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第四年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15D258D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第五年</w:t>
            </w:r>
          </w:p>
        </w:tc>
      </w:tr>
      <w:tr w14:paraId="386F69C4">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323711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一、营业收入</w:t>
            </w:r>
          </w:p>
        </w:tc>
        <w:tc>
          <w:tcPr>
            <w:tcW w:w="1080" w:type="dxa"/>
            <w:tcBorders>
              <w:top w:val="nil"/>
              <w:left w:val="nil"/>
              <w:bottom w:val="double" w:color="3F3F3F" w:sz="2" w:space="0"/>
              <w:right w:val="double" w:color="3F3F3F" w:sz="2" w:space="0"/>
            </w:tcBorders>
            <w:shd w:val="clear" w:color="auto" w:fill="DDEBF7"/>
            <w:noWrap/>
            <w:vAlign w:val="center"/>
          </w:tcPr>
          <w:p w14:paraId="71B78D26">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100.00</w:t>
            </w:r>
          </w:p>
        </w:tc>
        <w:tc>
          <w:tcPr>
            <w:tcW w:w="1080" w:type="dxa"/>
            <w:tcBorders>
              <w:top w:val="nil"/>
              <w:left w:val="nil"/>
              <w:bottom w:val="double" w:color="3F3F3F" w:sz="2" w:space="0"/>
              <w:right w:val="double" w:color="3F3F3F" w:sz="2" w:space="0"/>
            </w:tcBorders>
            <w:shd w:val="clear" w:color="auto" w:fill="DDEBF7"/>
            <w:noWrap/>
            <w:vAlign w:val="center"/>
          </w:tcPr>
          <w:p w14:paraId="29AED14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200.00</w:t>
            </w:r>
          </w:p>
        </w:tc>
        <w:tc>
          <w:tcPr>
            <w:tcW w:w="1080" w:type="dxa"/>
            <w:tcBorders>
              <w:top w:val="nil"/>
              <w:left w:val="nil"/>
              <w:bottom w:val="double" w:color="3F3F3F" w:sz="2" w:space="0"/>
              <w:right w:val="double" w:color="3F3F3F" w:sz="2" w:space="0"/>
            </w:tcBorders>
            <w:shd w:val="clear" w:color="auto" w:fill="DDEBF7"/>
            <w:noWrap/>
            <w:vAlign w:val="center"/>
          </w:tcPr>
          <w:p w14:paraId="32A089C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500.00</w:t>
            </w:r>
          </w:p>
        </w:tc>
        <w:tc>
          <w:tcPr>
            <w:tcW w:w="1080" w:type="dxa"/>
            <w:tcBorders>
              <w:top w:val="nil"/>
              <w:left w:val="nil"/>
              <w:bottom w:val="double" w:color="3F3F3F" w:sz="2" w:space="0"/>
              <w:right w:val="double" w:color="3F3F3F" w:sz="2" w:space="0"/>
            </w:tcBorders>
            <w:shd w:val="clear" w:color="auto" w:fill="DDEBF7"/>
            <w:noWrap/>
            <w:vAlign w:val="center"/>
          </w:tcPr>
          <w:p w14:paraId="53D1AAF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1000.00</w:t>
            </w:r>
          </w:p>
        </w:tc>
        <w:tc>
          <w:tcPr>
            <w:tcW w:w="1080" w:type="dxa"/>
            <w:tcBorders>
              <w:top w:val="nil"/>
              <w:left w:val="nil"/>
              <w:bottom w:val="double" w:color="3F3F3F" w:sz="2" w:space="0"/>
              <w:right w:val="double" w:color="3F3F3F" w:sz="2" w:space="0"/>
            </w:tcBorders>
            <w:shd w:val="clear" w:color="auto" w:fill="DDEBF7"/>
            <w:noWrap/>
            <w:vAlign w:val="center"/>
          </w:tcPr>
          <w:p w14:paraId="2D97ED1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2000.00</w:t>
            </w:r>
          </w:p>
        </w:tc>
      </w:tr>
      <w:tr w14:paraId="5AC358F7">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253958F3">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减：营业成本</w:t>
            </w:r>
          </w:p>
        </w:tc>
        <w:tc>
          <w:tcPr>
            <w:tcW w:w="1080" w:type="dxa"/>
            <w:tcBorders>
              <w:top w:val="nil"/>
              <w:left w:val="nil"/>
              <w:bottom w:val="double" w:color="3F3F3F" w:sz="2" w:space="0"/>
              <w:right w:val="double" w:color="3F3F3F" w:sz="2" w:space="0"/>
            </w:tcBorders>
            <w:shd w:val="clear" w:color="auto" w:fill="DDEBF7"/>
            <w:noWrap/>
            <w:vAlign w:val="center"/>
          </w:tcPr>
          <w:p w14:paraId="2416267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60.00</w:t>
            </w:r>
          </w:p>
        </w:tc>
        <w:tc>
          <w:tcPr>
            <w:tcW w:w="1080" w:type="dxa"/>
            <w:tcBorders>
              <w:top w:val="nil"/>
              <w:left w:val="nil"/>
              <w:bottom w:val="double" w:color="3F3F3F" w:sz="2" w:space="0"/>
              <w:right w:val="double" w:color="3F3F3F" w:sz="2" w:space="0"/>
            </w:tcBorders>
            <w:shd w:val="clear" w:color="auto" w:fill="DDEBF7"/>
            <w:noWrap/>
            <w:vAlign w:val="center"/>
          </w:tcPr>
          <w:p w14:paraId="00CE61F3">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70.00</w:t>
            </w:r>
          </w:p>
        </w:tc>
        <w:tc>
          <w:tcPr>
            <w:tcW w:w="1080" w:type="dxa"/>
            <w:tcBorders>
              <w:top w:val="nil"/>
              <w:left w:val="nil"/>
              <w:bottom w:val="double" w:color="3F3F3F" w:sz="2" w:space="0"/>
              <w:right w:val="double" w:color="3F3F3F" w:sz="2" w:space="0"/>
            </w:tcBorders>
            <w:shd w:val="clear" w:color="auto" w:fill="DDEBF7"/>
            <w:noWrap/>
            <w:vAlign w:val="center"/>
          </w:tcPr>
          <w:p w14:paraId="08905C08">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120.00</w:t>
            </w:r>
          </w:p>
        </w:tc>
        <w:tc>
          <w:tcPr>
            <w:tcW w:w="1080" w:type="dxa"/>
            <w:tcBorders>
              <w:top w:val="nil"/>
              <w:left w:val="nil"/>
              <w:bottom w:val="double" w:color="3F3F3F" w:sz="2" w:space="0"/>
              <w:right w:val="double" w:color="3F3F3F" w:sz="2" w:space="0"/>
            </w:tcBorders>
            <w:shd w:val="clear" w:color="auto" w:fill="DDEBF7"/>
            <w:noWrap/>
            <w:vAlign w:val="center"/>
          </w:tcPr>
          <w:p w14:paraId="25274D9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240.00</w:t>
            </w:r>
          </w:p>
        </w:tc>
        <w:tc>
          <w:tcPr>
            <w:tcW w:w="1080" w:type="dxa"/>
            <w:tcBorders>
              <w:top w:val="nil"/>
              <w:left w:val="nil"/>
              <w:bottom w:val="double" w:color="3F3F3F" w:sz="2" w:space="0"/>
              <w:right w:val="double" w:color="3F3F3F" w:sz="2" w:space="0"/>
            </w:tcBorders>
            <w:shd w:val="clear" w:color="auto" w:fill="DDEBF7"/>
            <w:noWrap/>
            <w:vAlign w:val="center"/>
          </w:tcPr>
          <w:p w14:paraId="6FD85F0D">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300.00</w:t>
            </w:r>
          </w:p>
        </w:tc>
      </w:tr>
      <w:tr w14:paraId="2E518A73">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1338D8D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税金及附加</w:t>
            </w:r>
          </w:p>
        </w:tc>
        <w:tc>
          <w:tcPr>
            <w:tcW w:w="1080" w:type="dxa"/>
            <w:tcBorders>
              <w:top w:val="nil"/>
              <w:left w:val="nil"/>
              <w:bottom w:val="double" w:color="3F3F3F" w:sz="2" w:space="0"/>
              <w:right w:val="double" w:color="3F3F3F" w:sz="2" w:space="0"/>
            </w:tcBorders>
            <w:shd w:val="clear" w:color="auto" w:fill="DDEBF7"/>
            <w:noWrap/>
            <w:vAlign w:val="center"/>
          </w:tcPr>
          <w:p w14:paraId="06E48E06">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1.70</w:t>
            </w:r>
          </w:p>
        </w:tc>
        <w:tc>
          <w:tcPr>
            <w:tcW w:w="1080" w:type="dxa"/>
            <w:tcBorders>
              <w:top w:val="nil"/>
              <w:left w:val="nil"/>
              <w:bottom w:val="double" w:color="3F3F3F" w:sz="2" w:space="0"/>
              <w:right w:val="double" w:color="3F3F3F" w:sz="2" w:space="0"/>
            </w:tcBorders>
            <w:shd w:val="clear" w:color="auto" w:fill="DDEBF7"/>
            <w:noWrap/>
            <w:vAlign w:val="center"/>
          </w:tcPr>
          <w:p w14:paraId="092939B3">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3.40</w:t>
            </w:r>
          </w:p>
        </w:tc>
        <w:tc>
          <w:tcPr>
            <w:tcW w:w="1080" w:type="dxa"/>
            <w:tcBorders>
              <w:top w:val="nil"/>
              <w:left w:val="nil"/>
              <w:bottom w:val="double" w:color="3F3F3F" w:sz="2" w:space="0"/>
              <w:right w:val="double" w:color="3F3F3F" w:sz="2" w:space="0"/>
            </w:tcBorders>
            <w:shd w:val="clear" w:color="auto" w:fill="DDEBF7"/>
            <w:noWrap/>
            <w:vAlign w:val="center"/>
          </w:tcPr>
          <w:p w14:paraId="0D974060">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8.50</w:t>
            </w:r>
          </w:p>
        </w:tc>
        <w:tc>
          <w:tcPr>
            <w:tcW w:w="1080" w:type="dxa"/>
            <w:tcBorders>
              <w:top w:val="nil"/>
              <w:left w:val="nil"/>
              <w:bottom w:val="double" w:color="3F3F3F" w:sz="2" w:space="0"/>
              <w:right w:val="double" w:color="3F3F3F" w:sz="2" w:space="0"/>
            </w:tcBorders>
            <w:shd w:val="clear" w:color="auto" w:fill="DDEBF7"/>
            <w:noWrap/>
            <w:vAlign w:val="center"/>
          </w:tcPr>
          <w:p w14:paraId="7E8D6D20">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17.00</w:t>
            </w:r>
          </w:p>
        </w:tc>
        <w:tc>
          <w:tcPr>
            <w:tcW w:w="1080" w:type="dxa"/>
            <w:tcBorders>
              <w:top w:val="nil"/>
              <w:left w:val="nil"/>
              <w:bottom w:val="double" w:color="3F3F3F" w:sz="2" w:space="0"/>
              <w:right w:val="double" w:color="3F3F3F" w:sz="2" w:space="0"/>
            </w:tcBorders>
            <w:shd w:val="clear" w:color="auto" w:fill="DDEBF7"/>
            <w:noWrap/>
            <w:vAlign w:val="center"/>
          </w:tcPr>
          <w:p w14:paraId="12A0650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34.00</w:t>
            </w:r>
          </w:p>
        </w:tc>
      </w:tr>
      <w:tr w14:paraId="12E718FF">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93938B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销售费用</w:t>
            </w:r>
          </w:p>
        </w:tc>
        <w:tc>
          <w:tcPr>
            <w:tcW w:w="1080" w:type="dxa"/>
            <w:tcBorders>
              <w:top w:val="nil"/>
              <w:left w:val="nil"/>
              <w:bottom w:val="double" w:color="3F3F3F" w:sz="2" w:space="0"/>
              <w:right w:val="double" w:color="3F3F3F" w:sz="2" w:space="0"/>
            </w:tcBorders>
            <w:shd w:val="clear" w:color="auto" w:fill="DDEBF7"/>
            <w:noWrap/>
            <w:vAlign w:val="center"/>
          </w:tcPr>
          <w:p w14:paraId="73429821">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17.00</w:t>
            </w:r>
          </w:p>
        </w:tc>
        <w:tc>
          <w:tcPr>
            <w:tcW w:w="1080" w:type="dxa"/>
            <w:tcBorders>
              <w:top w:val="nil"/>
              <w:left w:val="nil"/>
              <w:bottom w:val="double" w:color="3F3F3F" w:sz="2" w:space="0"/>
              <w:right w:val="double" w:color="3F3F3F" w:sz="2" w:space="0"/>
            </w:tcBorders>
            <w:shd w:val="clear" w:color="auto" w:fill="DDEBF7"/>
            <w:noWrap/>
            <w:vAlign w:val="center"/>
          </w:tcPr>
          <w:p w14:paraId="5CD31249">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23.00</w:t>
            </w:r>
          </w:p>
        </w:tc>
        <w:tc>
          <w:tcPr>
            <w:tcW w:w="1080" w:type="dxa"/>
            <w:tcBorders>
              <w:top w:val="nil"/>
              <w:left w:val="nil"/>
              <w:bottom w:val="double" w:color="3F3F3F" w:sz="2" w:space="0"/>
              <w:right w:val="double" w:color="3F3F3F" w:sz="2" w:space="0"/>
            </w:tcBorders>
            <w:shd w:val="clear" w:color="auto" w:fill="DDEBF7"/>
            <w:noWrap/>
            <w:vAlign w:val="center"/>
          </w:tcPr>
          <w:p w14:paraId="287174BB">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86.00</w:t>
            </w:r>
          </w:p>
        </w:tc>
        <w:tc>
          <w:tcPr>
            <w:tcW w:w="1080" w:type="dxa"/>
            <w:tcBorders>
              <w:top w:val="nil"/>
              <w:left w:val="nil"/>
              <w:bottom w:val="double" w:color="3F3F3F" w:sz="2" w:space="0"/>
              <w:right w:val="double" w:color="3F3F3F" w:sz="2" w:space="0"/>
            </w:tcBorders>
            <w:shd w:val="clear" w:color="auto" w:fill="DDEBF7"/>
            <w:noWrap/>
            <w:vAlign w:val="center"/>
          </w:tcPr>
          <w:p w14:paraId="2397E73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184.00</w:t>
            </w:r>
          </w:p>
        </w:tc>
        <w:tc>
          <w:tcPr>
            <w:tcW w:w="1080" w:type="dxa"/>
            <w:tcBorders>
              <w:top w:val="nil"/>
              <w:left w:val="nil"/>
              <w:bottom w:val="double" w:color="3F3F3F" w:sz="2" w:space="0"/>
              <w:right w:val="double" w:color="3F3F3F" w:sz="2" w:space="0"/>
            </w:tcBorders>
            <w:shd w:val="clear" w:color="auto" w:fill="DDEBF7"/>
            <w:noWrap/>
            <w:vAlign w:val="center"/>
          </w:tcPr>
          <w:p w14:paraId="158E65E1">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374.00</w:t>
            </w:r>
          </w:p>
        </w:tc>
      </w:tr>
      <w:tr w14:paraId="07786B3A">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46B6A13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管理费用</w:t>
            </w:r>
          </w:p>
        </w:tc>
        <w:tc>
          <w:tcPr>
            <w:tcW w:w="1080" w:type="dxa"/>
            <w:tcBorders>
              <w:top w:val="nil"/>
              <w:left w:val="nil"/>
              <w:bottom w:val="double" w:color="3F3F3F" w:sz="2" w:space="0"/>
              <w:right w:val="double" w:color="3F3F3F" w:sz="2" w:space="0"/>
            </w:tcBorders>
            <w:shd w:val="clear" w:color="auto" w:fill="DDEBF7"/>
            <w:noWrap/>
            <w:vAlign w:val="center"/>
          </w:tcPr>
          <w:p w14:paraId="675385C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27.00</w:t>
            </w:r>
          </w:p>
        </w:tc>
        <w:tc>
          <w:tcPr>
            <w:tcW w:w="1080" w:type="dxa"/>
            <w:tcBorders>
              <w:top w:val="nil"/>
              <w:left w:val="nil"/>
              <w:bottom w:val="double" w:color="3F3F3F" w:sz="2" w:space="0"/>
              <w:right w:val="double" w:color="3F3F3F" w:sz="2" w:space="0"/>
            </w:tcBorders>
            <w:shd w:val="clear" w:color="auto" w:fill="DDEBF7"/>
            <w:noWrap/>
            <w:vAlign w:val="center"/>
          </w:tcPr>
          <w:p w14:paraId="0A3F47F6">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27.00</w:t>
            </w:r>
          </w:p>
        </w:tc>
        <w:tc>
          <w:tcPr>
            <w:tcW w:w="1080" w:type="dxa"/>
            <w:tcBorders>
              <w:top w:val="nil"/>
              <w:left w:val="nil"/>
              <w:bottom w:val="double" w:color="3F3F3F" w:sz="2" w:space="0"/>
              <w:right w:val="double" w:color="3F3F3F" w:sz="2" w:space="0"/>
            </w:tcBorders>
            <w:shd w:val="clear" w:color="auto" w:fill="DDEBF7"/>
            <w:noWrap/>
            <w:vAlign w:val="center"/>
          </w:tcPr>
          <w:p w14:paraId="38B84BB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70.00</w:t>
            </w:r>
          </w:p>
        </w:tc>
        <w:tc>
          <w:tcPr>
            <w:tcW w:w="1080" w:type="dxa"/>
            <w:tcBorders>
              <w:top w:val="nil"/>
              <w:left w:val="nil"/>
              <w:bottom w:val="double" w:color="3F3F3F" w:sz="2" w:space="0"/>
              <w:right w:val="double" w:color="3F3F3F" w:sz="2" w:space="0"/>
            </w:tcBorders>
            <w:shd w:val="clear" w:color="auto" w:fill="DDEBF7"/>
            <w:noWrap/>
            <w:vAlign w:val="center"/>
          </w:tcPr>
          <w:p w14:paraId="113E3AF3">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104.00</w:t>
            </w:r>
          </w:p>
        </w:tc>
        <w:tc>
          <w:tcPr>
            <w:tcW w:w="1080" w:type="dxa"/>
            <w:tcBorders>
              <w:top w:val="nil"/>
              <w:left w:val="nil"/>
              <w:bottom w:val="double" w:color="3F3F3F" w:sz="2" w:space="0"/>
              <w:right w:val="double" w:color="3F3F3F" w:sz="2" w:space="0"/>
            </w:tcBorders>
            <w:shd w:val="clear" w:color="auto" w:fill="DDEBF7"/>
            <w:noWrap/>
            <w:vAlign w:val="center"/>
          </w:tcPr>
          <w:p w14:paraId="1B6832F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170.00</w:t>
            </w:r>
          </w:p>
        </w:tc>
      </w:tr>
      <w:tr w14:paraId="11D5A801">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1B651B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财务费用</w:t>
            </w:r>
          </w:p>
        </w:tc>
        <w:tc>
          <w:tcPr>
            <w:tcW w:w="1080" w:type="dxa"/>
            <w:tcBorders>
              <w:top w:val="nil"/>
              <w:left w:val="nil"/>
              <w:bottom w:val="double" w:color="3F3F3F" w:sz="2" w:space="0"/>
              <w:right w:val="double" w:color="3F3F3F" w:sz="2" w:space="0"/>
            </w:tcBorders>
            <w:shd w:val="clear" w:color="auto" w:fill="DDEBF7"/>
            <w:noWrap/>
            <w:vAlign w:val="center"/>
          </w:tcPr>
          <w:p w14:paraId="3A696B1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793E1F21">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5F3D23A8">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478DC8C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255D92C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5.00</w:t>
            </w:r>
          </w:p>
        </w:tc>
      </w:tr>
      <w:tr w14:paraId="7140100B">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4C9AE68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二、营业利润</w:t>
            </w:r>
          </w:p>
        </w:tc>
        <w:tc>
          <w:tcPr>
            <w:tcW w:w="1080" w:type="dxa"/>
            <w:tcBorders>
              <w:top w:val="nil"/>
              <w:left w:val="nil"/>
              <w:bottom w:val="double" w:color="3F3F3F" w:sz="2" w:space="0"/>
              <w:right w:val="double" w:color="3F3F3F" w:sz="2" w:space="0"/>
            </w:tcBorders>
            <w:shd w:val="clear" w:color="auto" w:fill="DDEBF7"/>
            <w:noWrap/>
            <w:vAlign w:val="center"/>
          </w:tcPr>
          <w:p w14:paraId="6D8BDEA1">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29E8A8C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71.60</w:t>
            </w:r>
          </w:p>
        </w:tc>
        <w:tc>
          <w:tcPr>
            <w:tcW w:w="1080" w:type="dxa"/>
            <w:tcBorders>
              <w:top w:val="nil"/>
              <w:left w:val="nil"/>
              <w:bottom w:val="double" w:color="3F3F3F" w:sz="2" w:space="0"/>
              <w:right w:val="double" w:color="3F3F3F" w:sz="2" w:space="0"/>
            </w:tcBorders>
            <w:shd w:val="clear" w:color="auto" w:fill="DDEBF7"/>
            <w:noWrap/>
            <w:vAlign w:val="center"/>
          </w:tcPr>
          <w:p w14:paraId="5DA0599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210.50</w:t>
            </w:r>
          </w:p>
        </w:tc>
        <w:tc>
          <w:tcPr>
            <w:tcW w:w="1080" w:type="dxa"/>
            <w:tcBorders>
              <w:top w:val="nil"/>
              <w:left w:val="nil"/>
              <w:bottom w:val="double" w:color="3F3F3F" w:sz="2" w:space="0"/>
              <w:right w:val="double" w:color="3F3F3F" w:sz="2" w:space="0"/>
            </w:tcBorders>
            <w:shd w:val="clear" w:color="auto" w:fill="DDEBF7"/>
            <w:noWrap/>
            <w:vAlign w:val="center"/>
          </w:tcPr>
          <w:p w14:paraId="6B993078">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450.00</w:t>
            </w:r>
          </w:p>
        </w:tc>
        <w:tc>
          <w:tcPr>
            <w:tcW w:w="1080" w:type="dxa"/>
            <w:tcBorders>
              <w:top w:val="nil"/>
              <w:left w:val="nil"/>
              <w:bottom w:val="double" w:color="3F3F3F" w:sz="2" w:space="0"/>
              <w:right w:val="double" w:color="3F3F3F" w:sz="2" w:space="0"/>
            </w:tcBorders>
            <w:shd w:val="clear" w:color="auto" w:fill="DDEBF7"/>
            <w:noWrap/>
            <w:vAlign w:val="center"/>
          </w:tcPr>
          <w:p w14:paraId="6EE5642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1117.00</w:t>
            </w:r>
          </w:p>
        </w:tc>
      </w:tr>
      <w:tr w14:paraId="46BAD054">
        <w:tblPrEx>
          <w:tblCellMar>
            <w:top w:w="0" w:type="dxa"/>
            <w:left w:w="108" w:type="dxa"/>
            <w:bottom w:w="0" w:type="dxa"/>
            <w:right w:w="108" w:type="dxa"/>
          </w:tblCellMar>
        </w:tblPrEx>
        <w:trPr>
          <w:trHeight w:val="570" w:hRule="atLeast"/>
        </w:trPr>
        <w:tc>
          <w:tcPr>
            <w:tcW w:w="2180" w:type="dxa"/>
            <w:tcBorders>
              <w:top w:val="nil"/>
              <w:left w:val="double" w:color="3F3F3F" w:sz="2" w:space="0"/>
              <w:bottom w:val="double" w:color="3F3F3F" w:sz="2" w:space="0"/>
              <w:right w:val="double" w:color="3F3F3F" w:sz="2" w:space="0"/>
            </w:tcBorders>
            <w:shd w:val="clear" w:color="auto" w:fill="9BC2E6"/>
            <w:vAlign w:val="center"/>
          </w:tcPr>
          <w:p w14:paraId="41B47B2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加：营业外收入       减：营业外支出</w:t>
            </w:r>
          </w:p>
        </w:tc>
        <w:tc>
          <w:tcPr>
            <w:tcW w:w="1080" w:type="dxa"/>
            <w:tcBorders>
              <w:top w:val="nil"/>
              <w:left w:val="nil"/>
              <w:bottom w:val="double" w:color="3F3F3F" w:sz="2" w:space="0"/>
              <w:right w:val="double" w:color="3F3F3F" w:sz="2" w:space="0"/>
            </w:tcBorders>
            <w:shd w:val="clear" w:color="auto" w:fill="DDEBF7"/>
            <w:noWrap/>
            <w:vAlign w:val="center"/>
          </w:tcPr>
          <w:p w14:paraId="43E50BBD">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　</w:t>
            </w:r>
          </w:p>
        </w:tc>
        <w:tc>
          <w:tcPr>
            <w:tcW w:w="1080" w:type="dxa"/>
            <w:tcBorders>
              <w:top w:val="nil"/>
              <w:left w:val="nil"/>
              <w:bottom w:val="double" w:color="3F3F3F" w:sz="2" w:space="0"/>
              <w:right w:val="double" w:color="3F3F3F" w:sz="2" w:space="0"/>
            </w:tcBorders>
            <w:shd w:val="clear" w:color="auto" w:fill="DDEBF7"/>
            <w:noWrap/>
            <w:vAlign w:val="center"/>
          </w:tcPr>
          <w:p w14:paraId="45002E9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　</w:t>
            </w:r>
          </w:p>
        </w:tc>
        <w:tc>
          <w:tcPr>
            <w:tcW w:w="1080" w:type="dxa"/>
            <w:tcBorders>
              <w:top w:val="nil"/>
              <w:left w:val="nil"/>
              <w:bottom w:val="double" w:color="3F3F3F" w:sz="2" w:space="0"/>
              <w:right w:val="double" w:color="3F3F3F" w:sz="2" w:space="0"/>
            </w:tcBorders>
            <w:shd w:val="clear" w:color="auto" w:fill="DDEBF7"/>
            <w:noWrap/>
            <w:vAlign w:val="center"/>
          </w:tcPr>
          <w:p w14:paraId="330779D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　</w:t>
            </w:r>
          </w:p>
        </w:tc>
        <w:tc>
          <w:tcPr>
            <w:tcW w:w="1080" w:type="dxa"/>
            <w:tcBorders>
              <w:top w:val="nil"/>
              <w:left w:val="nil"/>
              <w:bottom w:val="double" w:color="3F3F3F" w:sz="2" w:space="0"/>
              <w:right w:val="double" w:color="3F3F3F" w:sz="2" w:space="0"/>
            </w:tcBorders>
            <w:shd w:val="clear" w:color="auto" w:fill="DDEBF7"/>
            <w:noWrap/>
            <w:vAlign w:val="center"/>
          </w:tcPr>
          <w:p w14:paraId="40DB29E4">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　</w:t>
            </w:r>
          </w:p>
        </w:tc>
        <w:tc>
          <w:tcPr>
            <w:tcW w:w="1080" w:type="dxa"/>
            <w:tcBorders>
              <w:top w:val="nil"/>
              <w:left w:val="nil"/>
              <w:bottom w:val="double" w:color="3F3F3F" w:sz="2" w:space="0"/>
              <w:right w:val="double" w:color="3F3F3F" w:sz="2" w:space="0"/>
            </w:tcBorders>
            <w:shd w:val="clear" w:color="auto" w:fill="DDEBF7"/>
            <w:noWrap/>
            <w:vAlign w:val="center"/>
          </w:tcPr>
          <w:p w14:paraId="32E2ED6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　</w:t>
            </w:r>
          </w:p>
        </w:tc>
      </w:tr>
      <w:tr w14:paraId="1782C2BB">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7D6F1A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三、利润总额</w:t>
            </w:r>
          </w:p>
        </w:tc>
        <w:tc>
          <w:tcPr>
            <w:tcW w:w="1080" w:type="dxa"/>
            <w:tcBorders>
              <w:top w:val="nil"/>
              <w:left w:val="nil"/>
              <w:bottom w:val="double" w:color="3F3F3F" w:sz="2" w:space="0"/>
              <w:right w:val="double" w:color="3F3F3F" w:sz="2" w:space="0"/>
            </w:tcBorders>
            <w:shd w:val="clear" w:color="auto" w:fill="DDEBF7"/>
            <w:noWrap/>
            <w:vAlign w:val="center"/>
          </w:tcPr>
          <w:p w14:paraId="5C020E14">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55E2F0C1">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71.60</w:t>
            </w:r>
          </w:p>
        </w:tc>
        <w:tc>
          <w:tcPr>
            <w:tcW w:w="1080" w:type="dxa"/>
            <w:tcBorders>
              <w:top w:val="nil"/>
              <w:left w:val="nil"/>
              <w:bottom w:val="double" w:color="3F3F3F" w:sz="2" w:space="0"/>
              <w:right w:val="double" w:color="3F3F3F" w:sz="2" w:space="0"/>
            </w:tcBorders>
            <w:shd w:val="clear" w:color="auto" w:fill="DDEBF7"/>
            <w:noWrap/>
            <w:vAlign w:val="center"/>
          </w:tcPr>
          <w:p w14:paraId="7E3AEDA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210.50</w:t>
            </w:r>
          </w:p>
        </w:tc>
        <w:tc>
          <w:tcPr>
            <w:tcW w:w="1080" w:type="dxa"/>
            <w:tcBorders>
              <w:top w:val="nil"/>
              <w:left w:val="nil"/>
              <w:bottom w:val="double" w:color="3F3F3F" w:sz="2" w:space="0"/>
              <w:right w:val="double" w:color="3F3F3F" w:sz="2" w:space="0"/>
            </w:tcBorders>
            <w:shd w:val="clear" w:color="auto" w:fill="DDEBF7"/>
            <w:noWrap/>
            <w:vAlign w:val="center"/>
          </w:tcPr>
          <w:p w14:paraId="35BB51AB">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450.00</w:t>
            </w:r>
          </w:p>
        </w:tc>
        <w:tc>
          <w:tcPr>
            <w:tcW w:w="1080" w:type="dxa"/>
            <w:tcBorders>
              <w:top w:val="nil"/>
              <w:left w:val="nil"/>
              <w:bottom w:val="double" w:color="3F3F3F" w:sz="2" w:space="0"/>
              <w:right w:val="double" w:color="3F3F3F" w:sz="2" w:space="0"/>
            </w:tcBorders>
            <w:shd w:val="clear" w:color="auto" w:fill="DDEBF7"/>
            <w:noWrap/>
            <w:vAlign w:val="center"/>
          </w:tcPr>
          <w:p w14:paraId="6E38E3A9">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1117.00</w:t>
            </w:r>
          </w:p>
        </w:tc>
      </w:tr>
      <w:tr w14:paraId="1E6B9658">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E754EF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减：所得税费用</w:t>
            </w:r>
          </w:p>
        </w:tc>
        <w:tc>
          <w:tcPr>
            <w:tcW w:w="1080" w:type="dxa"/>
            <w:tcBorders>
              <w:top w:val="nil"/>
              <w:left w:val="nil"/>
              <w:bottom w:val="double" w:color="3F3F3F" w:sz="2" w:space="0"/>
              <w:right w:val="double" w:color="3F3F3F" w:sz="2" w:space="0"/>
            </w:tcBorders>
            <w:shd w:val="clear" w:color="auto" w:fill="DDEBF7"/>
            <w:noWrap/>
            <w:vAlign w:val="center"/>
          </w:tcPr>
          <w:p w14:paraId="4563E539">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245DA71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17.90</w:t>
            </w:r>
          </w:p>
        </w:tc>
        <w:tc>
          <w:tcPr>
            <w:tcW w:w="1080" w:type="dxa"/>
            <w:tcBorders>
              <w:top w:val="nil"/>
              <w:left w:val="nil"/>
              <w:bottom w:val="double" w:color="3F3F3F" w:sz="2" w:space="0"/>
              <w:right w:val="double" w:color="3F3F3F" w:sz="2" w:space="0"/>
            </w:tcBorders>
            <w:shd w:val="clear" w:color="auto" w:fill="DDEBF7"/>
            <w:noWrap/>
            <w:vAlign w:val="center"/>
          </w:tcPr>
          <w:p w14:paraId="37DF8F4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52.63</w:t>
            </w:r>
          </w:p>
        </w:tc>
        <w:tc>
          <w:tcPr>
            <w:tcW w:w="1080" w:type="dxa"/>
            <w:tcBorders>
              <w:top w:val="nil"/>
              <w:left w:val="nil"/>
              <w:bottom w:val="double" w:color="3F3F3F" w:sz="2" w:space="0"/>
              <w:right w:val="double" w:color="3F3F3F" w:sz="2" w:space="0"/>
            </w:tcBorders>
            <w:shd w:val="clear" w:color="auto" w:fill="DDEBF7"/>
            <w:noWrap/>
            <w:vAlign w:val="center"/>
          </w:tcPr>
          <w:p w14:paraId="16881E3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112.50</w:t>
            </w:r>
          </w:p>
        </w:tc>
        <w:tc>
          <w:tcPr>
            <w:tcW w:w="1080" w:type="dxa"/>
            <w:tcBorders>
              <w:top w:val="nil"/>
              <w:left w:val="nil"/>
              <w:bottom w:val="double" w:color="3F3F3F" w:sz="2" w:space="0"/>
              <w:right w:val="double" w:color="3F3F3F" w:sz="2" w:space="0"/>
            </w:tcBorders>
            <w:shd w:val="clear" w:color="auto" w:fill="DDEBF7"/>
            <w:noWrap/>
            <w:vAlign w:val="center"/>
          </w:tcPr>
          <w:p w14:paraId="7EFBD6C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279.25</w:t>
            </w:r>
          </w:p>
        </w:tc>
      </w:tr>
      <w:tr w14:paraId="57455CA2">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20735FC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四、净利润</w:t>
            </w:r>
          </w:p>
        </w:tc>
        <w:tc>
          <w:tcPr>
            <w:tcW w:w="1080" w:type="dxa"/>
            <w:tcBorders>
              <w:top w:val="nil"/>
              <w:left w:val="nil"/>
              <w:bottom w:val="double" w:color="3F3F3F" w:sz="2" w:space="0"/>
              <w:right w:val="double" w:color="3F3F3F" w:sz="2" w:space="0"/>
            </w:tcBorders>
            <w:shd w:val="clear" w:color="auto" w:fill="DDEBF7"/>
            <w:noWrap/>
            <w:vAlign w:val="center"/>
          </w:tcPr>
          <w:p w14:paraId="052EE6E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735E1FC9">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53.70</w:t>
            </w:r>
          </w:p>
        </w:tc>
        <w:tc>
          <w:tcPr>
            <w:tcW w:w="1080" w:type="dxa"/>
            <w:tcBorders>
              <w:top w:val="nil"/>
              <w:left w:val="nil"/>
              <w:bottom w:val="double" w:color="3F3F3F" w:sz="2" w:space="0"/>
              <w:right w:val="double" w:color="3F3F3F" w:sz="2" w:space="0"/>
            </w:tcBorders>
            <w:shd w:val="clear" w:color="auto" w:fill="DDEBF7"/>
            <w:noWrap/>
            <w:vAlign w:val="center"/>
          </w:tcPr>
          <w:p w14:paraId="7CF64E5D">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157.88</w:t>
            </w:r>
          </w:p>
        </w:tc>
        <w:tc>
          <w:tcPr>
            <w:tcW w:w="1080" w:type="dxa"/>
            <w:tcBorders>
              <w:top w:val="nil"/>
              <w:left w:val="nil"/>
              <w:bottom w:val="double" w:color="3F3F3F" w:sz="2" w:space="0"/>
              <w:right w:val="double" w:color="3F3F3F" w:sz="2" w:space="0"/>
            </w:tcBorders>
            <w:shd w:val="clear" w:color="auto" w:fill="DDEBF7"/>
            <w:noWrap/>
            <w:vAlign w:val="center"/>
          </w:tcPr>
          <w:p w14:paraId="102938C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337.50</w:t>
            </w:r>
          </w:p>
        </w:tc>
        <w:tc>
          <w:tcPr>
            <w:tcW w:w="1080" w:type="dxa"/>
            <w:tcBorders>
              <w:top w:val="nil"/>
              <w:left w:val="nil"/>
              <w:bottom w:val="double" w:color="3F3F3F" w:sz="2" w:space="0"/>
              <w:right w:val="double" w:color="3F3F3F" w:sz="2" w:space="0"/>
            </w:tcBorders>
            <w:shd w:val="clear" w:color="auto" w:fill="DDEBF7"/>
            <w:noWrap/>
            <w:vAlign w:val="center"/>
          </w:tcPr>
          <w:p w14:paraId="1874E36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837.75</w:t>
            </w:r>
          </w:p>
        </w:tc>
      </w:tr>
      <w:tr w14:paraId="59B5EB35">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1AFF87B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提取盈余公积金</w:t>
            </w:r>
          </w:p>
        </w:tc>
        <w:tc>
          <w:tcPr>
            <w:tcW w:w="1080" w:type="dxa"/>
            <w:tcBorders>
              <w:top w:val="nil"/>
              <w:left w:val="nil"/>
              <w:bottom w:val="double" w:color="3F3F3F" w:sz="2" w:space="0"/>
              <w:right w:val="double" w:color="3F3F3F" w:sz="2" w:space="0"/>
            </w:tcBorders>
            <w:shd w:val="clear" w:color="auto" w:fill="DDEBF7"/>
            <w:noWrap/>
            <w:vAlign w:val="center"/>
          </w:tcPr>
          <w:p w14:paraId="58077C8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32406410">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8.06</w:t>
            </w:r>
          </w:p>
        </w:tc>
        <w:tc>
          <w:tcPr>
            <w:tcW w:w="1080" w:type="dxa"/>
            <w:tcBorders>
              <w:top w:val="nil"/>
              <w:left w:val="nil"/>
              <w:bottom w:val="double" w:color="3F3F3F" w:sz="2" w:space="0"/>
              <w:right w:val="double" w:color="3F3F3F" w:sz="2" w:space="0"/>
            </w:tcBorders>
            <w:shd w:val="clear" w:color="auto" w:fill="DDEBF7"/>
            <w:noWrap/>
            <w:vAlign w:val="center"/>
          </w:tcPr>
          <w:p w14:paraId="6B4B95AC">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23.68</w:t>
            </w:r>
          </w:p>
        </w:tc>
        <w:tc>
          <w:tcPr>
            <w:tcW w:w="1080" w:type="dxa"/>
            <w:tcBorders>
              <w:top w:val="nil"/>
              <w:left w:val="nil"/>
              <w:bottom w:val="double" w:color="3F3F3F" w:sz="2" w:space="0"/>
              <w:right w:val="double" w:color="3F3F3F" w:sz="2" w:space="0"/>
            </w:tcBorders>
            <w:shd w:val="clear" w:color="auto" w:fill="DDEBF7"/>
            <w:noWrap/>
            <w:vAlign w:val="center"/>
          </w:tcPr>
          <w:p w14:paraId="4DB9DBD9">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50.63</w:t>
            </w:r>
          </w:p>
        </w:tc>
        <w:tc>
          <w:tcPr>
            <w:tcW w:w="1080" w:type="dxa"/>
            <w:tcBorders>
              <w:top w:val="nil"/>
              <w:left w:val="nil"/>
              <w:bottom w:val="double" w:color="3F3F3F" w:sz="2" w:space="0"/>
              <w:right w:val="double" w:color="3F3F3F" w:sz="2" w:space="0"/>
            </w:tcBorders>
            <w:shd w:val="clear" w:color="auto" w:fill="DDEBF7"/>
            <w:noWrap/>
            <w:vAlign w:val="center"/>
          </w:tcPr>
          <w:p w14:paraId="6E33F11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125.66</w:t>
            </w:r>
          </w:p>
        </w:tc>
      </w:tr>
      <w:tr w14:paraId="62B9A84B">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30D2BE4">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可供股东分配利润</w:t>
            </w:r>
          </w:p>
        </w:tc>
        <w:tc>
          <w:tcPr>
            <w:tcW w:w="1080" w:type="dxa"/>
            <w:tcBorders>
              <w:top w:val="nil"/>
              <w:left w:val="nil"/>
              <w:bottom w:val="double" w:color="3F3F3F" w:sz="2" w:space="0"/>
              <w:right w:val="double" w:color="3F3F3F" w:sz="2" w:space="0"/>
            </w:tcBorders>
            <w:shd w:val="clear" w:color="auto" w:fill="DDEBF7"/>
            <w:noWrap/>
            <w:vAlign w:val="center"/>
          </w:tcPr>
          <w:p w14:paraId="1B59A94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59C03F18">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45.65</w:t>
            </w:r>
          </w:p>
        </w:tc>
        <w:tc>
          <w:tcPr>
            <w:tcW w:w="1080" w:type="dxa"/>
            <w:tcBorders>
              <w:top w:val="nil"/>
              <w:left w:val="nil"/>
              <w:bottom w:val="double" w:color="3F3F3F" w:sz="2" w:space="0"/>
              <w:right w:val="double" w:color="3F3F3F" w:sz="2" w:space="0"/>
            </w:tcBorders>
            <w:shd w:val="clear" w:color="auto" w:fill="DDEBF7"/>
            <w:noWrap/>
            <w:vAlign w:val="center"/>
          </w:tcPr>
          <w:p w14:paraId="3F4152F0">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179.84</w:t>
            </w:r>
          </w:p>
        </w:tc>
        <w:tc>
          <w:tcPr>
            <w:tcW w:w="1080" w:type="dxa"/>
            <w:tcBorders>
              <w:top w:val="nil"/>
              <w:left w:val="nil"/>
              <w:bottom w:val="double" w:color="3F3F3F" w:sz="2" w:space="0"/>
              <w:right w:val="double" w:color="3F3F3F" w:sz="2" w:space="0"/>
            </w:tcBorders>
            <w:shd w:val="clear" w:color="auto" w:fill="DDEBF7"/>
            <w:noWrap/>
            <w:vAlign w:val="center"/>
          </w:tcPr>
          <w:p w14:paraId="48178526">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421.07</w:t>
            </w:r>
          </w:p>
        </w:tc>
        <w:tc>
          <w:tcPr>
            <w:tcW w:w="1080" w:type="dxa"/>
            <w:tcBorders>
              <w:top w:val="nil"/>
              <w:left w:val="nil"/>
              <w:bottom w:val="double" w:color="3F3F3F" w:sz="2" w:space="0"/>
              <w:right w:val="double" w:color="3F3F3F" w:sz="2" w:space="0"/>
            </w:tcBorders>
            <w:shd w:val="clear" w:color="auto" w:fill="DDEBF7"/>
            <w:noWrap/>
            <w:vAlign w:val="center"/>
          </w:tcPr>
          <w:p w14:paraId="495BD2F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998.96</w:t>
            </w:r>
          </w:p>
        </w:tc>
      </w:tr>
      <w:tr w14:paraId="06940CFB">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77A3F88">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减：支付股利</w:t>
            </w:r>
          </w:p>
        </w:tc>
        <w:tc>
          <w:tcPr>
            <w:tcW w:w="1080" w:type="dxa"/>
            <w:tcBorders>
              <w:top w:val="nil"/>
              <w:left w:val="nil"/>
              <w:bottom w:val="double" w:color="3F3F3F" w:sz="2" w:space="0"/>
              <w:right w:val="double" w:color="3F3F3F" w:sz="2" w:space="0"/>
            </w:tcBorders>
            <w:shd w:val="clear" w:color="auto" w:fill="DDEBF7"/>
            <w:noWrap/>
            <w:vAlign w:val="center"/>
          </w:tcPr>
          <w:p w14:paraId="77E408AA">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022D4DCF">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1F0EAEFB">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115B902E">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84.21</w:t>
            </w:r>
          </w:p>
        </w:tc>
        <w:tc>
          <w:tcPr>
            <w:tcW w:w="1080" w:type="dxa"/>
            <w:tcBorders>
              <w:top w:val="nil"/>
              <w:left w:val="nil"/>
              <w:bottom w:val="double" w:color="3F3F3F" w:sz="2" w:space="0"/>
              <w:right w:val="double" w:color="3F3F3F" w:sz="2" w:space="0"/>
            </w:tcBorders>
            <w:shd w:val="clear" w:color="auto" w:fill="DDEBF7"/>
            <w:noWrap/>
            <w:vAlign w:val="center"/>
          </w:tcPr>
          <w:p w14:paraId="00B6F9A6">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199.79</w:t>
            </w:r>
          </w:p>
        </w:tc>
      </w:tr>
      <w:tr w14:paraId="544319EA">
        <w:tblPrEx>
          <w:tblCellMar>
            <w:top w:w="0" w:type="dxa"/>
            <w:left w:w="108" w:type="dxa"/>
            <w:bottom w:w="0" w:type="dxa"/>
            <w:right w:w="108" w:type="dxa"/>
          </w:tblCellMar>
        </w:tblPrEx>
        <w:trPr>
          <w:trHeight w:val="315" w:hRule="atLeast"/>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78C2AB15">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未分配利润</w:t>
            </w:r>
          </w:p>
        </w:tc>
        <w:tc>
          <w:tcPr>
            <w:tcW w:w="1080" w:type="dxa"/>
            <w:tcBorders>
              <w:top w:val="nil"/>
              <w:left w:val="nil"/>
              <w:bottom w:val="double" w:color="3F3F3F" w:sz="2" w:space="0"/>
              <w:right w:val="double" w:color="3F3F3F" w:sz="2" w:space="0"/>
            </w:tcBorders>
            <w:shd w:val="clear" w:color="auto" w:fill="DDEBF7"/>
            <w:noWrap/>
            <w:vAlign w:val="center"/>
          </w:tcPr>
          <w:p w14:paraId="5F2A4F47">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7530411D">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45.65</w:t>
            </w:r>
          </w:p>
        </w:tc>
        <w:tc>
          <w:tcPr>
            <w:tcW w:w="1080" w:type="dxa"/>
            <w:tcBorders>
              <w:top w:val="nil"/>
              <w:left w:val="nil"/>
              <w:bottom w:val="double" w:color="3F3F3F" w:sz="2" w:space="0"/>
              <w:right w:val="double" w:color="3F3F3F" w:sz="2" w:space="0"/>
            </w:tcBorders>
            <w:shd w:val="clear" w:color="auto" w:fill="DDEBF7"/>
            <w:noWrap/>
            <w:vAlign w:val="center"/>
          </w:tcPr>
          <w:p w14:paraId="573EEC12">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179.84</w:t>
            </w:r>
          </w:p>
        </w:tc>
        <w:tc>
          <w:tcPr>
            <w:tcW w:w="1080" w:type="dxa"/>
            <w:tcBorders>
              <w:top w:val="nil"/>
              <w:left w:val="nil"/>
              <w:bottom w:val="double" w:color="3F3F3F" w:sz="2" w:space="0"/>
              <w:right w:val="double" w:color="3F3F3F" w:sz="2" w:space="0"/>
            </w:tcBorders>
            <w:shd w:val="clear" w:color="auto" w:fill="DDEBF7"/>
            <w:noWrap/>
            <w:vAlign w:val="center"/>
          </w:tcPr>
          <w:p w14:paraId="23F3562B">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336.84</w:t>
            </w:r>
          </w:p>
        </w:tc>
        <w:tc>
          <w:tcPr>
            <w:tcW w:w="1080" w:type="dxa"/>
            <w:tcBorders>
              <w:top w:val="nil"/>
              <w:left w:val="nil"/>
              <w:bottom w:val="double" w:color="3F3F3F" w:sz="2" w:space="0"/>
              <w:right w:val="double" w:color="3F3F3F" w:sz="2" w:space="0"/>
            </w:tcBorders>
            <w:shd w:val="clear" w:color="auto" w:fill="DDEBF7"/>
            <w:noWrap/>
            <w:vAlign w:val="center"/>
          </w:tcPr>
          <w:p w14:paraId="493D6B1D">
            <w:pPr>
              <w:widowControl/>
              <w:spacing w:line="360" w:lineRule="auto"/>
              <w:ind w:firstLine="0" w:firstLineChars="0"/>
              <w:jc w:val="center"/>
              <w:rPr>
                <w:rFonts w:hint="eastAsia" w:cs="宋体" w:asciiTheme="minorEastAsia" w:hAnsiTheme="minorEastAsia"/>
                <w:color w:val="000000"/>
                <w:kern w:val="0"/>
                <w:sz w:val="18"/>
                <w:szCs w:val="18"/>
              </w:rPr>
            </w:pPr>
            <w:r>
              <w:rPr>
                <w:rFonts w:hint="eastAsia" w:cs="宋体" w:asciiTheme="minorEastAsia" w:hAnsiTheme="minorEastAsia"/>
                <w:color w:val="000000"/>
                <w:kern w:val="0"/>
                <w:sz w:val="18"/>
                <w:szCs w:val="18"/>
              </w:rPr>
              <w:t>799.17</w:t>
            </w:r>
          </w:p>
        </w:tc>
      </w:tr>
    </w:tbl>
    <w:p w14:paraId="11EC23EE">
      <w:pPr>
        <w:pStyle w:val="21"/>
        <w:jc w:val="center"/>
      </w:pPr>
      <w:r>
        <w:rPr>
          <w:rFonts w:hint="eastAsia" w:ascii="仿宋" w:hAnsi="仿宋" w:eastAsia="仿宋"/>
          <w:sz w:val="28"/>
          <w:szCs w:val="28"/>
        </w:rPr>
        <w:t xml:space="preserve"> </w:t>
      </w:r>
      <w:r>
        <w:rPr>
          <w:rFonts w:hint="eastAsia"/>
          <w:lang w:val="en-US" w:eastAsia="zh-CN"/>
        </w:rPr>
        <w:t xml:space="preserve">表13 </w:t>
      </w:r>
      <w:r>
        <w:rPr>
          <w:rFonts w:hint="eastAsia"/>
        </w:rPr>
        <w:t>预计资产负债表（单位：万元）</w:t>
      </w:r>
    </w:p>
    <w:p w14:paraId="6798688E">
      <w:pPr>
        <w:pStyle w:val="21"/>
        <w:jc w:val="center"/>
        <w:rPr>
          <w:rFonts w:hint="eastAsia"/>
          <w:b w:val="0"/>
          <w:bCs/>
        </w:rPr>
      </w:pPr>
    </w:p>
    <w:p w14:paraId="67877F4B">
      <w:pPr>
        <w:spacing w:after="160" w:line="360" w:lineRule="auto"/>
        <w:ind w:firstLine="560"/>
        <w:jc w:val="left"/>
        <w:rPr>
          <w:rFonts w:hint="eastAsia" w:ascii="仿宋" w:hAnsi="仿宋" w:eastAsia="仿宋" w:cs="Times New Roman"/>
          <w:sz w:val="28"/>
          <w:szCs w:val="28"/>
        </w:rPr>
      </w:pPr>
    </w:p>
    <w:p w14:paraId="36B3064A">
      <w:pPr>
        <w:pStyle w:val="3"/>
        <w:spacing w:line="360" w:lineRule="auto"/>
        <w:rPr>
          <w:rFonts w:ascii="Calibri" w:hAnsi="Calibri" w:eastAsia="宋体" w:cs="Times New Roman"/>
        </w:rPr>
      </w:pPr>
      <w:bookmarkStart w:id="23" w:name="_Toc29318"/>
      <w:r>
        <w:rPr>
          <w:rFonts w:hint="eastAsia"/>
        </w:rPr>
        <w:t>预计利润表</w:t>
      </w:r>
      <w:bookmarkEnd w:id="23"/>
      <w:r>
        <w:rPr>
          <w:rFonts w:hint="eastAsia"/>
        </w:rPr>
        <w:t xml:space="preserve"> </w:t>
      </w:r>
    </w:p>
    <w:tbl>
      <w:tblPr>
        <w:tblStyle w:val="13"/>
        <w:tblW w:w="7580" w:type="dxa"/>
        <w:jc w:val="center"/>
        <w:tblLayout w:type="autofit"/>
        <w:tblCellMar>
          <w:top w:w="0" w:type="dxa"/>
          <w:left w:w="108" w:type="dxa"/>
          <w:bottom w:w="0" w:type="dxa"/>
          <w:right w:w="108" w:type="dxa"/>
        </w:tblCellMar>
      </w:tblPr>
      <w:tblGrid>
        <w:gridCol w:w="2180"/>
        <w:gridCol w:w="1080"/>
        <w:gridCol w:w="1080"/>
        <w:gridCol w:w="1080"/>
        <w:gridCol w:w="1080"/>
        <w:gridCol w:w="1080"/>
      </w:tblGrid>
      <w:tr w14:paraId="2A30F022">
        <w:tblPrEx>
          <w:tblCellMar>
            <w:top w:w="0" w:type="dxa"/>
            <w:left w:w="108" w:type="dxa"/>
            <w:bottom w:w="0" w:type="dxa"/>
            <w:right w:w="108" w:type="dxa"/>
          </w:tblCellMar>
        </w:tblPrEx>
        <w:trPr>
          <w:trHeight w:val="315" w:hRule="atLeast"/>
          <w:jc w:val="center"/>
        </w:trPr>
        <w:tc>
          <w:tcPr>
            <w:tcW w:w="2180" w:type="dxa"/>
            <w:tcBorders>
              <w:top w:val="double" w:color="3F3F3F" w:sz="2" w:space="0"/>
              <w:left w:val="double" w:color="3F3F3F" w:sz="2" w:space="0"/>
              <w:bottom w:val="double" w:color="3F3F3F" w:sz="2" w:space="0"/>
              <w:right w:val="double" w:color="3F3F3F" w:sz="2" w:space="0"/>
            </w:tcBorders>
            <w:shd w:val="clear" w:color="auto" w:fill="9BC2E6"/>
            <w:noWrap/>
            <w:vAlign w:val="center"/>
          </w:tcPr>
          <w:p w14:paraId="0D0515F5">
            <w:pPr>
              <w:widowControl/>
              <w:spacing w:line="360" w:lineRule="auto"/>
              <w:ind w:firstLine="44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项目</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1728200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第一年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7960DBE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第二年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13E1B57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第三年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54FC64A2">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第四年</w:t>
            </w:r>
          </w:p>
        </w:tc>
        <w:tc>
          <w:tcPr>
            <w:tcW w:w="1080" w:type="dxa"/>
            <w:tcBorders>
              <w:top w:val="double" w:color="3F3F3F" w:sz="2" w:space="0"/>
              <w:left w:val="nil"/>
              <w:bottom w:val="double" w:color="3F3F3F" w:sz="2" w:space="0"/>
              <w:right w:val="double" w:color="3F3F3F" w:sz="2" w:space="0"/>
            </w:tcBorders>
            <w:shd w:val="clear" w:color="auto" w:fill="9BC2E6"/>
            <w:noWrap/>
            <w:vAlign w:val="center"/>
          </w:tcPr>
          <w:p w14:paraId="71AD8E1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第五年</w:t>
            </w:r>
          </w:p>
        </w:tc>
      </w:tr>
      <w:tr w14:paraId="61C56123">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27911D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一、营业收入</w:t>
            </w:r>
          </w:p>
        </w:tc>
        <w:tc>
          <w:tcPr>
            <w:tcW w:w="1080" w:type="dxa"/>
            <w:tcBorders>
              <w:top w:val="nil"/>
              <w:left w:val="nil"/>
              <w:bottom w:val="double" w:color="3F3F3F" w:sz="2" w:space="0"/>
              <w:right w:val="double" w:color="3F3F3F" w:sz="2" w:space="0"/>
            </w:tcBorders>
            <w:shd w:val="clear" w:color="auto" w:fill="DDEBF7"/>
            <w:noWrap/>
            <w:vAlign w:val="center"/>
          </w:tcPr>
          <w:p w14:paraId="69AEDFAA">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100.00</w:t>
            </w:r>
          </w:p>
        </w:tc>
        <w:tc>
          <w:tcPr>
            <w:tcW w:w="1080" w:type="dxa"/>
            <w:tcBorders>
              <w:top w:val="nil"/>
              <w:left w:val="nil"/>
              <w:bottom w:val="double" w:color="3F3F3F" w:sz="2" w:space="0"/>
              <w:right w:val="double" w:color="3F3F3F" w:sz="2" w:space="0"/>
            </w:tcBorders>
            <w:shd w:val="clear" w:color="auto" w:fill="DDEBF7"/>
            <w:noWrap/>
            <w:vAlign w:val="center"/>
          </w:tcPr>
          <w:p w14:paraId="74C7662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200.00</w:t>
            </w:r>
          </w:p>
        </w:tc>
        <w:tc>
          <w:tcPr>
            <w:tcW w:w="1080" w:type="dxa"/>
            <w:tcBorders>
              <w:top w:val="nil"/>
              <w:left w:val="nil"/>
              <w:bottom w:val="double" w:color="3F3F3F" w:sz="2" w:space="0"/>
              <w:right w:val="double" w:color="3F3F3F" w:sz="2" w:space="0"/>
            </w:tcBorders>
            <w:shd w:val="clear" w:color="auto" w:fill="DDEBF7"/>
            <w:noWrap/>
            <w:vAlign w:val="center"/>
          </w:tcPr>
          <w:p w14:paraId="20A7E25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500.00</w:t>
            </w:r>
          </w:p>
        </w:tc>
        <w:tc>
          <w:tcPr>
            <w:tcW w:w="1080" w:type="dxa"/>
            <w:tcBorders>
              <w:top w:val="nil"/>
              <w:left w:val="nil"/>
              <w:bottom w:val="double" w:color="3F3F3F" w:sz="2" w:space="0"/>
              <w:right w:val="double" w:color="3F3F3F" w:sz="2" w:space="0"/>
            </w:tcBorders>
            <w:shd w:val="clear" w:color="auto" w:fill="DDEBF7"/>
            <w:noWrap/>
            <w:vAlign w:val="center"/>
          </w:tcPr>
          <w:p w14:paraId="63A38969">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1000.00</w:t>
            </w:r>
          </w:p>
        </w:tc>
        <w:tc>
          <w:tcPr>
            <w:tcW w:w="1080" w:type="dxa"/>
            <w:tcBorders>
              <w:top w:val="nil"/>
              <w:left w:val="nil"/>
              <w:bottom w:val="double" w:color="3F3F3F" w:sz="2" w:space="0"/>
              <w:right w:val="double" w:color="3F3F3F" w:sz="2" w:space="0"/>
            </w:tcBorders>
            <w:shd w:val="clear" w:color="auto" w:fill="DDEBF7"/>
            <w:noWrap/>
            <w:vAlign w:val="center"/>
          </w:tcPr>
          <w:p w14:paraId="13DB5E82">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2000.00</w:t>
            </w:r>
          </w:p>
        </w:tc>
      </w:tr>
      <w:tr w14:paraId="0D29ADDE">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6C2C7998">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减：营业成本</w:t>
            </w:r>
          </w:p>
        </w:tc>
        <w:tc>
          <w:tcPr>
            <w:tcW w:w="1080" w:type="dxa"/>
            <w:tcBorders>
              <w:top w:val="nil"/>
              <w:left w:val="nil"/>
              <w:bottom w:val="double" w:color="3F3F3F" w:sz="2" w:space="0"/>
              <w:right w:val="double" w:color="3F3F3F" w:sz="2" w:space="0"/>
            </w:tcBorders>
            <w:shd w:val="clear" w:color="auto" w:fill="DDEBF7"/>
            <w:noWrap/>
            <w:vAlign w:val="center"/>
          </w:tcPr>
          <w:p w14:paraId="01419C0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60.00</w:t>
            </w:r>
          </w:p>
        </w:tc>
        <w:tc>
          <w:tcPr>
            <w:tcW w:w="1080" w:type="dxa"/>
            <w:tcBorders>
              <w:top w:val="nil"/>
              <w:left w:val="nil"/>
              <w:bottom w:val="double" w:color="3F3F3F" w:sz="2" w:space="0"/>
              <w:right w:val="double" w:color="3F3F3F" w:sz="2" w:space="0"/>
            </w:tcBorders>
            <w:shd w:val="clear" w:color="auto" w:fill="DDEBF7"/>
            <w:noWrap/>
            <w:vAlign w:val="center"/>
          </w:tcPr>
          <w:p w14:paraId="4D0C84D9">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70.00</w:t>
            </w:r>
          </w:p>
        </w:tc>
        <w:tc>
          <w:tcPr>
            <w:tcW w:w="1080" w:type="dxa"/>
            <w:tcBorders>
              <w:top w:val="nil"/>
              <w:left w:val="nil"/>
              <w:bottom w:val="double" w:color="3F3F3F" w:sz="2" w:space="0"/>
              <w:right w:val="double" w:color="3F3F3F" w:sz="2" w:space="0"/>
            </w:tcBorders>
            <w:shd w:val="clear" w:color="auto" w:fill="DDEBF7"/>
            <w:noWrap/>
            <w:vAlign w:val="center"/>
          </w:tcPr>
          <w:p w14:paraId="745168C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120.00</w:t>
            </w:r>
          </w:p>
        </w:tc>
        <w:tc>
          <w:tcPr>
            <w:tcW w:w="1080" w:type="dxa"/>
            <w:tcBorders>
              <w:top w:val="nil"/>
              <w:left w:val="nil"/>
              <w:bottom w:val="double" w:color="3F3F3F" w:sz="2" w:space="0"/>
              <w:right w:val="double" w:color="3F3F3F" w:sz="2" w:space="0"/>
            </w:tcBorders>
            <w:shd w:val="clear" w:color="auto" w:fill="DDEBF7"/>
            <w:noWrap/>
            <w:vAlign w:val="center"/>
          </w:tcPr>
          <w:p w14:paraId="722D677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240.00</w:t>
            </w:r>
          </w:p>
        </w:tc>
        <w:tc>
          <w:tcPr>
            <w:tcW w:w="1080" w:type="dxa"/>
            <w:tcBorders>
              <w:top w:val="nil"/>
              <w:left w:val="nil"/>
              <w:bottom w:val="double" w:color="3F3F3F" w:sz="2" w:space="0"/>
              <w:right w:val="double" w:color="3F3F3F" w:sz="2" w:space="0"/>
            </w:tcBorders>
            <w:shd w:val="clear" w:color="auto" w:fill="DDEBF7"/>
            <w:noWrap/>
            <w:vAlign w:val="center"/>
          </w:tcPr>
          <w:p w14:paraId="52E7440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300.00</w:t>
            </w:r>
          </w:p>
        </w:tc>
      </w:tr>
      <w:tr w14:paraId="63E9B586">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12FFD1A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税金及附加</w:t>
            </w:r>
          </w:p>
        </w:tc>
        <w:tc>
          <w:tcPr>
            <w:tcW w:w="1080" w:type="dxa"/>
            <w:tcBorders>
              <w:top w:val="nil"/>
              <w:left w:val="nil"/>
              <w:bottom w:val="double" w:color="3F3F3F" w:sz="2" w:space="0"/>
              <w:right w:val="double" w:color="3F3F3F" w:sz="2" w:space="0"/>
            </w:tcBorders>
            <w:shd w:val="clear" w:color="auto" w:fill="DDEBF7"/>
            <w:noWrap/>
            <w:vAlign w:val="center"/>
          </w:tcPr>
          <w:p w14:paraId="7B1AA96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w:t>
            </w:r>
          </w:p>
        </w:tc>
        <w:tc>
          <w:tcPr>
            <w:tcW w:w="1080" w:type="dxa"/>
            <w:tcBorders>
              <w:top w:val="nil"/>
              <w:left w:val="nil"/>
              <w:bottom w:val="double" w:color="3F3F3F" w:sz="2" w:space="0"/>
              <w:right w:val="double" w:color="3F3F3F" w:sz="2" w:space="0"/>
            </w:tcBorders>
            <w:shd w:val="clear" w:color="auto" w:fill="DDEBF7"/>
            <w:noWrap/>
            <w:vAlign w:val="center"/>
          </w:tcPr>
          <w:p w14:paraId="48E1443C">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3.40</w:t>
            </w:r>
          </w:p>
        </w:tc>
        <w:tc>
          <w:tcPr>
            <w:tcW w:w="1080" w:type="dxa"/>
            <w:tcBorders>
              <w:top w:val="nil"/>
              <w:left w:val="nil"/>
              <w:bottom w:val="double" w:color="3F3F3F" w:sz="2" w:space="0"/>
              <w:right w:val="double" w:color="3F3F3F" w:sz="2" w:space="0"/>
            </w:tcBorders>
            <w:shd w:val="clear" w:color="auto" w:fill="DDEBF7"/>
            <w:noWrap/>
            <w:vAlign w:val="center"/>
          </w:tcPr>
          <w:p w14:paraId="050382A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8.50</w:t>
            </w:r>
          </w:p>
        </w:tc>
        <w:tc>
          <w:tcPr>
            <w:tcW w:w="1080" w:type="dxa"/>
            <w:tcBorders>
              <w:top w:val="nil"/>
              <w:left w:val="nil"/>
              <w:bottom w:val="double" w:color="3F3F3F" w:sz="2" w:space="0"/>
              <w:right w:val="double" w:color="3F3F3F" w:sz="2" w:space="0"/>
            </w:tcBorders>
            <w:shd w:val="clear" w:color="auto" w:fill="DDEBF7"/>
            <w:noWrap/>
            <w:vAlign w:val="center"/>
          </w:tcPr>
          <w:p w14:paraId="72B7CD6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17.00</w:t>
            </w:r>
          </w:p>
        </w:tc>
        <w:tc>
          <w:tcPr>
            <w:tcW w:w="1080" w:type="dxa"/>
            <w:tcBorders>
              <w:top w:val="nil"/>
              <w:left w:val="nil"/>
              <w:bottom w:val="double" w:color="3F3F3F" w:sz="2" w:space="0"/>
              <w:right w:val="double" w:color="3F3F3F" w:sz="2" w:space="0"/>
            </w:tcBorders>
            <w:shd w:val="clear" w:color="auto" w:fill="DDEBF7"/>
            <w:noWrap/>
            <w:vAlign w:val="center"/>
          </w:tcPr>
          <w:p w14:paraId="104FE3FA">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34.00</w:t>
            </w:r>
          </w:p>
        </w:tc>
      </w:tr>
      <w:tr w14:paraId="21693DE1">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17E5CF5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销售费用</w:t>
            </w:r>
          </w:p>
        </w:tc>
        <w:tc>
          <w:tcPr>
            <w:tcW w:w="1080" w:type="dxa"/>
            <w:tcBorders>
              <w:top w:val="nil"/>
              <w:left w:val="nil"/>
              <w:bottom w:val="double" w:color="3F3F3F" w:sz="2" w:space="0"/>
              <w:right w:val="double" w:color="3F3F3F" w:sz="2" w:space="0"/>
            </w:tcBorders>
            <w:shd w:val="clear" w:color="auto" w:fill="DDEBF7"/>
            <w:noWrap/>
            <w:vAlign w:val="center"/>
          </w:tcPr>
          <w:p w14:paraId="6650FC0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17.00</w:t>
            </w:r>
          </w:p>
        </w:tc>
        <w:tc>
          <w:tcPr>
            <w:tcW w:w="1080" w:type="dxa"/>
            <w:tcBorders>
              <w:top w:val="nil"/>
              <w:left w:val="nil"/>
              <w:bottom w:val="double" w:color="3F3F3F" w:sz="2" w:space="0"/>
              <w:right w:val="double" w:color="3F3F3F" w:sz="2" w:space="0"/>
            </w:tcBorders>
            <w:shd w:val="clear" w:color="auto" w:fill="DDEBF7"/>
            <w:noWrap/>
            <w:vAlign w:val="center"/>
          </w:tcPr>
          <w:p w14:paraId="4BE158D5">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23.00</w:t>
            </w:r>
          </w:p>
        </w:tc>
        <w:tc>
          <w:tcPr>
            <w:tcW w:w="1080" w:type="dxa"/>
            <w:tcBorders>
              <w:top w:val="nil"/>
              <w:left w:val="nil"/>
              <w:bottom w:val="double" w:color="3F3F3F" w:sz="2" w:space="0"/>
              <w:right w:val="double" w:color="3F3F3F" w:sz="2" w:space="0"/>
            </w:tcBorders>
            <w:shd w:val="clear" w:color="auto" w:fill="DDEBF7"/>
            <w:noWrap/>
            <w:vAlign w:val="center"/>
          </w:tcPr>
          <w:p w14:paraId="1F19B760">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86.00</w:t>
            </w:r>
          </w:p>
        </w:tc>
        <w:tc>
          <w:tcPr>
            <w:tcW w:w="1080" w:type="dxa"/>
            <w:tcBorders>
              <w:top w:val="nil"/>
              <w:left w:val="nil"/>
              <w:bottom w:val="double" w:color="3F3F3F" w:sz="2" w:space="0"/>
              <w:right w:val="double" w:color="3F3F3F" w:sz="2" w:space="0"/>
            </w:tcBorders>
            <w:shd w:val="clear" w:color="auto" w:fill="DDEBF7"/>
            <w:noWrap/>
            <w:vAlign w:val="center"/>
          </w:tcPr>
          <w:p w14:paraId="389CA91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184.00</w:t>
            </w:r>
          </w:p>
        </w:tc>
        <w:tc>
          <w:tcPr>
            <w:tcW w:w="1080" w:type="dxa"/>
            <w:tcBorders>
              <w:top w:val="nil"/>
              <w:left w:val="nil"/>
              <w:bottom w:val="double" w:color="3F3F3F" w:sz="2" w:space="0"/>
              <w:right w:val="double" w:color="3F3F3F" w:sz="2" w:space="0"/>
            </w:tcBorders>
            <w:shd w:val="clear" w:color="auto" w:fill="DDEBF7"/>
            <w:noWrap/>
            <w:vAlign w:val="center"/>
          </w:tcPr>
          <w:p w14:paraId="6D10325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374.00</w:t>
            </w:r>
          </w:p>
        </w:tc>
      </w:tr>
      <w:tr w14:paraId="729270A2">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5D77B2C9">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管理费用</w:t>
            </w:r>
          </w:p>
        </w:tc>
        <w:tc>
          <w:tcPr>
            <w:tcW w:w="1080" w:type="dxa"/>
            <w:tcBorders>
              <w:top w:val="nil"/>
              <w:left w:val="nil"/>
              <w:bottom w:val="double" w:color="3F3F3F" w:sz="2" w:space="0"/>
              <w:right w:val="double" w:color="3F3F3F" w:sz="2" w:space="0"/>
            </w:tcBorders>
            <w:shd w:val="clear" w:color="auto" w:fill="DDEBF7"/>
            <w:noWrap/>
            <w:vAlign w:val="center"/>
          </w:tcPr>
          <w:p w14:paraId="54129EE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27.00</w:t>
            </w:r>
          </w:p>
        </w:tc>
        <w:tc>
          <w:tcPr>
            <w:tcW w:w="1080" w:type="dxa"/>
            <w:tcBorders>
              <w:top w:val="nil"/>
              <w:left w:val="nil"/>
              <w:bottom w:val="double" w:color="3F3F3F" w:sz="2" w:space="0"/>
              <w:right w:val="double" w:color="3F3F3F" w:sz="2" w:space="0"/>
            </w:tcBorders>
            <w:shd w:val="clear" w:color="auto" w:fill="DDEBF7"/>
            <w:noWrap/>
            <w:vAlign w:val="center"/>
          </w:tcPr>
          <w:p w14:paraId="69664A72">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27.00</w:t>
            </w:r>
          </w:p>
        </w:tc>
        <w:tc>
          <w:tcPr>
            <w:tcW w:w="1080" w:type="dxa"/>
            <w:tcBorders>
              <w:top w:val="nil"/>
              <w:left w:val="nil"/>
              <w:bottom w:val="double" w:color="3F3F3F" w:sz="2" w:space="0"/>
              <w:right w:val="double" w:color="3F3F3F" w:sz="2" w:space="0"/>
            </w:tcBorders>
            <w:shd w:val="clear" w:color="auto" w:fill="DDEBF7"/>
            <w:noWrap/>
            <w:vAlign w:val="center"/>
          </w:tcPr>
          <w:p w14:paraId="1442EB68">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70.00</w:t>
            </w:r>
          </w:p>
        </w:tc>
        <w:tc>
          <w:tcPr>
            <w:tcW w:w="1080" w:type="dxa"/>
            <w:tcBorders>
              <w:top w:val="nil"/>
              <w:left w:val="nil"/>
              <w:bottom w:val="double" w:color="3F3F3F" w:sz="2" w:space="0"/>
              <w:right w:val="double" w:color="3F3F3F" w:sz="2" w:space="0"/>
            </w:tcBorders>
            <w:shd w:val="clear" w:color="auto" w:fill="DDEBF7"/>
            <w:noWrap/>
            <w:vAlign w:val="center"/>
          </w:tcPr>
          <w:p w14:paraId="664DAF2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104.00</w:t>
            </w:r>
          </w:p>
        </w:tc>
        <w:tc>
          <w:tcPr>
            <w:tcW w:w="1080" w:type="dxa"/>
            <w:tcBorders>
              <w:top w:val="nil"/>
              <w:left w:val="nil"/>
              <w:bottom w:val="double" w:color="3F3F3F" w:sz="2" w:space="0"/>
              <w:right w:val="double" w:color="3F3F3F" w:sz="2" w:space="0"/>
            </w:tcBorders>
            <w:shd w:val="clear" w:color="auto" w:fill="DDEBF7"/>
            <w:noWrap/>
            <w:vAlign w:val="center"/>
          </w:tcPr>
          <w:p w14:paraId="4D4531C0">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170.00</w:t>
            </w:r>
          </w:p>
        </w:tc>
      </w:tr>
      <w:tr w14:paraId="45E7DFE1">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76F7E78A">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财务费用</w:t>
            </w:r>
          </w:p>
        </w:tc>
        <w:tc>
          <w:tcPr>
            <w:tcW w:w="1080" w:type="dxa"/>
            <w:tcBorders>
              <w:top w:val="nil"/>
              <w:left w:val="nil"/>
              <w:bottom w:val="double" w:color="3F3F3F" w:sz="2" w:space="0"/>
              <w:right w:val="double" w:color="3F3F3F" w:sz="2" w:space="0"/>
            </w:tcBorders>
            <w:shd w:val="clear" w:color="auto" w:fill="DDEBF7"/>
            <w:noWrap/>
            <w:vAlign w:val="center"/>
          </w:tcPr>
          <w:p w14:paraId="1F7AA088">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3E6D3D9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7FE004C5">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5023E7A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c>
          <w:tcPr>
            <w:tcW w:w="1080" w:type="dxa"/>
            <w:tcBorders>
              <w:top w:val="nil"/>
              <w:left w:val="nil"/>
              <w:bottom w:val="double" w:color="3F3F3F" w:sz="2" w:space="0"/>
              <w:right w:val="double" w:color="3F3F3F" w:sz="2" w:space="0"/>
            </w:tcBorders>
            <w:shd w:val="clear" w:color="auto" w:fill="DDEBF7"/>
            <w:noWrap/>
            <w:vAlign w:val="center"/>
          </w:tcPr>
          <w:p w14:paraId="0C7A2B9D">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5.00</w:t>
            </w:r>
          </w:p>
        </w:tc>
      </w:tr>
      <w:tr w14:paraId="580A8B5A">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6B849D44">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二、营业利润</w:t>
            </w:r>
          </w:p>
        </w:tc>
        <w:tc>
          <w:tcPr>
            <w:tcW w:w="1080" w:type="dxa"/>
            <w:tcBorders>
              <w:top w:val="nil"/>
              <w:left w:val="nil"/>
              <w:bottom w:val="double" w:color="3F3F3F" w:sz="2" w:space="0"/>
              <w:right w:val="double" w:color="3F3F3F" w:sz="2" w:space="0"/>
            </w:tcBorders>
            <w:shd w:val="clear" w:color="auto" w:fill="DDEBF7"/>
            <w:noWrap/>
            <w:vAlign w:val="center"/>
          </w:tcPr>
          <w:p w14:paraId="5992346F">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58F2748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71.60</w:t>
            </w:r>
          </w:p>
        </w:tc>
        <w:tc>
          <w:tcPr>
            <w:tcW w:w="1080" w:type="dxa"/>
            <w:tcBorders>
              <w:top w:val="nil"/>
              <w:left w:val="nil"/>
              <w:bottom w:val="double" w:color="3F3F3F" w:sz="2" w:space="0"/>
              <w:right w:val="double" w:color="3F3F3F" w:sz="2" w:space="0"/>
            </w:tcBorders>
            <w:shd w:val="clear" w:color="auto" w:fill="DDEBF7"/>
            <w:noWrap/>
            <w:vAlign w:val="center"/>
          </w:tcPr>
          <w:p w14:paraId="686DD9C0">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210.50</w:t>
            </w:r>
          </w:p>
        </w:tc>
        <w:tc>
          <w:tcPr>
            <w:tcW w:w="1080" w:type="dxa"/>
            <w:tcBorders>
              <w:top w:val="nil"/>
              <w:left w:val="nil"/>
              <w:bottom w:val="double" w:color="3F3F3F" w:sz="2" w:space="0"/>
              <w:right w:val="double" w:color="3F3F3F" w:sz="2" w:space="0"/>
            </w:tcBorders>
            <w:shd w:val="clear" w:color="auto" w:fill="DDEBF7"/>
            <w:noWrap/>
            <w:vAlign w:val="center"/>
          </w:tcPr>
          <w:p w14:paraId="5947921C">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450.00</w:t>
            </w:r>
          </w:p>
        </w:tc>
        <w:tc>
          <w:tcPr>
            <w:tcW w:w="1080" w:type="dxa"/>
            <w:tcBorders>
              <w:top w:val="nil"/>
              <w:left w:val="nil"/>
              <w:bottom w:val="double" w:color="3F3F3F" w:sz="2" w:space="0"/>
              <w:right w:val="double" w:color="3F3F3F" w:sz="2" w:space="0"/>
            </w:tcBorders>
            <w:shd w:val="clear" w:color="auto" w:fill="DDEBF7"/>
            <w:noWrap/>
            <w:vAlign w:val="center"/>
          </w:tcPr>
          <w:p w14:paraId="29BD239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1117.00</w:t>
            </w:r>
          </w:p>
        </w:tc>
      </w:tr>
      <w:tr w14:paraId="77F969EE">
        <w:tblPrEx>
          <w:tblCellMar>
            <w:top w:w="0" w:type="dxa"/>
            <w:left w:w="108" w:type="dxa"/>
            <w:bottom w:w="0" w:type="dxa"/>
            <w:right w:w="108" w:type="dxa"/>
          </w:tblCellMar>
        </w:tblPrEx>
        <w:trPr>
          <w:trHeight w:val="570" w:hRule="atLeast"/>
          <w:jc w:val="center"/>
        </w:trPr>
        <w:tc>
          <w:tcPr>
            <w:tcW w:w="2180" w:type="dxa"/>
            <w:tcBorders>
              <w:top w:val="nil"/>
              <w:left w:val="double" w:color="3F3F3F" w:sz="2" w:space="0"/>
              <w:bottom w:val="double" w:color="3F3F3F" w:sz="2" w:space="0"/>
              <w:right w:val="double" w:color="3F3F3F" w:sz="2" w:space="0"/>
            </w:tcBorders>
            <w:shd w:val="clear" w:color="auto" w:fill="9BC2E6"/>
            <w:vAlign w:val="center"/>
          </w:tcPr>
          <w:p w14:paraId="2790EA7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加：营业外收入       减：营业外支出</w:t>
            </w:r>
          </w:p>
        </w:tc>
        <w:tc>
          <w:tcPr>
            <w:tcW w:w="1080" w:type="dxa"/>
            <w:tcBorders>
              <w:top w:val="nil"/>
              <w:left w:val="nil"/>
              <w:bottom w:val="double" w:color="3F3F3F" w:sz="2" w:space="0"/>
              <w:right w:val="double" w:color="3F3F3F" w:sz="2" w:space="0"/>
            </w:tcBorders>
            <w:shd w:val="clear" w:color="auto" w:fill="DDEBF7"/>
            <w:noWrap/>
            <w:vAlign w:val="center"/>
          </w:tcPr>
          <w:p w14:paraId="7D7EB65B">
            <w:pPr>
              <w:widowControl/>
              <w:spacing w:line="360" w:lineRule="auto"/>
              <w:ind w:firstLine="0" w:firstLineChars="0"/>
              <w:jc w:val="center"/>
              <w:rPr>
                <w:rFonts w:hint="eastAsia" w:ascii="等线" w:hAnsi="等线" w:eastAsia="等线" w:cs="宋体"/>
                <w:color w:val="000000"/>
                <w:kern w:val="0"/>
                <w:sz w:val="18"/>
                <w:szCs w:val="18"/>
              </w:rPr>
            </w:pPr>
          </w:p>
        </w:tc>
        <w:tc>
          <w:tcPr>
            <w:tcW w:w="1080" w:type="dxa"/>
            <w:tcBorders>
              <w:top w:val="nil"/>
              <w:left w:val="nil"/>
              <w:bottom w:val="double" w:color="3F3F3F" w:sz="2" w:space="0"/>
              <w:right w:val="double" w:color="3F3F3F" w:sz="2" w:space="0"/>
            </w:tcBorders>
            <w:shd w:val="clear" w:color="auto" w:fill="DDEBF7"/>
            <w:noWrap/>
            <w:vAlign w:val="center"/>
          </w:tcPr>
          <w:p w14:paraId="0126C1F0">
            <w:pPr>
              <w:widowControl/>
              <w:spacing w:line="360" w:lineRule="auto"/>
              <w:ind w:firstLine="0" w:firstLineChars="0"/>
              <w:jc w:val="center"/>
              <w:rPr>
                <w:rFonts w:hint="eastAsia" w:ascii="等线" w:hAnsi="等线" w:eastAsia="等线" w:cs="宋体"/>
                <w:color w:val="000000"/>
                <w:kern w:val="0"/>
                <w:sz w:val="18"/>
                <w:szCs w:val="18"/>
              </w:rPr>
            </w:pPr>
          </w:p>
        </w:tc>
        <w:tc>
          <w:tcPr>
            <w:tcW w:w="1080" w:type="dxa"/>
            <w:tcBorders>
              <w:top w:val="nil"/>
              <w:left w:val="nil"/>
              <w:bottom w:val="double" w:color="3F3F3F" w:sz="2" w:space="0"/>
              <w:right w:val="double" w:color="3F3F3F" w:sz="2" w:space="0"/>
            </w:tcBorders>
            <w:shd w:val="clear" w:color="auto" w:fill="DDEBF7"/>
            <w:noWrap/>
            <w:vAlign w:val="center"/>
          </w:tcPr>
          <w:p w14:paraId="46EAD7D9">
            <w:pPr>
              <w:widowControl/>
              <w:spacing w:line="360" w:lineRule="auto"/>
              <w:ind w:firstLine="0" w:firstLineChars="0"/>
              <w:jc w:val="center"/>
              <w:rPr>
                <w:rFonts w:hint="eastAsia" w:ascii="等线" w:hAnsi="等线" w:eastAsia="等线" w:cs="宋体"/>
                <w:color w:val="000000"/>
                <w:kern w:val="0"/>
                <w:sz w:val="18"/>
                <w:szCs w:val="18"/>
              </w:rPr>
            </w:pPr>
          </w:p>
        </w:tc>
        <w:tc>
          <w:tcPr>
            <w:tcW w:w="1080" w:type="dxa"/>
            <w:tcBorders>
              <w:top w:val="nil"/>
              <w:left w:val="nil"/>
              <w:bottom w:val="double" w:color="3F3F3F" w:sz="2" w:space="0"/>
              <w:right w:val="double" w:color="3F3F3F" w:sz="2" w:space="0"/>
            </w:tcBorders>
            <w:shd w:val="clear" w:color="auto" w:fill="DDEBF7"/>
            <w:noWrap/>
            <w:vAlign w:val="center"/>
          </w:tcPr>
          <w:p w14:paraId="3A677A7F">
            <w:pPr>
              <w:widowControl/>
              <w:spacing w:line="360" w:lineRule="auto"/>
              <w:ind w:firstLine="0" w:firstLineChars="0"/>
              <w:jc w:val="center"/>
              <w:rPr>
                <w:rFonts w:hint="eastAsia" w:ascii="等线" w:hAnsi="等线" w:eastAsia="等线" w:cs="宋体"/>
                <w:color w:val="000000"/>
                <w:kern w:val="0"/>
                <w:sz w:val="18"/>
                <w:szCs w:val="18"/>
              </w:rPr>
            </w:pPr>
          </w:p>
        </w:tc>
        <w:tc>
          <w:tcPr>
            <w:tcW w:w="1080" w:type="dxa"/>
            <w:tcBorders>
              <w:top w:val="nil"/>
              <w:left w:val="nil"/>
              <w:bottom w:val="double" w:color="3F3F3F" w:sz="2" w:space="0"/>
              <w:right w:val="double" w:color="3F3F3F" w:sz="2" w:space="0"/>
            </w:tcBorders>
            <w:shd w:val="clear" w:color="auto" w:fill="DDEBF7"/>
            <w:noWrap/>
            <w:vAlign w:val="center"/>
          </w:tcPr>
          <w:p w14:paraId="2ED33733">
            <w:pPr>
              <w:widowControl/>
              <w:spacing w:line="360" w:lineRule="auto"/>
              <w:ind w:firstLine="0" w:firstLineChars="0"/>
              <w:jc w:val="center"/>
              <w:rPr>
                <w:rFonts w:hint="eastAsia" w:ascii="等线" w:hAnsi="等线" w:eastAsia="等线" w:cs="宋体"/>
                <w:color w:val="000000"/>
                <w:kern w:val="0"/>
                <w:sz w:val="18"/>
                <w:szCs w:val="18"/>
              </w:rPr>
            </w:pPr>
          </w:p>
        </w:tc>
      </w:tr>
      <w:tr w14:paraId="043DFDF6">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661B77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三、利润总额</w:t>
            </w:r>
          </w:p>
        </w:tc>
        <w:tc>
          <w:tcPr>
            <w:tcW w:w="1080" w:type="dxa"/>
            <w:tcBorders>
              <w:top w:val="nil"/>
              <w:left w:val="nil"/>
              <w:bottom w:val="double" w:color="3F3F3F" w:sz="2" w:space="0"/>
              <w:right w:val="double" w:color="3F3F3F" w:sz="2" w:space="0"/>
            </w:tcBorders>
            <w:shd w:val="clear" w:color="auto" w:fill="DDEBF7"/>
            <w:noWrap/>
            <w:vAlign w:val="center"/>
          </w:tcPr>
          <w:p w14:paraId="5DC8083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5DEF80AA">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71.60</w:t>
            </w:r>
          </w:p>
        </w:tc>
        <w:tc>
          <w:tcPr>
            <w:tcW w:w="1080" w:type="dxa"/>
            <w:tcBorders>
              <w:top w:val="nil"/>
              <w:left w:val="nil"/>
              <w:bottom w:val="double" w:color="3F3F3F" w:sz="2" w:space="0"/>
              <w:right w:val="double" w:color="3F3F3F" w:sz="2" w:space="0"/>
            </w:tcBorders>
            <w:shd w:val="clear" w:color="auto" w:fill="DDEBF7"/>
            <w:noWrap/>
            <w:vAlign w:val="center"/>
          </w:tcPr>
          <w:p w14:paraId="4827E86D">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210.50</w:t>
            </w:r>
          </w:p>
        </w:tc>
        <w:tc>
          <w:tcPr>
            <w:tcW w:w="1080" w:type="dxa"/>
            <w:tcBorders>
              <w:top w:val="nil"/>
              <w:left w:val="nil"/>
              <w:bottom w:val="double" w:color="3F3F3F" w:sz="2" w:space="0"/>
              <w:right w:val="double" w:color="3F3F3F" w:sz="2" w:space="0"/>
            </w:tcBorders>
            <w:shd w:val="clear" w:color="auto" w:fill="DDEBF7"/>
            <w:noWrap/>
            <w:vAlign w:val="center"/>
          </w:tcPr>
          <w:p w14:paraId="3E0C824D">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450.00</w:t>
            </w:r>
          </w:p>
        </w:tc>
        <w:tc>
          <w:tcPr>
            <w:tcW w:w="1080" w:type="dxa"/>
            <w:tcBorders>
              <w:top w:val="nil"/>
              <w:left w:val="nil"/>
              <w:bottom w:val="double" w:color="3F3F3F" w:sz="2" w:space="0"/>
              <w:right w:val="double" w:color="3F3F3F" w:sz="2" w:space="0"/>
            </w:tcBorders>
            <w:shd w:val="clear" w:color="auto" w:fill="DDEBF7"/>
            <w:noWrap/>
            <w:vAlign w:val="center"/>
          </w:tcPr>
          <w:p w14:paraId="00EFA29C">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1117.00</w:t>
            </w:r>
          </w:p>
        </w:tc>
      </w:tr>
      <w:tr w14:paraId="5D4DD46D">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59447E30">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减：所得税费用</w:t>
            </w:r>
          </w:p>
        </w:tc>
        <w:tc>
          <w:tcPr>
            <w:tcW w:w="1080" w:type="dxa"/>
            <w:tcBorders>
              <w:top w:val="nil"/>
              <w:left w:val="nil"/>
              <w:bottom w:val="double" w:color="3F3F3F" w:sz="2" w:space="0"/>
              <w:right w:val="double" w:color="3F3F3F" w:sz="2" w:space="0"/>
            </w:tcBorders>
            <w:shd w:val="clear" w:color="auto" w:fill="DDEBF7"/>
            <w:noWrap/>
            <w:vAlign w:val="center"/>
          </w:tcPr>
          <w:p w14:paraId="33A9E92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1861BB4F">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17.90</w:t>
            </w:r>
          </w:p>
        </w:tc>
        <w:tc>
          <w:tcPr>
            <w:tcW w:w="1080" w:type="dxa"/>
            <w:tcBorders>
              <w:top w:val="nil"/>
              <w:left w:val="nil"/>
              <w:bottom w:val="double" w:color="3F3F3F" w:sz="2" w:space="0"/>
              <w:right w:val="double" w:color="3F3F3F" w:sz="2" w:space="0"/>
            </w:tcBorders>
            <w:shd w:val="clear" w:color="auto" w:fill="DDEBF7"/>
            <w:noWrap/>
            <w:vAlign w:val="center"/>
          </w:tcPr>
          <w:p w14:paraId="785B8622">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52.63</w:t>
            </w:r>
          </w:p>
        </w:tc>
        <w:tc>
          <w:tcPr>
            <w:tcW w:w="1080" w:type="dxa"/>
            <w:tcBorders>
              <w:top w:val="nil"/>
              <w:left w:val="nil"/>
              <w:bottom w:val="double" w:color="3F3F3F" w:sz="2" w:space="0"/>
              <w:right w:val="double" w:color="3F3F3F" w:sz="2" w:space="0"/>
            </w:tcBorders>
            <w:shd w:val="clear" w:color="auto" w:fill="DDEBF7"/>
            <w:noWrap/>
            <w:vAlign w:val="center"/>
          </w:tcPr>
          <w:p w14:paraId="6A35CEA5">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112.50</w:t>
            </w:r>
          </w:p>
        </w:tc>
        <w:tc>
          <w:tcPr>
            <w:tcW w:w="1080" w:type="dxa"/>
            <w:tcBorders>
              <w:top w:val="nil"/>
              <w:left w:val="nil"/>
              <w:bottom w:val="double" w:color="3F3F3F" w:sz="2" w:space="0"/>
              <w:right w:val="double" w:color="3F3F3F" w:sz="2" w:space="0"/>
            </w:tcBorders>
            <w:shd w:val="clear" w:color="auto" w:fill="DDEBF7"/>
            <w:noWrap/>
            <w:vAlign w:val="center"/>
          </w:tcPr>
          <w:p w14:paraId="2D45795E">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279.25</w:t>
            </w:r>
          </w:p>
        </w:tc>
      </w:tr>
      <w:tr w14:paraId="41F5C127">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DDB4C2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四、净利润</w:t>
            </w:r>
          </w:p>
        </w:tc>
        <w:tc>
          <w:tcPr>
            <w:tcW w:w="1080" w:type="dxa"/>
            <w:tcBorders>
              <w:top w:val="nil"/>
              <w:left w:val="nil"/>
              <w:bottom w:val="double" w:color="3F3F3F" w:sz="2" w:space="0"/>
              <w:right w:val="double" w:color="3F3F3F" w:sz="2" w:space="0"/>
            </w:tcBorders>
            <w:shd w:val="clear" w:color="auto" w:fill="DDEBF7"/>
            <w:noWrap/>
            <w:vAlign w:val="center"/>
          </w:tcPr>
          <w:p w14:paraId="3105B6AF">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433E1FB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53.70</w:t>
            </w:r>
          </w:p>
        </w:tc>
        <w:tc>
          <w:tcPr>
            <w:tcW w:w="1080" w:type="dxa"/>
            <w:tcBorders>
              <w:top w:val="nil"/>
              <w:left w:val="nil"/>
              <w:bottom w:val="double" w:color="3F3F3F" w:sz="2" w:space="0"/>
              <w:right w:val="double" w:color="3F3F3F" w:sz="2" w:space="0"/>
            </w:tcBorders>
            <w:shd w:val="clear" w:color="auto" w:fill="DDEBF7"/>
            <w:noWrap/>
            <w:vAlign w:val="center"/>
          </w:tcPr>
          <w:p w14:paraId="41541FB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157.88</w:t>
            </w:r>
          </w:p>
        </w:tc>
        <w:tc>
          <w:tcPr>
            <w:tcW w:w="1080" w:type="dxa"/>
            <w:tcBorders>
              <w:top w:val="nil"/>
              <w:left w:val="nil"/>
              <w:bottom w:val="double" w:color="3F3F3F" w:sz="2" w:space="0"/>
              <w:right w:val="double" w:color="3F3F3F" w:sz="2" w:space="0"/>
            </w:tcBorders>
            <w:shd w:val="clear" w:color="auto" w:fill="DDEBF7"/>
            <w:noWrap/>
            <w:vAlign w:val="center"/>
          </w:tcPr>
          <w:p w14:paraId="5350FCE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337.50</w:t>
            </w:r>
          </w:p>
        </w:tc>
        <w:tc>
          <w:tcPr>
            <w:tcW w:w="1080" w:type="dxa"/>
            <w:tcBorders>
              <w:top w:val="nil"/>
              <w:left w:val="nil"/>
              <w:bottom w:val="double" w:color="3F3F3F" w:sz="2" w:space="0"/>
              <w:right w:val="double" w:color="3F3F3F" w:sz="2" w:space="0"/>
            </w:tcBorders>
            <w:shd w:val="clear" w:color="auto" w:fill="DDEBF7"/>
            <w:noWrap/>
            <w:vAlign w:val="center"/>
          </w:tcPr>
          <w:p w14:paraId="650312D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837.75</w:t>
            </w:r>
          </w:p>
        </w:tc>
      </w:tr>
      <w:tr w14:paraId="6D7E3ECB">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0BFFDE39">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提取盈余公积金</w:t>
            </w:r>
          </w:p>
        </w:tc>
        <w:tc>
          <w:tcPr>
            <w:tcW w:w="1080" w:type="dxa"/>
            <w:tcBorders>
              <w:top w:val="nil"/>
              <w:left w:val="nil"/>
              <w:bottom w:val="double" w:color="3F3F3F" w:sz="2" w:space="0"/>
              <w:right w:val="double" w:color="3F3F3F" w:sz="2" w:space="0"/>
            </w:tcBorders>
            <w:shd w:val="clear" w:color="auto" w:fill="DDEBF7"/>
            <w:noWrap/>
            <w:vAlign w:val="center"/>
          </w:tcPr>
          <w:p w14:paraId="71FCD724">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0BD6874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8.06</w:t>
            </w:r>
          </w:p>
        </w:tc>
        <w:tc>
          <w:tcPr>
            <w:tcW w:w="1080" w:type="dxa"/>
            <w:tcBorders>
              <w:top w:val="nil"/>
              <w:left w:val="nil"/>
              <w:bottom w:val="double" w:color="3F3F3F" w:sz="2" w:space="0"/>
              <w:right w:val="double" w:color="3F3F3F" w:sz="2" w:space="0"/>
            </w:tcBorders>
            <w:shd w:val="clear" w:color="auto" w:fill="DDEBF7"/>
            <w:noWrap/>
            <w:vAlign w:val="center"/>
          </w:tcPr>
          <w:p w14:paraId="400F6FCD">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23.68</w:t>
            </w:r>
          </w:p>
        </w:tc>
        <w:tc>
          <w:tcPr>
            <w:tcW w:w="1080" w:type="dxa"/>
            <w:tcBorders>
              <w:top w:val="nil"/>
              <w:left w:val="nil"/>
              <w:bottom w:val="double" w:color="3F3F3F" w:sz="2" w:space="0"/>
              <w:right w:val="double" w:color="3F3F3F" w:sz="2" w:space="0"/>
            </w:tcBorders>
            <w:shd w:val="clear" w:color="auto" w:fill="DDEBF7"/>
            <w:noWrap/>
            <w:vAlign w:val="center"/>
          </w:tcPr>
          <w:p w14:paraId="2B40E53D">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50.63</w:t>
            </w:r>
          </w:p>
        </w:tc>
        <w:tc>
          <w:tcPr>
            <w:tcW w:w="1080" w:type="dxa"/>
            <w:tcBorders>
              <w:top w:val="nil"/>
              <w:left w:val="nil"/>
              <w:bottom w:val="double" w:color="3F3F3F" w:sz="2" w:space="0"/>
              <w:right w:val="double" w:color="3F3F3F" w:sz="2" w:space="0"/>
            </w:tcBorders>
            <w:shd w:val="clear" w:color="auto" w:fill="DDEBF7"/>
            <w:noWrap/>
            <w:vAlign w:val="center"/>
          </w:tcPr>
          <w:p w14:paraId="73A71FDC">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125.66</w:t>
            </w:r>
          </w:p>
        </w:tc>
      </w:tr>
      <w:tr w14:paraId="0E398CEF">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1F3BE5F6">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可供股东分配利润</w:t>
            </w:r>
          </w:p>
        </w:tc>
        <w:tc>
          <w:tcPr>
            <w:tcW w:w="1080" w:type="dxa"/>
            <w:tcBorders>
              <w:top w:val="nil"/>
              <w:left w:val="nil"/>
              <w:bottom w:val="double" w:color="3F3F3F" w:sz="2" w:space="0"/>
              <w:right w:val="double" w:color="3F3F3F" w:sz="2" w:space="0"/>
            </w:tcBorders>
            <w:shd w:val="clear" w:color="auto" w:fill="DDEBF7"/>
            <w:noWrap/>
            <w:vAlign w:val="center"/>
          </w:tcPr>
          <w:p w14:paraId="57F1DDB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74D39D0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45.65</w:t>
            </w:r>
          </w:p>
        </w:tc>
        <w:tc>
          <w:tcPr>
            <w:tcW w:w="1080" w:type="dxa"/>
            <w:tcBorders>
              <w:top w:val="nil"/>
              <w:left w:val="nil"/>
              <w:bottom w:val="double" w:color="3F3F3F" w:sz="2" w:space="0"/>
              <w:right w:val="double" w:color="3F3F3F" w:sz="2" w:space="0"/>
            </w:tcBorders>
            <w:shd w:val="clear" w:color="auto" w:fill="DDEBF7"/>
            <w:noWrap/>
            <w:vAlign w:val="center"/>
          </w:tcPr>
          <w:p w14:paraId="753C16C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179.84</w:t>
            </w:r>
          </w:p>
        </w:tc>
        <w:tc>
          <w:tcPr>
            <w:tcW w:w="1080" w:type="dxa"/>
            <w:tcBorders>
              <w:top w:val="nil"/>
              <w:left w:val="nil"/>
              <w:bottom w:val="double" w:color="3F3F3F" w:sz="2" w:space="0"/>
              <w:right w:val="double" w:color="3F3F3F" w:sz="2" w:space="0"/>
            </w:tcBorders>
            <w:shd w:val="clear" w:color="auto" w:fill="DDEBF7"/>
            <w:noWrap/>
            <w:vAlign w:val="center"/>
          </w:tcPr>
          <w:p w14:paraId="1D435053">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421.07</w:t>
            </w:r>
          </w:p>
        </w:tc>
        <w:tc>
          <w:tcPr>
            <w:tcW w:w="1080" w:type="dxa"/>
            <w:tcBorders>
              <w:top w:val="nil"/>
              <w:left w:val="nil"/>
              <w:bottom w:val="double" w:color="3F3F3F" w:sz="2" w:space="0"/>
              <w:right w:val="double" w:color="3F3F3F" w:sz="2" w:space="0"/>
            </w:tcBorders>
            <w:shd w:val="clear" w:color="auto" w:fill="DDEBF7"/>
            <w:noWrap/>
            <w:vAlign w:val="center"/>
          </w:tcPr>
          <w:p w14:paraId="3A6D4D4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998.96</w:t>
            </w:r>
          </w:p>
        </w:tc>
      </w:tr>
      <w:tr w14:paraId="4E5C1389">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50E069E4">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减：支付股利</w:t>
            </w:r>
          </w:p>
        </w:tc>
        <w:tc>
          <w:tcPr>
            <w:tcW w:w="1080" w:type="dxa"/>
            <w:tcBorders>
              <w:top w:val="nil"/>
              <w:left w:val="nil"/>
              <w:bottom w:val="double" w:color="3F3F3F" w:sz="2" w:space="0"/>
              <w:right w:val="double" w:color="3F3F3F" w:sz="2" w:space="0"/>
            </w:tcBorders>
            <w:shd w:val="clear" w:color="auto" w:fill="DDEBF7"/>
            <w:noWrap/>
            <w:vAlign w:val="center"/>
          </w:tcPr>
          <w:p w14:paraId="4C4B2B1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7AC0F455">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576A5F0F">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0.00</w:t>
            </w:r>
          </w:p>
        </w:tc>
        <w:tc>
          <w:tcPr>
            <w:tcW w:w="1080" w:type="dxa"/>
            <w:tcBorders>
              <w:top w:val="nil"/>
              <w:left w:val="nil"/>
              <w:bottom w:val="double" w:color="3F3F3F" w:sz="2" w:space="0"/>
              <w:right w:val="double" w:color="3F3F3F" w:sz="2" w:space="0"/>
            </w:tcBorders>
            <w:shd w:val="clear" w:color="auto" w:fill="DDEBF7"/>
            <w:noWrap/>
            <w:vAlign w:val="center"/>
          </w:tcPr>
          <w:p w14:paraId="26CD97CB">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84.21</w:t>
            </w:r>
          </w:p>
        </w:tc>
        <w:tc>
          <w:tcPr>
            <w:tcW w:w="1080" w:type="dxa"/>
            <w:tcBorders>
              <w:top w:val="nil"/>
              <w:left w:val="nil"/>
              <w:bottom w:val="double" w:color="3F3F3F" w:sz="2" w:space="0"/>
              <w:right w:val="double" w:color="3F3F3F" w:sz="2" w:space="0"/>
            </w:tcBorders>
            <w:shd w:val="clear" w:color="auto" w:fill="DDEBF7"/>
            <w:noWrap/>
            <w:vAlign w:val="center"/>
          </w:tcPr>
          <w:p w14:paraId="38451C5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199.79</w:t>
            </w:r>
          </w:p>
        </w:tc>
      </w:tr>
      <w:tr w14:paraId="3679A849">
        <w:tblPrEx>
          <w:tblCellMar>
            <w:top w:w="0" w:type="dxa"/>
            <w:left w:w="108" w:type="dxa"/>
            <w:bottom w:w="0" w:type="dxa"/>
            <w:right w:w="108" w:type="dxa"/>
          </w:tblCellMar>
        </w:tblPrEx>
        <w:trPr>
          <w:trHeight w:val="315" w:hRule="atLeast"/>
          <w:jc w:val="center"/>
        </w:trPr>
        <w:tc>
          <w:tcPr>
            <w:tcW w:w="2180" w:type="dxa"/>
            <w:tcBorders>
              <w:top w:val="nil"/>
              <w:left w:val="double" w:color="3F3F3F" w:sz="2" w:space="0"/>
              <w:bottom w:val="double" w:color="3F3F3F" w:sz="2" w:space="0"/>
              <w:right w:val="double" w:color="3F3F3F" w:sz="2" w:space="0"/>
            </w:tcBorders>
            <w:shd w:val="clear" w:color="auto" w:fill="9BC2E6"/>
            <w:noWrap/>
            <w:vAlign w:val="center"/>
          </w:tcPr>
          <w:p w14:paraId="3D664CE1">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未分配利润</w:t>
            </w:r>
          </w:p>
        </w:tc>
        <w:tc>
          <w:tcPr>
            <w:tcW w:w="1080" w:type="dxa"/>
            <w:tcBorders>
              <w:top w:val="nil"/>
              <w:left w:val="nil"/>
              <w:bottom w:val="double" w:color="3F3F3F" w:sz="2" w:space="0"/>
              <w:right w:val="double" w:color="3F3F3F" w:sz="2" w:space="0"/>
            </w:tcBorders>
            <w:shd w:val="clear" w:color="auto" w:fill="DDEBF7"/>
            <w:noWrap/>
            <w:vAlign w:val="center"/>
          </w:tcPr>
          <w:p w14:paraId="18A032FA">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-5.70</w:t>
            </w:r>
          </w:p>
        </w:tc>
        <w:tc>
          <w:tcPr>
            <w:tcW w:w="1080" w:type="dxa"/>
            <w:tcBorders>
              <w:top w:val="nil"/>
              <w:left w:val="nil"/>
              <w:bottom w:val="double" w:color="3F3F3F" w:sz="2" w:space="0"/>
              <w:right w:val="double" w:color="3F3F3F" w:sz="2" w:space="0"/>
            </w:tcBorders>
            <w:shd w:val="clear" w:color="auto" w:fill="DDEBF7"/>
            <w:noWrap/>
            <w:vAlign w:val="center"/>
          </w:tcPr>
          <w:p w14:paraId="54D04F20">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45.65</w:t>
            </w:r>
          </w:p>
        </w:tc>
        <w:tc>
          <w:tcPr>
            <w:tcW w:w="1080" w:type="dxa"/>
            <w:tcBorders>
              <w:top w:val="nil"/>
              <w:left w:val="nil"/>
              <w:bottom w:val="double" w:color="3F3F3F" w:sz="2" w:space="0"/>
              <w:right w:val="double" w:color="3F3F3F" w:sz="2" w:space="0"/>
            </w:tcBorders>
            <w:shd w:val="clear" w:color="auto" w:fill="DDEBF7"/>
            <w:noWrap/>
            <w:vAlign w:val="center"/>
          </w:tcPr>
          <w:p w14:paraId="56786234">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179.84</w:t>
            </w:r>
          </w:p>
        </w:tc>
        <w:tc>
          <w:tcPr>
            <w:tcW w:w="1080" w:type="dxa"/>
            <w:tcBorders>
              <w:top w:val="nil"/>
              <w:left w:val="nil"/>
              <w:bottom w:val="double" w:color="3F3F3F" w:sz="2" w:space="0"/>
              <w:right w:val="double" w:color="3F3F3F" w:sz="2" w:space="0"/>
            </w:tcBorders>
            <w:shd w:val="clear" w:color="auto" w:fill="DDEBF7"/>
            <w:noWrap/>
            <w:vAlign w:val="center"/>
          </w:tcPr>
          <w:p w14:paraId="635C4E1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336.84</w:t>
            </w:r>
          </w:p>
        </w:tc>
        <w:tc>
          <w:tcPr>
            <w:tcW w:w="1080" w:type="dxa"/>
            <w:tcBorders>
              <w:top w:val="nil"/>
              <w:left w:val="nil"/>
              <w:bottom w:val="double" w:color="3F3F3F" w:sz="2" w:space="0"/>
              <w:right w:val="double" w:color="3F3F3F" w:sz="2" w:space="0"/>
            </w:tcBorders>
            <w:shd w:val="clear" w:color="auto" w:fill="DDEBF7"/>
            <w:noWrap/>
            <w:vAlign w:val="center"/>
          </w:tcPr>
          <w:p w14:paraId="672CA317">
            <w:pPr>
              <w:widowControl/>
              <w:spacing w:line="360" w:lineRule="auto"/>
              <w:ind w:firstLine="0" w:firstLineChars="0"/>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799.17</w:t>
            </w:r>
          </w:p>
        </w:tc>
      </w:tr>
    </w:tbl>
    <w:p w14:paraId="4F465E2A">
      <w:pPr>
        <w:pStyle w:val="21"/>
        <w:jc w:val="center"/>
      </w:pPr>
      <w:r>
        <w:rPr>
          <w:rFonts w:hint="eastAsia"/>
        </w:rPr>
        <w:t>表</w:t>
      </w:r>
      <w:r>
        <w:rPr>
          <w:rFonts w:hint="eastAsia"/>
          <w:lang w:val="en-US" w:eastAsia="zh-CN"/>
        </w:rPr>
        <w:t xml:space="preserve">14 </w:t>
      </w:r>
      <w:r>
        <w:rPr>
          <w:rFonts w:hint="eastAsia"/>
        </w:rPr>
        <w:t>预计利润表（单位：万元）</w:t>
      </w:r>
    </w:p>
    <w:p w14:paraId="678D3902">
      <w:pPr>
        <w:pStyle w:val="2"/>
        <w:spacing w:line="360" w:lineRule="auto"/>
        <w:ind w:firstLine="562"/>
      </w:pPr>
      <w:bookmarkStart w:id="24" w:name="_Toc9727"/>
      <w:r>
        <w:rPr>
          <w:rFonts w:hint="eastAsia"/>
        </w:rPr>
        <w:t>风险和竞争</w:t>
      </w:r>
      <w:bookmarkEnd w:id="24"/>
    </w:p>
    <w:p w14:paraId="2FD0EFF3">
      <w:pPr>
        <w:pStyle w:val="3"/>
        <w:numPr>
          <w:ilvl w:val="0"/>
          <w:numId w:val="34"/>
        </w:numPr>
        <w:spacing w:line="360" w:lineRule="auto"/>
      </w:pPr>
      <w:bookmarkStart w:id="25" w:name="_Toc25043"/>
      <w:r>
        <w:rPr>
          <w:rFonts w:hint="eastAsia"/>
        </w:rPr>
        <w:t>技术方面</w:t>
      </w:r>
      <w:bookmarkEnd w:id="25"/>
    </w:p>
    <w:p w14:paraId="7D91F82B">
      <w:pPr>
        <w:pStyle w:val="4"/>
        <w:numPr>
          <w:ilvl w:val="0"/>
          <w:numId w:val="35"/>
        </w:numPr>
        <w:spacing w:line="360" w:lineRule="auto"/>
      </w:pPr>
      <w:r>
        <w:rPr>
          <w:rFonts w:hint="eastAsia"/>
        </w:rPr>
        <w:t>技术风险</w:t>
      </w:r>
    </w:p>
    <w:p w14:paraId="63EA80FB">
      <w:pPr>
        <w:spacing w:line="360" w:lineRule="auto"/>
        <w:ind w:firstLine="480"/>
      </w:pPr>
      <w:r>
        <w:rPr>
          <w:rFonts w:hint="eastAsia"/>
        </w:rPr>
        <w:t>1、技术可能存在漏洞：平台的建设依赖的隐私计算技术（如联邦学习、多方安全计算、可信执行环境）、加密技术（同态加密、零知识证明）、区块链技术等若存在设计缺陷、实现漏洞或尚未达到大规模工业级稳定要求，可能导致数据泄露、计算结果被篡改或系统崩溃。</w:t>
      </w:r>
    </w:p>
    <w:p w14:paraId="366304A9">
      <w:pPr>
        <w:spacing w:line="360" w:lineRule="auto"/>
        <w:ind w:firstLine="480"/>
      </w:pPr>
      <w:r>
        <w:rPr>
          <w:rFonts w:hint="eastAsia"/>
        </w:rPr>
        <w:t>2、性能瓶颈： 复杂的隐私计算和加密操作会带来显著的计算开销和网络延迟，可能无法满足高并发、低延迟的数据流通场景需求，影响用户体验和平台可用性。</w:t>
      </w:r>
    </w:p>
    <w:p w14:paraId="0FB69B51">
      <w:pPr>
        <w:spacing w:line="360" w:lineRule="auto"/>
        <w:ind w:firstLine="480"/>
      </w:pPr>
      <w:r>
        <w:rPr>
          <w:rFonts w:hint="eastAsia"/>
        </w:rPr>
        <w:t>3、技术标准不统一/互操作性差： 不同数据提供方、使用方可能采用不同的技术标准，导致平台难以实现跨机构、跨平台的无缝数据流通，形成技术孤岛。</w:t>
      </w:r>
    </w:p>
    <w:p w14:paraId="6B7136AF">
      <w:pPr>
        <w:spacing w:line="360" w:lineRule="auto"/>
        <w:ind w:firstLine="480"/>
      </w:pPr>
      <w:r>
        <w:rPr>
          <w:rFonts w:hint="eastAsia"/>
        </w:rPr>
        <w:t>4、技术快速迭代风险： 相关技术发展迅猛，平台选型的技术可能在短期内被更优或更安全的技术替代，导致前期投入沉没或需要高昂的迁移成。</w:t>
      </w:r>
    </w:p>
    <w:p w14:paraId="714BC39E">
      <w:pPr>
        <w:spacing w:line="360" w:lineRule="auto"/>
        <w:ind w:firstLine="480"/>
      </w:pPr>
      <w:r>
        <w:rPr>
          <w:rFonts w:hint="eastAsia"/>
        </w:rPr>
        <w:t>5、缺乏技术保护机制，容易被模仿</w:t>
      </w:r>
    </w:p>
    <w:p w14:paraId="029C81E8">
      <w:pPr>
        <w:pStyle w:val="4"/>
        <w:spacing w:line="360" w:lineRule="auto"/>
      </w:pPr>
      <w:r>
        <w:rPr>
          <w:rFonts w:hint="eastAsia"/>
        </w:rPr>
        <w:t>解决措施</w:t>
      </w:r>
    </w:p>
    <w:p w14:paraId="49305E59">
      <w:pPr>
        <w:spacing w:line="360" w:lineRule="auto"/>
        <w:ind w:firstLine="480"/>
      </w:pPr>
      <w:r>
        <w:rPr>
          <w:rFonts w:hint="eastAsia"/>
        </w:rPr>
        <w:t>1、加大研发力度，不断提升产品品质，形成自身品牌优势，提高竞争对手入门门槛。</w:t>
      </w:r>
    </w:p>
    <w:p w14:paraId="5FA05798">
      <w:pPr>
        <w:spacing w:line="360" w:lineRule="auto"/>
        <w:ind w:firstLine="480"/>
      </w:pPr>
      <w:r>
        <w:rPr>
          <w:rFonts w:hint="eastAsia"/>
        </w:rPr>
        <w:t>2、加强与国内外科研机构、知名院校合作，提高研发团队质量。</w:t>
      </w:r>
    </w:p>
    <w:p w14:paraId="254D5C34">
      <w:pPr>
        <w:spacing w:line="360" w:lineRule="auto"/>
        <w:ind w:firstLine="480"/>
      </w:pPr>
      <w:r>
        <w:rPr>
          <w:rFonts w:hint="eastAsia"/>
        </w:rPr>
        <w:t>3、建立用户监督与反馈机制，对使用我们产品的用户进行定期回访，如果发现用户停止使用我们供应的产品，我们将停止对用户的软件及技术支持，从而形成技术保护。</w:t>
      </w:r>
    </w:p>
    <w:p w14:paraId="23D705A4">
      <w:pPr>
        <w:spacing w:line="360" w:lineRule="auto"/>
        <w:ind w:firstLine="480"/>
      </w:pPr>
      <w:r>
        <w:rPr>
          <w:rFonts w:hint="eastAsia"/>
        </w:rPr>
        <w:t>4、与用户签订相关合同和协议，使我们对于知识产权的保护具备法律效应。</w:t>
      </w:r>
    </w:p>
    <w:p w14:paraId="0B003AC0">
      <w:pPr>
        <w:pStyle w:val="3"/>
        <w:spacing w:line="360" w:lineRule="auto"/>
      </w:pPr>
      <w:bookmarkStart w:id="26" w:name="_Toc24521"/>
      <w:r>
        <w:rPr>
          <w:rFonts w:hint="eastAsia"/>
        </w:rPr>
        <w:t>管理方面</w:t>
      </w:r>
      <w:bookmarkEnd w:id="26"/>
    </w:p>
    <w:p w14:paraId="22DA86E2">
      <w:pPr>
        <w:pStyle w:val="4"/>
        <w:numPr>
          <w:ilvl w:val="0"/>
          <w:numId w:val="36"/>
        </w:numPr>
        <w:spacing w:line="360" w:lineRule="auto"/>
      </w:pPr>
      <w:r>
        <w:rPr>
          <w:rFonts w:hint="eastAsia"/>
        </w:rPr>
        <w:t>管理风险</w:t>
      </w:r>
    </w:p>
    <w:p w14:paraId="3475493E">
      <w:pPr>
        <w:spacing w:line="360" w:lineRule="auto"/>
        <w:ind w:firstLine="480"/>
      </w:pPr>
      <w:r>
        <w:rPr>
          <w:rFonts w:hint="eastAsia"/>
        </w:rPr>
        <w:t>项目的发展需合理的战略规划，不合理的战略规划会将使运营尤为困难。由于成员都是在校大学生，缺乏公司管理的实际经验，可能出现制定目标过高或过低的问题，导致企业发展方向出现偏差。目前项目开发在某些岗位上仍旧缺乏专业性人才，同时存在成员流动不稳定的情况，内部管理结构还不完善，对整体的管理存在一定的阻碍。</w:t>
      </w:r>
    </w:p>
    <w:p w14:paraId="1287B1C2">
      <w:pPr>
        <w:pStyle w:val="4"/>
        <w:spacing w:line="360" w:lineRule="auto"/>
      </w:pPr>
      <w:r>
        <w:rPr>
          <w:rFonts w:hint="eastAsia"/>
        </w:rPr>
        <w:t>解决措施</w:t>
      </w:r>
    </w:p>
    <w:p w14:paraId="7ABB17F8">
      <w:pPr>
        <w:spacing w:line="360" w:lineRule="auto"/>
        <w:ind w:firstLine="480"/>
      </w:pPr>
      <w:r>
        <w:rPr>
          <w:rFonts w:hint="eastAsia"/>
        </w:rPr>
        <w:t>1、不断加强管理相关知识，加强对员工的培训工作，不断提高员工综合素质；</w:t>
      </w:r>
    </w:p>
    <w:p w14:paraId="769383A5">
      <w:pPr>
        <w:spacing w:line="360" w:lineRule="auto"/>
        <w:ind w:firstLine="480"/>
      </w:pPr>
      <w:r>
        <w:rPr>
          <w:rFonts w:hint="eastAsia"/>
        </w:rPr>
        <w:t>2、不断向其他知名企业学习，总结出一套适合自身发展的管理机制；</w:t>
      </w:r>
    </w:p>
    <w:p w14:paraId="142E4934">
      <w:pPr>
        <w:spacing w:line="360" w:lineRule="auto"/>
        <w:ind w:firstLine="480"/>
      </w:pPr>
      <w:r>
        <w:rPr>
          <w:rFonts w:hint="eastAsia"/>
        </w:rPr>
        <w:t>3、引进管理经验丰富的经理人对公司进行管理；</w:t>
      </w:r>
    </w:p>
    <w:p w14:paraId="4EBB17E5">
      <w:pPr>
        <w:spacing w:line="360" w:lineRule="auto"/>
        <w:ind w:firstLine="480"/>
      </w:pPr>
      <w:r>
        <w:rPr>
          <w:rFonts w:hint="eastAsia"/>
        </w:rPr>
        <w:t>4、建立适合企业发展的组织结构，并在企业发展过程中不断总结、调整。</w:t>
      </w:r>
    </w:p>
    <w:p w14:paraId="7A909B62">
      <w:pPr>
        <w:pStyle w:val="4"/>
        <w:spacing w:line="360" w:lineRule="auto"/>
      </w:pPr>
      <w:r>
        <w:rPr>
          <w:rFonts w:hint="eastAsia"/>
        </w:rPr>
        <w:t>市场方面</w:t>
      </w:r>
    </w:p>
    <w:p w14:paraId="18A5EDB9">
      <w:pPr>
        <w:spacing w:line="360" w:lineRule="auto"/>
        <w:ind w:firstLine="480"/>
      </w:pPr>
      <w:r>
        <w:rPr>
          <w:rFonts w:hint="eastAsia"/>
        </w:rPr>
        <w:t>（一）市场风险</w:t>
      </w:r>
    </w:p>
    <w:p w14:paraId="309D9412">
      <w:pPr>
        <w:spacing w:line="360" w:lineRule="auto"/>
        <w:ind w:firstLine="480"/>
      </w:pPr>
      <w:r>
        <w:rPr>
          <w:rFonts w:hint="eastAsia"/>
        </w:rPr>
        <w:t>数据可信治理与智能流通平台作为一种新型产品，具备新型助推技术可能还不能较为广泛且快速地被市场和企业接受。同时，产品销售过程中容易出现决策失误、市场分析偏差、营销措施不当等风险，导致公司产品推广困难，市场占有率下降。</w:t>
      </w:r>
    </w:p>
    <w:p w14:paraId="2846436B">
      <w:pPr>
        <w:spacing w:line="360" w:lineRule="auto"/>
        <w:ind w:firstLine="480"/>
      </w:pPr>
      <w:r>
        <w:rPr>
          <w:rFonts w:hint="eastAsia"/>
        </w:rPr>
        <w:t>（二）解决措施</w:t>
      </w:r>
    </w:p>
    <w:p w14:paraId="2A952149">
      <w:pPr>
        <w:spacing w:line="360" w:lineRule="auto"/>
        <w:ind w:firstLine="480"/>
      </w:pPr>
      <w:r>
        <w:rPr>
          <w:rFonts w:hint="eastAsia"/>
        </w:rPr>
        <w:t>1、做好系统的、充足的市场调研，对市场需求、走向形成深刻科学的理解，作出正确的市场分析，制定出合理的市场营销计划。</w:t>
      </w:r>
    </w:p>
    <w:p w14:paraId="362AB6F3">
      <w:pPr>
        <w:spacing w:line="360" w:lineRule="auto"/>
        <w:ind w:firstLine="480"/>
      </w:pPr>
      <w:r>
        <w:rPr>
          <w:rFonts w:hint="eastAsia"/>
        </w:rPr>
        <w:t>2、培养专业的市场营销团队，把目标放在客户自身，切身地了解客户需求，使客户快速地了解并接受数据可信治理与智能流通平台。</w:t>
      </w:r>
    </w:p>
    <w:p w14:paraId="1FB9626B">
      <w:pPr>
        <w:spacing w:line="360" w:lineRule="auto"/>
        <w:ind w:firstLine="480"/>
      </w:pPr>
      <w:r>
        <w:rPr>
          <w:rFonts w:hint="eastAsia"/>
        </w:rPr>
        <w:t>（1）拟定合理的推广方式，提高数据可信治理与智能流通平台在数据安全流通中的知名度。</w:t>
      </w:r>
    </w:p>
    <w:p w14:paraId="26016A0E">
      <w:pPr>
        <w:spacing w:line="360" w:lineRule="auto"/>
        <w:ind w:firstLine="480"/>
      </w:pPr>
      <w:r>
        <w:rPr>
          <w:rFonts w:hint="eastAsia"/>
        </w:rPr>
        <w:t>（2）建立价格弹性机制，以适应市场的价格变化；</w:t>
      </w:r>
    </w:p>
    <w:p w14:paraId="1F4E63FE">
      <w:pPr>
        <w:spacing w:line="360" w:lineRule="auto"/>
        <w:ind w:firstLine="480"/>
      </w:pPr>
      <w:r>
        <w:rPr>
          <w:rFonts w:hint="eastAsia"/>
        </w:rPr>
        <w:t>（3）建立完善的售后服务体系，以切身地了解客户的需求以及产品的不足。</w:t>
      </w:r>
      <w:r>
        <w:rPr>
          <w:rFonts w:hint="eastAsia"/>
        </w:rPr>
        <w:br w:type="textWrapping"/>
      </w:r>
    </w:p>
    <w:p w14:paraId="1D5ED700">
      <w:pPr>
        <w:pStyle w:val="2"/>
        <w:spacing w:line="360" w:lineRule="auto"/>
        <w:ind w:firstLine="562"/>
      </w:pPr>
      <w:bookmarkStart w:id="27" w:name="_Toc29954"/>
      <w:r>
        <w:rPr>
          <w:rFonts w:hint="eastAsia"/>
        </w:rPr>
        <w:t>项目发展规划</w:t>
      </w:r>
      <w:bookmarkEnd w:id="27"/>
    </w:p>
    <w:p w14:paraId="5A6AD8AA">
      <w:pPr>
        <w:pStyle w:val="3"/>
        <w:numPr>
          <w:ilvl w:val="0"/>
          <w:numId w:val="37"/>
        </w:numPr>
        <w:spacing w:line="360" w:lineRule="auto"/>
        <w:ind w:firstLine="480"/>
      </w:pPr>
      <w:bookmarkStart w:id="28" w:name="_Toc23995"/>
      <w:r>
        <w:rPr>
          <w:rFonts w:hint="eastAsia"/>
        </w:rPr>
        <w:t>发展战略与管理</w:t>
      </w:r>
      <w:bookmarkEnd w:id="28"/>
    </w:p>
    <w:p w14:paraId="5006DE67">
      <w:pPr>
        <w:pStyle w:val="4"/>
        <w:numPr>
          <w:ilvl w:val="0"/>
          <w:numId w:val="38"/>
        </w:numPr>
        <w:spacing w:line="360" w:lineRule="auto"/>
      </w:pPr>
      <w:r>
        <w:rPr>
          <w:rFonts w:hint="eastAsia"/>
        </w:rPr>
        <w:t>创业前期战略</w:t>
      </w:r>
    </w:p>
    <w:p w14:paraId="328EFDCB">
      <w:pPr>
        <w:spacing w:line="360" w:lineRule="auto"/>
        <w:ind w:firstLine="480"/>
      </w:pPr>
      <w:r>
        <w:rPr>
          <w:rFonts w:hint="eastAsia"/>
        </w:rPr>
        <w:t>公司创业前期(2023~2025)：以团队平台作为公司的主营业务，也是公司的主要收入来源，同时配套xxx服务，并将业务模式在实践中磨合改进不断完善。</w:t>
      </w:r>
    </w:p>
    <w:p w14:paraId="32AB2F8F">
      <w:pPr>
        <w:spacing w:line="360" w:lineRule="auto"/>
        <w:ind w:firstLine="480"/>
      </w:pPr>
      <w:r>
        <w:rPr>
          <w:rFonts w:hint="eastAsia"/>
        </w:rPr>
        <w:t>(1)积极寻求与数据宝、贵州中汇科技有限公司的合作并达成初步合作意向，为xxxx产品提供散热器设备；（2）联系下游大型数据公司达成长期合作，依靠平台打造高科技含量、高附加值，扩大其数据治理领域的商业价值；（3）向工信部、贵安大数据局等推进数据治理的重要机构申请专项基金或资助，推进公司产品打开市场，占据前期市场优势，引进国内外的先进技术。在实现对公司前期研发资金投入回笼的同时，推动公司产品的升级换代，品质升级，实现公司进一步发展。同时积极申请同各大高校的合作提高核心技术含量，为建立企业不可替代的竞争优势打下基础。</w:t>
      </w:r>
    </w:p>
    <w:p w14:paraId="6C4C607B">
      <w:pPr>
        <w:spacing w:line="360" w:lineRule="auto"/>
        <w:ind w:firstLine="480"/>
      </w:pPr>
      <w:r>
        <w:rPr>
          <w:rFonts w:hint="eastAsia"/>
        </w:rPr>
        <w:t>公司将逐步度过创业前期，并将回笼资金继续投入公司的日常运营所需以及产品的研发，从而有利于实现公司规模的再扩张，逐步实现产业的扩大。在此期间，不断进行产品升级选代，拓宽销售渠道。在创业前期，重点把握政策驱动力、技术驱动力需求驱动力，推动产业实现链条化，计划利润达200万。</w:t>
      </w:r>
    </w:p>
    <w:p w14:paraId="491E3F3A">
      <w:pPr>
        <w:spacing w:line="360" w:lineRule="auto"/>
        <w:ind w:firstLine="480"/>
      </w:pPr>
      <w:r>
        <w:rPr>
          <w:rFonts w:hint="eastAsia"/>
        </w:rPr>
        <w:t>在推广方面，前期主要建立线下公司，发展线下业务，初步建立公司网站平台，进行网上宣传。</w:t>
      </w:r>
    </w:p>
    <w:p w14:paraId="286C6751">
      <w:pPr>
        <w:pStyle w:val="4"/>
        <w:spacing w:line="360" w:lineRule="auto"/>
      </w:pPr>
      <w:r>
        <w:rPr>
          <w:rFonts w:hint="eastAsia"/>
        </w:rPr>
        <w:t>创业中期战略</w:t>
      </w:r>
    </w:p>
    <w:p w14:paraId="61C460B2">
      <w:pPr>
        <w:spacing w:line="360" w:lineRule="auto"/>
        <w:ind w:firstLine="480"/>
      </w:pPr>
      <w:r>
        <w:rPr>
          <w:rFonts w:hint="eastAsia"/>
        </w:rPr>
        <w:t>公司创业中期(2025~2027):以本平台作为主要产品及服务的销售盈利模式成熟，公司将进一步实现产业纵向发展，为进一步实现优化奠定基础，并大幅增加营业利润，具体发展战略如下:</w:t>
      </w:r>
    </w:p>
    <w:p w14:paraId="45BE7770">
      <w:pPr>
        <w:spacing w:line="360" w:lineRule="auto"/>
        <w:ind w:firstLine="480"/>
      </w:pPr>
      <w:r>
        <w:rPr>
          <w:rFonts w:hint="eastAsia"/>
        </w:rPr>
        <w:t>(1)将继续拓展和相关企业、事业单位在数据治理方面的建设的合作业务，争取在贵州实现本行业的80%应用;</w:t>
      </w:r>
    </w:p>
    <w:p w14:paraId="36F8D74F">
      <w:pPr>
        <w:spacing w:line="360" w:lineRule="auto"/>
        <w:ind w:firstLine="480"/>
      </w:pPr>
      <w:r>
        <w:rPr>
          <w:rFonts w:hint="eastAsia"/>
        </w:rPr>
        <w:t>(2)聚焦客户需求，对平台的定价、定位、响应速度等方面进行优化，精准满足客户需求;</w:t>
      </w:r>
    </w:p>
    <w:p w14:paraId="0368C074">
      <w:pPr>
        <w:spacing w:line="360" w:lineRule="auto"/>
        <w:ind w:firstLine="480"/>
      </w:pPr>
      <w:r>
        <w:rPr>
          <w:rFonts w:hint="eastAsia"/>
        </w:rPr>
        <w:t>(3)升级公司商业模式，扩大产业链覆盖企业，将富余产品投入建造行业，开发新合作，将公司平台项目推广应用;</w:t>
      </w:r>
    </w:p>
    <w:p w14:paraId="64ABD1F1">
      <w:pPr>
        <w:spacing w:line="360" w:lineRule="auto"/>
        <w:ind w:firstLine="480"/>
      </w:pPr>
      <w:r>
        <w:rPr>
          <w:rFonts w:hint="eastAsia"/>
        </w:rPr>
        <w:t>(4)通过社群营销和大众媒体不断提高公司知名度，营造品牌效应，树立市场品牌意识。在网络空间里借助各大媒体平台进行宣传，通过社群销和大众媒体不断提高公司知名度,吸引更多潜在客户,同时进行有目的地、有针对的广告宣传;</w:t>
      </w:r>
    </w:p>
    <w:p w14:paraId="2EA20669">
      <w:pPr>
        <w:spacing w:line="360" w:lineRule="auto"/>
        <w:ind w:firstLine="480"/>
      </w:pPr>
      <w:r>
        <w:rPr>
          <w:rFonts w:hint="eastAsia"/>
        </w:rPr>
        <w:t>(5)积极参与市场竞争，通过竞争磨炼出品牌效应。企业要适应市场的竞争，并且要不断参与竞争，通过市场竞争不断更新自身的知识、技术，不断接纳新知识新科研，适应时代发展需要，建立长期核心优势;</w:t>
      </w:r>
    </w:p>
    <w:p w14:paraId="18DCA74A">
      <w:pPr>
        <w:spacing w:line="360" w:lineRule="auto"/>
        <w:ind w:firstLine="480"/>
      </w:pPr>
      <w:r>
        <w:rPr>
          <w:rFonts w:hint="eastAsia"/>
        </w:rPr>
        <w:t>(6)拓宽公司服务领域，从前期完全线下运作转为线下线上共同运营完善线上平台，包括网站、APP等，开辟线上业务新领域。</w:t>
      </w:r>
    </w:p>
    <w:p w14:paraId="640A7DC0">
      <w:pPr>
        <w:pStyle w:val="3"/>
        <w:numPr>
          <w:ilvl w:val="0"/>
          <w:numId w:val="37"/>
        </w:numPr>
        <w:spacing w:line="360" w:lineRule="auto"/>
        <w:ind w:firstLine="480"/>
        <w:rPr>
          <w:sz w:val="24"/>
        </w:rPr>
      </w:pPr>
      <w:bookmarkStart w:id="29" w:name="_Toc26965"/>
      <w:r>
        <w:rPr>
          <w:rFonts w:hint="eastAsia"/>
          <w:sz w:val="24"/>
        </w:rPr>
        <w:t>合作规划</w:t>
      </w:r>
      <w:bookmarkEnd w:id="29"/>
    </w:p>
    <w:p w14:paraId="01870D9D">
      <w:pPr>
        <w:spacing w:line="360" w:lineRule="auto"/>
        <w:ind w:firstLine="480"/>
        <w:rPr>
          <w:szCs w:val="32"/>
        </w:rPr>
      </w:pPr>
    </w:p>
    <w:p w14:paraId="3521F1DD">
      <w:pPr>
        <w:pStyle w:val="2"/>
        <w:spacing w:line="360" w:lineRule="auto"/>
        <w:ind w:firstLine="562"/>
      </w:pPr>
      <w:bookmarkStart w:id="30" w:name="_Toc30819"/>
      <w:r>
        <w:rPr>
          <w:rFonts w:hint="eastAsia"/>
        </w:rPr>
        <w:t>团队</w:t>
      </w:r>
      <w:bookmarkEnd w:id="30"/>
    </w:p>
    <w:p w14:paraId="72487D1B">
      <w:pPr>
        <w:pStyle w:val="3"/>
        <w:numPr>
          <w:ilvl w:val="0"/>
          <w:numId w:val="39"/>
        </w:numPr>
        <w:spacing w:line="360" w:lineRule="auto"/>
      </w:pPr>
      <w:bookmarkStart w:id="31" w:name="_Toc27672"/>
      <w:r>
        <w:rPr>
          <w:rFonts w:hint="eastAsia"/>
        </w:rPr>
        <w:t>团队基本介绍</w:t>
      </w:r>
      <w:bookmarkEnd w:id="31"/>
    </w:p>
    <w:p w14:paraId="61F467A2">
      <w:pPr>
        <w:spacing w:line="360" w:lineRule="auto"/>
        <w:ind w:firstLine="480"/>
      </w:pPr>
      <w:r>
        <w:rPr>
          <w:rFonts w:hint="eastAsia"/>
        </w:rPr>
        <w:t>本项目汇聚了来自贵州财经大学信息学院的精英团队，成员包括蒋合领副教授、丁红发副教授以及刘文江教授，他们在各自的领域内拥有丰富的研究经验和显著的研究成果。</w:t>
      </w:r>
    </w:p>
    <w:p w14:paraId="7838ACF5">
      <w:pPr>
        <w:spacing w:line="360" w:lineRule="auto"/>
        <w:ind w:firstLine="480"/>
      </w:pPr>
      <w:r>
        <w:rPr>
          <w:rFonts w:hint="eastAsia"/>
        </w:rPr>
        <w:t>蒋合领博士现任贵州财经大学信息学院副教授及硕士生导师，并担任贵州省计算机学会副秘书长和贵州省商用密码行业监事。蒋教授专注于计算机应用、网络与信息安全、数据要素流通以及情报分析与挖掘等领域的研究。他主持了多项省科协咨询项目和企业委托项目，累计超过20项，并在CSSCI和中文核心期刊上发表了30余篇论文。此外，蒋教授还被中国知网CNKI评为高影响力作者前5%。</w:t>
      </w:r>
    </w:p>
    <w:p w14:paraId="31501D8E">
      <w:pPr>
        <w:spacing w:line="360" w:lineRule="auto"/>
        <w:ind w:firstLine="480"/>
      </w:pPr>
      <w:r>
        <w:rPr>
          <w:rFonts w:hint="eastAsia"/>
        </w:rPr>
        <w:t>丁红发博士是贵州财经大学的一名副教授和硕士生导师，同时也是第十七届贵州省青年科技奖得主，并入选贵州省“千”层次创新型人才计划。作为贵阳市管专家和贵安新区首批区管专家之一，丁博士领导着贵州省高等学校数据要素流通安全创新团队。他的研究方向涵盖了人工智能安全与隐私保护、数据安全与隐私保护、数据要素可信流通与治理以及商用密码协议与应用等领域。丁博士承担了包括国家重点研发计划和国家自然科学基金项目在内的20余项科研项目，并在过去五年中以第一作者或通讯作者身份发表了20多篇科研论文。</w:t>
      </w:r>
    </w:p>
    <w:p w14:paraId="698A8F73">
      <w:pPr>
        <w:spacing w:line="360" w:lineRule="auto"/>
        <w:ind w:firstLine="480"/>
      </w:pPr>
      <w:r>
        <w:rPr>
          <w:rFonts w:hint="eastAsia"/>
        </w:rPr>
        <w:t>刘文江教授目前担任贵州财经大学信息学院副院长及研究生导师，同时还是贵州省首批创新创业导师库成员、贵州省退役军人就业创业专家委员会成员、工业互联网产业联盟贵州分联盟专家委员会委员、“创指数”中国高校创新创业教育指数专家库的一员。刘教授不仅公开发表了超过30篇学术论文，还主持并参与完成了多个国家级和省级课题项目。因其卓越的教学成果，刘教授荣获了贵州省高等教育教学成果二等奖、三等奖各一次，以及贵州省自然科学二等奖。在他的指导下，多个学生团队在全国性大赛如中国大学生创新大赛、电子商务三创赛和挑战杯等赛事中屡获殊荣。</w:t>
      </w:r>
    </w:p>
    <w:p w14:paraId="03AE17D5">
      <w:pPr>
        <w:spacing w:line="360" w:lineRule="auto"/>
        <w:ind w:firstLine="480"/>
      </w:pPr>
      <w:r>
        <w:rPr>
          <w:rFonts w:hint="eastAsia"/>
        </w:rPr>
        <w:t>此外，我们还荣幸地邀请到了CCF理事、绿盟科技集团股份有限公司首席创新官兼高级工程师刘文懋作为企业顾问加入团队，主要研究领域包括数据安全和云计算安全。他的加入无疑将为团队带来宝贵的企业视角和前沿的技术见解。</w:t>
      </w:r>
    </w:p>
    <w:p w14:paraId="48D4ECD1">
      <w:pPr>
        <w:spacing w:line="360" w:lineRule="auto"/>
        <w:ind w:firstLine="480"/>
      </w:pPr>
      <w:r>
        <w:rPr>
          <w:rFonts w:hint="eastAsia"/>
        </w:rPr>
        <w:t>这个由杰出学者和业界精英组成的团队，不仅具备强大的科研能力，还有丰富的实践经验和广泛的行业联系，确保我们能够高效实现项目目标，推动技术创新和社会发展。</w:t>
      </w:r>
    </w:p>
    <w:p w14:paraId="2B8DEEBC">
      <w:pPr>
        <w:spacing w:line="360" w:lineRule="auto"/>
        <w:ind w:firstLine="480"/>
        <w:jc w:val="left"/>
      </w:pPr>
      <w:r>
        <w:rPr>
          <w:rFonts w:hint="eastAsia"/>
        </w:rPr>
        <w:t>同时，我们采用扁平化、高效协同的组织结构，旨在快速响应市场变化，聚焦数据要素可信流通平台的核心研发与市场落地。主要部门设置如下：</w:t>
      </w:r>
      <w:r>
        <w:rPr>
          <w:rFonts w:hint="eastAsia"/>
        </w:rPr>
        <w:drawing>
          <wp:inline distT="0" distB="0" distL="114300" distR="114300">
            <wp:extent cx="5273040" cy="2790190"/>
            <wp:effectExtent l="0" t="0" r="3810" b="635"/>
            <wp:docPr id="1375394146" name="图片 1375394146" descr="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4146" name="图片 1375394146" descr="绘图2"/>
                    <pic:cNvPicPr>
                      <a:picLocks noChangeAspect="1"/>
                    </pic:cNvPicPr>
                  </pic:nvPicPr>
                  <pic:blipFill>
                    <a:blip r:embed="rId46"/>
                    <a:stretch>
                      <a:fillRect/>
                    </a:stretch>
                  </pic:blipFill>
                  <pic:spPr>
                    <a:xfrm>
                      <a:off x="0" y="0"/>
                      <a:ext cx="5273040" cy="2790190"/>
                    </a:xfrm>
                    <a:prstGeom prst="rect">
                      <a:avLst/>
                    </a:prstGeom>
                  </pic:spPr>
                </pic:pic>
              </a:graphicData>
            </a:graphic>
          </wp:inline>
        </w:drawing>
      </w:r>
    </w:p>
    <w:p w14:paraId="7F0C6FD8">
      <w:pPr>
        <w:pStyle w:val="21"/>
        <w:jc w:val="center"/>
      </w:pPr>
      <w:r>
        <w:t>图</w:t>
      </w:r>
      <w:r>
        <w:rPr>
          <w:rFonts w:hint="eastAsia"/>
          <w:lang w:val="en-US" w:eastAsia="zh-CN"/>
        </w:rPr>
        <w:t>21</w:t>
      </w:r>
      <w:r>
        <w:rPr>
          <w:rFonts w:hint="eastAsia"/>
        </w:rPr>
        <w:t xml:space="preserve"> 项目组部门设置概况</w:t>
      </w:r>
    </w:p>
    <w:p w14:paraId="1B2BB199">
      <w:pPr>
        <w:spacing w:line="360" w:lineRule="auto"/>
        <w:ind w:firstLine="480"/>
        <w:jc w:val="left"/>
      </w:pPr>
      <w:r>
        <w:rPr>
          <w:rFonts w:hint="eastAsia"/>
        </w:rPr>
        <w:t>本团队共有14人，是一支由不同专业背景成员组成的综合性团队，具备合理的专业结构，计算机科学与技术专业研究生5人，图书情报专业研究生7人。</w:t>
      </w:r>
    </w:p>
    <w:p w14:paraId="7649056F">
      <w:pPr>
        <w:spacing w:line="360" w:lineRule="auto"/>
        <w:ind w:firstLine="480"/>
        <w:jc w:val="left"/>
      </w:pPr>
      <w:r>
        <w:rPr>
          <w:rFonts w:hint="eastAsia"/>
        </w:rPr>
        <w:t>团队负责人丁艳，是计算机科学与技术专业研究生，专注于前沿技术研究与应用开发，致力于用技术解决实际问题，在贵州省大学生服务外包创新创业大赛中荣获省级二等奖，还荣获计算机类国家级、省部级奖励，凭借扎实的专业知识和丰富的实践经验，为团队指引技术方向。</w:t>
      </w:r>
    </w:p>
    <w:p w14:paraId="6A625EC5">
      <w:pPr>
        <w:spacing w:line="360" w:lineRule="auto"/>
        <w:ind w:firstLine="480"/>
        <w:jc w:val="left"/>
      </w:pPr>
      <w:r>
        <w:rPr>
          <w:rFonts w:hint="eastAsia"/>
        </w:rPr>
        <w:t>团队成员各有所长，专业背景涵盖多个领域，能从不同角度为团队发展提供支持，其中图书情报专业的成员擅长市场分析、数据调研、产品推广等工作，为团队的市场拓展和产品定位提供有力依据。</w:t>
      </w:r>
    </w:p>
    <w:tbl>
      <w:tblPr>
        <w:tblStyle w:val="14"/>
        <w:tblpPr w:leftFromText="180" w:rightFromText="180" w:vertAnchor="text" w:horzAnchor="page" w:tblpXSpec="center" w:tblpY="307"/>
        <w:tblOverlap w:val="never"/>
        <w:tblW w:w="9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889"/>
        <w:gridCol w:w="665"/>
        <w:gridCol w:w="1182"/>
        <w:gridCol w:w="1105"/>
        <w:gridCol w:w="748"/>
        <w:gridCol w:w="4151"/>
      </w:tblGrid>
      <w:tr w14:paraId="23BB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783" w:type="dxa"/>
            <w:tcBorders>
              <w:top w:val="single" w:color="156082" w:sz="6" w:space="0"/>
              <w:left w:val="single" w:color="156082" w:sz="6" w:space="0"/>
              <w:bottom w:val="single" w:color="156082" w:sz="6" w:space="0"/>
              <w:right w:val="single" w:color="83CAEB" w:sz="6" w:space="0"/>
            </w:tcBorders>
            <w:shd w:val="clear" w:color="auto" w:fill="156082"/>
          </w:tcPr>
          <w:p w14:paraId="0EFA18E7">
            <w:pPr>
              <w:widowControl/>
              <w:spacing w:line="360" w:lineRule="auto"/>
              <w:ind w:firstLine="0" w:firstLineChars="0"/>
              <w:jc w:val="right"/>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部门</w:t>
            </w:r>
          </w:p>
        </w:tc>
        <w:tc>
          <w:tcPr>
            <w:tcW w:w="889" w:type="dxa"/>
            <w:tcBorders>
              <w:top w:val="single" w:color="156082" w:sz="6" w:space="0"/>
              <w:left w:val="single" w:color="83CAEB" w:sz="6" w:space="0"/>
              <w:bottom w:val="single" w:color="156082" w:sz="6" w:space="0"/>
              <w:right w:val="single" w:color="83CAEB" w:sz="6" w:space="0"/>
            </w:tcBorders>
            <w:shd w:val="clear" w:color="auto" w:fill="156082"/>
          </w:tcPr>
          <w:p w14:paraId="2B9A00DA">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姓名</w:t>
            </w:r>
          </w:p>
        </w:tc>
        <w:tc>
          <w:tcPr>
            <w:tcW w:w="665" w:type="dxa"/>
            <w:tcBorders>
              <w:top w:val="single" w:color="156082" w:sz="6" w:space="0"/>
              <w:left w:val="single" w:color="83CAEB" w:sz="6" w:space="0"/>
              <w:bottom w:val="single" w:color="156082" w:sz="6" w:space="0"/>
              <w:right w:val="single" w:color="83CAEB" w:sz="6" w:space="0"/>
            </w:tcBorders>
            <w:shd w:val="clear" w:color="auto" w:fill="156082"/>
          </w:tcPr>
          <w:p w14:paraId="4E1F881B">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性别</w:t>
            </w:r>
          </w:p>
        </w:tc>
        <w:tc>
          <w:tcPr>
            <w:tcW w:w="1182" w:type="dxa"/>
            <w:tcBorders>
              <w:top w:val="single" w:color="156082" w:sz="6" w:space="0"/>
              <w:left w:val="single" w:color="83CAEB" w:sz="6" w:space="0"/>
              <w:bottom w:val="single" w:color="156082" w:sz="6" w:space="0"/>
              <w:right w:val="single" w:color="83CAEB" w:sz="6" w:space="0"/>
            </w:tcBorders>
            <w:shd w:val="clear" w:color="auto" w:fill="156082"/>
          </w:tcPr>
          <w:p w14:paraId="2AB556A4">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学历</w:t>
            </w:r>
          </w:p>
        </w:tc>
        <w:tc>
          <w:tcPr>
            <w:tcW w:w="1105" w:type="dxa"/>
            <w:tcBorders>
              <w:top w:val="single" w:color="156082" w:sz="6" w:space="0"/>
              <w:left w:val="single" w:color="83CAEB" w:sz="6" w:space="0"/>
              <w:bottom w:val="single" w:color="156082" w:sz="6" w:space="0"/>
              <w:right w:val="single" w:color="83CAEB" w:sz="6" w:space="0"/>
            </w:tcBorders>
            <w:shd w:val="clear" w:color="auto" w:fill="156082"/>
          </w:tcPr>
          <w:p w14:paraId="09C99B76">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专业</w:t>
            </w:r>
          </w:p>
        </w:tc>
        <w:tc>
          <w:tcPr>
            <w:tcW w:w="748" w:type="dxa"/>
            <w:tcBorders>
              <w:top w:val="single" w:color="156082" w:sz="6" w:space="0"/>
              <w:left w:val="single" w:color="83CAEB" w:sz="6" w:space="0"/>
              <w:bottom w:val="single" w:color="156082" w:sz="6" w:space="0"/>
              <w:right w:val="single" w:color="83CAEB" w:sz="6" w:space="0"/>
            </w:tcBorders>
            <w:shd w:val="clear" w:color="auto" w:fill="156082"/>
          </w:tcPr>
          <w:p w14:paraId="165DB518">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角色</w:t>
            </w:r>
          </w:p>
        </w:tc>
        <w:tc>
          <w:tcPr>
            <w:tcW w:w="4151" w:type="dxa"/>
            <w:tcBorders>
              <w:top w:val="single" w:color="156082" w:sz="6" w:space="0"/>
              <w:left w:val="single" w:color="83CAEB" w:sz="6" w:space="0"/>
              <w:bottom w:val="single" w:color="156082" w:sz="6" w:space="0"/>
              <w:right w:val="single" w:color="156082" w:sz="6" w:space="0"/>
            </w:tcBorders>
            <w:shd w:val="clear" w:color="auto" w:fill="156082"/>
          </w:tcPr>
          <w:p w14:paraId="23F9082D">
            <w:pPr>
              <w:widowControl/>
              <w:spacing w:line="360" w:lineRule="auto"/>
              <w:ind w:firstLine="0" w:firstLineChars="0"/>
              <w:jc w:val="center"/>
              <w:rPr>
                <w:rFonts w:hint="eastAsia" w:ascii="等线" w:hAnsi="等线" w:eastAsia="等线" w:cs="Times New Roman"/>
                <w:b/>
                <w:color w:val="FFFFFF"/>
                <w:sz w:val="21"/>
                <w:szCs w:val="22"/>
              </w:rPr>
            </w:pPr>
            <w:r>
              <w:rPr>
                <w:rFonts w:hint="eastAsia" w:ascii="等线" w:hAnsi="等线" w:eastAsia="等线" w:cs="Times New Roman"/>
                <w:b/>
                <w:color w:val="FFFFFF"/>
                <w:sz w:val="21"/>
                <w:szCs w:val="22"/>
              </w:rPr>
              <w:t>职责</w:t>
            </w:r>
          </w:p>
        </w:tc>
      </w:tr>
      <w:tr w14:paraId="54AE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783" w:type="dxa"/>
            <w:vMerge w:val="restart"/>
            <w:tcBorders>
              <w:top w:val="single" w:color="156082" w:sz="6" w:space="0"/>
              <w:left w:val="single" w:color="156082" w:sz="6" w:space="0"/>
              <w:bottom w:val="single" w:color="83CAEB" w:sz="6" w:space="0"/>
              <w:right w:val="single" w:color="83CAEB" w:sz="6" w:space="0"/>
            </w:tcBorders>
            <w:shd w:val="clear" w:color="auto" w:fill="FFFFFF"/>
            <w:vAlign w:val="center"/>
          </w:tcPr>
          <w:p w14:paraId="68FE1C74">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技术研发组</w:t>
            </w:r>
          </w:p>
        </w:tc>
        <w:tc>
          <w:tcPr>
            <w:tcW w:w="889" w:type="dxa"/>
            <w:tcBorders>
              <w:top w:val="single" w:color="156082" w:sz="6" w:space="0"/>
              <w:left w:val="single" w:color="83CAEB" w:sz="6" w:space="0"/>
              <w:bottom w:val="single" w:color="83CAEB" w:sz="6" w:space="0"/>
              <w:right w:val="single" w:color="83CAEB" w:sz="6" w:space="0"/>
            </w:tcBorders>
            <w:shd w:val="clear" w:color="auto" w:fill="FFFFFF"/>
            <w:vAlign w:val="center"/>
          </w:tcPr>
          <w:p w14:paraId="77968FFD">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丁艳</w:t>
            </w:r>
          </w:p>
        </w:tc>
        <w:tc>
          <w:tcPr>
            <w:tcW w:w="665" w:type="dxa"/>
            <w:tcBorders>
              <w:top w:val="single" w:color="156082" w:sz="6" w:space="0"/>
              <w:left w:val="single" w:color="83CAEB" w:sz="6" w:space="0"/>
              <w:bottom w:val="single" w:color="83CAEB" w:sz="6" w:space="0"/>
              <w:right w:val="single" w:color="83CAEB" w:sz="6" w:space="0"/>
            </w:tcBorders>
            <w:shd w:val="clear" w:color="auto" w:fill="FFFFFF"/>
            <w:vAlign w:val="center"/>
          </w:tcPr>
          <w:p w14:paraId="661ED4CB">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156082" w:sz="6" w:space="0"/>
              <w:left w:val="single" w:color="83CAEB" w:sz="6" w:space="0"/>
              <w:bottom w:val="single" w:color="83CAEB" w:sz="6" w:space="0"/>
              <w:right w:val="single" w:color="83CAEB" w:sz="6" w:space="0"/>
            </w:tcBorders>
            <w:shd w:val="clear" w:color="auto" w:fill="FFFFFF"/>
          </w:tcPr>
          <w:p w14:paraId="47D66190">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156082" w:sz="6" w:space="0"/>
              <w:left w:val="single" w:color="83CAEB" w:sz="6" w:space="0"/>
              <w:bottom w:val="single" w:color="83CAEB" w:sz="6" w:space="0"/>
              <w:right w:val="single" w:color="83CAEB" w:sz="6" w:space="0"/>
            </w:tcBorders>
            <w:shd w:val="clear" w:color="auto" w:fill="FFFFFF"/>
          </w:tcPr>
          <w:p w14:paraId="0669A7C9">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156082" w:sz="6" w:space="0"/>
              <w:left w:val="single" w:color="83CAEB" w:sz="6" w:space="0"/>
              <w:bottom w:val="single" w:color="83CAEB" w:sz="6" w:space="0"/>
              <w:right w:val="single" w:color="83CAEB" w:sz="6" w:space="0"/>
            </w:tcBorders>
            <w:shd w:val="clear" w:color="auto" w:fill="FFFFFF"/>
          </w:tcPr>
          <w:p w14:paraId="1E566EA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项目负责人</w:t>
            </w:r>
          </w:p>
        </w:tc>
        <w:tc>
          <w:tcPr>
            <w:tcW w:w="4151" w:type="dxa"/>
            <w:tcBorders>
              <w:top w:val="single" w:color="156082" w:sz="6" w:space="0"/>
              <w:left w:val="single" w:color="83CAEB" w:sz="6" w:space="0"/>
              <w:bottom w:val="single" w:color="83CAEB" w:sz="6" w:space="0"/>
              <w:right w:val="single" w:color="156082" w:sz="6" w:space="0"/>
            </w:tcBorders>
            <w:shd w:val="clear" w:color="auto" w:fill="FFFFFF"/>
          </w:tcPr>
          <w:p w14:paraId="74E01C6A">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主导系统架构设计，凭借其深厚的技术功底和丰富的项目经验，统筹规划整个技术框架，确保系统的稳定性和可扩展性</w:t>
            </w:r>
          </w:p>
        </w:tc>
      </w:tr>
      <w:tr w14:paraId="2CFD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568FDF02">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686B2930">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喻沐然</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721811FE">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E0F2FA"/>
          </w:tcPr>
          <w:p w14:paraId="20772B45">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16C3C26C">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6F06603B">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前端架构师</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62A69DB5">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负责前端开发实现，熟练掌握前端开发技术和设计理念，打造出美观、用户友好的界面，提升用户体验</w:t>
            </w:r>
          </w:p>
        </w:tc>
      </w:tr>
      <w:tr w14:paraId="7019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FFFFFF"/>
          </w:tcPr>
          <w:p w14:paraId="06C2D48F">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7B612D84">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曾跃</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5A1C0A4D">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男</w:t>
            </w:r>
          </w:p>
        </w:tc>
        <w:tc>
          <w:tcPr>
            <w:tcW w:w="1182"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00C414CD">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7D5EB45E">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353A6752">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后端工程师</w:t>
            </w:r>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1C9A8CD5">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承担后端开发维护工作，保障系统后端的稳定运行和高效性能，及时处理后端出现的问题和故障</w:t>
            </w:r>
          </w:p>
        </w:tc>
      </w:tr>
      <w:tr w14:paraId="7B6A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1F0078E9">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702B47F3">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吴林江</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47743627">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男</w:t>
            </w:r>
          </w:p>
        </w:tc>
        <w:tc>
          <w:tcPr>
            <w:tcW w:w="1182"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504E6031">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69CD1276">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7B4A30D3">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数据库工程师</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6840076F">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专注于数据库管理优化，合理规划和管理数据库，对数据库进行性能优化，提高数据存储和查询效率</w:t>
            </w:r>
          </w:p>
        </w:tc>
      </w:tr>
      <w:tr w14:paraId="410A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FFFFFF"/>
          </w:tcPr>
          <w:p w14:paraId="3241F2A6">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270699F5">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罗颖萱</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434D02B4">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FFFFFF"/>
          </w:tcPr>
          <w:p w14:paraId="7C6D7DCB">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0F7FBCC0">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3278C9B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算法设计师</w:t>
            </w:r>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5EDF8BFB">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进行算法设计开发，研究和设计高效的算法，为系统提供智能化的功能和解决方案</w:t>
            </w:r>
          </w:p>
        </w:tc>
      </w:tr>
      <w:tr w14:paraId="73DB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394F31E6">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2E3A2331">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何世云</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0764D217">
            <w:pPr>
              <w:widowControl/>
              <w:spacing w:line="360" w:lineRule="auto"/>
              <w:ind w:firstLine="0" w:firstLineChars="0"/>
              <w:jc w:val="left"/>
              <w:rPr>
                <w:rFonts w:hint="eastAsia" w:ascii="等线" w:hAnsi="等线" w:eastAsia="等线" w:cs="Times New Roman"/>
                <w:color w:val="000000"/>
                <w:sz w:val="21"/>
                <w:szCs w:val="22"/>
              </w:rPr>
            </w:pPr>
          </w:p>
        </w:tc>
        <w:tc>
          <w:tcPr>
            <w:tcW w:w="1182" w:type="dxa"/>
            <w:tcBorders>
              <w:top w:val="single" w:color="83CAEB" w:sz="6" w:space="0"/>
              <w:left w:val="single" w:color="83CAEB" w:sz="6" w:space="0"/>
              <w:bottom w:val="single" w:color="83CAEB" w:sz="6" w:space="0"/>
              <w:right w:val="single" w:color="83CAEB" w:sz="6" w:space="0"/>
            </w:tcBorders>
            <w:shd w:val="clear" w:color="auto" w:fill="E0F2FA"/>
          </w:tcPr>
          <w:p w14:paraId="41DC742D">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4161C88D">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计算机科学技术专业</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5F5799C5">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质量保障专员</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3EB2FE85">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负责测试与质量保障，运用多种测试方法和工具，对产品进行全面测试，确保产品质量符合标准</w:t>
            </w:r>
          </w:p>
        </w:tc>
      </w:tr>
      <w:tr w14:paraId="7942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783" w:type="dxa"/>
            <w:vMerge w:val="restart"/>
            <w:tcBorders>
              <w:top w:val="single" w:color="83CAEB" w:sz="6" w:space="0"/>
              <w:left w:val="single" w:color="156082" w:sz="6" w:space="0"/>
              <w:bottom w:val="single" w:color="83CAEB" w:sz="6" w:space="0"/>
              <w:right w:val="single" w:color="83CAEB" w:sz="6" w:space="0"/>
            </w:tcBorders>
            <w:shd w:val="clear" w:color="auto" w:fill="FFFFFF"/>
            <w:vAlign w:val="center"/>
          </w:tcPr>
          <w:p w14:paraId="378111C5">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市场分析组</w:t>
            </w: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6D938D01">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王艺</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5095426B">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FFFFFF"/>
          </w:tcPr>
          <w:p w14:paraId="0921E1CF">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73E07AFE">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05DB5657">
            <w:pPr>
              <w:widowControl/>
              <w:spacing w:line="360" w:lineRule="auto"/>
              <w:ind w:firstLine="0" w:firstLineChars="0"/>
              <w:jc w:val="left"/>
              <w:rPr>
                <w:rFonts w:hint="eastAsia" w:ascii="等线" w:hAnsi="等线" w:eastAsia="等线" w:cs="Times New Roman"/>
                <w:color w:val="000000"/>
                <w:sz w:val="21"/>
                <w:szCs w:val="22"/>
              </w:rPr>
            </w:pPr>
            <w:bookmarkStart w:id="32" w:name="OLE_LINK2"/>
            <w:r>
              <w:rPr>
                <w:rFonts w:hint="eastAsia" w:ascii="等线" w:hAnsi="等线" w:eastAsia="等线" w:cs="Times New Roman"/>
                <w:color w:val="000000"/>
                <w:sz w:val="21"/>
                <w:szCs w:val="22"/>
              </w:rPr>
              <w:t>市场调研员</w:t>
            </w:r>
            <w:bookmarkEnd w:id="32"/>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4A8C0904">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开展市场数据调研，收集和分析市场信息，为团队的决策提供数据支持和市场趋势预测</w:t>
            </w:r>
          </w:p>
        </w:tc>
      </w:tr>
      <w:tr w14:paraId="0E3C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12EF2107">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7AD2D0CC">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张菀辰</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04A1185A">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E0F2FA"/>
          </w:tcPr>
          <w:p w14:paraId="332FDA16">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4DCE49F8">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7DF88FF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市场调研员</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43B83E57">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负责竞争环境分析，研究竞争对手的动态和策略，找出团队的优势和劣势，为团队制定竞争策略提供参考</w:t>
            </w:r>
          </w:p>
        </w:tc>
      </w:tr>
      <w:tr w14:paraId="7D51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783" w:type="dxa"/>
            <w:vMerge w:val="restart"/>
            <w:tcBorders>
              <w:top w:val="single" w:color="83CAEB" w:sz="6" w:space="0"/>
              <w:left w:val="single" w:color="156082" w:sz="6" w:space="0"/>
              <w:bottom w:val="single" w:color="83CAEB" w:sz="6" w:space="0"/>
              <w:right w:val="single" w:color="83CAEB" w:sz="6" w:space="0"/>
            </w:tcBorders>
            <w:shd w:val="clear" w:color="auto" w:fill="FFFFFF"/>
            <w:vAlign w:val="center"/>
          </w:tcPr>
          <w:p w14:paraId="3E051354">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产品</w:t>
            </w:r>
            <w:r>
              <w:rPr>
                <w:rFonts w:ascii="等线" w:hAnsi="等线" w:eastAsia="等线" w:cs="Times New Roman"/>
                <w:color w:val="000000"/>
                <w:sz w:val="21"/>
                <w:szCs w:val="22"/>
              </w:rPr>
              <w:t>销售</w:t>
            </w:r>
            <w:r>
              <w:rPr>
                <w:rFonts w:hint="eastAsia" w:ascii="等线" w:hAnsi="等线" w:eastAsia="等线" w:cs="Times New Roman"/>
                <w:color w:val="000000"/>
                <w:sz w:val="21"/>
                <w:szCs w:val="22"/>
              </w:rPr>
              <w:t>组</w:t>
            </w: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63C35781">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郑诗雨</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5800CF78">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FFFFFF"/>
          </w:tcPr>
          <w:p w14:paraId="3224261B">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2FD6A8C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5915EBBA">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产品专员</w:t>
            </w:r>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39012E10">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制定销售策略，对市场进行深入分析，制定有针对性的销售方案，提高产品的销售量和市场占有率</w:t>
            </w:r>
          </w:p>
        </w:tc>
      </w:tr>
      <w:tr w14:paraId="57B6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278AC6B8">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11F64867">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罗浩杰</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30445CCE">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男</w:t>
            </w:r>
          </w:p>
        </w:tc>
        <w:tc>
          <w:tcPr>
            <w:tcW w:w="1182" w:type="dxa"/>
            <w:tcBorders>
              <w:top w:val="single" w:color="83CAEB" w:sz="6" w:space="0"/>
              <w:left w:val="single" w:color="83CAEB" w:sz="6" w:space="0"/>
              <w:bottom w:val="single" w:color="83CAEB" w:sz="6" w:space="0"/>
              <w:right w:val="single" w:color="83CAEB" w:sz="6" w:space="0"/>
            </w:tcBorders>
            <w:shd w:val="clear" w:color="auto" w:fill="E0F2FA"/>
          </w:tcPr>
          <w:p w14:paraId="49A905F4">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7456478A">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2D037A8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产品专员</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7980A7EB">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负责客户关系维护，与客户保持密切沟通，了解客户需求和反馈，提供优质的售后服务，增强客户满意度和忠诚度</w:t>
            </w:r>
          </w:p>
        </w:tc>
      </w:tr>
      <w:tr w14:paraId="3FC3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rPr>
        <w:tc>
          <w:tcPr>
            <w:tcW w:w="783" w:type="dxa"/>
            <w:vMerge w:val="restart"/>
            <w:tcBorders>
              <w:top w:val="single" w:color="83CAEB" w:sz="6" w:space="0"/>
              <w:left w:val="single" w:color="156082" w:sz="6" w:space="0"/>
              <w:bottom w:val="single" w:color="83CAEB" w:sz="6" w:space="0"/>
              <w:right w:val="single" w:color="83CAEB" w:sz="6" w:space="0"/>
            </w:tcBorders>
            <w:shd w:val="clear" w:color="auto" w:fill="FFFFFF"/>
            <w:vAlign w:val="center"/>
          </w:tcPr>
          <w:p w14:paraId="1AF73791">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组织管理组</w:t>
            </w: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191B7DC2">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周妍君</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4EB44B46">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83CAEB" w:sz="6" w:space="0"/>
              <w:right w:val="single" w:color="83CAEB" w:sz="6" w:space="0"/>
            </w:tcBorders>
            <w:shd w:val="clear" w:color="auto" w:fill="FFFFFF"/>
          </w:tcPr>
          <w:p w14:paraId="75B8A76D">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47FBE91F">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262B3317">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组织专员</w:t>
            </w:r>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6253B140">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负责项目进度协调，制定项目计划和时间表，跟踪项目进度，及时协调解决项目中出现的问题和冲突，确保项目按计划推进</w:t>
            </w:r>
          </w:p>
        </w:tc>
      </w:tr>
      <w:tr w14:paraId="1D27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vMerge w:val="continue"/>
            <w:tcBorders>
              <w:top w:val="single" w:color="83CAEB" w:sz="6" w:space="0"/>
              <w:left w:val="single" w:color="156082" w:sz="6" w:space="0"/>
              <w:bottom w:val="single" w:color="83CAEB" w:sz="6" w:space="0"/>
              <w:right w:val="single" w:color="83CAEB" w:sz="6" w:space="0"/>
            </w:tcBorders>
            <w:shd w:val="clear" w:color="auto" w:fill="E0F2FA"/>
          </w:tcPr>
          <w:p w14:paraId="5645E8A9">
            <w:pPr>
              <w:widowControl/>
              <w:spacing w:line="360" w:lineRule="auto"/>
              <w:ind w:firstLine="0" w:firstLineChars="0"/>
              <w:jc w:val="left"/>
              <w:rPr>
                <w:rFonts w:hint="eastAsia" w:ascii="等线" w:hAnsi="等线" w:eastAsia="等线" w:cs="Times New Roman"/>
                <w:color w:val="000000"/>
                <w:sz w:val="21"/>
                <w:szCs w:val="22"/>
              </w:rPr>
            </w:pPr>
          </w:p>
        </w:tc>
        <w:tc>
          <w:tcPr>
            <w:tcW w:w="889"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52FB7FB9">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陈祥伟</w:t>
            </w:r>
          </w:p>
        </w:tc>
        <w:tc>
          <w:tcPr>
            <w:tcW w:w="665" w:type="dxa"/>
            <w:tcBorders>
              <w:top w:val="single" w:color="83CAEB" w:sz="6" w:space="0"/>
              <w:left w:val="single" w:color="83CAEB" w:sz="6" w:space="0"/>
              <w:bottom w:val="single" w:color="83CAEB" w:sz="6" w:space="0"/>
              <w:right w:val="single" w:color="83CAEB" w:sz="6" w:space="0"/>
            </w:tcBorders>
            <w:shd w:val="clear" w:color="auto" w:fill="E0F2FA"/>
            <w:vAlign w:val="center"/>
          </w:tcPr>
          <w:p w14:paraId="155FBE5E">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男</w:t>
            </w:r>
          </w:p>
        </w:tc>
        <w:tc>
          <w:tcPr>
            <w:tcW w:w="1182" w:type="dxa"/>
            <w:tcBorders>
              <w:top w:val="single" w:color="83CAEB" w:sz="6" w:space="0"/>
              <w:left w:val="single" w:color="83CAEB" w:sz="6" w:space="0"/>
              <w:bottom w:val="single" w:color="83CAEB" w:sz="6" w:space="0"/>
              <w:right w:val="single" w:color="83CAEB" w:sz="6" w:space="0"/>
            </w:tcBorders>
            <w:shd w:val="clear" w:color="auto" w:fill="E0F2FA"/>
          </w:tcPr>
          <w:p w14:paraId="1516CDAE">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E0F2FA"/>
          </w:tcPr>
          <w:p w14:paraId="26DD422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E0F2FA"/>
          </w:tcPr>
          <w:p w14:paraId="113FF058">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组织专员</w:t>
            </w:r>
          </w:p>
        </w:tc>
        <w:tc>
          <w:tcPr>
            <w:tcW w:w="4151" w:type="dxa"/>
            <w:tcBorders>
              <w:top w:val="single" w:color="83CAEB" w:sz="6" w:space="0"/>
              <w:left w:val="single" w:color="83CAEB" w:sz="6" w:space="0"/>
              <w:bottom w:val="single" w:color="83CAEB" w:sz="6" w:space="0"/>
              <w:right w:val="single" w:color="156082" w:sz="6" w:space="0"/>
            </w:tcBorders>
            <w:shd w:val="clear" w:color="auto" w:fill="E0F2FA"/>
          </w:tcPr>
          <w:p w14:paraId="5CF42474">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承担资源分配管理职责，根据项目需求和团队成员的特长，合理分配人力、物力等资源，提高资源利用率，保障项目的顺利开展</w:t>
            </w:r>
          </w:p>
        </w:tc>
      </w:tr>
      <w:tr w14:paraId="1970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tcBorders>
              <w:top w:val="single" w:color="83CAEB" w:sz="6" w:space="0"/>
              <w:left w:val="single" w:color="156082" w:sz="6" w:space="0"/>
              <w:bottom w:val="single" w:color="83CAEB" w:sz="6" w:space="0"/>
              <w:right w:val="single" w:color="83CAEB" w:sz="6" w:space="0"/>
            </w:tcBorders>
            <w:shd w:val="clear" w:color="auto" w:fill="FFFFFF"/>
          </w:tcPr>
          <w:p w14:paraId="0850E091">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财务管理组</w:t>
            </w:r>
          </w:p>
        </w:tc>
        <w:tc>
          <w:tcPr>
            <w:tcW w:w="889"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21C3CADB">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冯昌举</w:t>
            </w:r>
          </w:p>
        </w:tc>
        <w:tc>
          <w:tcPr>
            <w:tcW w:w="665" w:type="dxa"/>
            <w:tcBorders>
              <w:top w:val="single" w:color="83CAEB" w:sz="6" w:space="0"/>
              <w:left w:val="single" w:color="83CAEB" w:sz="6" w:space="0"/>
              <w:bottom w:val="single" w:color="83CAEB" w:sz="6" w:space="0"/>
              <w:right w:val="single" w:color="83CAEB" w:sz="6" w:space="0"/>
            </w:tcBorders>
            <w:shd w:val="clear" w:color="auto" w:fill="FFFFFF"/>
            <w:vAlign w:val="center"/>
          </w:tcPr>
          <w:p w14:paraId="6F4A0587">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男</w:t>
            </w:r>
          </w:p>
        </w:tc>
        <w:tc>
          <w:tcPr>
            <w:tcW w:w="1182" w:type="dxa"/>
            <w:tcBorders>
              <w:top w:val="single" w:color="83CAEB" w:sz="6" w:space="0"/>
              <w:left w:val="single" w:color="83CAEB" w:sz="6" w:space="0"/>
              <w:bottom w:val="single" w:color="83CAEB" w:sz="6" w:space="0"/>
              <w:right w:val="single" w:color="83CAEB" w:sz="6" w:space="0"/>
            </w:tcBorders>
            <w:shd w:val="clear" w:color="auto" w:fill="FFFFFF"/>
          </w:tcPr>
          <w:p w14:paraId="05C3014F">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83CAEB" w:sz="6" w:space="0"/>
              <w:right w:val="single" w:color="83CAEB" w:sz="6" w:space="0"/>
            </w:tcBorders>
            <w:shd w:val="clear" w:color="auto" w:fill="FFFFFF"/>
          </w:tcPr>
          <w:p w14:paraId="2515F184">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83CAEB" w:sz="6" w:space="0"/>
              <w:right w:val="single" w:color="83CAEB" w:sz="6" w:space="0"/>
            </w:tcBorders>
            <w:shd w:val="clear" w:color="auto" w:fill="FFFFFF"/>
          </w:tcPr>
          <w:p w14:paraId="55DF292C">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财务专员</w:t>
            </w:r>
          </w:p>
        </w:tc>
        <w:tc>
          <w:tcPr>
            <w:tcW w:w="4151" w:type="dxa"/>
            <w:tcBorders>
              <w:top w:val="single" w:color="83CAEB" w:sz="6" w:space="0"/>
              <w:left w:val="single" w:color="83CAEB" w:sz="6" w:space="0"/>
              <w:bottom w:val="single" w:color="83CAEB" w:sz="6" w:space="0"/>
              <w:right w:val="single" w:color="156082" w:sz="6" w:space="0"/>
            </w:tcBorders>
            <w:shd w:val="clear" w:color="auto" w:fill="FFFFFF"/>
          </w:tcPr>
          <w:p w14:paraId="6D3B5D1D">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主导财务预算控制，制定财务预算和成本控制计划，合理规划资金使用，对财务状况进行分析和监控，确保团队的财务健康</w:t>
            </w:r>
          </w:p>
        </w:tc>
      </w:tr>
      <w:tr w14:paraId="6D476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783" w:type="dxa"/>
            <w:tcBorders>
              <w:top w:val="single" w:color="83CAEB" w:sz="6" w:space="0"/>
              <w:left w:val="single" w:color="156082" w:sz="6" w:space="0"/>
              <w:bottom w:val="single" w:color="156082" w:sz="6" w:space="0"/>
              <w:right w:val="single" w:color="83CAEB" w:sz="6" w:space="0"/>
            </w:tcBorders>
            <w:shd w:val="clear" w:color="auto" w:fill="E0F2FA"/>
            <w:vAlign w:val="center"/>
          </w:tcPr>
          <w:p w14:paraId="7E0D3E81">
            <w:pPr>
              <w:widowControl/>
              <w:spacing w:line="360" w:lineRule="auto"/>
              <w:ind w:firstLine="0" w:firstLineChars="0"/>
              <w:jc w:val="center"/>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人事管理组</w:t>
            </w:r>
          </w:p>
        </w:tc>
        <w:tc>
          <w:tcPr>
            <w:tcW w:w="889" w:type="dxa"/>
            <w:tcBorders>
              <w:top w:val="single" w:color="83CAEB" w:sz="6" w:space="0"/>
              <w:left w:val="single" w:color="83CAEB" w:sz="6" w:space="0"/>
              <w:bottom w:val="single" w:color="156082" w:sz="6" w:space="0"/>
              <w:right w:val="single" w:color="83CAEB" w:sz="6" w:space="0"/>
            </w:tcBorders>
            <w:shd w:val="clear" w:color="auto" w:fill="E0F2FA"/>
            <w:vAlign w:val="center"/>
          </w:tcPr>
          <w:p w14:paraId="5D23D67E">
            <w:pPr>
              <w:widowControl/>
              <w:spacing w:line="360" w:lineRule="auto"/>
              <w:ind w:firstLine="0" w:firstLineChars="0"/>
              <w:jc w:val="center"/>
              <w:rPr>
                <w:rFonts w:hint="eastAsia" w:ascii="等线" w:hAnsi="等线" w:eastAsia="等线" w:cs="Times New Roman"/>
                <w:color w:val="000000"/>
                <w:sz w:val="21"/>
                <w:szCs w:val="22"/>
              </w:rPr>
            </w:pPr>
            <w:r>
              <w:rPr>
                <w:rFonts w:ascii="等线" w:hAnsi="等线" w:eastAsia="等线" w:cs="Times New Roman"/>
                <w:color w:val="000000"/>
                <w:sz w:val="21"/>
                <w:szCs w:val="22"/>
              </w:rPr>
              <w:t>罗依</w:t>
            </w:r>
          </w:p>
        </w:tc>
        <w:tc>
          <w:tcPr>
            <w:tcW w:w="665" w:type="dxa"/>
            <w:tcBorders>
              <w:top w:val="single" w:color="83CAEB" w:sz="6" w:space="0"/>
              <w:left w:val="single" w:color="83CAEB" w:sz="6" w:space="0"/>
              <w:bottom w:val="single" w:color="156082" w:sz="6" w:space="0"/>
              <w:right w:val="single" w:color="83CAEB" w:sz="6" w:space="0"/>
            </w:tcBorders>
            <w:shd w:val="clear" w:color="auto" w:fill="E0F2FA"/>
            <w:vAlign w:val="center"/>
          </w:tcPr>
          <w:p w14:paraId="42E894E3">
            <w:pPr>
              <w:widowControl/>
              <w:spacing w:line="360" w:lineRule="auto"/>
              <w:ind w:firstLine="0" w:firstLineChars="0"/>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女</w:t>
            </w:r>
          </w:p>
        </w:tc>
        <w:tc>
          <w:tcPr>
            <w:tcW w:w="1182" w:type="dxa"/>
            <w:tcBorders>
              <w:top w:val="single" w:color="83CAEB" w:sz="6" w:space="0"/>
              <w:left w:val="single" w:color="83CAEB" w:sz="6" w:space="0"/>
              <w:bottom w:val="single" w:color="156082" w:sz="6" w:space="0"/>
              <w:right w:val="single" w:color="83CAEB" w:sz="6" w:space="0"/>
            </w:tcBorders>
            <w:shd w:val="clear" w:color="auto" w:fill="E0F2FA"/>
            <w:vAlign w:val="center"/>
          </w:tcPr>
          <w:p w14:paraId="6FA49EA1">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硕士研究生</w:t>
            </w:r>
          </w:p>
        </w:tc>
        <w:tc>
          <w:tcPr>
            <w:tcW w:w="1105" w:type="dxa"/>
            <w:tcBorders>
              <w:top w:val="single" w:color="83CAEB" w:sz="6" w:space="0"/>
              <w:left w:val="single" w:color="83CAEB" w:sz="6" w:space="0"/>
              <w:bottom w:val="single" w:color="156082" w:sz="6" w:space="0"/>
              <w:right w:val="single" w:color="83CAEB" w:sz="6" w:space="0"/>
            </w:tcBorders>
            <w:shd w:val="clear" w:color="auto" w:fill="E0F2FA"/>
          </w:tcPr>
          <w:p w14:paraId="19668259">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图书情报</w:t>
            </w:r>
          </w:p>
        </w:tc>
        <w:tc>
          <w:tcPr>
            <w:tcW w:w="748" w:type="dxa"/>
            <w:tcBorders>
              <w:top w:val="single" w:color="83CAEB" w:sz="6" w:space="0"/>
              <w:left w:val="single" w:color="83CAEB" w:sz="6" w:space="0"/>
              <w:bottom w:val="single" w:color="156082" w:sz="6" w:space="0"/>
              <w:right w:val="single" w:color="83CAEB" w:sz="6" w:space="0"/>
            </w:tcBorders>
            <w:shd w:val="clear" w:color="auto" w:fill="E0F2FA"/>
          </w:tcPr>
          <w:p w14:paraId="0CA34D8D">
            <w:pPr>
              <w:widowControl/>
              <w:spacing w:line="360" w:lineRule="auto"/>
              <w:ind w:firstLine="0" w:firstLineChars="0"/>
              <w:jc w:val="left"/>
              <w:rPr>
                <w:rFonts w:hint="eastAsia" w:ascii="等线" w:hAnsi="等线" w:eastAsia="等线" w:cs="Times New Roman"/>
                <w:color w:val="000000"/>
                <w:sz w:val="21"/>
                <w:szCs w:val="22"/>
              </w:rPr>
            </w:pPr>
            <w:r>
              <w:rPr>
                <w:rFonts w:hint="eastAsia" w:ascii="等线" w:hAnsi="等线" w:eastAsia="等线" w:cs="Times New Roman"/>
                <w:color w:val="000000"/>
                <w:sz w:val="21"/>
                <w:szCs w:val="22"/>
              </w:rPr>
              <w:t>人力专员</w:t>
            </w:r>
          </w:p>
        </w:tc>
        <w:tc>
          <w:tcPr>
            <w:tcW w:w="4151" w:type="dxa"/>
            <w:tcBorders>
              <w:top w:val="single" w:color="83CAEB" w:sz="6" w:space="0"/>
              <w:left w:val="single" w:color="83CAEB" w:sz="6" w:space="0"/>
              <w:bottom w:val="single" w:color="156082" w:sz="6" w:space="0"/>
              <w:right w:val="single" w:color="156082" w:sz="6" w:space="0"/>
            </w:tcBorders>
            <w:shd w:val="clear" w:color="auto" w:fill="E0F2FA"/>
          </w:tcPr>
          <w:p w14:paraId="6FE2DD0E">
            <w:pPr>
              <w:widowControl/>
              <w:spacing w:line="360" w:lineRule="auto"/>
              <w:ind w:firstLine="0" w:firstLineChars="0"/>
              <w:jc w:val="left"/>
              <w:rPr>
                <w:rFonts w:hint="eastAsia" w:ascii="等线" w:hAnsi="等线" w:eastAsia="等线" w:cs="Times New Roman"/>
                <w:color w:val="000000"/>
                <w:sz w:val="21"/>
                <w:szCs w:val="22"/>
              </w:rPr>
            </w:pPr>
            <w:r>
              <w:rPr>
                <w:rFonts w:ascii="等线" w:hAnsi="等线" w:eastAsia="等线" w:cs="Times New Roman"/>
                <w:color w:val="000000"/>
                <w:sz w:val="21"/>
                <w:szCs w:val="22"/>
              </w:rPr>
              <w:t>负责人事调配工作，根据团队需求和成员特点，合理安排人员岗位，组织招聘、培训等活动，为团队提供人力支持和保障</w:t>
            </w:r>
          </w:p>
        </w:tc>
      </w:tr>
    </w:tbl>
    <w:p w14:paraId="69838E79">
      <w:pPr>
        <w:pStyle w:val="21"/>
        <w:jc w:val="center"/>
      </w:pPr>
      <w:r>
        <w:rPr>
          <w:rFonts w:hint="eastAsia"/>
        </w:rPr>
        <w:t xml:space="preserve">表 </w:t>
      </w:r>
      <w:r>
        <w:rPr>
          <w:rFonts w:hint="eastAsia"/>
          <w:lang w:val="en-US" w:eastAsia="zh-CN"/>
        </w:rPr>
        <w:t>14</w:t>
      </w:r>
      <w:r>
        <w:rPr>
          <w:rFonts w:hint="eastAsia"/>
        </w:rPr>
        <w:t xml:space="preserve"> 项目组成员及分工明细</w:t>
      </w:r>
    </w:p>
    <w:p w14:paraId="66B50113">
      <w:pPr>
        <w:pStyle w:val="3"/>
        <w:spacing w:line="360" w:lineRule="auto"/>
      </w:pPr>
      <w:bookmarkStart w:id="33" w:name="_Toc19210"/>
      <w:r>
        <w:rPr>
          <w:rFonts w:hint="eastAsia"/>
        </w:rPr>
        <w:t>项目的组织结构</w:t>
      </w:r>
      <w:bookmarkEnd w:id="33"/>
    </w:p>
    <w:p w14:paraId="48F7319C">
      <w:pPr>
        <w:spacing w:line="360" w:lineRule="auto"/>
        <w:ind w:firstLine="480"/>
      </w:pPr>
      <w:r>
        <w:rPr>
          <w:rFonts w:hint="eastAsia"/>
        </w:rPr>
        <w:t>项目团队由多个专业小组构成，每个小组负责特定领域的工作，确保项目从技术开发到市场推广的全方位覆盖。</w:t>
      </w:r>
    </w:p>
    <w:p w14:paraId="4E37033D">
      <w:pPr>
        <w:spacing w:line="360" w:lineRule="auto"/>
        <w:ind w:firstLine="480"/>
      </w:pPr>
      <w:r>
        <w:rPr>
          <w:rFonts w:hint="eastAsia"/>
        </w:rPr>
        <w:t>技术研发组汇聚了多位计算机科学技术专业的硕士研究生。丁艳作为项目负责人，凭借深厚的技术背景和丰富的经验，主导系统架构设计，确保系统稳定性和扩展性。前端架构师喻沐然专注于用户界面开发，致力于打造美观且易于使用的界面，提升用户体验。后端工程师曾跃承担着保障系统后端稳定运行的任务，处理可能出现的问题与故障。吴林江作为数据库工程师，专注于数据库管理优化，提高数据存储和查询效率。罗颖萱担任算法设计师，研究并设计高效算法，为系统提供智能化功能。何世云负责测试与质量保障，运用多种测试方法保证产品质量。</w:t>
      </w:r>
    </w:p>
    <w:p w14:paraId="2F8425A2">
      <w:pPr>
        <w:widowControl/>
        <w:spacing w:line="360" w:lineRule="auto"/>
        <w:ind w:firstLine="480"/>
        <w:jc w:val="left"/>
        <w:rPr>
          <w:rFonts w:hint="eastAsia" w:ascii="宋体" w:hAnsi="宋体" w:eastAsia="宋体" w:cs="宋体"/>
        </w:rPr>
      </w:pPr>
      <w:r>
        <w:rPr>
          <w:rFonts w:hint="eastAsia" w:ascii="宋体" w:hAnsi="宋体" w:eastAsia="宋体" w:cs="宋体"/>
        </w:rPr>
        <w:t>市场分析组由王艺和张菀辰组成，两人均具有图书情报硕士学位。王艺通过收集和分析市场信息支持团队决策，而张菀辰则关注竞争环境分析，帮助制定竞争策略，识别团队的优势和劣势。</w:t>
      </w:r>
    </w:p>
    <w:p w14:paraId="7BA495F5">
      <w:pPr>
        <w:widowControl/>
        <w:spacing w:line="360" w:lineRule="auto"/>
        <w:ind w:firstLine="480"/>
        <w:jc w:val="left"/>
        <w:rPr>
          <w:rFonts w:hint="eastAsia" w:ascii="宋体" w:hAnsi="宋体" w:eastAsia="宋体" w:cs="宋体"/>
        </w:rPr>
      </w:pPr>
      <w:r>
        <w:rPr>
          <w:rFonts w:hint="eastAsia" w:ascii="宋体" w:hAnsi="宋体" w:eastAsia="宋体" w:cs="宋体"/>
        </w:rPr>
        <w:t>产品销售组包括郑诗雨和罗浩杰。郑诗雨制定销售策略，深入分析市场以提升产品销量和市场份额。罗浩杰注重客户关系维护，与客户保持沟通，了解需求和反馈，提供优质的售后服务，增强客户满意度和忠诚度。</w:t>
      </w:r>
    </w:p>
    <w:p w14:paraId="7419DD99">
      <w:pPr>
        <w:widowControl/>
        <w:spacing w:line="360" w:lineRule="auto"/>
        <w:ind w:firstLine="480"/>
        <w:jc w:val="left"/>
        <w:rPr>
          <w:rFonts w:hint="eastAsia" w:ascii="宋体" w:hAnsi="宋体" w:eastAsia="宋体" w:cs="宋体"/>
        </w:rPr>
      </w:pPr>
      <w:r>
        <w:rPr>
          <w:rFonts w:hint="eastAsia" w:ascii="宋体" w:hAnsi="宋体" w:eastAsia="宋体" w:cs="宋体"/>
        </w:rPr>
        <w:t>周妍君和陈祥伟属于组织管理组，他们协调项目进度、制定计划和时间表，并根据项目需求合理分配资源，确保项目顺利进行。财务管理由冯昌举负责，他主导财务预算控制，规划资金使用，监控财务状况，确保财务健康。人事管理方面，罗依依据团队需求安排人员岗位，组织招聘和培训活动，为团队提供人力支持。</w:t>
      </w:r>
    </w:p>
    <w:p w14:paraId="1F5731B1">
      <w:pPr>
        <w:widowControl/>
        <w:spacing w:line="360" w:lineRule="auto"/>
        <w:ind w:firstLine="480"/>
        <w:jc w:val="left"/>
        <w:rPr>
          <w:rFonts w:hint="eastAsia" w:ascii="宋体" w:hAnsi="宋体" w:eastAsia="宋体" w:cs="宋体"/>
        </w:rPr>
      </w:pPr>
      <w:r>
        <w:rPr>
          <w:rFonts w:hint="eastAsia" w:ascii="宋体" w:hAnsi="宋体" w:eastAsia="宋体" w:cs="宋体"/>
        </w:rPr>
        <w:t>通过各专业小组的紧密协作，项目得以高效推进，确保从技术研发到市场销售的每一个环节都得到专业化的管理和执行。这种结构不仅促进了跨部门合作，也提升了团队整体的执行力和创新能力。</w:t>
      </w:r>
    </w:p>
    <w:p w14:paraId="6F1A178F">
      <w:pPr>
        <w:pStyle w:val="3"/>
        <w:spacing w:line="360" w:lineRule="auto"/>
      </w:pPr>
      <w:bookmarkStart w:id="34" w:name="_Toc27121"/>
      <w:r>
        <w:rPr>
          <w:rFonts w:hint="eastAsia"/>
        </w:rPr>
        <w:t>团队管理要素</w:t>
      </w:r>
      <w:bookmarkEnd w:id="34"/>
    </w:p>
    <w:p w14:paraId="5706B4FF">
      <w:pPr>
        <w:widowControl/>
        <w:spacing w:line="360" w:lineRule="auto"/>
        <w:ind w:firstLine="480"/>
        <w:jc w:val="left"/>
        <w:rPr>
          <w:rFonts w:hint="eastAsia" w:ascii="宋体" w:hAnsi="宋体" w:eastAsia="宋体" w:cs="宋体"/>
        </w:rPr>
      </w:pPr>
      <w:r>
        <w:rPr>
          <w:rFonts w:hint="eastAsia" w:ascii="宋体" w:hAnsi="宋体" w:eastAsia="宋体" w:cs="宋体"/>
        </w:rPr>
        <w:t>团队管理工作围绕明确目标、高效沟通、深度参与和持续提升展开，致力于打造一个方向一致、协作顺畅、充满活力的组织体系。公司以构建数据可信治理机制与平台、解决数据流通中的核心问题、支撑数据要素市场化配置为核心方向，制定清晰的阶段性任务，如完成机制设计、交付平台原型以及成功验证首个应用场景。通过将整体目标分解为具体任务，并配套过程管理和绩效评估，确保各项工作始终聚焦战略方向，同时帮助每位成员明确自身职责和发展路径。</w:t>
      </w:r>
    </w:p>
    <w:p w14:paraId="375A71C7">
      <w:pPr>
        <w:widowControl/>
        <w:spacing w:line="360" w:lineRule="auto"/>
        <w:ind w:firstLine="480"/>
        <w:jc w:val="left"/>
        <w:rPr>
          <w:rFonts w:hint="eastAsia" w:ascii="宋体" w:hAnsi="宋体" w:eastAsia="宋体" w:cs="宋体"/>
        </w:rPr>
      </w:pPr>
      <w:r>
        <w:rPr>
          <w:rFonts w:hint="eastAsia" w:ascii="宋体" w:hAnsi="宋体" w:eastAsia="宋体" w:cs="宋体"/>
        </w:rPr>
        <w:t>团队内部建立了常态化的沟通机制，包括定期站会和跨部门协作平台，促进不同层级和职能之间的高效互动。这种开放的信息共享方式有助于及时识别并解决机制设计、平台开发及场景落地过程中出现的技术难题和业务瓶颈，保障项目稳步推进。成员之间通过持续交流加深理解，提升协作效率。</w:t>
      </w:r>
    </w:p>
    <w:p w14:paraId="23CBC2A6">
      <w:pPr>
        <w:widowControl/>
        <w:spacing w:line="360" w:lineRule="auto"/>
        <w:ind w:firstLine="480"/>
        <w:jc w:val="left"/>
        <w:rPr>
          <w:rFonts w:hint="eastAsia" w:ascii="宋体" w:hAnsi="宋体" w:eastAsia="宋体" w:cs="宋体"/>
        </w:rPr>
      </w:pPr>
      <w:r>
        <w:rPr>
          <w:rFonts w:hint="eastAsia" w:ascii="宋体" w:hAnsi="宋体" w:eastAsia="宋体" w:cs="宋体"/>
        </w:rPr>
        <w:t>团队成员作为工作的直接参与者和观察者，应被充分赋予表达意见、参与决策的机会。定期组织交流分享活动，引导成员对工作进行系统性总结与反馈，不仅提升个体责任感，也有助于推动整体策略的优化与完善。在目标制定、策略执行和问题解决等环节中提升成员的参与度，有助于增强归属感和团队凝聚力。</w:t>
      </w:r>
    </w:p>
    <w:p w14:paraId="5AF72E99">
      <w:pPr>
        <w:widowControl/>
        <w:spacing w:line="360" w:lineRule="auto"/>
        <w:ind w:firstLine="480"/>
        <w:jc w:val="left"/>
        <w:rPr>
          <w:rFonts w:hint="eastAsia" w:ascii="宋体" w:hAnsi="宋体" w:eastAsia="宋体" w:cs="宋体"/>
        </w:rPr>
      </w:pPr>
      <w:r>
        <w:rPr>
          <w:rFonts w:hint="eastAsia" w:ascii="宋体" w:hAnsi="宋体" w:eastAsia="宋体" w:cs="宋体"/>
        </w:rPr>
        <w:t>团队发展注重能力提升与知识更新，倡导紧跟数据要素市场相关政策法规变化，如数据确权、隐私计算合规等要求，同时关注联邦学习、多方安全计算、区块链审计等前沿技术的发展，结合金融风控、医疗科研、政务共享等行业应用趋势，不断提升专业素养和市场洞察力。通过组织内部培训、外部交流和知识分享等多种形式，激发成员成长动力，保持团队在行业中的技术领先优势和综合竞争力。</w:t>
      </w:r>
    </w:p>
    <w:p w14:paraId="57C38AAF">
      <w:pPr>
        <w:widowControl/>
        <w:spacing w:line="360" w:lineRule="auto"/>
        <w:ind w:firstLine="480"/>
        <w:jc w:val="left"/>
        <w:rPr>
          <w:rFonts w:hint="eastAsia" w:ascii="宋体" w:hAnsi="宋体" w:eastAsia="宋体" w:cs="宋体"/>
        </w:rPr>
      </w:pPr>
      <w:r>
        <w:rPr>
          <w:rFonts w:hint="eastAsia" w:ascii="宋体" w:hAnsi="宋体" w:eastAsia="宋体" w:cs="宋体"/>
        </w:rPr>
        <w:t>通过目标牵引、信息畅通、成员参与和能力进化四个维度的有机结合，不断优化团队管理模式，实现组织效能的最大化与价值的稳步落地。</w:t>
      </w:r>
    </w:p>
    <w:p w14:paraId="03AC3305">
      <w:pPr>
        <w:pStyle w:val="3"/>
        <w:spacing w:line="360" w:lineRule="auto"/>
      </w:pPr>
      <w:bookmarkStart w:id="35" w:name="_Toc23611"/>
      <w:r>
        <w:rPr>
          <w:rFonts w:hint="eastAsia"/>
        </w:rPr>
        <w:t>团队薪酬标准</w:t>
      </w:r>
      <w:bookmarkEnd w:id="35"/>
    </w:p>
    <w:p w14:paraId="002DF953">
      <w:pPr>
        <w:widowControl/>
        <w:spacing w:line="360" w:lineRule="auto"/>
        <w:ind w:firstLine="480"/>
        <w:jc w:val="left"/>
        <w:rPr>
          <w:rFonts w:hint="eastAsia" w:ascii="宋体" w:hAnsi="宋体" w:eastAsia="宋体" w:cs="宋体"/>
        </w:rPr>
      </w:pPr>
      <w:r>
        <w:rPr>
          <w:rFonts w:hint="eastAsia" w:ascii="宋体" w:hAnsi="宋体" w:eastAsia="宋体" w:cs="宋体"/>
        </w:rPr>
        <w:t>我们参考大数据、人工智能及金融科技领域的市场薪酬水平，结合数据宝作为“国家队”和行业领军企业的定位，制定具有竞争力的薪酬标准，公司主要采用“基本工资+绩效奖金+单项奖励”的三维一体方式。</w:t>
      </w:r>
    </w:p>
    <w:p w14:paraId="7EC28298">
      <w:pPr>
        <w:widowControl/>
        <w:spacing w:line="360" w:lineRule="auto"/>
        <w:ind w:firstLine="480"/>
        <w:jc w:val="left"/>
        <w:rPr>
          <w:rFonts w:hint="eastAsia" w:ascii="宋体" w:hAnsi="宋体" w:eastAsia="宋体" w:cs="宋体"/>
        </w:rPr>
      </w:pPr>
      <w:r>
        <w:rPr>
          <w:rFonts w:hint="eastAsia" w:ascii="宋体" w:hAnsi="宋体" w:eastAsia="宋体" w:cs="宋体"/>
        </w:rPr>
        <w:t>（1）基本工资:公司参照国家标准及行业现状，初步拟定各级基本每月工资，如下表所示。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573"/>
        <w:gridCol w:w="1643"/>
        <w:gridCol w:w="1609"/>
        <w:gridCol w:w="1990"/>
      </w:tblGrid>
      <w:tr w14:paraId="7F31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tcPr>
          <w:p w14:paraId="678EB2D0">
            <w:pPr>
              <w:widowControl/>
              <w:spacing w:line="360" w:lineRule="auto"/>
              <w:ind w:firstLine="422"/>
              <w:jc w:val="center"/>
              <w:rPr>
                <w:b/>
                <w:color w:val="FFFFFF"/>
                <w:sz w:val="21"/>
                <w:szCs w:val="21"/>
              </w:rPr>
            </w:pPr>
            <w:r>
              <w:rPr>
                <w:rFonts w:hint="eastAsia"/>
                <w:b/>
                <w:color w:val="FFFFFF"/>
                <w:sz w:val="21"/>
                <w:szCs w:val="21"/>
              </w:rPr>
              <w:t>职能部门</w:t>
            </w:r>
          </w:p>
        </w:tc>
        <w:tc>
          <w:tcPr>
            <w:tcW w:w="157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Pr>
          <w:p w14:paraId="686ECA4C">
            <w:pPr>
              <w:widowControl/>
              <w:spacing w:line="360" w:lineRule="auto"/>
              <w:ind w:firstLine="422"/>
              <w:jc w:val="center"/>
              <w:rPr>
                <w:b/>
                <w:color w:val="FFFFFF"/>
                <w:sz w:val="21"/>
                <w:szCs w:val="21"/>
              </w:rPr>
            </w:pPr>
            <w:r>
              <w:rPr>
                <w:rFonts w:hint="eastAsia"/>
                <w:b/>
                <w:color w:val="FFFFFF"/>
                <w:sz w:val="21"/>
                <w:szCs w:val="21"/>
              </w:rPr>
              <w:t>专员</w:t>
            </w:r>
          </w:p>
        </w:tc>
        <w:tc>
          <w:tcPr>
            <w:tcW w:w="164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Pr>
          <w:p w14:paraId="7D53C5A9">
            <w:pPr>
              <w:widowControl/>
              <w:spacing w:line="360" w:lineRule="auto"/>
              <w:ind w:firstLine="422"/>
              <w:jc w:val="center"/>
              <w:rPr>
                <w:b/>
                <w:color w:val="FFFFFF"/>
                <w:sz w:val="21"/>
                <w:szCs w:val="21"/>
              </w:rPr>
            </w:pPr>
            <w:r>
              <w:rPr>
                <w:rFonts w:hint="eastAsia"/>
                <w:b/>
                <w:color w:val="FFFFFF"/>
                <w:sz w:val="21"/>
                <w:szCs w:val="21"/>
              </w:rPr>
              <w:t>副经理</w:t>
            </w:r>
          </w:p>
        </w:tc>
        <w:tc>
          <w:tcPr>
            <w:tcW w:w="16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Pr>
          <w:p w14:paraId="11D2CE7F">
            <w:pPr>
              <w:widowControl/>
              <w:spacing w:line="360" w:lineRule="auto"/>
              <w:ind w:firstLine="422"/>
              <w:jc w:val="center"/>
              <w:rPr>
                <w:b/>
                <w:color w:val="FFFFFF"/>
                <w:sz w:val="21"/>
                <w:szCs w:val="21"/>
              </w:rPr>
            </w:pPr>
            <w:r>
              <w:rPr>
                <w:rFonts w:hint="eastAsia"/>
                <w:b/>
                <w:color w:val="FFFFFF"/>
                <w:sz w:val="21"/>
                <w:szCs w:val="21"/>
              </w:rPr>
              <w:t>部门经理</w:t>
            </w:r>
          </w:p>
        </w:tc>
        <w:tc>
          <w:tcPr>
            <w:tcW w:w="1990"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tcPr>
          <w:p w14:paraId="5F489967">
            <w:pPr>
              <w:widowControl/>
              <w:spacing w:line="360" w:lineRule="auto"/>
              <w:ind w:firstLine="422"/>
              <w:jc w:val="center"/>
              <w:rPr>
                <w:b/>
                <w:color w:val="FFFFFF"/>
                <w:sz w:val="21"/>
                <w:szCs w:val="21"/>
              </w:rPr>
            </w:pPr>
            <w:r>
              <w:rPr>
                <w:rFonts w:hint="eastAsia"/>
                <w:b/>
                <w:color w:val="FFFFFF"/>
                <w:sz w:val="21"/>
                <w:szCs w:val="21"/>
              </w:rPr>
              <w:t>工资年平均增长率</w:t>
            </w:r>
          </w:p>
        </w:tc>
      </w:tr>
      <w:tr w14:paraId="0852A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3B0DCEC6">
            <w:pPr>
              <w:widowControl/>
              <w:spacing w:line="360" w:lineRule="auto"/>
              <w:ind w:firstLine="420"/>
              <w:jc w:val="center"/>
              <w:rPr>
                <w:color w:val="000000"/>
                <w:sz w:val="21"/>
                <w:szCs w:val="21"/>
              </w:rPr>
            </w:pPr>
            <w:r>
              <w:rPr>
                <w:rFonts w:hint="eastAsia"/>
                <w:color w:val="000000"/>
                <w:sz w:val="21"/>
                <w:szCs w:val="21"/>
              </w:rPr>
              <w:t>技术研发组</w:t>
            </w:r>
          </w:p>
        </w:tc>
        <w:tc>
          <w:tcPr>
            <w:tcW w:w="157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1BC250D5">
            <w:pPr>
              <w:widowControl/>
              <w:spacing w:line="360" w:lineRule="auto"/>
              <w:ind w:firstLine="420"/>
              <w:jc w:val="center"/>
              <w:rPr>
                <w:color w:val="000000"/>
                <w:sz w:val="21"/>
                <w:szCs w:val="21"/>
              </w:rPr>
            </w:pPr>
            <w:r>
              <w:rPr>
                <w:rFonts w:hint="eastAsia"/>
                <w:color w:val="000000"/>
                <w:sz w:val="21"/>
                <w:szCs w:val="21"/>
              </w:rPr>
              <w:t>6000</w:t>
            </w:r>
          </w:p>
        </w:tc>
        <w:tc>
          <w:tcPr>
            <w:tcW w:w="164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08A3B920">
            <w:pPr>
              <w:widowControl/>
              <w:spacing w:line="360" w:lineRule="auto"/>
              <w:ind w:firstLine="420"/>
              <w:jc w:val="center"/>
              <w:rPr>
                <w:color w:val="000000"/>
                <w:sz w:val="21"/>
                <w:szCs w:val="21"/>
              </w:rPr>
            </w:pPr>
            <w:r>
              <w:rPr>
                <w:rFonts w:hint="eastAsia"/>
                <w:color w:val="000000"/>
                <w:sz w:val="21"/>
                <w:szCs w:val="21"/>
              </w:rPr>
              <w:t>8000</w:t>
            </w:r>
          </w:p>
        </w:tc>
        <w:tc>
          <w:tcPr>
            <w:tcW w:w="16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0C01A784">
            <w:pPr>
              <w:widowControl/>
              <w:spacing w:line="360" w:lineRule="auto"/>
              <w:ind w:firstLine="420"/>
              <w:jc w:val="center"/>
              <w:rPr>
                <w:color w:val="000000"/>
                <w:sz w:val="21"/>
                <w:szCs w:val="21"/>
              </w:rPr>
            </w:pPr>
            <w:r>
              <w:rPr>
                <w:rFonts w:hint="eastAsia"/>
                <w:color w:val="000000"/>
                <w:sz w:val="21"/>
                <w:szCs w:val="21"/>
              </w:rPr>
              <w:t>10000</w:t>
            </w:r>
          </w:p>
        </w:tc>
        <w:tc>
          <w:tcPr>
            <w:tcW w:w="199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368430D8">
            <w:pPr>
              <w:widowControl/>
              <w:spacing w:line="360" w:lineRule="auto"/>
              <w:ind w:firstLine="420"/>
              <w:jc w:val="center"/>
              <w:rPr>
                <w:color w:val="000000"/>
                <w:sz w:val="21"/>
                <w:szCs w:val="21"/>
              </w:rPr>
            </w:pPr>
            <w:r>
              <w:rPr>
                <w:rFonts w:hint="eastAsia"/>
                <w:color w:val="000000"/>
                <w:sz w:val="21"/>
                <w:szCs w:val="21"/>
              </w:rPr>
              <w:t>15%</w:t>
            </w:r>
          </w:p>
        </w:tc>
      </w:tr>
      <w:tr w14:paraId="3126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tcPr>
          <w:p w14:paraId="66436E0B">
            <w:pPr>
              <w:widowControl/>
              <w:spacing w:line="360" w:lineRule="auto"/>
              <w:ind w:firstLine="420"/>
              <w:jc w:val="center"/>
              <w:rPr>
                <w:color w:val="000000"/>
                <w:sz w:val="21"/>
                <w:szCs w:val="21"/>
              </w:rPr>
            </w:pPr>
            <w:r>
              <w:rPr>
                <w:rFonts w:hint="eastAsia"/>
                <w:color w:val="000000"/>
                <w:sz w:val="21"/>
                <w:szCs w:val="21"/>
              </w:rPr>
              <w:t>市场分析组</w:t>
            </w:r>
          </w:p>
        </w:tc>
        <w:tc>
          <w:tcPr>
            <w:tcW w:w="15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43E177EF">
            <w:pPr>
              <w:widowControl/>
              <w:spacing w:line="360" w:lineRule="auto"/>
              <w:ind w:firstLine="420"/>
              <w:jc w:val="center"/>
              <w:rPr>
                <w:color w:val="000000"/>
                <w:sz w:val="21"/>
                <w:szCs w:val="21"/>
              </w:rPr>
            </w:pPr>
            <w:r>
              <w:rPr>
                <w:rFonts w:hint="eastAsia"/>
                <w:color w:val="000000"/>
                <w:sz w:val="21"/>
                <w:szCs w:val="21"/>
              </w:rPr>
              <w:t>5500</w:t>
            </w:r>
          </w:p>
        </w:tc>
        <w:tc>
          <w:tcPr>
            <w:tcW w:w="16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3BC2E0CB">
            <w:pPr>
              <w:widowControl/>
              <w:spacing w:line="360" w:lineRule="auto"/>
              <w:ind w:firstLine="420"/>
              <w:jc w:val="center"/>
              <w:rPr>
                <w:color w:val="000000"/>
                <w:sz w:val="21"/>
                <w:szCs w:val="21"/>
              </w:rPr>
            </w:pPr>
            <w:r>
              <w:rPr>
                <w:rFonts w:hint="eastAsia"/>
                <w:color w:val="000000"/>
                <w:sz w:val="21"/>
                <w:szCs w:val="21"/>
              </w:rPr>
              <w:t>7500</w:t>
            </w:r>
          </w:p>
        </w:tc>
        <w:tc>
          <w:tcPr>
            <w:tcW w:w="16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3E36A4D6">
            <w:pPr>
              <w:widowControl/>
              <w:spacing w:line="360" w:lineRule="auto"/>
              <w:ind w:firstLine="420"/>
              <w:jc w:val="center"/>
              <w:rPr>
                <w:color w:val="000000"/>
                <w:sz w:val="21"/>
                <w:szCs w:val="21"/>
              </w:rPr>
            </w:pPr>
            <w:r>
              <w:rPr>
                <w:rFonts w:hint="eastAsia"/>
                <w:color w:val="000000"/>
                <w:sz w:val="21"/>
                <w:szCs w:val="21"/>
              </w:rPr>
              <w:t>9500</w:t>
            </w:r>
          </w:p>
        </w:tc>
        <w:tc>
          <w:tcPr>
            <w:tcW w:w="199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tcPr>
          <w:p w14:paraId="515E7E75">
            <w:pPr>
              <w:widowControl/>
              <w:spacing w:line="360" w:lineRule="auto"/>
              <w:ind w:firstLine="420"/>
              <w:jc w:val="center"/>
              <w:rPr>
                <w:color w:val="000000"/>
                <w:sz w:val="21"/>
                <w:szCs w:val="21"/>
              </w:rPr>
            </w:pPr>
            <w:r>
              <w:rPr>
                <w:rFonts w:hint="eastAsia"/>
                <w:color w:val="000000"/>
                <w:sz w:val="21"/>
                <w:szCs w:val="21"/>
              </w:rPr>
              <w:t>13%</w:t>
            </w:r>
          </w:p>
        </w:tc>
      </w:tr>
      <w:tr w14:paraId="71A4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20428581">
            <w:pPr>
              <w:widowControl/>
              <w:spacing w:line="360" w:lineRule="auto"/>
              <w:ind w:firstLine="420"/>
              <w:jc w:val="center"/>
              <w:rPr>
                <w:color w:val="000000"/>
                <w:sz w:val="21"/>
                <w:szCs w:val="21"/>
              </w:rPr>
            </w:pPr>
            <w:r>
              <w:rPr>
                <w:rFonts w:hint="eastAsia"/>
                <w:color w:val="000000"/>
                <w:sz w:val="21"/>
                <w:szCs w:val="21"/>
              </w:rPr>
              <w:t>产品销售组</w:t>
            </w:r>
          </w:p>
        </w:tc>
        <w:tc>
          <w:tcPr>
            <w:tcW w:w="15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33086E78">
            <w:pPr>
              <w:widowControl/>
              <w:spacing w:line="360" w:lineRule="auto"/>
              <w:ind w:firstLine="420"/>
              <w:jc w:val="center"/>
              <w:rPr>
                <w:color w:val="000000"/>
                <w:sz w:val="21"/>
                <w:szCs w:val="21"/>
              </w:rPr>
            </w:pPr>
            <w:r>
              <w:rPr>
                <w:rFonts w:hint="eastAsia"/>
                <w:color w:val="000000"/>
                <w:sz w:val="21"/>
                <w:szCs w:val="21"/>
              </w:rPr>
              <w:t>5500</w:t>
            </w:r>
          </w:p>
        </w:tc>
        <w:tc>
          <w:tcPr>
            <w:tcW w:w="16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6582CBCE">
            <w:pPr>
              <w:widowControl/>
              <w:spacing w:line="360" w:lineRule="auto"/>
              <w:ind w:firstLine="420"/>
              <w:jc w:val="center"/>
              <w:rPr>
                <w:color w:val="000000"/>
                <w:sz w:val="21"/>
                <w:szCs w:val="21"/>
              </w:rPr>
            </w:pPr>
            <w:r>
              <w:rPr>
                <w:rFonts w:hint="eastAsia"/>
                <w:color w:val="000000"/>
                <w:sz w:val="21"/>
                <w:szCs w:val="21"/>
              </w:rPr>
              <w:t>7500</w:t>
            </w:r>
          </w:p>
        </w:tc>
        <w:tc>
          <w:tcPr>
            <w:tcW w:w="16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65D19259">
            <w:pPr>
              <w:widowControl/>
              <w:spacing w:line="360" w:lineRule="auto"/>
              <w:ind w:firstLine="420"/>
              <w:jc w:val="center"/>
              <w:rPr>
                <w:color w:val="000000"/>
                <w:sz w:val="21"/>
                <w:szCs w:val="21"/>
              </w:rPr>
            </w:pPr>
            <w:r>
              <w:rPr>
                <w:rFonts w:hint="eastAsia"/>
                <w:color w:val="000000"/>
                <w:sz w:val="21"/>
                <w:szCs w:val="21"/>
              </w:rPr>
              <w:t>9500</w:t>
            </w:r>
          </w:p>
        </w:tc>
        <w:tc>
          <w:tcPr>
            <w:tcW w:w="199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33E84B7B">
            <w:pPr>
              <w:widowControl/>
              <w:spacing w:line="360" w:lineRule="auto"/>
              <w:ind w:firstLine="420"/>
              <w:jc w:val="center"/>
              <w:rPr>
                <w:color w:val="000000"/>
                <w:sz w:val="21"/>
                <w:szCs w:val="21"/>
              </w:rPr>
            </w:pPr>
            <w:r>
              <w:rPr>
                <w:rFonts w:hint="eastAsia"/>
                <w:color w:val="000000"/>
                <w:sz w:val="21"/>
                <w:szCs w:val="21"/>
              </w:rPr>
              <w:t>13%</w:t>
            </w:r>
          </w:p>
        </w:tc>
      </w:tr>
      <w:tr w14:paraId="2315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tcPr>
          <w:p w14:paraId="4E7A422A">
            <w:pPr>
              <w:widowControl/>
              <w:spacing w:line="360" w:lineRule="auto"/>
              <w:ind w:firstLine="420"/>
              <w:jc w:val="center"/>
              <w:rPr>
                <w:color w:val="000000"/>
                <w:sz w:val="21"/>
                <w:szCs w:val="21"/>
              </w:rPr>
            </w:pPr>
            <w:r>
              <w:rPr>
                <w:rFonts w:hint="eastAsia"/>
                <w:color w:val="000000"/>
                <w:sz w:val="21"/>
                <w:szCs w:val="21"/>
              </w:rPr>
              <w:t>组织管理组</w:t>
            </w:r>
          </w:p>
        </w:tc>
        <w:tc>
          <w:tcPr>
            <w:tcW w:w="15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43491D4C">
            <w:pPr>
              <w:widowControl/>
              <w:spacing w:line="360" w:lineRule="auto"/>
              <w:ind w:firstLine="420"/>
              <w:jc w:val="center"/>
              <w:rPr>
                <w:color w:val="000000"/>
                <w:sz w:val="21"/>
                <w:szCs w:val="21"/>
              </w:rPr>
            </w:pPr>
            <w:r>
              <w:rPr>
                <w:rFonts w:hint="eastAsia"/>
                <w:color w:val="000000"/>
                <w:sz w:val="21"/>
                <w:szCs w:val="21"/>
              </w:rPr>
              <w:t>5000</w:t>
            </w:r>
          </w:p>
        </w:tc>
        <w:tc>
          <w:tcPr>
            <w:tcW w:w="16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66F5D6DB">
            <w:pPr>
              <w:widowControl/>
              <w:spacing w:line="360" w:lineRule="auto"/>
              <w:ind w:firstLine="420"/>
              <w:jc w:val="center"/>
              <w:rPr>
                <w:color w:val="000000"/>
                <w:sz w:val="21"/>
                <w:szCs w:val="21"/>
              </w:rPr>
            </w:pPr>
            <w:r>
              <w:rPr>
                <w:rFonts w:hint="eastAsia"/>
                <w:color w:val="000000"/>
                <w:sz w:val="21"/>
                <w:szCs w:val="21"/>
              </w:rPr>
              <w:t>7000</w:t>
            </w:r>
          </w:p>
        </w:tc>
        <w:tc>
          <w:tcPr>
            <w:tcW w:w="16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EDF1F9" w:themeFill="accent1" w:themeFillTint="19"/>
          </w:tcPr>
          <w:p w14:paraId="00407F22">
            <w:pPr>
              <w:widowControl/>
              <w:spacing w:line="360" w:lineRule="auto"/>
              <w:ind w:firstLine="420"/>
              <w:jc w:val="center"/>
              <w:rPr>
                <w:color w:val="000000"/>
                <w:sz w:val="21"/>
                <w:szCs w:val="21"/>
              </w:rPr>
            </w:pPr>
            <w:r>
              <w:rPr>
                <w:rFonts w:hint="eastAsia"/>
                <w:color w:val="000000"/>
                <w:sz w:val="21"/>
                <w:szCs w:val="21"/>
              </w:rPr>
              <w:t>9000</w:t>
            </w:r>
          </w:p>
        </w:tc>
        <w:tc>
          <w:tcPr>
            <w:tcW w:w="199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tcPr>
          <w:p w14:paraId="4559DA39">
            <w:pPr>
              <w:widowControl/>
              <w:spacing w:line="360" w:lineRule="auto"/>
              <w:ind w:firstLine="420"/>
              <w:jc w:val="center"/>
              <w:rPr>
                <w:color w:val="000000"/>
                <w:sz w:val="21"/>
                <w:szCs w:val="21"/>
              </w:rPr>
            </w:pPr>
            <w:r>
              <w:rPr>
                <w:rFonts w:hint="eastAsia"/>
                <w:color w:val="000000"/>
                <w:sz w:val="21"/>
                <w:szCs w:val="21"/>
              </w:rPr>
              <w:t>10%</w:t>
            </w:r>
          </w:p>
        </w:tc>
      </w:tr>
      <w:tr w14:paraId="53DF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0D4BE3C9">
            <w:pPr>
              <w:widowControl/>
              <w:spacing w:line="360" w:lineRule="auto"/>
              <w:ind w:firstLine="420"/>
              <w:jc w:val="center"/>
              <w:rPr>
                <w:color w:val="000000"/>
                <w:sz w:val="21"/>
                <w:szCs w:val="21"/>
              </w:rPr>
            </w:pPr>
            <w:r>
              <w:rPr>
                <w:rFonts w:hint="eastAsia"/>
                <w:color w:val="000000"/>
                <w:sz w:val="21"/>
                <w:szCs w:val="21"/>
              </w:rPr>
              <w:t>财务管理组</w:t>
            </w:r>
          </w:p>
        </w:tc>
        <w:tc>
          <w:tcPr>
            <w:tcW w:w="15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336E4527">
            <w:pPr>
              <w:widowControl/>
              <w:spacing w:line="360" w:lineRule="auto"/>
              <w:ind w:firstLine="420"/>
              <w:jc w:val="center"/>
              <w:rPr>
                <w:color w:val="000000"/>
                <w:sz w:val="21"/>
                <w:szCs w:val="21"/>
              </w:rPr>
            </w:pPr>
            <w:r>
              <w:rPr>
                <w:rFonts w:hint="eastAsia"/>
                <w:color w:val="000000"/>
                <w:sz w:val="21"/>
                <w:szCs w:val="21"/>
              </w:rPr>
              <w:t>5000</w:t>
            </w:r>
          </w:p>
        </w:tc>
        <w:tc>
          <w:tcPr>
            <w:tcW w:w="164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285FA650">
            <w:pPr>
              <w:widowControl/>
              <w:spacing w:line="360" w:lineRule="auto"/>
              <w:ind w:firstLine="420"/>
              <w:jc w:val="center"/>
              <w:rPr>
                <w:color w:val="000000"/>
                <w:sz w:val="21"/>
                <w:szCs w:val="21"/>
              </w:rPr>
            </w:pPr>
            <w:r>
              <w:rPr>
                <w:rFonts w:hint="eastAsia"/>
                <w:color w:val="000000"/>
                <w:sz w:val="21"/>
                <w:szCs w:val="21"/>
              </w:rPr>
              <w:t>7000</w:t>
            </w:r>
          </w:p>
        </w:tc>
        <w:tc>
          <w:tcPr>
            <w:tcW w:w="16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Pr>
          <w:p w14:paraId="787C06ED">
            <w:pPr>
              <w:widowControl/>
              <w:spacing w:line="360" w:lineRule="auto"/>
              <w:ind w:firstLine="420"/>
              <w:jc w:val="center"/>
              <w:rPr>
                <w:color w:val="000000"/>
                <w:sz w:val="21"/>
                <w:szCs w:val="21"/>
              </w:rPr>
            </w:pPr>
            <w:r>
              <w:rPr>
                <w:rFonts w:hint="eastAsia"/>
                <w:color w:val="000000"/>
                <w:sz w:val="21"/>
                <w:szCs w:val="21"/>
              </w:rPr>
              <w:t>9000</w:t>
            </w:r>
          </w:p>
        </w:tc>
        <w:tc>
          <w:tcPr>
            <w:tcW w:w="199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4922B752">
            <w:pPr>
              <w:widowControl/>
              <w:spacing w:line="360" w:lineRule="auto"/>
              <w:ind w:firstLine="420"/>
              <w:jc w:val="center"/>
              <w:rPr>
                <w:color w:val="000000"/>
                <w:sz w:val="21"/>
                <w:szCs w:val="21"/>
              </w:rPr>
            </w:pPr>
            <w:r>
              <w:rPr>
                <w:rFonts w:hint="eastAsia"/>
                <w:color w:val="000000"/>
                <w:sz w:val="21"/>
                <w:szCs w:val="21"/>
              </w:rPr>
              <w:t>10%</w:t>
            </w:r>
          </w:p>
        </w:tc>
      </w:tr>
      <w:tr w14:paraId="2592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EDF1F9" w:themeFill="accent1" w:themeFillTint="19"/>
          </w:tcPr>
          <w:p w14:paraId="449BDABF">
            <w:pPr>
              <w:widowControl/>
              <w:spacing w:line="360" w:lineRule="auto"/>
              <w:ind w:firstLine="420"/>
              <w:jc w:val="center"/>
              <w:rPr>
                <w:color w:val="000000"/>
                <w:sz w:val="21"/>
                <w:szCs w:val="21"/>
              </w:rPr>
            </w:pPr>
            <w:r>
              <w:rPr>
                <w:rFonts w:hint="eastAsia"/>
                <w:color w:val="000000"/>
                <w:sz w:val="21"/>
                <w:szCs w:val="21"/>
              </w:rPr>
              <w:t>人事管理组</w:t>
            </w:r>
          </w:p>
        </w:tc>
        <w:tc>
          <w:tcPr>
            <w:tcW w:w="157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EDF1F9" w:themeFill="accent1" w:themeFillTint="19"/>
          </w:tcPr>
          <w:p w14:paraId="2A23B079">
            <w:pPr>
              <w:widowControl/>
              <w:spacing w:line="360" w:lineRule="auto"/>
              <w:ind w:firstLine="420"/>
              <w:jc w:val="center"/>
              <w:rPr>
                <w:color w:val="000000"/>
                <w:sz w:val="21"/>
                <w:szCs w:val="21"/>
              </w:rPr>
            </w:pPr>
            <w:r>
              <w:rPr>
                <w:rFonts w:hint="eastAsia"/>
                <w:color w:val="000000"/>
                <w:sz w:val="21"/>
                <w:szCs w:val="21"/>
              </w:rPr>
              <w:t>5000</w:t>
            </w:r>
          </w:p>
        </w:tc>
        <w:tc>
          <w:tcPr>
            <w:tcW w:w="164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EDF1F9" w:themeFill="accent1" w:themeFillTint="19"/>
          </w:tcPr>
          <w:p w14:paraId="3635D8B1">
            <w:pPr>
              <w:widowControl/>
              <w:spacing w:line="360" w:lineRule="auto"/>
              <w:ind w:firstLine="420"/>
              <w:jc w:val="center"/>
              <w:rPr>
                <w:color w:val="000000"/>
                <w:sz w:val="21"/>
                <w:szCs w:val="21"/>
              </w:rPr>
            </w:pPr>
            <w:r>
              <w:rPr>
                <w:rFonts w:hint="eastAsia"/>
                <w:color w:val="000000"/>
                <w:sz w:val="21"/>
                <w:szCs w:val="21"/>
              </w:rPr>
              <w:t>7000</w:t>
            </w:r>
          </w:p>
        </w:tc>
        <w:tc>
          <w:tcPr>
            <w:tcW w:w="160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EDF1F9" w:themeFill="accent1" w:themeFillTint="19"/>
          </w:tcPr>
          <w:p w14:paraId="4AC6C3C2">
            <w:pPr>
              <w:widowControl/>
              <w:spacing w:line="360" w:lineRule="auto"/>
              <w:ind w:firstLine="420"/>
              <w:jc w:val="center"/>
              <w:rPr>
                <w:color w:val="000000"/>
                <w:sz w:val="21"/>
                <w:szCs w:val="21"/>
              </w:rPr>
            </w:pPr>
            <w:r>
              <w:rPr>
                <w:rFonts w:hint="eastAsia"/>
                <w:color w:val="000000"/>
                <w:sz w:val="21"/>
                <w:szCs w:val="21"/>
              </w:rPr>
              <w:t>9000</w:t>
            </w:r>
          </w:p>
        </w:tc>
        <w:tc>
          <w:tcPr>
            <w:tcW w:w="1990"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EDF1F9" w:themeFill="accent1" w:themeFillTint="19"/>
          </w:tcPr>
          <w:p w14:paraId="4650D1ED">
            <w:pPr>
              <w:widowControl/>
              <w:spacing w:line="360" w:lineRule="auto"/>
              <w:ind w:firstLine="420"/>
              <w:jc w:val="center"/>
              <w:rPr>
                <w:color w:val="000000"/>
                <w:sz w:val="21"/>
                <w:szCs w:val="21"/>
              </w:rPr>
            </w:pPr>
            <w:r>
              <w:rPr>
                <w:rFonts w:hint="eastAsia"/>
                <w:color w:val="000000"/>
                <w:sz w:val="21"/>
                <w:szCs w:val="21"/>
              </w:rPr>
              <w:t>10%</w:t>
            </w:r>
          </w:p>
        </w:tc>
      </w:tr>
    </w:tbl>
    <w:p w14:paraId="45728081">
      <w:pPr>
        <w:pStyle w:val="21"/>
        <w:jc w:val="center"/>
        <w:rPr>
          <w:rFonts w:hint="eastAsia" w:ascii="宋体" w:hAnsi="宋体" w:eastAsia="宋体" w:cs="宋体"/>
        </w:rPr>
      </w:pPr>
      <w:r>
        <w:rPr>
          <w:rFonts w:hint="eastAsia"/>
        </w:rPr>
        <w:t>表1</w:t>
      </w:r>
      <w:r>
        <w:rPr>
          <w:rFonts w:hint="eastAsia"/>
          <w:lang w:val="en-US" w:eastAsia="zh-CN"/>
        </w:rPr>
        <w:t>5</w:t>
      </w:r>
      <w:r>
        <w:rPr>
          <w:rFonts w:hint="eastAsia"/>
        </w:rPr>
        <w:t xml:space="preserve"> 各级基本月工资水平(单位:元)</w:t>
      </w:r>
    </w:p>
    <w:p w14:paraId="3DFD67DB">
      <w:pPr>
        <w:widowControl/>
        <w:numPr>
          <w:ilvl w:val="0"/>
          <w:numId w:val="40"/>
        </w:numPr>
        <w:spacing w:line="360" w:lineRule="auto"/>
        <w:ind w:firstLine="480"/>
        <w:jc w:val="left"/>
        <w:rPr>
          <w:rFonts w:hint="eastAsia" w:ascii="宋体" w:hAnsi="宋体" w:eastAsia="宋体" w:cs="宋体"/>
        </w:rPr>
      </w:pPr>
      <w:r>
        <w:rPr>
          <w:rFonts w:hint="eastAsia" w:ascii="宋体" w:hAnsi="宋体" w:eastAsia="宋体" w:cs="宋体"/>
        </w:rPr>
        <w:t>关键绩效标准(KPI)对各部门人进行考评薪酬制度方面，公司参照国家标准，结合公司自身情况决定，如下表所示。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6842"/>
      </w:tblGrid>
      <w:tr w14:paraId="172ED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8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tcPr>
          <w:p w14:paraId="5C91B32A">
            <w:pPr>
              <w:widowControl/>
              <w:spacing w:line="360" w:lineRule="auto"/>
              <w:ind w:firstLine="422"/>
              <w:jc w:val="center"/>
              <w:rPr>
                <w:b/>
                <w:color w:val="FFFFFF"/>
                <w:sz w:val="21"/>
                <w:szCs w:val="21"/>
              </w:rPr>
            </w:pPr>
            <w:r>
              <w:rPr>
                <w:rFonts w:hint="eastAsia"/>
                <w:b/>
                <w:color w:val="FFFFFF"/>
                <w:sz w:val="21"/>
                <w:szCs w:val="21"/>
              </w:rPr>
              <w:t>部门</w:t>
            </w:r>
          </w:p>
        </w:tc>
        <w:tc>
          <w:tcPr>
            <w:tcW w:w="684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tcPr>
          <w:p w14:paraId="5C933A42">
            <w:pPr>
              <w:widowControl/>
              <w:spacing w:line="360" w:lineRule="auto"/>
              <w:ind w:firstLine="422"/>
              <w:jc w:val="center"/>
              <w:rPr>
                <w:b/>
                <w:color w:val="FFFFFF"/>
                <w:sz w:val="21"/>
                <w:szCs w:val="21"/>
              </w:rPr>
            </w:pPr>
            <w:r>
              <w:rPr>
                <w:rFonts w:hint="eastAsia"/>
                <w:b/>
                <w:color w:val="FFFFFF"/>
                <w:sz w:val="21"/>
                <w:szCs w:val="21"/>
              </w:rPr>
              <w:t>关键绩效指标(KPI)</w:t>
            </w:r>
          </w:p>
        </w:tc>
      </w:tr>
      <w:tr w14:paraId="7344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93CED6">
            <w:pPr>
              <w:widowControl/>
              <w:spacing w:line="360" w:lineRule="auto"/>
              <w:ind w:firstLine="420"/>
              <w:jc w:val="center"/>
              <w:rPr>
                <w:color w:val="000000"/>
                <w:sz w:val="21"/>
                <w:szCs w:val="21"/>
              </w:rPr>
            </w:pPr>
            <w:r>
              <w:rPr>
                <w:rFonts w:hint="eastAsia"/>
                <w:color w:val="000000"/>
                <w:sz w:val="21"/>
                <w:szCs w:val="21"/>
              </w:rPr>
              <w:t>技术研发组</w:t>
            </w:r>
          </w:p>
        </w:tc>
        <w:tc>
          <w:tcPr>
            <w:tcW w:w="684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1372D66A">
            <w:pPr>
              <w:widowControl/>
              <w:spacing w:line="360" w:lineRule="auto"/>
              <w:ind w:firstLine="420"/>
              <w:jc w:val="left"/>
              <w:rPr>
                <w:color w:val="000000"/>
                <w:sz w:val="21"/>
                <w:szCs w:val="21"/>
              </w:rPr>
            </w:pPr>
            <w:r>
              <w:rPr>
                <w:rFonts w:hint="eastAsia"/>
                <w:color w:val="000000"/>
                <w:sz w:val="21"/>
                <w:szCs w:val="21"/>
              </w:rPr>
              <w:t>技术出图的及时性与准确性：确保项目技术文档按时完成且内容准确无误。</w:t>
            </w:r>
          </w:p>
          <w:p w14:paraId="37985EED">
            <w:pPr>
              <w:widowControl/>
              <w:spacing w:line="360" w:lineRule="auto"/>
              <w:ind w:firstLine="420"/>
              <w:jc w:val="left"/>
              <w:rPr>
                <w:color w:val="000000"/>
                <w:sz w:val="21"/>
                <w:szCs w:val="21"/>
              </w:rPr>
            </w:pPr>
            <w:r>
              <w:rPr>
                <w:rFonts w:hint="eastAsia"/>
                <w:color w:val="000000"/>
                <w:sz w:val="21"/>
                <w:szCs w:val="21"/>
              </w:rPr>
              <w:t>系统架构设计稳定性与可扩展性：保证系统在高负载下稳定运行，并能够轻松适应未来的功能扩展需求。</w:t>
            </w:r>
          </w:p>
          <w:p w14:paraId="6B7E6956">
            <w:pPr>
              <w:widowControl/>
              <w:spacing w:line="360" w:lineRule="auto"/>
              <w:ind w:firstLine="420"/>
              <w:jc w:val="left"/>
              <w:rPr>
                <w:color w:val="000000"/>
                <w:sz w:val="21"/>
                <w:szCs w:val="21"/>
              </w:rPr>
            </w:pPr>
            <w:r>
              <w:rPr>
                <w:rFonts w:hint="eastAsia"/>
                <w:color w:val="000000"/>
                <w:sz w:val="21"/>
                <w:szCs w:val="21"/>
              </w:rPr>
              <w:t>前端界面用户体验：通过用户反馈和测试结果衡量界面的友好度及美观程度。</w:t>
            </w:r>
          </w:p>
          <w:p w14:paraId="6B9BEDC5">
            <w:pPr>
              <w:widowControl/>
              <w:spacing w:line="360" w:lineRule="auto"/>
              <w:ind w:firstLine="420"/>
              <w:jc w:val="left"/>
              <w:rPr>
                <w:color w:val="000000"/>
                <w:sz w:val="21"/>
                <w:szCs w:val="21"/>
              </w:rPr>
            </w:pPr>
            <w:r>
              <w:rPr>
                <w:rFonts w:hint="eastAsia"/>
                <w:color w:val="000000"/>
                <w:sz w:val="21"/>
                <w:szCs w:val="21"/>
              </w:rPr>
              <w:t>后端性能优化：提高系统响应速度，减少故障发生率。</w:t>
            </w:r>
          </w:p>
          <w:p w14:paraId="57FD7D33">
            <w:pPr>
              <w:widowControl/>
              <w:spacing w:line="360" w:lineRule="auto"/>
              <w:ind w:firstLine="420"/>
              <w:jc w:val="left"/>
              <w:rPr>
                <w:color w:val="000000"/>
                <w:sz w:val="21"/>
                <w:szCs w:val="21"/>
              </w:rPr>
            </w:pPr>
            <w:r>
              <w:rPr>
                <w:rFonts w:hint="eastAsia"/>
                <w:color w:val="000000"/>
                <w:sz w:val="21"/>
                <w:szCs w:val="21"/>
              </w:rPr>
              <w:t>数据库性能优化：提升数据处理效率，降低查询时间。</w:t>
            </w:r>
          </w:p>
          <w:p w14:paraId="32B8F741">
            <w:pPr>
              <w:widowControl/>
              <w:spacing w:line="360" w:lineRule="auto"/>
              <w:ind w:firstLine="420"/>
              <w:jc w:val="left"/>
              <w:rPr>
                <w:color w:val="000000"/>
                <w:sz w:val="21"/>
                <w:szCs w:val="21"/>
              </w:rPr>
            </w:pPr>
            <w:r>
              <w:rPr>
                <w:rFonts w:hint="eastAsia"/>
                <w:color w:val="000000"/>
                <w:sz w:val="21"/>
                <w:szCs w:val="21"/>
              </w:rPr>
              <w:t>算法效能：评估算法在实际应用中的效果及其对系统智能化水平的贡献。</w:t>
            </w:r>
          </w:p>
          <w:p w14:paraId="7CF23766">
            <w:pPr>
              <w:widowControl/>
              <w:spacing w:line="360" w:lineRule="auto"/>
              <w:ind w:firstLine="420"/>
              <w:jc w:val="left"/>
              <w:rPr>
                <w:color w:val="000000"/>
                <w:sz w:val="21"/>
                <w:szCs w:val="21"/>
              </w:rPr>
            </w:pPr>
            <w:r>
              <w:rPr>
                <w:rFonts w:hint="eastAsia"/>
                <w:color w:val="000000"/>
                <w:sz w:val="21"/>
                <w:szCs w:val="21"/>
              </w:rPr>
              <w:t>质量保障：通过缺陷密度等指标评估产品质量。</w:t>
            </w:r>
          </w:p>
        </w:tc>
      </w:tr>
      <w:tr w14:paraId="0269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1E379B80">
            <w:pPr>
              <w:widowControl/>
              <w:spacing w:line="360" w:lineRule="auto"/>
              <w:ind w:firstLine="420"/>
              <w:jc w:val="center"/>
              <w:rPr>
                <w:color w:val="000000"/>
                <w:sz w:val="21"/>
                <w:szCs w:val="21"/>
              </w:rPr>
            </w:pPr>
            <w:r>
              <w:rPr>
                <w:rFonts w:hint="eastAsia"/>
                <w:color w:val="000000"/>
                <w:sz w:val="21"/>
                <w:szCs w:val="21"/>
              </w:rPr>
              <w:t>市场分析组</w:t>
            </w:r>
          </w:p>
        </w:tc>
        <w:tc>
          <w:tcPr>
            <w:tcW w:w="6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tcPr>
          <w:p w14:paraId="56553E9D">
            <w:pPr>
              <w:widowControl/>
              <w:spacing w:line="360" w:lineRule="auto"/>
              <w:ind w:firstLine="420"/>
              <w:jc w:val="left"/>
              <w:rPr>
                <w:color w:val="000000"/>
                <w:sz w:val="21"/>
                <w:szCs w:val="21"/>
              </w:rPr>
            </w:pPr>
            <w:r>
              <w:rPr>
                <w:rFonts w:hint="eastAsia"/>
                <w:color w:val="000000"/>
                <w:sz w:val="21"/>
                <w:szCs w:val="21"/>
              </w:rPr>
              <w:t>市场调研准确性和深度：提供精确的市场信息和趋势预测，支持战略决策。</w:t>
            </w:r>
          </w:p>
          <w:p w14:paraId="1F4FE0F5">
            <w:pPr>
              <w:widowControl/>
              <w:spacing w:line="360" w:lineRule="auto"/>
              <w:ind w:firstLine="420"/>
              <w:jc w:val="left"/>
              <w:rPr>
                <w:color w:val="000000"/>
                <w:sz w:val="21"/>
                <w:szCs w:val="21"/>
              </w:rPr>
            </w:pPr>
            <w:r>
              <w:rPr>
                <w:rFonts w:hint="eastAsia"/>
                <w:color w:val="000000"/>
                <w:sz w:val="21"/>
                <w:szCs w:val="21"/>
              </w:rPr>
              <w:t>竞争环境分析有效性：有效识别竞争对手的优势与劣势，为制定竞争策略提供依据。</w:t>
            </w:r>
          </w:p>
          <w:p w14:paraId="5675DB43">
            <w:pPr>
              <w:widowControl/>
              <w:spacing w:line="360" w:lineRule="auto"/>
              <w:ind w:firstLine="420"/>
              <w:jc w:val="left"/>
              <w:rPr>
                <w:color w:val="000000"/>
                <w:sz w:val="21"/>
                <w:szCs w:val="21"/>
              </w:rPr>
            </w:pPr>
            <w:r>
              <w:rPr>
                <w:rFonts w:hint="eastAsia"/>
                <w:color w:val="000000"/>
                <w:sz w:val="21"/>
                <w:szCs w:val="21"/>
              </w:rPr>
              <w:t>报告提交及时性：确保市场分析报告按时完成并提交给相关决策层。</w:t>
            </w:r>
          </w:p>
        </w:tc>
      </w:tr>
      <w:tr w14:paraId="785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2EFDF5">
            <w:pPr>
              <w:widowControl/>
              <w:spacing w:line="360" w:lineRule="auto"/>
              <w:ind w:firstLine="420"/>
              <w:jc w:val="center"/>
              <w:rPr>
                <w:color w:val="000000"/>
                <w:sz w:val="21"/>
                <w:szCs w:val="21"/>
              </w:rPr>
            </w:pPr>
            <w:r>
              <w:rPr>
                <w:rFonts w:hint="eastAsia"/>
                <w:color w:val="000000"/>
                <w:sz w:val="21"/>
                <w:szCs w:val="21"/>
              </w:rPr>
              <w:t>产品销售组</w:t>
            </w:r>
          </w:p>
        </w:tc>
        <w:tc>
          <w:tcPr>
            <w:tcW w:w="6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16D1756D">
            <w:pPr>
              <w:widowControl/>
              <w:spacing w:line="360" w:lineRule="auto"/>
              <w:ind w:firstLine="420"/>
              <w:jc w:val="left"/>
              <w:rPr>
                <w:color w:val="000000"/>
                <w:sz w:val="21"/>
                <w:szCs w:val="21"/>
              </w:rPr>
            </w:pPr>
            <w:r>
              <w:rPr>
                <w:rFonts w:hint="eastAsia"/>
                <w:color w:val="000000"/>
                <w:sz w:val="21"/>
                <w:szCs w:val="21"/>
              </w:rPr>
              <w:t>销售策略的有效性：根据市场情况调整销售策略以提高销售额和市场份额。</w:t>
            </w:r>
          </w:p>
          <w:p w14:paraId="7C92A3C5">
            <w:pPr>
              <w:widowControl/>
              <w:spacing w:line="360" w:lineRule="auto"/>
              <w:ind w:firstLine="420"/>
              <w:jc w:val="left"/>
              <w:rPr>
                <w:color w:val="000000"/>
                <w:sz w:val="21"/>
                <w:szCs w:val="21"/>
              </w:rPr>
            </w:pPr>
            <w:r>
              <w:rPr>
                <w:rFonts w:hint="eastAsia"/>
                <w:color w:val="000000"/>
                <w:sz w:val="21"/>
                <w:szCs w:val="21"/>
              </w:rPr>
              <w:t>客户满意度：通过客户反馈调查评估服务质量，增强客户忠诚度。</w:t>
            </w:r>
          </w:p>
          <w:p w14:paraId="20A1C038">
            <w:pPr>
              <w:widowControl/>
              <w:spacing w:line="360" w:lineRule="auto"/>
              <w:ind w:firstLine="420"/>
              <w:jc w:val="left"/>
              <w:rPr>
                <w:color w:val="000000"/>
                <w:sz w:val="21"/>
                <w:szCs w:val="21"/>
              </w:rPr>
            </w:pPr>
            <w:r>
              <w:rPr>
                <w:rFonts w:hint="eastAsia"/>
                <w:color w:val="000000"/>
                <w:sz w:val="21"/>
                <w:szCs w:val="21"/>
              </w:rPr>
              <w:t>售后服务响应速度：缩短从接收客户问题到解决问题的时间周期。</w:t>
            </w:r>
          </w:p>
        </w:tc>
      </w:tr>
      <w:tr w14:paraId="3978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EDF1F9" w:themeFill="accent1" w:themeFillTint="19"/>
            <w:vAlign w:val="center"/>
          </w:tcPr>
          <w:p w14:paraId="5DD41B64">
            <w:pPr>
              <w:widowControl/>
              <w:spacing w:line="360" w:lineRule="auto"/>
              <w:ind w:firstLine="420"/>
              <w:jc w:val="center"/>
              <w:rPr>
                <w:color w:val="000000"/>
                <w:sz w:val="21"/>
                <w:szCs w:val="21"/>
              </w:rPr>
            </w:pPr>
            <w:r>
              <w:rPr>
                <w:rFonts w:hint="eastAsia"/>
                <w:color w:val="000000"/>
                <w:sz w:val="21"/>
                <w:szCs w:val="21"/>
              </w:rPr>
              <w:t>组织管理组</w:t>
            </w:r>
          </w:p>
        </w:tc>
        <w:tc>
          <w:tcPr>
            <w:tcW w:w="6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EDF1F9" w:themeFill="accent1" w:themeFillTint="19"/>
          </w:tcPr>
          <w:p w14:paraId="2D2BA6AB">
            <w:pPr>
              <w:widowControl/>
              <w:spacing w:line="360" w:lineRule="auto"/>
              <w:ind w:firstLine="420"/>
              <w:jc w:val="left"/>
              <w:rPr>
                <w:color w:val="000000"/>
                <w:sz w:val="21"/>
                <w:szCs w:val="21"/>
              </w:rPr>
            </w:pPr>
            <w:r>
              <w:rPr>
                <w:rFonts w:hint="eastAsia"/>
                <w:color w:val="000000"/>
                <w:sz w:val="21"/>
                <w:szCs w:val="21"/>
              </w:rPr>
              <w:t>项目进度控制：确保所有项目按计划进行，按时交付。</w:t>
            </w:r>
          </w:p>
          <w:p w14:paraId="7EA5B1B4">
            <w:pPr>
              <w:widowControl/>
              <w:spacing w:line="360" w:lineRule="auto"/>
              <w:ind w:firstLine="420"/>
              <w:jc w:val="left"/>
              <w:rPr>
                <w:color w:val="000000"/>
                <w:sz w:val="21"/>
                <w:szCs w:val="21"/>
              </w:rPr>
            </w:pPr>
            <w:r>
              <w:rPr>
                <w:rFonts w:hint="eastAsia"/>
                <w:color w:val="000000"/>
                <w:sz w:val="21"/>
                <w:szCs w:val="21"/>
              </w:rPr>
              <w:t>资源利用率：高效分配人力资源和其他物资资源，最大化利用团队能力。</w:t>
            </w:r>
          </w:p>
          <w:p w14:paraId="359F4073">
            <w:pPr>
              <w:widowControl/>
              <w:spacing w:line="360" w:lineRule="auto"/>
              <w:ind w:firstLine="420"/>
              <w:jc w:val="left"/>
              <w:rPr>
                <w:color w:val="000000"/>
                <w:sz w:val="21"/>
                <w:szCs w:val="21"/>
              </w:rPr>
            </w:pPr>
            <w:r>
              <w:rPr>
                <w:rFonts w:hint="eastAsia"/>
                <w:color w:val="000000"/>
                <w:sz w:val="21"/>
                <w:szCs w:val="21"/>
              </w:rPr>
              <w:t>冲突解决效率：快速有效地解决项目过程中出现的各种问题和冲突。</w:t>
            </w:r>
          </w:p>
        </w:tc>
      </w:tr>
      <w:tr w14:paraId="62D7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DE270E">
            <w:pPr>
              <w:widowControl/>
              <w:spacing w:line="360" w:lineRule="auto"/>
              <w:ind w:firstLine="420"/>
              <w:jc w:val="center"/>
              <w:rPr>
                <w:color w:val="000000"/>
                <w:sz w:val="21"/>
                <w:szCs w:val="21"/>
              </w:rPr>
            </w:pPr>
            <w:r>
              <w:rPr>
                <w:rFonts w:hint="eastAsia"/>
                <w:color w:val="000000"/>
                <w:sz w:val="21"/>
                <w:szCs w:val="21"/>
              </w:rPr>
              <w:t>财务管理组</w:t>
            </w:r>
          </w:p>
        </w:tc>
        <w:tc>
          <w:tcPr>
            <w:tcW w:w="684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Pr>
          <w:p w14:paraId="008D15D6">
            <w:pPr>
              <w:widowControl/>
              <w:spacing w:line="360" w:lineRule="auto"/>
              <w:ind w:firstLine="420"/>
              <w:jc w:val="left"/>
              <w:rPr>
                <w:color w:val="000000"/>
                <w:sz w:val="21"/>
                <w:szCs w:val="21"/>
              </w:rPr>
            </w:pPr>
            <w:r>
              <w:rPr>
                <w:rFonts w:hint="eastAsia"/>
                <w:color w:val="000000"/>
                <w:sz w:val="21"/>
                <w:szCs w:val="21"/>
              </w:rPr>
              <w:t>财务预算控制：精准控制成本，避免超支，确保资金使用的合理性。</w:t>
            </w:r>
          </w:p>
          <w:p w14:paraId="3F8B6CBD">
            <w:pPr>
              <w:widowControl/>
              <w:spacing w:line="360" w:lineRule="auto"/>
              <w:ind w:firstLine="420"/>
              <w:jc w:val="left"/>
              <w:rPr>
                <w:color w:val="000000"/>
                <w:sz w:val="21"/>
                <w:szCs w:val="21"/>
              </w:rPr>
            </w:pPr>
            <w:r>
              <w:rPr>
                <w:rFonts w:hint="eastAsia"/>
                <w:color w:val="000000"/>
                <w:sz w:val="21"/>
                <w:szCs w:val="21"/>
              </w:rPr>
              <w:t>财务状况健康度：定期分析财务报表，监控团队财务状态，保证资金流动顺畅。</w:t>
            </w:r>
          </w:p>
        </w:tc>
      </w:tr>
      <w:tr w14:paraId="28C6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EDF1F9" w:themeFill="accent1" w:themeFillTint="19"/>
            <w:vAlign w:val="center"/>
          </w:tcPr>
          <w:p w14:paraId="7A752ECB">
            <w:pPr>
              <w:widowControl/>
              <w:spacing w:line="360" w:lineRule="auto"/>
              <w:ind w:firstLine="420"/>
              <w:jc w:val="center"/>
              <w:rPr>
                <w:color w:val="000000"/>
                <w:sz w:val="21"/>
                <w:szCs w:val="21"/>
              </w:rPr>
            </w:pPr>
            <w:r>
              <w:rPr>
                <w:rFonts w:hint="eastAsia"/>
                <w:color w:val="000000"/>
                <w:sz w:val="21"/>
                <w:szCs w:val="21"/>
              </w:rPr>
              <w:t>人事管理组</w:t>
            </w:r>
          </w:p>
        </w:tc>
        <w:tc>
          <w:tcPr>
            <w:tcW w:w="684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EDF1F9" w:themeFill="accent1" w:themeFillTint="19"/>
          </w:tcPr>
          <w:p w14:paraId="7C91088B">
            <w:pPr>
              <w:widowControl/>
              <w:spacing w:line="360" w:lineRule="auto"/>
              <w:ind w:firstLine="420"/>
              <w:jc w:val="left"/>
              <w:rPr>
                <w:color w:val="000000"/>
                <w:sz w:val="21"/>
                <w:szCs w:val="21"/>
              </w:rPr>
            </w:pPr>
            <w:r>
              <w:rPr>
                <w:rFonts w:hint="eastAsia"/>
                <w:color w:val="000000"/>
                <w:sz w:val="21"/>
                <w:szCs w:val="21"/>
              </w:rPr>
              <w:t>招聘效率：缩短招聘周期，快速找到合适人选填补空缺岗位。</w:t>
            </w:r>
          </w:p>
          <w:p w14:paraId="6301C4CA">
            <w:pPr>
              <w:widowControl/>
              <w:spacing w:line="360" w:lineRule="auto"/>
              <w:ind w:firstLine="420"/>
              <w:jc w:val="left"/>
              <w:rPr>
                <w:color w:val="000000"/>
                <w:sz w:val="21"/>
                <w:szCs w:val="21"/>
              </w:rPr>
            </w:pPr>
            <w:r>
              <w:rPr>
                <w:rFonts w:hint="eastAsia"/>
                <w:color w:val="000000"/>
                <w:sz w:val="21"/>
                <w:szCs w:val="21"/>
              </w:rPr>
              <w:t>培训管理满意度：根据员工反馈评价培训课程的质量及其对工作技能提升的帮助。</w:t>
            </w:r>
          </w:p>
          <w:p w14:paraId="55E762CE">
            <w:pPr>
              <w:widowControl/>
              <w:spacing w:line="360" w:lineRule="auto"/>
              <w:ind w:firstLine="420"/>
              <w:jc w:val="left"/>
              <w:rPr>
                <w:color w:val="000000"/>
                <w:sz w:val="21"/>
                <w:szCs w:val="21"/>
              </w:rPr>
            </w:pPr>
            <w:r>
              <w:rPr>
                <w:rFonts w:hint="eastAsia"/>
                <w:color w:val="000000"/>
                <w:sz w:val="21"/>
                <w:szCs w:val="21"/>
              </w:rPr>
              <w:t>人员流失率：保持较低的员工离职率，维持团队稳定。</w:t>
            </w:r>
          </w:p>
        </w:tc>
      </w:tr>
    </w:tbl>
    <w:p w14:paraId="00F2C25F">
      <w:pPr>
        <w:pStyle w:val="21"/>
        <w:jc w:val="center"/>
      </w:pPr>
      <w:r>
        <w:rPr>
          <w:rFonts w:hint="eastAsia"/>
        </w:rPr>
        <w:t>表1</w:t>
      </w:r>
      <w:r>
        <w:rPr>
          <w:rFonts w:hint="eastAsia"/>
          <w:lang w:val="en-US" w:eastAsia="zh-CN"/>
        </w:rPr>
        <w:t>6</w:t>
      </w:r>
      <w:r>
        <w:rPr>
          <w:rFonts w:hint="eastAsia"/>
        </w:rPr>
        <w:t xml:space="preserve"> 关键绩效标准</w:t>
      </w:r>
    </w:p>
    <w:p w14:paraId="2EB28DE4">
      <w:pPr>
        <w:widowControl/>
        <w:spacing w:line="360" w:lineRule="auto"/>
        <w:ind w:firstLine="480"/>
        <w:jc w:val="left"/>
        <w:rPr>
          <w:rFonts w:hint="eastAsia" w:ascii="宋体" w:hAnsi="宋体" w:eastAsia="宋体" w:cs="宋体"/>
        </w:rPr>
      </w:pPr>
      <w:r>
        <w:rPr>
          <w:rFonts w:hint="eastAsia" w:ascii="宋体" w:hAnsi="宋体" w:eastAsia="宋体" w:cs="宋体"/>
        </w:rPr>
        <w:t>（3）单项奖励:由人事部考察员工在工作中是否有突出贡献，如:研发新产品投入市场等。</w:t>
      </w:r>
    </w:p>
    <w:p w14:paraId="12FA2BFD">
      <w:pPr>
        <w:pStyle w:val="3"/>
        <w:spacing w:line="360" w:lineRule="auto"/>
      </w:pPr>
      <w:bookmarkStart w:id="36" w:name="_Toc20942"/>
      <w:r>
        <w:rPr>
          <w:rFonts w:hint="eastAsia"/>
        </w:rPr>
        <w:t>团队激励措施</w:t>
      </w:r>
      <w:bookmarkEnd w:id="36"/>
    </w:p>
    <w:p w14:paraId="22763951">
      <w:pPr>
        <w:widowControl/>
        <w:spacing w:line="360" w:lineRule="auto"/>
        <w:ind w:firstLine="480"/>
        <w:jc w:val="left"/>
        <w:rPr>
          <w:rFonts w:hint="eastAsia" w:ascii="宋体" w:hAnsi="宋体" w:eastAsia="宋体" w:cs="宋体"/>
        </w:rPr>
      </w:pPr>
      <w:r>
        <w:rPr>
          <w:rFonts w:hint="eastAsia" w:ascii="宋体" w:hAnsi="宋体" w:eastAsia="宋体" w:cs="宋体"/>
        </w:rPr>
        <w:t>激励约束机制是指在组织内部为激励员工的积极性和创造性，同时防止不当行为而设置的一系列制度和措施。这些机制通常包括但不限于薪酬激励、绩效评估、职业发展机会、工作环境和文化等多个方面。从根本上说，激励约束机制的目标是通过激励员工的正向行为和约束其负向行为，在实现组织目标的同时，增强员工的归属感和满意度。</w:t>
      </w:r>
    </w:p>
    <w:p w14:paraId="2C8198F1">
      <w:pPr>
        <w:widowControl/>
        <w:spacing w:line="360" w:lineRule="auto"/>
        <w:ind w:firstLine="480"/>
        <w:jc w:val="left"/>
        <w:rPr>
          <w:rFonts w:hint="eastAsia" w:ascii="宋体" w:hAnsi="宋体" w:eastAsia="宋体" w:cs="宋体"/>
        </w:rPr>
      </w:pPr>
      <w:r>
        <w:rPr>
          <w:rFonts w:hint="eastAsia" w:ascii="宋体" w:hAnsi="宋体" w:eastAsia="宋体" w:cs="宋体"/>
        </w:rPr>
        <w:t>（1）股权激励机制：对公司有突出贡献者，公司考虑向该部分员工出售一定股权，年底参与公司利润分红。</w:t>
      </w:r>
    </w:p>
    <w:p w14:paraId="02D51817">
      <w:pPr>
        <w:widowControl/>
        <w:spacing w:line="360" w:lineRule="auto"/>
        <w:ind w:firstLine="480"/>
        <w:jc w:val="left"/>
        <w:rPr>
          <w:rFonts w:hint="eastAsia" w:ascii="宋体" w:hAnsi="宋体" w:eastAsia="宋体" w:cs="宋体"/>
        </w:rPr>
      </w:pPr>
      <w:r>
        <w:rPr>
          <w:rFonts w:hint="eastAsia" w:ascii="宋体" w:hAnsi="宋体" w:eastAsia="宋体" w:cs="宋体"/>
        </w:rPr>
        <w:t>（2）业务突出评定奖励机制：每个部门业绩突出的前10%的员工，将享受每年13薪的薪酬奖励。</w:t>
      </w:r>
    </w:p>
    <w:p w14:paraId="4409E938">
      <w:pPr>
        <w:pStyle w:val="2"/>
        <w:spacing w:line="360" w:lineRule="auto"/>
        <w:ind w:firstLine="562"/>
      </w:pPr>
      <w:bookmarkStart w:id="37" w:name="_Toc8050"/>
      <w:r>
        <w:rPr>
          <w:rFonts w:hint="eastAsia"/>
        </w:rPr>
        <w:t>引领教育</w:t>
      </w:r>
      <w:bookmarkEnd w:id="37"/>
    </w:p>
    <w:p w14:paraId="4B44F265">
      <w:pPr>
        <w:pStyle w:val="3"/>
        <w:numPr>
          <w:ilvl w:val="0"/>
          <w:numId w:val="41"/>
        </w:numPr>
        <w:spacing w:line="360" w:lineRule="auto"/>
      </w:pPr>
      <w:bookmarkStart w:id="38" w:name="_Toc12383"/>
      <w:r>
        <w:rPr>
          <w:rFonts w:hint="eastAsia"/>
        </w:rPr>
        <w:t>产教融合</w:t>
      </w:r>
      <w:bookmarkEnd w:id="38"/>
    </w:p>
    <w:p w14:paraId="2F13F07F">
      <w:pPr>
        <w:pStyle w:val="4"/>
        <w:numPr>
          <w:ilvl w:val="0"/>
          <w:numId w:val="42"/>
        </w:numPr>
        <w:spacing w:line="360" w:lineRule="auto"/>
      </w:pPr>
      <w:r>
        <w:rPr>
          <w:rFonts w:hint="eastAsia"/>
        </w:rPr>
        <w:t>人才培养</w:t>
      </w:r>
    </w:p>
    <w:p w14:paraId="2AFE0FE1">
      <w:pPr>
        <w:spacing w:line="360" w:lineRule="auto"/>
        <w:ind w:firstLine="480"/>
      </w:pPr>
      <w:r>
        <w:rPr>
          <w:rFonts w:hint="eastAsia"/>
        </w:rPr>
        <w:t>在当今数字化快速发展的时代，数据已成为重要的生产要素，对相关人才的需求日益增长。本项目依托高校与企业的紧密合作，致力于培养适应数据要素流通与可信治理领域的复合型人才。在高校层面，项目团队成员来自计算机科学、软件工程、信息安全、统计学等多个专业，通过跨学科的课程学习与实践训练，打下坚实的理论基础，掌握数据挖掘、隐私计算、区块链等关键技术。同时，结合企业实际需求，制定个性化的培养方案，让学生深入参与项目研发，提升解决实际问题的能力。例如，学生参与数据可信治理平台的架构设计与功能模块开发，将所学的分布式系统知识应用于隐私计算引擎的搭建，将信息安全理论用于数据加密与访问控制的设计。</w:t>
      </w:r>
    </w:p>
    <w:p w14:paraId="6FB3F91C">
      <w:pPr>
        <w:spacing w:line="360" w:lineRule="auto"/>
        <w:ind w:firstLine="480"/>
      </w:pPr>
      <w:r>
        <w:rPr>
          <w:rFonts w:hint="eastAsia"/>
        </w:rPr>
        <w:t>企业为学生提供实习实训基地与实践指导教师，让学生在真实的工作环境中了解行业动态与技术发展趋势。学生在企业导师的指导下，参与项目的市场调研、需求分析、技术研发等环节，培养团队协作、项目管理与沟通能力。通过这种“理论+实践”的培养模式，项目团队已成功培养了一批具备数据治理、平台开发、数据分析等多方面能力的专业人才，为数据要素市场的发展输送新鲜血液，缓解了当前该领域人才短缺的问题，也为其他高校与企业的人才培养合作提供了可借鉴的范例。</w:t>
      </w:r>
    </w:p>
    <w:p w14:paraId="6668A739">
      <w:pPr>
        <w:pStyle w:val="4"/>
        <w:spacing w:line="360" w:lineRule="auto"/>
      </w:pPr>
      <w:r>
        <w:rPr>
          <w:rFonts w:hint="eastAsia"/>
        </w:rPr>
        <w:t>技术创新</w:t>
      </w:r>
    </w:p>
    <w:p w14:paraId="57E41FE1">
      <w:pPr>
        <w:spacing w:line="360" w:lineRule="auto"/>
        <w:ind w:firstLine="480"/>
      </w:pPr>
      <w:r>
        <w:rPr>
          <w:rFonts w:hint="eastAsia"/>
        </w:rPr>
        <w:t>项目团队充分利用高校的科研资源与企业的技术创新能力，推动数据可信治理领域的技术突破。高校在基础理论研究方面具有优势，如对隐私计算中的多方安全计算、同态加密等算法的深入研究，为项目提供了坚实的技术支撑。通过高校教师与学生的科研创新，已在相关领域发表多篇学术论文，为行业发展贡献理论成果。企业则结合市场实际需求，将高校的科研成果进行转化与应用。例如，将高校研发的新型隐私保护算法应用于数据可信治理平台的隐私计算引擎中，提高数据共享的安全性与效率。同时，企业将自身在数据要素流通实践中的技术难题反馈给高校，促进高校科研方向的调整与优化，形成产学研用的良性循环。</w:t>
      </w:r>
    </w:p>
    <w:p w14:paraId="65A7E356">
      <w:pPr>
        <w:spacing w:line="360" w:lineRule="auto"/>
        <w:ind w:firstLine="480"/>
      </w:pPr>
      <w:r>
        <w:rPr>
          <w:rFonts w:hint="eastAsia"/>
        </w:rPr>
        <w:t>在技术创新过程中，团队积极探索区块链、人工智能等前沿技术与数据可信治理的融合。利用区块链的分布式账本、不可篡改等特性，实现数据确权、流通记录的可信追溯；借助人工智能技术，如机器学习算法，对数据流通风险进行智能评估与预测，提升平台的安全性与智能化水平。这些技术创新不仅提升了项目的竞争力，也为数据要素流通行业的发展提供了新的技术思路与解决方案，推动了行业的技术进步与创新发展。</w:t>
      </w:r>
    </w:p>
    <w:p w14:paraId="74C949F5">
      <w:pPr>
        <w:pStyle w:val="4"/>
        <w:spacing w:line="360" w:lineRule="auto"/>
      </w:pPr>
      <w:r>
        <w:rPr>
          <w:rFonts w:hint="eastAsia"/>
        </w:rPr>
        <w:t>资源共享</w:t>
      </w:r>
    </w:p>
    <w:p w14:paraId="69273589">
      <w:pPr>
        <w:spacing w:line="360" w:lineRule="auto"/>
        <w:ind w:firstLine="480"/>
      </w:pPr>
      <w:r>
        <w:rPr>
          <w:rFonts w:hint="eastAsia"/>
        </w:rPr>
        <w:t>高校与企业在项目中实现教育资源与企业资源的共享，为项目的顺利推进提供了有力保障。高校开放实验室、科研设备等硬件资源，供团队成员进行技术研发与实验测试。同时，高校丰富的图书资料、学术数据库等信息资源也为团队成员的理论学习与技术研究提供了便利。企业则共享其在数据要素市场中的客户资源、数据资源与市场渠道。例如，企业提供的实际数据场景用于平台的功能测试与验证，使平台能够更好地满足市场需求；企业的市场渠道有助于项目成果的推广与应用，加速项目的商业化落地。</w:t>
      </w:r>
    </w:p>
    <w:p w14:paraId="203DBA96">
      <w:pPr>
        <w:spacing w:line="360" w:lineRule="auto"/>
        <w:ind w:firstLine="480"/>
      </w:pPr>
      <w:r>
        <w:rPr>
          <w:rFonts w:hint="eastAsia"/>
        </w:rPr>
        <w:t>此外，高校与企业还共享人力资源。高校教师作为项目指导教师，为团队提供专业的理论指导与技术咨询；企业技术专家担任实践导师，传授行业经验与工程实践经验。双方人员的交流合作，促进了学术界与产业界的知识交流与融合，提高了团队的整体技术水平与创新能力。通过资源共享，项目团队降低了研发成本，提高了资源利用效率，实现了高校与企业的优势互补，为项目的持续发展奠定了坚实的基础。</w:t>
      </w:r>
    </w:p>
    <w:p w14:paraId="7B2BE2F5">
      <w:pPr>
        <w:pStyle w:val="3"/>
        <w:spacing w:line="360" w:lineRule="auto"/>
      </w:pPr>
      <w:bookmarkStart w:id="39" w:name="_Toc16698"/>
      <w:r>
        <w:rPr>
          <w:rFonts w:hint="eastAsia"/>
        </w:rPr>
        <w:t>校企合作</w:t>
      </w:r>
      <w:bookmarkEnd w:id="39"/>
    </w:p>
    <w:p w14:paraId="5DAEC25E">
      <w:pPr>
        <w:spacing w:line="360" w:lineRule="auto"/>
        <w:ind w:firstLine="480"/>
      </w:pPr>
      <w:r>
        <w:rPr>
          <w:rFonts w:hint="eastAsia"/>
        </w:rPr>
        <w:t>项目团队与数据宝等企业建立了深度校企合作关系。双方以面向数据要素流通的数据可信治理机制与平台开发为核心目标，致力于共同攻克数据流通中的权属确认、隐私保护、安全审计等关键问题，推动数据要素市场化配置与价值挖掘，为数字经济发展提供技术支撑。</w:t>
      </w:r>
    </w:p>
    <w:p w14:paraId="1463899C">
      <w:pPr>
        <w:spacing w:line="360" w:lineRule="auto"/>
        <w:ind w:firstLine="480"/>
      </w:pPr>
      <w:r>
        <w:rPr>
          <w:rFonts w:hint="eastAsia"/>
        </w:rPr>
        <w:t>在校企合作过程中，双方共同组建项目团队，充分发挥各自优势。企业凭借其在数据要素流通领域的丰富经验和行业洞察力，为项目提供总体指导和方向把控，确保研发成果符合市场和行业实际需求。学校则组织优秀的科研人才和学生团队，开展具体的技术研发和创新工作，为项目提供坚实的技术支持和智力保障。</w:t>
      </w:r>
    </w:p>
    <w:p w14:paraId="0E3F2B1D">
      <w:pPr>
        <w:spacing w:line="360" w:lineRule="auto"/>
        <w:ind w:firstLine="480"/>
        <w:rPr>
          <w:rFonts w:hint="eastAsia"/>
        </w:rPr>
      </w:pPr>
      <w:r>
        <w:rPr>
          <w:rFonts w:hint="eastAsia"/>
        </w:rPr>
        <w:t>校企双方共同开展人才联合培养工作。企业为学校的学生提供实习实践机会和就业岗位，让学生能够深入了解行业实际情况，积累实践经验，提高就业竞争力。同时，企业还为学生提供一对一的导师指导，帮助学生解决实践过程中遇到的问题，传授宝贵的行业经验和技能。学校则为企业提供人才储备和技术支持，为企业的发展提供源源不断的人才动力。</w:t>
      </w:r>
    </w:p>
    <w:p w14:paraId="2D41B048">
      <w:pPr>
        <w:spacing w:line="360" w:lineRule="auto"/>
        <w:ind w:firstLine="480"/>
        <w:rPr>
          <w:rFonts w:hint="eastAsia"/>
        </w:rPr>
      </w:pPr>
    </w:p>
    <w:p w14:paraId="007F332F">
      <w:pPr>
        <w:spacing w:line="360" w:lineRule="auto"/>
        <w:ind w:firstLine="480"/>
        <w:rPr>
          <w:rFonts w:hint="eastAsia"/>
        </w:rPr>
      </w:pPr>
    </w:p>
    <w:p w14:paraId="7038F96C">
      <w:pPr>
        <w:spacing w:line="360" w:lineRule="auto"/>
        <w:ind w:firstLine="480"/>
        <w:rPr>
          <w:rFonts w:hint="eastAsia"/>
        </w:rPr>
      </w:pPr>
    </w:p>
    <w:p w14:paraId="111B8F55">
      <w:pPr>
        <w:spacing w:line="360" w:lineRule="auto"/>
        <w:ind w:firstLine="480"/>
        <w:rPr>
          <w:rFonts w:hint="eastAsia"/>
        </w:rPr>
      </w:pPr>
    </w:p>
    <w:p w14:paraId="71D9248B">
      <w:pPr>
        <w:spacing w:line="360" w:lineRule="auto"/>
        <w:ind w:firstLine="480"/>
        <w:rPr>
          <w:rFonts w:hint="eastAsia"/>
        </w:rPr>
      </w:pPr>
    </w:p>
    <w:p w14:paraId="3D487BF2">
      <w:pPr>
        <w:spacing w:line="360" w:lineRule="auto"/>
        <w:ind w:firstLine="480"/>
        <w:rPr>
          <w:rFonts w:hint="eastAsia"/>
        </w:rPr>
      </w:pPr>
    </w:p>
    <w:p w14:paraId="141081BE">
      <w:pPr>
        <w:spacing w:line="360" w:lineRule="auto"/>
        <w:ind w:firstLine="480"/>
        <w:rPr>
          <w:rFonts w:hint="eastAsia"/>
        </w:rPr>
      </w:pPr>
      <w:bookmarkStart w:id="45" w:name="_GoBack"/>
      <w:bookmarkEnd w:id="45"/>
    </w:p>
    <w:p w14:paraId="6F6CE882">
      <w:pPr>
        <w:spacing w:line="360" w:lineRule="auto"/>
        <w:ind w:firstLine="480"/>
        <w:rPr>
          <w:rFonts w:hint="eastAsia"/>
        </w:rPr>
      </w:pPr>
    </w:p>
    <w:p w14:paraId="75ED29C5">
      <w:pPr>
        <w:spacing w:line="360" w:lineRule="auto"/>
        <w:ind w:firstLine="480"/>
        <w:rPr>
          <w:rFonts w:hint="eastAsia"/>
        </w:rPr>
      </w:pPr>
    </w:p>
    <w:p w14:paraId="01B99105">
      <w:pPr>
        <w:spacing w:line="360" w:lineRule="auto"/>
        <w:ind w:firstLine="480"/>
        <w:rPr>
          <w:rFonts w:hint="eastAsia"/>
        </w:rPr>
      </w:pPr>
    </w:p>
    <w:p w14:paraId="6F3AAC9A">
      <w:pPr>
        <w:spacing w:line="360" w:lineRule="auto"/>
        <w:ind w:firstLine="480"/>
        <w:rPr>
          <w:rFonts w:hint="eastAsia"/>
        </w:rPr>
      </w:pPr>
    </w:p>
    <w:p w14:paraId="5E89E56B">
      <w:pPr>
        <w:spacing w:line="360" w:lineRule="auto"/>
        <w:ind w:firstLine="0" w:firstLineChars="0"/>
        <w:rPr>
          <w:rStyle w:val="19"/>
        </w:rPr>
      </w:pPr>
      <w:r>
        <w:rPr>
          <w:rFonts w:hint="eastAsia" w:eastAsia="黑体"/>
          <w:b/>
          <w:bCs/>
          <w:kern w:val="44"/>
          <w:sz w:val="30"/>
          <w:szCs w:val="44"/>
        </w:rPr>
        <w:t>附件：</w:t>
      </w:r>
      <w:r>
        <w:rPr>
          <w:rFonts w:hint="eastAsia" w:eastAsia="黑体"/>
          <w:b/>
          <w:bCs/>
          <w:kern w:val="44"/>
          <w:sz w:val="30"/>
          <w:szCs w:val="44"/>
          <w:lang w:val="en-US" w:eastAsia="zh-CN"/>
        </w:rPr>
        <w:t>团队荣誉</w:t>
      </w:r>
      <w:r>
        <w:rPr>
          <w:rFonts w:hint="eastAsia"/>
          <w:szCs w:val="32"/>
        </w:rPr>
        <w:br w:type="textWrapping"/>
      </w:r>
      <w:r>
        <w:rPr>
          <w:rStyle w:val="19"/>
          <w:rFonts w:hint="eastAsia"/>
        </w:rPr>
        <w:t>团队已发表论文及录用通知</w:t>
      </w:r>
    </w:p>
    <w:p w14:paraId="00AF1E18">
      <w:pPr>
        <w:spacing w:line="360" w:lineRule="auto"/>
        <w:ind w:firstLine="0" w:firstLineChars="0"/>
        <w:rPr>
          <w:rStyle w:val="19"/>
        </w:rPr>
      </w:pPr>
      <w:bookmarkStart w:id="40" w:name="_Toc28727"/>
      <w:r>
        <w:rPr>
          <w:rStyle w:val="19"/>
          <w:rFonts w:hint="eastAsia"/>
        </w:rPr>
        <w:t>论文1：</w:t>
      </w:r>
      <w:bookmarkEnd w:id="40"/>
      <w:r>
        <w:rPr>
          <w:szCs w:val="32"/>
        </w:rPr>
        <w:br w:type="textWrapping"/>
      </w:r>
      <w:r>
        <w:rPr>
          <w:szCs w:val="32"/>
        </w:rPr>
        <w:drawing>
          <wp:inline distT="0" distB="0" distL="0" distR="0">
            <wp:extent cx="5274310" cy="2548890"/>
            <wp:effectExtent l="0" t="0" r="2540" b="3810"/>
            <wp:docPr id="1729168922" name="图片 13"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8922" name="图片 13" descr="图形用户界面, 文本&#10;&#10;AI 生成的内容可能不正确。"/>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274310" cy="2548890"/>
                    </a:xfrm>
                    <a:prstGeom prst="rect">
                      <a:avLst/>
                    </a:prstGeom>
                    <a:noFill/>
                    <a:ln>
                      <a:noFill/>
                    </a:ln>
                  </pic:spPr>
                </pic:pic>
              </a:graphicData>
            </a:graphic>
          </wp:inline>
        </w:drawing>
      </w:r>
    </w:p>
    <w:p w14:paraId="4245465E">
      <w:pPr>
        <w:spacing w:line="360" w:lineRule="auto"/>
        <w:ind w:firstLine="0" w:firstLineChars="0"/>
        <w:rPr>
          <w:rFonts w:hint="eastAsia" w:eastAsiaTheme="majorEastAsia" w:cstheme="majorBidi"/>
          <w:bCs/>
          <w:sz w:val="28"/>
          <w:szCs w:val="32"/>
        </w:rPr>
      </w:pPr>
      <w:bookmarkStart w:id="41" w:name="_Toc31044"/>
      <w:r>
        <w:rPr>
          <w:rStyle w:val="19"/>
          <w:rFonts w:hint="eastAsia"/>
        </w:rPr>
        <w:t>论文2：</w:t>
      </w:r>
      <w:bookmarkEnd w:id="41"/>
    </w:p>
    <w:p w14:paraId="6E1F747A">
      <w:pPr>
        <w:spacing w:line="360" w:lineRule="auto"/>
        <w:ind w:firstLine="0" w:firstLineChars="0"/>
        <w:rPr>
          <w:rFonts w:cs="Times New Roman"/>
          <w:snapToGrid w:val="0"/>
          <w:color w:val="000000"/>
          <w:w w:val="0"/>
          <w:kern w:val="0"/>
          <w:sz w:val="0"/>
          <w:szCs w:val="0"/>
          <w:u w:color="000000"/>
          <w:shd w:val="clear" w:color="000000" w:fill="000000"/>
          <w:lang w:val="zh-CN" w:bidi="zh-CN"/>
        </w:rPr>
      </w:pPr>
      <w:r>
        <w:rPr>
          <w:szCs w:val="32"/>
        </w:rPr>
        <w:drawing>
          <wp:inline distT="0" distB="0" distL="0" distR="0">
            <wp:extent cx="5274310" cy="2877185"/>
            <wp:effectExtent l="0" t="0" r="2540" b="0"/>
            <wp:docPr id="1337291047" name="图片 14"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91047" name="图片 14" descr="图形用户界面, 文本&#10;&#10;AI 生成的内容可能不正确。"/>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274310" cy="2877185"/>
                    </a:xfrm>
                    <a:prstGeom prst="rect">
                      <a:avLst/>
                    </a:prstGeom>
                    <a:noFill/>
                    <a:ln>
                      <a:noFill/>
                    </a:ln>
                  </pic:spPr>
                </pic:pic>
              </a:graphicData>
            </a:graphic>
          </wp:inline>
        </w:drawing>
      </w:r>
    </w:p>
    <w:p w14:paraId="39B4E80F">
      <w:pPr>
        <w:spacing w:line="360" w:lineRule="auto"/>
        <w:ind w:firstLine="0" w:firstLineChars="0"/>
        <w:rPr>
          <w:rStyle w:val="19"/>
        </w:rPr>
      </w:pPr>
      <w:bookmarkStart w:id="42" w:name="_Toc11268"/>
      <w:r>
        <w:rPr>
          <w:rStyle w:val="19"/>
          <w:rFonts w:hint="eastAsia"/>
        </w:rPr>
        <w:t>论文3：</w:t>
      </w:r>
    </w:p>
    <w:bookmarkEnd w:id="42"/>
    <w:p w14:paraId="6E56BA73">
      <w:pPr>
        <w:spacing w:line="360" w:lineRule="auto"/>
        <w:ind w:firstLine="0" w:firstLineChars="0"/>
        <w:rPr>
          <w:rFonts w:cs="Times New Roman"/>
          <w:snapToGrid w:val="0"/>
          <w:color w:val="000000"/>
          <w:w w:val="0"/>
          <w:kern w:val="0"/>
          <w:sz w:val="0"/>
          <w:szCs w:val="0"/>
          <w:u w:color="000000"/>
          <w:shd w:val="clear" w:color="000000" w:fill="000000"/>
          <w:lang w:val="zh-CN" w:bidi="zh-CN"/>
        </w:rPr>
      </w:pPr>
      <w:r>
        <w:rPr>
          <w:szCs w:val="32"/>
        </w:rPr>
        <w:drawing>
          <wp:inline distT="0" distB="0" distL="0" distR="0">
            <wp:extent cx="5274310" cy="3599815"/>
            <wp:effectExtent l="0" t="0" r="2540" b="635"/>
            <wp:docPr id="1293912706" name="图片 15" descr="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12706" name="图片 15" descr="文本, 应用程序&#10;&#10;AI 生成的内容可能不正确。"/>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74310" cy="3599815"/>
                    </a:xfrm>
                    <a:prstGeom prst="rect">
                      <a:avLst/>
                    </a:prstGeom>
                    <a:noFill/>
                    <a:ln>
                      <a:noFill/>
                    </a:ln>
                  </pic:spPr>
                </pic:pic>
              </a:graphicData>
            </a:graphic>
          </wp:inline>
        </w:drawing>
      </w:r>
    </w:p>
    <w:p w14:paraId="732C3266">
      <w:pPr>
        <w:spacing w:line="360" w:lineRule="auto"/>
        <w:ind w:firstLine="0" w:firstLineChars="0"/>
        <w:rPr>
          <w:rStyle w:val="19"/>
        </w:rPr>
      </w:pPr>
      <w:bookmarkStart w:id="43" w:name="_Toc14913"/>
      <w:r>
        <w:rPr>
          <w:rStyle w:val="19"/>
          <w:rFonts w:hint="eastAsia"/>
        </w:rPr>
        <w:t>论文4：</w:t>
      </w:r>
    </w:p>
    <w:bookmarkEnd w:id="43"/>
    <w:p w14:paraId="50F22006">
      <w:pPr>
        <w:spacing w:line="360" w:lineRule="auto"/>
        <w:ind w:firstLine="0" w:firstLineChars="0"/>
        <w:rPr>
          <w:rFonts w:cs="Times New Roman"/>
          <w:snapToGrid w:val="0"/>
          <w:color w:val="000000"/>
          <w:w w:val="0"/>
          <w:kern w:val="0"/>
          <w:sz w:val="0"/>
          <w:szCs w:val="0"/>
          <w:u w:color="000000"/>
          <w:shd w:val="clear" w:color="000000" w:fill="000000"/>
          <w:lang w:val="zh-CN" w:bidi="zh-CN"/>
        </w:rPr>
      </w:pPr>
      <w:r>
        <w:rPr>
          <w:rFonts w:eastAsia="Times New Roman" w:cs="Times New Roman"/>
          <w:snapToGrid w:val="0"/>
          <w:color w:val="000000"/>
          <w:w w:val="0"/>
          <w:kern w:val="0"/>
          <w:sz w:val="0"/>
          <w:szCs w:val="0"/>
          <w:u w:color="000000"/>
          <w:shd w:val="clear" w:color="000000" w:fill="000000"/>
          <w:lang w:val="zh-CN" w:eastAsia="zh-CN" w:bidi="zh-CN"/>
        </w:rPr>
        <w:t xml:space="preserve"> </w:t>
      </w:r>
      <w:r>
        <w:rPr>
          <w:rFonts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5274310" cy="3156585"/>
            <wp:effectExtent l="0" t="0" r="2540" b="5715"/>
            <wp:docPr id="57554425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44254" name="图片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274310" cy="3156585"/>
                    </a:xfrm>
                    <a:prstGeom prst="rect">
                      <a:avLst/>
                    </a:prstGeom>
                    <a:noFill/>
                    <a:ln>
                      <a:noFill/>
                    </a:ln>
                  </pic:spPr>
                </pic:pic>
              </a:graphicData>
            </a:graphic>
          </wp:inline>
        </w:drawing>
      </w:r>
    </w:p>
    <w:p w14:paraId="1826AA8E">
      <w:pPr>
        <w:spacing w:line="360" w:lineRule="auto"/>
        <w:ind w:firstLine="0" w:firstLineChars="0"/>
        <w:rPr>
          <w:rStyle w:val="19"/>
        </w:rPr>
      </w:pPr>
      <w:bookmarkStart w:id="44" w:name="_Toc11137"/>
      <w:r>
        <w:rPr>
          <w:rStyle w:val="19"/>
          <w:rFonts w:hint="eastAsia"/>
        </w:rPr>
        <w:t>论文5：</w:t>
      </w:r>
    </w:p>
    <w:bookmarkEnd w:id="44"/>
    <w:p w14:paraId="6E204C95">
      <w:pPr>
        <w:spacing w:line="360" w:lineRule="auto"/>
        <w:ind w:firstLine="0" w:firstLineChars="0"/>
        <w:rPr>
          <w:rStyle w:val="19"/>
        </w:rPr>
      </w:pPr>
      <w:r>
        <w:rPr>
          <w:rFonts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5274310" cy="2329815"/>
            <wp:effectExtent l="0" t="0" r="2540" b="0"/>
            <wp:docPr id="1362215000" name="图片 17"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15000" name="图片 17" descr="图形用户界面, 文本, 应用程序&#10;&#10;AI 生成的内容可能不正确。"/>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274310" cy="2329815"/>
                    </a:xfrm>
                    <a:prstGeom prst="rect">
                      <a:avLst/>
                    </a:prstGeom>
                    <a:noFill/>
                    <a:ln>
                      <a:noFill/>
                    </a:ln>
                  </pic:spPr>
                </pic:pic>
              </a:graphicData>
            </a:graphic>
          </wp:inline>
        </w:drawing>
      </w:r>
      <w:r>
        <w:rPr>
          <w:rStyle w:val="19"/>
          <w:rFonts w:hint="eastAsia"/>
        </w:rPr>
        <w:t>论文6：</w:t>
      </w:r>
    </w:p>
    <w:p w14:paraId="0DD9F1A0">
      <w:pPr>
        <w:spacing w:line="360" w:lineRule="auto"/>
        <w:ind w:firstLine="0" w:firstLineChars="0"/>
        <w:rPr>
          <w:rStyle w:val="19"/>
        </w:rPr>
      </w:pPr>
      <w:r>
        <w:rPr>
          <w:rFonts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5274310" cy="2805430"/>
            <wp:effectExtent l="0" t="0" r="2540" b="0"/>
            <wp:docPr id="1041783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83222" name="图片 1"/>
                    <pic:cNvPicPr>
                      <a:picLocks noChangeAspect="1"/>
                    </pic:cNvPicPr>
                  </pic:nvPicPr>
                  <pic:blipFill>
                    <a:blip r:embed="rId52"/>
                    <a:stretch>
                      <a:fillRect/>
                    </a:stretch>
                  </pic:blipFill>
                  <pic:spPr>
                    <a:xfrm>
                      <a:off x="0" y="0"/>
                      <a:ext cx="5274310" cy="2805430"/>
                    </a:xfrm>
                    <a:prstGeom prst="rect">
                      <a:avLst/>
                    </a:prstGeom>
                  </pic:spPr>
                </pic:pic>
              </a:graphicData>
            </a:graphic>
          </wp:inline>
        </w:drawing>
      </w:r>
      <w:r>
        <w:rPr>
          <w:rStyle w:val="19"/>
          <w:rFonts w:hint="eastAsia"/>
        </w:rPr>
        <w:t>论文7：</w:t>
      </w:r>
    </w:p>
    <w:p w14:paraId="4985BAF3">
      <w:pPr>
        <w:spacing w:line="360" w:lineRule="auto"/>
        <w:ind w:firstLine="0" w:firstLineChars="0"/>
        <w:rPr>
          <w:rStyle w:val="19"/>
        </w:rPr>
      </w:pPr>
      <w:r>
        <w:drawing>
          <wp:inline distT="0" distB="0" distL="0" distR="0">
            <wp:extent cx="5274310" cy="2510790"/>
            <wp:effectExtent l="0" t="0" r="2540" b="3810"/>
            <wp:docPr id="20926175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7557" name="图片 1" descr="文本&#10;&#10;AI 生成的内容可能不正确。"/>
                    <pic:cNvPicPr>
                      <a:picLocks noChangeAspect="1"/>
                    </pic:cNvPicPr>
                  </pic:nvPicPr>
                  <pic:blipFill>
                    <a:blip r:embed="rId53"/>
                    <a:stretch>
                      <a:fillRect/>
                    </a:stretch>
                  </pic:blipFill>
                  <pic:spPr>
                    <a:xfrm>
                      <a:off x="0" y="0"/>
                      <a:ext cx="5274310" cy="2510790"/>
                    </a:xfrm>
                    <a:prstGeom prst="rect">
                      <a:avLst/>
                    </a:prstGeom>
                  </pic:spPr>
                </pic:pic>
              </a:graphicData>
            </a:graphic>
          </wp:inline>
        </w:drawing>
      </w:r>
      <w:r>
        <w:rPr>
          <w:rStyle w:val="19"/>
          <w:rFonts w:hint="eastAsia"/>
        </w:rPr>
        <w:t>论文8：</w:t>
      </w:r>
    </w:p>
    <w:p w14:paraId="492A3F45">
      <w:pPr>
        <w:spacing w:line="360" w:lineRule="auto"/>
        <w:ind w:firstLine="0" w:firstLineChars="0"/>
        <w:rPr>
          <w:szCs w:val="32"/>
        </w:rPr>
      </w:pPr>
      <w:r>
        <w:drawing>
          <wp:inline distT="0" distB="0" distL="0" distR="0">
            <wp:extent cx="5274310" cy="2449830"/>
            <wp:effectExtent l="0" t="0" r="2540" b="7620"/>
            <wp:docPr id="140335907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59076" name="图片 1" descr="图形用户界面, 文本, 应用程序, 电子邮件&#10;&#10;AI 生成的内容可能不正确。"/>
                    <pic:cNvPicPr>
                      <a:picLocks noChangeAspect="1"/>
                    </pic:cNvPicPr>
                  </pic:nvPicPr>
                  <pic:blipFill>
                    <a:blip r:embed="rId54"/>
                    <a:stretch>
                      <a:fillRect/>
                    </a:stretch>
                  </pic:blipFill>
                  <pic:spPr>
                    <a:xfrm>
                      <a:off x="0" y="0"/>
                      <a:ext cx="5274310" cy="2449830"/>
                    </a:xfrm>
                    <a:prstGeom prst="rect">
                      <a:avLst/>
                    </a:prstGeom>
                  </pic:spPr>
                </pic:pic>
              </a:graphicData>
            </a:graphic>
          </wp:inline>
        </w:drawing>
      </w:r>
      <w:r>
        <w:rPr>
          <w:rFonts w:hint="eastAsia"/>
          <w:szCs w:val="32"/>
        </w:rPr>
        <w:t>专利授权协议</w:t>
      </w:r>
      <w:r>
        <w:rPr>
          <w:szCs w:val="32"/>
        </w:rPr>
        <w:br w:type="textWrapping"/>
      </w:r>
      <w:r>
        <w:rPr>
          <w:rFonts w:hint="eastAsia"/>
          <w:szCs w:val="32"/>
        </w:rPr>
        <w:t>专利1：</w:t>
      </w:r>
      <w:r>
        <w:rPr>
          <w:szCs w:val="32"/>
        </w:rPr>
        <w:br w:type="textWrapping"/>
      </w:r>
      <w:r>
        <w:rPr>
          <w:szCs w:val="32"/>
        </w:rPr>
        <w:drawing>
          <wp:inline distT="0" distB="0" distL="0" distR="0">
            <wp:extent cx="5043170" cy="2332990"/>
            <wp:effectExtent l="0" t="0" r="5080" b="0"/>
            <wp:docPr id="675069247"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69247" name="图片 10" descr="图形用户界面, 文本, 应用程序&#10;&#10;AI 生成的内容可能不正确。"/>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047680" cy="2335448"/>
                    </a:xfrm>
                    <a:prstGeom prst="rect">
                      <a:avLst/>
                    </a:prstGeom>
                    <a:noFill/>
                    <a:ln>
                      <a:noFill/>
                    </a:ln>
                  </pic:spPr>
                </pic:pic>
              </a:graphicData>
            </a:graphic>
          </wp:inline>
        </w:drawing>
      </w:r>
    </w:p>
    <w:p w14:paraId="19C3E17D">
      <w:pPr>
        <w:spacing w:line="360" w:lineRule="auto"/>
        <w:ind w:firstLine="0" w:firstLineChars="0"/>
        <w:rPr>
          <w:rFonts w:hint="eastAsia"/>
          <w:szCs w:val="32"/>
        </w:rPr>
      </w:pPr>
      <w:r>
        <w:rPr>
          <w:rFonts w:hint="eastAsia"/>
          <w:szCs w:val="32"/>
        </w:rPr>
        <w:t>专利2：</w:t>
      </w:r>
    </w:p>
    <w:p w14:paraId="5746880F">
      <w:pPr>
        <w:spacing w:line="360" w:lineRule="auto"/>
        <w:ind w:firstLine="0" w:firstLineChars="0"/>
        <w:rPr>
          <w:szCs w:val="32"/>
        </w:rPr>
      </w:pPr>
      <w:r>
        <w:rPr>
          <w:szCs w:val="32"/>
        </w:rPr>
        <w:drawing>
          <wp:inline distT="0" distB="0" distL="0" distR="0">
            <wp:extent cx="5274310" cy="2365375"/>
            <wp:effectExtent l="0" t="0" r="2540" b="0"/>
            <wp:docPr id="147500044" name="图片 1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0044" name="图片 11" descr="图形用户界面, 文本, 应用程序, 电子邮件&#10;&#10;AI 生成的内容可能不正确。"/>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4310" cy="2365375"/>
                    </a:xfrm>
                    <a:prstGeom prst="rect">
                      <a:avLst/>
                    </a:prstGeom>
                    <a:noFill/>
                    <a:ln>
                      <a:noFill/>
                    </a:ln>
                  </pic:spPr>
                </pic:pic>
              </a:graphicData>
            </a:graphic>
          </wp:inline>
        </w:drawing>
      </w:r>
    </w:p>
    <w:p w14:paraId="5FEA035A">
      <w:pPr>
        <w:spacing w:line="360" w:lineRule="auto"/>
        <w:ind w:firstLine="0" w:firstLineChars="0"/>
        <w:rPr>
          <w:szCs w:val="32"/>
        </w:rPr>
      </w:pPr>
    </w:p>
    <w:p w14:paraId="2CA92F99">
      <w:pPr>
        <w:spacing w:line="360" w:lineRule="auto"/>
        <w:ind w:firstLine="0" w:firstLineChars="0"/>
        <w:rPr>
          <w:szCs w:val="32"/>
        </w:rPr>
      </w:pPr>
    </w:p>
    <w:p w14:paraId="4E074BBC">
      <w:pPr>
        <w:spacing w:line="360" w:lineRule="auto"/>
        <w:ind w:firstLine="0" w:firstLineChars="0"/>
        <w:rPr>
          <w:rFonts w:hint="eastAsia"/>
          <w:szCs w:val="32"/>
        </w:rPr>
      </w:pPr>
      <w:r>
        <w:rPr>
          <w:rFonts w:hint="eastAsia"/>
          <w:szCs w:val="32"/>
        </w:rPr>
        <w:t>专利3：</w:t>
      </w:r>
    </w:p>
    <w:p w14:paraId="426853A3">
      <w:pPr>
        <w:spacing w:line="360" w:lineRule="auto"/>
        <w:ind w:firstLine="0" w:firstLineChars="0"/>
        <w:rPr>
          <w:szCs w:val="32"/>
        </w:rPr>
      </w:pPr>
      <w:r>
        <w:rPr>
          <w:szCs w:val="32"/>
        </w:rPr>
        <w:drawing>
          <wp:inline distT="0" distB="0" distL="0" distR="0">
            <wp:extent cx="5091430" cy="1806575"/>
            <wp:effectExtent l="0" t="0" r="0" b="3175"/>
            <wp:docPr id="1158361175" name="图片 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1175" name="图片 12" descr="图形用户界面, 文本, 应用程序&#10;&#10;AI 生成的内容可能不正确。"/>
                    <pic:cNvPicPr>
                      <a:picLocks noChangeAspect="1" noChangeArrowheads="1"/>
                    </pic:cNvPicPr>
                  </pic:nvPicPr>
                  <pic:blipFill>
                    <a:blip r:embed="rId57" cstate="print">
                      <a:extLst>
                        <a:ext uri="{28A0092B-C50C-407E-A947-70E740481C1C}">
                          <a14:useLocalDpi xmlns:a14="http://schemas.microsoft.com/office/drawing/2010/main" val="0"/>
                        </a:ext>
                      </a:extLst>
                    </a:blip>
                    <a:srcRect l="3467" b="23096"/>
                    <a:stretch>
                      <a:fillRect/>
                    </a:stretch>
                  </pic:blipFill>
                  <pic:spPr>
                    <a:xfrm>
                      <a:off x="0" y="0"/>
                      <a:ext cx="5091430" cy="1806854"/>
                    </a:xfrm>
                    <a:prstGeom prst="rect">
                      <a:avLst/>
                    </a:prstGeom>
                    <a:noFill/>
                    <a:ln>
                      <a:noFill/>
                    </a:ln>
                  </pic:spPr>
                </pic:pic>
              </a:graphicData>
            </a:graphic>
          </wp:inline>
        </w:drawing>
      </w:r>
    </w:p>
    <w:p w14:paraId="2C88ADE0">
      <w:pPr>
        <w:spacing w:line="360" w:lineRule="auto"/>
        <w:ind w:firstLine="0" w:firstLineChars="0"/>
        <w:rPr>
          <w:rFonts w:hint="eastAsia"/>
          <w:szCs w:val="32"/>
        </w:rPr>
      </w:pPr>
      <w:r>
        <w:rPr>
          <w:rFonts w:hint="eastAsia"/>
          <w:szCs w:val="32"/>
        </w:rPr>
        <w:t>专利4：</w:t>
      </w:r>
    </w:p>
    <w:p w14:paraId="65B5C62F">
      <w:pPr>
        <w:spacing w:line="360" w:lineRule="auto"/>
        <w:ind w:firstLine="0" w:firstLineChars="0"/>
        <w:rPr>
          <w:szCs w:val="32"/>
        </w:rPr>
      </w:pPr>
      <w:r>
        <w:rPr>
          <w:szCs w:val="32"/>
        </w:rPr>
        <w:drawing>
          <wp:inline distT="0" distB="0" distL="0" distR="0">
            <wp:extent cx="5010785" cy="2505075"/>
            <wp:effectExtent l="0" t="0" r="0" b="0"/>
            <wp:docPr id="1080388061" name="图片 18"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8061" name="图片 18" descr="图形用户界面, 文本, 应用程序, 电子邮件&#10;&#10;AI 生成的内容可能不正确。"/>
                    <pic:cNvPicPr>
                      <a:picLocks noChangeAspect="1" noChangeArrowheads="1"/>
                    </pic:cNvPicPr>
                  </pic:nvPicPr>
                  <pic:blipFill>
                    <a:blip r:embed="rId58" cstate="print">
                      <a:extLst>
                        <a:ext uri="{28A0092B-C50C-407E-A947-70E740481C1C}">
                          <a14:useLocalDpi xmlns:a14="http://schemas.microsoft.com/office/drawing/2010/main" val="0"/>
                        </a:ext>
                      </a:extLst>
                    </a:blip>
                    <a:srcRect l="1942" r="30644" b="36465"/>
                    <a:stretch>
                      <a:fillRect/>
                    </a:stretch>
                  </pic:blipFill>
                  <pic:spPr>
                    <a:xfrm>
                      <a:off x="0" y="0"/>
                      <a:ext cx="5031451" cy="2515403"/>
                    </a:xfrm>
                    <a:prstGeom prst="rect">
                      <a:avLst/>
                    </a:prstGeom>
                    <a:noFill/>
                    <a:ln>
                      <a:noFill/>
                    </a:ln>
                  </pic:spPr>
                </pic:pic>
              </a:graphicData>
            </a:graphic>
          </wp:inline>
        </w:drawing>
      </w:r>
    </w:p>
    <w:p w14:paraId="38694B78">
      <w:pPr>
        <w:spacing w:line="360" w:lineRule="auto"/>
        <w:ind w:firstLine="0" w:firstLineChars="0"/>
        <w:rPr>
          <w:rFonts w:hint="eastAsia"/>
          <w:szCs w:val="32"/>
        </w:rPr>
      </w:pPr>
      <w:r>
        <w:rPr>
          <w:rFonts w:hint="eastAsia"/>
          <w:szCs w:val="32"/>
        </w:rPr>
        <w:t>专利5：</w:t>
      </w:r>
    </w:p>
    <w:p w14:paraId="301F360D">
      <w:pPr>
        <w:spacing w:line="360" w:lineRule="auto"/>
        <w:ind w:firstLine="0" w:firstLineChars="0"/>
        <w:rPr>
          <w:szCs w:val="32"/>
        </w:rPr>
      </w:pPr>
      <w:r>
        <w:rPr>
          <w:szCs w:val="32"/>
        </w:rPr>
        <w:drawing>
          <wp:inline distT="0" distB="0" distL="0" distR="0">
            <wp:extent cx="5274310" cy="2421255"/>
            <wp:effectExtent l="0" t="0" r="2540" b="0"/>
            <wp:docPr id="364552497" name="图片 1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2497" name="图片 19" descr="图形用户界面, 文本, 应用程序&#10;&#10;AI 生成的内容可能不正确。"/>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74310" cy="2421255"/>
                    </a:xfrm>
                    <a:prstGeom prst="rect">
                      <a:avLst/>
                    </a:prstGeom>
                    <a:noFill/>
                    <a:ln>
                      <a:noFill/>
                    </a:ln>
                  </pic:spPr>
                </pic:pic>
              </a:graphicData>
            </a:graphic>
          </wp:inline>
        </w:drawing>
      </w:r>
    </w:p>
    <w:p w14:paraId="4131329C">
      <w:pPr>
        <w:spacing w:line="360" w:lineRule="auto"/>
        <w:ind w:firstLine="0" w:firstLineChars="0"/>
        <w:rPr>
          <w:rFonts w:hint="eastAsia"/>
          <w:szCs w:val="32"/>
        </w:rPr>
      </w:pPr>
      <w:r>
        <w:rPr>
          <w:rFonts w:hint="eastAsia"/>
          <w:szCs w:val="32"/>
        </w:rPr>
        <w:t>专利6：</w:t>
      </w:r>
    </w:p>
    <w:p w14:paraId="120F8752">
      <w:pPr>
        <w:spacing w:line="360" w:lineRule="auto"/>
        <w:ind w:firstLine="0" w:firstLineChars="0"/>
        <w:rPr>
          <w:szCs w:val="32"/>
        </w:rPr>
      </w:pPr>
      <w:r>
        <w:rPr>
          <w:szCs w:val="32"/>
        </w:rPr>
        <w:drawing>
          <wp:inline distT="0" distB="0" distL="0" distR="0">
            <wp:extent cx="5274310" cy="2527935"/>
            <wp:effectExtent l="0" t="0" r="2540" b="5715"/>
            <wp:docPr id="1200735696" name="图片 20"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35696" name="图片 20" descr="图形用户界面, 文本, 应用程序, 电子邮件&#10;&#10;AI 生成的内容可能不正确。"/>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274310" cy="2527935"/>
                    </a:xfrm>
                    <a:prstGeom prst="rect">
                      <a:avLst/>
                    </a:prstGeom>
                    <a:noFill/>
                    <a:ln>
                      <a:noFill/>
                    </a:ln>
                  </pic:spPr>
                </pic:pic>
              </a:graphicData>
            </a:graphic>
          </wp:inline>
        </w:drawing>
      </w:r>
    </w:p>
    <w:p w14:paraId="5B28812E">
      <w:pPr>
        <w:spacing w:line="360" w:lineRule="auto"/>
        <w:ind w:firstLine="0" w:firstLineChars="0"/>
        <w:rPr>
          <w:szCs w:val="32"/>
        </w:rPr>
      </w:pPr>
      <w:r>
        <w:rPr>
          <w:rFonts w:hint="eastAsia"/>
          <w:szCs w:val="32"/>
        </w:rPr>
        <w:t>专利7：</w:t>
      </w:r>
    </w:p>
    <w:p w14:paraId="277796E4">
      <w:pPr>
        <w:spacing w:line="360" w:lineRule="auto"/>
        <w:ind w:firstLine="0" w:firstLineChars="0"/>
        <w:rPr>
          <w:rFonts w:hint="eastAsia"/>
          <w:szCs w:val="32"/>
        </w:rPr>
      </w:pPr>
      <w:r>
        <w:rPr>
          <w:szCs w:val="32"/>
        </w:rPr>
        <w:drawing>
          <wp:inline distT="0" distB="0" distL="0" distR="0">
            <wp:extent cx="5274310" cy="2733675"/>
            <wp:effectExtent l="0" t="0" r="2540" b="9525"/>
            <wp:docPr id="886782856" name="图片 2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82856" name="图片 21" descr="图形用户界面, 文本, 应用程序, 电子邮件&#10;&#10;AI 生成的内容可能不正确。"/>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274310" cy="2733675"/>
                    </a:xfrm>
                    <a:prstGeom prst="rect">
                      <a:avLst/>
                    </a:prstGeom>
                    <a:noFill/>
                    <a:ln>
                      <a:noFill/>
                    </a:ln>
                  </pic:spPr>
                </pic:pic>
              </a:graphicData>
            </a:graphic>
          </wp:inline>
        </w:drawing>
      </w:r>
    </w:p>
    <w:p w14:paraId="4A0EE863">
      <w:pPr>
        <w:spacing w:line="360" w:lineRule="auto"/>
        <w:ind w:firstLine="0" w:firstLineChars="0"/>
        <w:rPr>
          <w:rFonts w:hint="eastAsia"/>
          <w:szCs w:val="32"/>
        </w:rPr>
      </w:pPr>
    </w:p>
    <w:p w14:paraId="408EF582">
      <w:pPr>
        <w:spacing w:line="360" w:lineRule="auto"/>
        <w:ind w:firstLine="0" w:firstLineChars="0"/>
        <w:rPr>
          <w:rFonts w:hint="eastAsia"/>
          <w:szCs w:val="32"/>
        </w:rPr>
      </w:pPr>
    </w:p>
    <w:p w14:paraId="583F7026">
      <w:pPr>
        <w:spacing w:line="360" w:lineRule="auto"/>
        <w:ind w:firstLine="0" w:firstLineChars="0"/>
        <w:rPr>
          <w:rFonts w:hint="eastAsia"/>
          <w:szCs w:val="32"/>
        </w:rPr>
      </w:pPr>
    </w:p>
    <w:p w14:paraId="7B78204F">
      <w:pPr>
        <w:spacing w:line="360" w:lineRule="auto"/>
        <w:ind w:firstLine="0" w:firstLineChars="0"/>
        <w:rPr>
          <w:rFonts w:hint="eastAsia"/>
          <w:szCs w:val="32"/>
        </w:rPr>
      </w:pPr>
    </w:p>
    <w:p w14:paraId="3B179FED">
      <w:pPr>
        <w:spacing w:line="360" w:lineRule="auto"/>
        <w:ind w:firstLine="0" w:firstLineChars="0"/>
        <w:rPr>
          <w:rFonts w:hint="eastAsia"/>
          <w:szCs w:val="32"/>
        </w:rPr>
      </w:pPr>
    </w:p>
    <w:p w14:paraId="11E17728">
      <w:pPr>
        <w:spacing w:line="360" w:lineRule="auto"/>
        <w:ind w:firstLine="0" w:firstLineChars="0"/>
        <w:rPr>
          <w:rFonts w:hint="eastAsia"/>
          <w:szCs w:val="32"/>
        </w:rPr>
      </w:pPr>
    </w:p>
    <w:p w14:paraId="2B5F04FD">
      <w:pPr>
        <w:spacing w:line="360" w:lineRule="auto"/>
        <w:ind w:firstLine="0" w:firstLineChars="0"/>
        <w:rPr>
          <w:rFonts w:hint="eastAsia"/>
          <w:szCs w:val="32"/>
        </w:rPr>
      </w:pPr>
    </w:p>
    <w:p w14:paraId="60C6B54F">
      <w:pPr>
        <w:spacing w:line="360" w:lineRule="auto"/>
        <w:ind w:firstLine="0" w:firstLineChars="0"/>
        <w:rPr>
          <w:rFonts w:hint="eastAsia"/>
          <w:szCs w:val="32"/>
        </w:rPr>
      </w:pPr>
    </w:p>
    <w:p w14:paraId="54AF0C5F">
      <w:pPr>
        <w:spacing w:line="360" w:lineRule="auto"/>
        <w:ind w:firstLine="0" w:firstLineChars="0"/>
        <w:rPr>
          <w:rFonts w:hint="eastAsia"/>
          <w:szCs w:val="32"/>
        </w:rPr>
      </w:pPr>
    </w:p>
    <w:p w14:paraId="233413E6">
      <w:pPr>
        <w:spacing w:line="360" w:lineRule="auto"/>
        <w:ind w:firstLine="0" w:firstLineChars="0"/>
        <w:rPr>
          <w:rFonts w:hint="eastAsia"/>
          <w:szCs w:val="32"/>
        </w:rPr>
      </w:pPr>
    </w:p>
    <w:p w14:paraId="25D414CC">
      <w:pPr>
        <w:spacing w:line="360" w:lineRule="auto"/>
        <w:ind w:firstLine="0" w:firstLineChars="0"/>
        <w:rPr>
          <w:szCs w:val="32"/>
        </w:rPr>
      </w:pPr>
      <w:r>
        <w:rPr>
          <w:rFonts w:hint="eastAsia"/>
          <w:szCs w:val="32"/>
        </w:rPr>
        <w:t>多家媒体报道</w:t>
      </w:r>
    </w:p>
    <w:p w14:paraId="6E3EC968">
      <w:pPr>
        <w:spacing w:line="360" w:lineRule="auto"/>
        <w:ind w:firstLine="0" w:firstLineChars="0"/>
      </w:pPr>
      <w:r>
        <w:rPr>
          <w:rFonts w:hint="eastAsia"/>
        </w:rPr>
        <w:t>报道1：</w:t>
      </w:r>
    </w:p>
    <w:p w14:paraId="6BC628BB">
      <w:pPr>
        <w:spacing w:line="360" w:lineRule="auto"/>
        <w:ind w:firstLine="0" w:firstLineChars="0"/>
      </w:pPr>
      <w:r>
        <w:drawing>
          <wp:inline distT="0" distB="0" distL="0" distR="0">
            <wp:extent cx="5274310" cy="3482975"/>
            <wp:effectExtent l="0" t="0" r="2540" b="3175"/>
            <wp:docPr id="112922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28093" name="图片 1"/>
                    <pic:cNvPicPr>
                      <a:picLocks noChangeAspect="1"/>
                    </pic:cNvPicPr>
                  </pic:nvPicPr>
                  <pic:blipFill>
                    <a:blip r:embed="rId62"/>
                    <a:stretch>
                      <a:fillRect/>
                    </a:stretch>
                  </pic:blipFill>
                  <pic:spPr>
                    <a:xfrm>
                      <a:off x="0" y="0"/>
                      <a:ext cx="5274310" cy="3482975"/>
                    </a:xfrm>
                    <a:prstGeom prst="rect">
                      <a:avLst/>
                    </a:prstGeom>
                  </pic:spPr>
                </pic:pic>
              </a:graphicData>
            </a:graphic>
          </wp:inline>
        </w:drawing>
      </w:r>
    </w:p>
    <w:p w14:paraId="3F4C0D3A">
      <w:pPr>
        <w:spacing w:line="360" w:lineRule="auto"/>
        <w:ind w:firstLine="0" w:firstLineChars="0"/>
        <w:rPr>
          <w:rFonts w:hint="eastAsia"/>
        </w:rPr>
      </w:pPr>
      <w:r>
        <w:rPr>
          <w:rFonts w:hint="eastAsia"/>
        </w:rPr>
        <w:t>报道2：</w:t>
      </w:r>
    </w:p>
    <w:p w14:paraId="7B229A45">
      <w:pPr>
        <w:spacing w:line="360" w:lineRule="auto"/>
        <w:ind w:firstLine="0" w:firstLineChars="0"/>
        <w:rPr>
          <w:szCs w:val="32"/>
        </w:rPr>
      </w:pPr>
      <w:r>
        <w:rPr>
          <w:szCs w:val="32"/>
        </w:rPr>
        <w:drawing>
          <wp:inline distT="0" distB="0" distL="0" distR="0">
            <wp:extent cx="5049520" cy="3935730"/>
            <wp:effectExtent l="0" t="0" r="5080" b="1270"/>
            <wp:docPr id="1918414276" name="图片 1" descr="图片包含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4276" name="图片 1" descr="图片包含 网站&#10;&#10;AI 生成的内容可能不正确。"/>
                    <pic:cNvPicPr>
                      <a:picLocks noChangeAspect="1"/>
                    </pic:cNvPicPr>
                  </pic:nvPicPr>
                  <pic:blipFill>
                    <a:blip r:embed="rId63"/>
                    <a:stretch>
                      <a:fillRect/>
                    </a:stretch>
                  </pic:blipFill>
                  <pic:spPr>
                    <a:xfrm>
                      <a:off x="0" y="0"/>
                      <a:ext cx="5049520" cy="3935730"/>
                    </a:xfrm>
                    <a:prstGeom prst="rect">
                      <a:avLst/>
                    </a:prstGeom>
                  </pic:spPr>
                </pic:pic>
              </a:graphicData>
            </a:graphic>
          </wp:inline>
        </w:drawing>
      </w:r>
    </w:p>
    <w:p w14:paraId="32DCC275">
      <w:pPr>
        <w:spacing w:line="360" w:lineRule="auto"/>
        <w:ind w:firstLine="0" w:firstLineChars="0"/>
        <w:rPr>
          <w:rFonts w:hint="eastAsia"/>
        </w:rPr>
      </w:pPr>
    </w:p>
    <w:p w14:paraId="113F08E2">
      <w:pPr>
        <w:spacing w:line="360" w:lineRule="auto"/>
        <w:ind w:firstLine="0" w:firstLineChars="0"/>
      </w:pPr>
      <w:r>
        <w:rPr>
          <w:rFonts w:hint="eastAsia"/>
        </w:rPr>
        <w:t>报道3：</w:t>
      </w:r>
    </w:p>
    <w:p w14:paraId="47FF6BD4">
      <w:pPr>
        <w:spacing w:line="360" w:lineRule="auto"/>
        <w:ind w:firstLine="0" w:firstLineChars="0"/>
      </w:pPr>
      <w:r>
        <w:drawing>
          <wp:inline distT="0" distB="0" distL="0" distR="0">
            <wp:extent cx="5265420" cy="3387090"/>
            <wp:effectExtent l="0" t="0" r="5080" b="3810"/>
            <wp:docPr id="31880264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2649" name="图片 1" descr="图形用户界面&#10;&#10;AI 生成的内容可能不正确。"/>
                    <pic:cNvPicPr>
                      <a:picLocks noChangeAspect="1"/>
                    </pic:cNvPicPr>
                  </pic:nvPicPr>
                  <pic:blipFill>
                    <a:blip r:embed="rId64"/>
                    <a:stretch>
                      <a:fillRect/>
                    </a:stretch>
                  </pic:blipFill>
                  <pic:spPr>
                    <a:xfrm>
                      <a:off x="0" y="0"/>
                      <a:ext cx="5265420" cy="3387090"/>
                    </a:xfrm>
                    <a:prstGeom prst="rect">
                      <a:avLst/>
                    </a:prstGeom>
                  </pic:spPr>
                </pic:pic>
              </a:graphicData>
            </a:graphic>
          </wp:inline>
        </w:drawing>
      </w:r>
    </w:p>
    <w:p w14:paraId="26F0418B">
      <w:pPr>
        <w:spacing w:line="360" w:lineRule="auto"/>
        <w:ind w:firstLine="0" w:firstLineChars="0"/>
        <w:rPr>
          <w:rFonts w:hint="eastAsia"/>
        </w:rPr>
      </w:pPr>
      <w:r>
        <w:rPr>
          <w:rFonts w:hint="eastAsia"/>
        </w:rPr>
        <w:t>报道</w:t>
      </w:r>
      <w:r>
        <w:rPr>
          <w:rFonts w:hint="eastAsia"/>
          <w:lang w:val="en-US" w:eastAsia="zh-CN"/>
        </w:rPr>
        <w:t>4</w:t>
      </w:r>
      <w:r>
        <w:rPr>
          <w:rFonts w:hint="eastAsia"/>
        </w:rPr>
        <w:t>：</w:t>
      </w:r>
    </w:p>
    <w:p w14:paraId="6E969E2F">
      <w:pPr>
        <w:spacing w:line="360" w:lineRule="auto"/>
        <w:ind w:firstLine="0" w:firstLineChars="0"/>
      </w:pPr>
      <w:r>
        <w:drawing>
          <wp:inline distT="0" distB="0" distL="0" distR="0">
            <wp:extent cx="5292090" cy="4268470"/>
            <wp:effectExtent l="0" t="0" r="3810" b="11430"/>
            <wp:docPr id="26879252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2521" name="图片 1" descr="图形用户界面, 文本, 应用程序, 电子邮件&#10;&#10;AI 生成的内容可能不正确。"/>
                    <pic:cNvPicPr>
                      <a:picLocks noChangeAspect="1"/>
                    </pic:cNvPicPr>
                  </pic:nvPicPr>
                  <pic:blipFill>
                    <a:blip r:embed="rId65"/>
                    <a:stretch>
                      <a:fillRect/>
                    </a:stretch>
                  </pic:blipFill>
                  <pic:spPr>
                    <a:xfrm>
                      <a:off x="0" y="0"/>
                      <a:ext cx="5292090" cy="4268470"/>
                    </a:xfrm>
                    <a:prstGeom prst="rect">
                      <a:avLst/>
                    </a:prstGeom>
                  </pic:spPr>
                </pic:pic>
              </a:graphicData>
            </a:graphic>
          </wp:inline>
        </w:drawing>
      </w:r>
    </w:p>
    <w:p w14:paraId="076DD6C9">
      <w:pPr>
        <w:spacing w:line="360" w:lineRule="auto"/>
        <w:ind w:firstLine="0" w:firstLineChars="0"/>
        <w:rPr>
          <w:szCs w:val="32"/>
        </w:rPr>
      </w:pPr>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汉仪雅酷黑 75W">
    <w:altName w:val="黑体"/>
    <w:panose1 w:val="020B0804020202020204"/>
    <w:charset w:val="86"/>
    <w:family w:val="auto"/>
    <w:pitch w:val="default"/>
    <w:sig w:usb0="00000000" w:usb1="00000000"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Noto Sans">
    <w:panose1 w:val="020B0502040504020204"/>
    <w:charset w:val="00"/>
    <w:family w:val="swiss"/>
    <w:pitch w:val="default"/>
    <w:sig w:usb0="E00002FF" w:usb1="4000201F" w:usb2="08000029" w:usb3="00100000" w:csb0="0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B6277">
    <w:pPr>
      <w:pStyle w:val="8"/>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A846B10">
                          <w:pPr>
                            <w:pStyle w:val="8"/>
                            <w:ind w:firstLine="360"/>
                            <w:jc w:val="both"/>
                          </w:pPr>
                          <w:r>
                            <w:fldChar w:fldCharType="begin"/>
                          </w:r>
                          <w:r>
                            <w:instrText xml:space="preserve">PAGE   \* MERGEFORMAT</w:instrText>
                          </w:r>
                          <w:r>
                            <w:fldChar w:fldCharType="separate"/>
                          </w:r>
                          <w:r>
                            <w:rPr>
                              <w:lang w:val="zh-CN"/>
                            </w:rPr>
                            <w:t>2</w:t>
                          </w:r>
                          <w:r>
                            <w:fldChar w:fldCharType="end"/>
                          </w:r>
                        </w:p>
                        <w:p w14:paraId="150BF4D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liw6YyAgAAZQQAAA4AAABkcnMvZTJvRG9jLnhtbK1UzY7TMBC+I/EO&#10;lu80aRFL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WLDpjICAABlBAAADgAAAAAAAAABACAAAAAfAQAAZHJzL2Uyb0RvYy54bWxQSwUG&#10;AAAAAAYABgBZAQAAwwUAAAAA&#10;">
              <v:fill on="f" focussize="0,0"/>
              <v:stroke on="f" weight="0.5pt"/>
              <v:imagedata o:title=""/>
              <o:lock v:ext="edit" aspectratio="f"/>
              <v:textbox inset="0mm,0mm,0mm,0mm" style="mso-fit-shape-to-text:t;">
                <w:txbxContent>
                  <w:p w14:paraId="0A846B10">
                    <w:pPr>
                      <w:pStyle w:val="8"/>
                      <w:ind w:firstLine="360"/>
                      <w:jc w:val="both"/>
                    </w:pPr>
                    <w:r>
                      <w:fldChar w:fldCharType="begin"/>
                    </w:r>
                    <w:r>
                      <w:instrText xml:space="preserve">PAGE   \* MERGEFORMAT</w:instrText>
                    </w:r>
                    <w:r>
                      <w:fldChar w:fldCharType="separate"/>
                    </w:r>
                    <w:r>
                      <w:rPr>
                        <w:lang w:val="zh-CN"/>
                      </w:rPr>
                      <w:t>2</w:t>
                    </w:r>
                    <w:r>
                      <w:fldChar w:fldCharType="end"/>
                    </w:r>
                  </w:p>
                  <w:p w14:paraId="150BF4D8">
                    <w:pPr>
                      <w:ind w:firstLine="480"/>
                    </w:pPr>
                  </w:p>
                </w:txbxContent>
              </v:textbox>
            </v:shape>
          </w:pict>
        </mc:Fallback>
      </mc:AlternateContent>
    </w:r>
  </w:p>
  <w:p w14:paraId="2D1D51C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6127E">
    <w:pPr>
      <w:pStyle w:val="8"/>
      <w:ind w:firstLine="360"/>
      <w:jc w:val="center"/>
    </w:pPr>
  </w:p>
  <w:p w14:paraId="24A22463">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F428">
    <w:pPr>
      <w:pStyle w:val="8"/>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3A76FF7">
                          <w:pPr>
                            <w:pStyle w:val="8"/>
                            <w:ind w:firstLine="360"/>
                            <w:jc w:val="both"/>
                          </w:pPr>
                          <w:r>
                            <w:fldChar w:fldCharType="begin"/>
                          </w:r>
                          <w:r>
                            <w:instrText xml:space="preserve">PAGE   \* MERGEFORMAT</w:instrText>
                          </w:r>
                          <w:r>
                            <w:fldChar w:fldCharType="separate"/>
                          </w:r>
                          <w:r>
                            <w:rPr>
                              <w:lang w:val="zh-CN"/>
                            </w:rPr>
                            <w:t>2</w:t>
                          </w:r>
                          <w:r>
                            <w:fldChar w:fldCharType="end"/>
                          </w:r>
                        </w:p>
                        <w:p w14:paraId="7EE4E13B">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WTfsxAgAAZ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zqGCvSNPQwkVJXerRCu297&#10;nntTnEHTmW5SvOWbGqVsmQ8PzGE0UD4eT7jHUkqDlKa3KKmM+/Kv8xiPjsFLSYNRy6nGy6JEvtfo&#10;JADDYLjB2A+GPqo7g9lFc1BLMnHBBTmYpTPqM17UKuaAi2mOTDkNg3kXunHHi+RitUpBmD3Lwlbv&#10;LI/QUR5vV8cAOZPKUZROCXQnbjB9qU/9S4nj/ec+RT3+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1Fk37MQIAAGUEAAAOAAAAAAAAAAEAIAAAAB8BAABkcnMvZTJvRG9jLnhtbFBLBQYA&#10;AAAABgAGAFkBAADCBQAAAAA=&#10;">
              <v:fill on="f" focussize="0,0"/>
              <v:stroke on="f" weight="0.5pt"/>
              <v:imagedata o:title=""/>
              <o:lock v:ext="edit" aspectratio="f"/>
              <v:textbox inset="0mm,0mm,0mm,0mm" style="mso-fit-shape-to-text:t;">
                <w:txbxContent>
                  <w:p w14:paraId="63A76FF7">
                    <w:pPr>
                      <w:pStyle w:val="8"/>
                      <w:ind w:firstLine="360"/>
                      <w:jc w:val="both"/>
                    </w:pPr>
                    <w:r>
                      <w:fldChar w:fldCharType="begin"/>
                    </w:r>
                    <w:r>
                      <w:instrText xml:space="preserve">PAGE   \* MERGEFORMAT</w:instrText>
                    </w:r>
                    <w:r>
                      <w:fldChar w:fldCharType="separate"/>
                    </w:r>
                    <w:r>
                      <w:rPr>
                        <w:lang w:val="zh-CN"/>
                      </w:rPr>
                      <w:t>2</w:t>
                    </w:r>
                    <w:r>
                      <w:fldChar w:fldCharType="end"/>
                    </w:r>
                  </w:p>
                  <w:p w14:paraId="7EE4E13B">
                    <w:pPr>
                      <w:ind w:firstLine="480"/>
                    </w:pPr>
                  </w:p>
                </w:txbxContent>
              </v:textbox>
            </v:shape>
          </w:pict>
        </mc:Fallback>
      </mc:AlternateContent>
    </w:r>
  </w:p>
  <w:p w14:paraId="284CAF3E">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622765"/>
    <w:multiLevelType w:val="multilevel"/>
    <w:tmpl w:val="18622765"/>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8A822F5"/>
    <w:multiLevelType w:val="multilevel"/>
    <w:tmpl w:val="18A822F5"/>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35D4ED5"/>
    <w:multiLevelType w:val="multilevel"/>
    <w:tmpl w:val="235D4ED5"/>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61F2900"/>
    <w:multiLevelType w:val="multilevel"/>
    <w:tmpl w:val="261F2900"/>
    <w:lvl w:ilvl="0" w:tentative="0">
      <w:start w:val="1"/>
      <w:numFmt w:val="chineseCountingThousand"/>
      <w:pStyle w:val="3"/>
      <w:lvlText w:val="(%1)"/>
      <w:lvlJc w:val="left"/>
      <w:pPr>
        <w:ind w:left="440" w:hanging="440"/>
      </w:pPr>
    </w:lvl>
    <w:lvl w:ilvl="1" w:tentative="0">
      <w:start w:val="3"/>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15D205F"/>
    <w:multiLevelType w:val="multilevel"/>
    <w:tmpl w:val="515D205F"/>
    <w:lvl w:ilvl="0" w:tentative="0">
      <w:start w:val="1"/>
      <w:numFmt w:val="decimal"/>
      <w:pStyle w:val="4"/>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48B1AF3"/>
    <w:multiLevelType w:val="multilevel"/>
    <w:tmpl w:val="548B1AF3"/>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68D1FC2"/>
    <w:multiLevelType w:val="multilevel"/>
    <w:tmpl w:val="568D1FC2"/>
    <w:lvl w:ilvl="0" w:tentative="0">
      <w:start w:val="2"/>
      <w:numFmt w:val="chineseCounting"/>
      <w:suff w:val="nothing"/>
      <w:lvlText w:val="第%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2715D34"/>
    <w:multiLevelType w:val="multilevel"/>
    <w:tmpl w:val="62715D34"/>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65B9C861"/>
    <w:multiLevelType w:val="singleLevel"/>
    <w:tmpl w:val="65B9C861"/>
    <w:lvl w:ilvl="0" w:tentative="0">
      <w:start w:val="2"/>
      <w:numFmt w:val="decimal"/>
      <w:suff w:val="nothing"/>
      <w:lvlText w:val="（%1）"/>
      <w:lvlJc w:val="left"/>
    </w:lvl>
  </w:abstractNum>
  <w:abstractNum w:abstractNumId="9">
    <w:nsid w:val="6A7D793F"/>
    <w:multiLevelType w:val="multilevel"/>
    <w:tmpl w:val="6A7D793F"/>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6DFA6EE3"/>
    <w:multiLevelType w:val="multilevel"/>
    <w:tmpl w:val="6DFA6EE3"/>
    <w:lvl w:ilvl="0" w:tentative="0">
      <w:start w:val="1"/>
      <w:numFmt w:val="chineseCountingThousand"/>
      <w:pStyle w:val="2"/>
      <w:lvlText w:val="%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6FDD37C8"/>
    <w:multiLevelType w:val="multilevel"/>
    <w:tmpl w:val="6FDD37C8"/>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73D50045"/>
    <w:multiLevelType w:val="multilevel"/>
    <w:tmpl w:val="73D50045"/>
    <w:lvl w:ilvl="0" w:tentative="0">
      <w:start w:val="1"/>
      <w:numFmt w:val="decimal"/>
      <w:pStyle w:val="5"/>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7EB964A7"/>
    <w:multiLevelType w:val="multilevel"/>
    <w:tmpl w:val="7EB964A7"/>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7EFE2671"/>
    <w:multiLevelType w:val="multilevel"/>
    <w:tmpl w:val="7EFE2671"/>
    <w:lvl w:ilvl="0" w:tentative="0">
      <w:start w:val="1"/>
      <w:numFmt w:val="chineseCountingThousand"/>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0"/>
  </w:num>
  <w:num w:numId="2">
    <w:abstractNumId w:val="3"/>
  </w:num>
  <w:num w:numId="3">
    <w:abstractNumId w:val="4"/>
  </w:num>
  <w:num w:numId="4">
    <w:abstractNumId w:val="12"/>
  </w:num>
  <w:num w:numId="5">
    <w:abstractNumId w:val="4"/>
    <w:lvlOverride w:ilvl="0">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num>
  <w:num w:numId="8">
    <w:abstractNumId w:val="12"/>
    <w:lvlOverride w:ilvl="0">
      <w:startOverride w:val="1"/>
    </w:lvlOverride>
  </w:num>
  <w:num w:numId="9">
    <w:abstractNumId w:val="12"/>
    <w:lvlOverride w:ilvl="0">
      <w:startOverride w:val="1"/>
    </w:lvlOverride>
  </w:num>
  <w:num w:numId="10">
    <w:abstractNumId w:val="1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12"/>
    <w:lvlOverride w:ilvl="0">
      <w:startOverride w:val="1"/>
    </w:lvlOverride>
  </w:num>
  <w:num w:numId="15">
    <w:abstractNumId w:val="3"/>
    <w:lvlOverride w:ilvl="0">
      <w:startOverride w:val="1"/>
    </w:lvlOverride>
  </w:num>
  <w:num w:numId="16">
    <w:abstractNumId w:val="4"/>
    <w:lvlOverride w:ilvl="0">
      <w:startOverride w:val="1"/>
    </w:lvlOverride>
  </w:num>
  <w:num w:numId="17">
    <w:abstractNumId w:val="12"/>
    <w:lvlOverride w:ilvl="0">
      <w:startOverride w:val="1"/>
    </w:lvlOverride>
  </w:num>
  <w:num w:numId="18">
    <w:abstractNumId w:val="1"/>
  </w:num>
  <w:num w:numId="19">
    <w:abstractNumId w:val="11"/>
  </w:num>
  <w:num w:numId="20">
    <w:abstractNumId w:val="0"/>
  </w:num>
  <w:num w:numId="21">
    <w:abstractNumId w:val="7"/>
  </w:num>
  <w:num w:numId="22">
    <w:abstractNumId w:val="5"/>
  </w:num>
  <w:num w:numId="23">
    <w:abstractNumId w:val="14"/>
  </w:num>
  <w:num w:numId="24">
    <w:abstractNumId w:val="13"/>
  </w:num>
  <w:num w:numId="25">
    <w:abstractNumId w:val="2"/>
  </w:num>
  <w:num w:numId="26">
    <w:abstractNumId w:val="9"/>
  </w:num>
  <w:num w:numId="27">
    <w:abstractNumId w:val="4"/>
    <w:lvlOverride w:ilvl="0">
      <w:startOverride w:val="1"/>
    </w:lvlOverride>
  </w:num>
  <w:num w:numId="28">
    <w:abstractNumId w:val="4"/>
    <w:lvlOverride w:ilvl="0">
      <w:startOverride w:val="1"/>
    </w:lvlOverride>
  </w:num>
  <w:num w:numId="29">
    <w:abstractNumId w:val="12"/>
    <w:lvlOverride w:ilvl="0">
      <w:startOverride w:val="1"/>
    </w:lvlOverride>
  </w:num>
  <w:num w:numId="30">
    <w:abstractNumId w:val="12"/>
    <w:lvlOverride w:ilvl="0">
      <w:startOverride w:val="1"/>
    </w:lvlOverride>
  </w:num>
  <w:num w:numId="31">
    <w:abstractNumId w:val="3"/>
    <w:lvlOverride w:ilvl="0">
      <w:startOverride w:val="1"/>
    </w:lvlOverride>
  </w:num>
  <w:num w:numId="32">
    <w:abstractNumId w:val="4"/>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3"/>
    <w:lvlOverride w:ilvl="0">
      <w:startOverride w:val="1"/>
    </w:lvlOverride>
  </w:num>
  <w:num w:numId="38">
    <w:abstractNumId w:val="4"/>
    <w:lvlOverride w:ilvl="0">
      <w:startOverride w:val="1"/>
    </w:lvlOverride>
  </w:num>
  <w:num w:numId="39">
    <w:abstractNumId w:val="3"/>
    <w:lvlOverride w:ilvl="0">
      <w:startOverride w:val="1"/>
    </w:lvlOverride>
  </w:num>
  <w:num w:numId="40">
    <w:abstractNumId w:val="8"/>
  </w:num>
  <w:num w:numId="41">
    <w:abstractNumId w:val="3"/>
    <w:lvlOverride w:ilvl="0">
      <w:startOverride w:val="1"/>
    </w:lvlOverride>
  </w:num>
  <w:num w:numId="4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F0786A"/>
    <w:rsid w:val="00003C55"/>
    <w:rsid w:val="000447A7"/>
    <w:rsid w:val="000651ED"/>
    <w:rsid w:val="000843AB"/>
    <w:rsid w:val="00090A9D"/>
    <w:rsid w:val="000958DA"/>
    <w:rsid w:val="000D7626"/>
    <w:rsid w:val="0013589E"/>
    <w:rsid w:val="00150E77"/>
    <w:rsid w:val="001730C3"/>
    <w:rsid w:val="00175E73"/>
    <w:rsid w:val="001C3617"/>
    <w:rsid w:val="001E6C2A"/>
    <w:rsid w:val="002E0606"/>
    <w:rsid w:val="002E4992"/>
    <w:rsid w:val="00372A99"/>
    <w:rsid w:val="00422CBF"/>
    <w:rsid w:val="00443E15"/>
    <w:rsid w:val="0047426E"/>
    <w:rsid w:val="005642D9"/>
    <w:rsid w:val="0058108D"/>
    <w:rsid w:val="005907F5"/>
    <w:rsid w:val="005A56C6"/>
    <w:rsid w:val="005A7B20"/>
    <w:rsid w:val="005F5D0B"/>
    <w:rsid w:val="006066D7"/>
    <w:rsid w:val="0061492F"/>
    <w:rsid w:val="0063074E"/>
    <w:rsid w:val="0064529A"/>
    <w:rsid w:val="00661015"/>
    <w:rsid w:val="0066420C"/>
    <w:rsid w:val="00696A18"/>
    <w:rsid w:val="006A7236"/>
    <w:rsid w:val="006D7D34"/>
    <w:rsid w:val="00714253"/>
    <w:rsid w:val="00744C1B"/>
    <w:rsid w:val="008050E2"/>
    <w:rsid w:val="00830722"/>
    <w:rsid w:val="008364BA"/>
    <w:rsid w:val="008872C3"/>
    <w:rsid w:val="009E2783"/>
    <w:rsid w:val="00A046EE"/>
    <w:rsid w:val="00A46523"/>
    <w:rsid w:val="00B329E6"/>
    <w:rsid w:val="00B3757B"/>
    <w:rsid w:val="00BD1225"/>
    <w:rsid w:val="00BF43E5"/>
    <w:rsid w:val="00C05B7B"/>
    <w:rsid w:val="00C3793D"/>
    <w:rsid w:val="00CF53A9"/>
    <w:rsid w:val="00D96400"/>
    <w:rsid w:val="00DA55EC"/>
    <w:rsid w:val="00DB392A"/>
    <w:rsid w:val="00E5146B"/>
    <w:rsid w:val="00E91469"/>
    <w:rsid w:val="00E94D64"/>
    <w:rsid w:val="00EB7F92"/>
    <w:rsid w:val="00EC1746"/>
    <w:rsid w:val="00EE74D3"/>
    <w:rsid w:val="00EF05F2"/>
    <w:rsid w:val="00F075F7"/>
    <w:rsid w:val="00FA0D45"/>
    <w:rsid w:val="00FD65D9"/>
    <w:rsid w:val="03095C9B"/>
    <w:rsid w:val="04D32E37"/>
    <w:rsid w:val="0DDB461A"/>
    <w:rsid w:val="0F165554"/>
    <w:rsid w:val="185A0482"/>
    <w:rsid w:val="228C1DAC"/>
    <w:rsid w:val="27431A00"/>
    <w:rsid w:val="283830DC"/>
    <w:rsid w:val="290A50E8"/>
    <w:rsid w:val="2CF0786A"/>
    <w:rsid w:val="2D0615B8"/>
    <w:rsid w:val="30003055"/>
    <w:rsid w:val="33C56CBD"/>
    <w:rsid w:val="357D4F50"/>
    <w:rsid w:val="36D861B6"/>
    <w:rsid w:val="3701288C"/>
    <w:rsid w:val="38A7166A"/>
    <w:rsid w:val="52F83A10"/>
    <w:rsid w:val="537B4A33"/>
    <w:rsid w:val="58831FCD"/>
    <w:rsid w:val="652073EB"/>
    <w:rsid w:val="665A6D56"/>
    <w:rsid w:val="6861404E"/>
    <w:rsid w:val="6AA71468"/>
    <w:rsid w:val="6B6123A4"/>
    <w:rsid w:val="704D7E21"/>
    <w:rsid w:val="724A7260"/>
    <w:rsid w:val="7435443C"/>
    <w:rsid w:val="75DD4E23"/>
    <w:rsid w:val="784B4966"/>
    <w:rsid w:val="7EB92332"/>
    <w:rsid w:val="7F85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7"/>
    <w:qFormat/>
    <w:uiPriority w:val="0"/>
    <w:pPr>
      <w:keepNext/>
      <w:keepLines/>
      <w:numPr>
        <w:ilvl w:val="0"/>
        <w:numId w:val="1"/>
      </w:numPr>
      <w:spacing w:before="120" w:after="120" w:line="578" w:lineRule="auto"/>
      <w:ind w:left="0" w:firstLine="0" w:firstLineChars="0"/>
      <w:outlineLvl w:val="0"/>
    </w:pPr>
    <w:rPr>
      <w:rFonts w:eastAsia="黑体"/>
      <w:b/>
      <w:bCs/>
      <w:kern w:val="44"/>
      <w:sz w:val="30"/>
      <w:szCs w:val="44"/>
    </w:rPr>
  </w:style>
  <w:style w:type="paragraph" w:styleId="3">
    <w:name w:val="heading 2"/>
    <w:basedOn w:val="1"/>
    <w:next w:val="1"/>
    <w:link w:val="19"/>
    <w:unhideWhenUsed/>
    <w:qFormat/>
    <w:uiPriority w:val="0"/>
    <w:pPr>
      <w:keepNext/>
      <w:keepLines/>
      <w:numPr>
        <w:ilvl w:val="0"/>
        <w:numId w:val="2"/>
      </w:numPr>
      <w:spacing w:before="120" w:after="120" w:line="415" w:lineRule="auto"/>
      <w:ind w:left="0" w:firstLine="0" w:firstLineChars="0"/>
      <w:outlineLvl w:val="1"/>
    </w:pPr>
    <w:rPr>
      <w:rFonts w:eastAsiaTheme="majorEastAsia" w:cstheme="majorBidi"/>
      <w:bCs/>
      <w:sz w:val="28"/>
      <w:szCs w:val="32"/>
    </w:rPr>
  </w:style>
  <w:style w:type="paragraph" w:styleId="4">
    <w:name w:val="heading 3"/>
    <w:basedOn w:val="1"/>
    <w:next w:val="1"/>
    <w:link w:val="20"/>
    <w:unhideWhenUsed/>
    <w:qFormat/>
    <w:uiPriority w:val="0"/>
    <w:pPr>
      <w:keepNext/>
      <w:keepLines/>
      <w:numPr>
        <w:ilvl w:val="0"/>
        <w:numId w:val="3"/>
      </w:numPr>
      <w:spacing w:before="120" w:after="120" w:line="415" w:lineRule="auto"/>
      <w:ind w:firstLineChars="0"/>
      <w:outlineLvl w:val="2"/>
    </w:pPr>
    <w:rPr>
      <w:bCs/>
      <w:szCs w:val="32"/>
    </w:rPr>
  </w:style>
  <w:style w:type="paragraph" w:styleId="5">
    <w:name w:val="heading 4"/>
    <w:basedOn w:val="1"/>
    <w:next w:val="1"/>
    <w:link w:val="23"/>
    <w:unhideWhenUsed/>
    <w:qFormat/>
    <w:uiPriority w:val="0"/>
    <w:pPr>
      <w:keepNext/>
      <w:keepLines/>
      <w:numPr>
        <w:ilvl w:val="0"/>
        <w:numId w:val="4"/>
      </w:numPr>
      <w:spacing w:before="120" w:after="120" w:line="377" w:lineRule="auto"/>
      <w:ind w:firstLine="0" w:firstLineChars="0"/>
      <w:outlineLvl w:val="3"/>
    </w:pPr>
    <w:rPr>
      <w:rFonts w:asciiTheme="majorHAnsi" w:hAnsiTheme="majorHAnsi" w:cstheme="majorBidi"/>
      <w:bCs/>
      <w:szCs w:val="28"/>
    </w:rPr>
  </w:style>
  <w:style w:type="paragraph" w:styleId="6">
    <w:name w:val="heading 5"/>
    <w:basedOn w:val="1"/>
    <w:next w:val="1"/>
    <w:link w:val="24"/>
    <w:unhideWhenUsed/>
    <w:qFormat/>
    <w:uiPriority w:val="0"/>
    <w:pPr>
      <w:keepNext/>
      <w:keepLines/>
      <w:spacing w:before="280" w:after="290" w:line="376" w:lineRule="auto"/>
      <w:outlineLvl w:val="4"/>
    </w:pPr>
    <w:rPr>
      <w:b/>
      <w:bCs/>
      <w:sz w:val="28"/>
      <w:szCs w:val="28"/>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ind w:firstLine="0" w:firstLineChars="0"/>
    </w:pPr>
    <w:rPr>
      <w:rFonts w:ascii="Arial" w:hAnsi="Arial" w:eastAsia="黑体"/>
      <w:sz w:val="20"/>
      <w:szCs w:val="22"/>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Autospacing="1" w:afterAutospacing="1"/>
      <w:jc w:val="left"/>
    </w:pPr>
    <w:rPr>
      <w:rFonts w:cs="Times New Roman"/>
      <w:kern w:val="0"/>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页眉 字符"/>
    <w:basedOn w:val="15"/>
    <w:link w:val="9"/>
    <w:qFormat/>
    <w:uiPriority w:val="0"/>
    <w:rPr>
      <w:kern w:val="2"/>
      <w:sz w:val="18"/>
      <w:szCs w:val="18"/>
    </w:rPr>
  </w:style>
  <w:style w:type="character" w:customStyle="1" w:styleId="17">
    <w:name w:val="标题 1 字符"/>
    <w:basedOn w:val="15"/>
    <w:link w:val="2"/>
    <w:qFormat/>
    <w:uiPriority w:val="0"/>
    <w:rPr>
      <w:rFonts w:ascii="Times New Roman" w:hAnsi="Times New Roman" w:eastAsia="黑体"/>
      <w:b/>
      <w:bCs/>
      <w:kern w:val="44"/>
      <w:sz w:val="30"/>
      <w:szCs w:val="44"/>
    </w:rPr>
  </w:style>
  <w:style w:type="paragraph" w:styleId="18">
    <w:name w:val="List Paragraph"/>
    <w:basedOn w:val="1"/>
    <w:unhideWhenUsed/>
    <w:qFormat/>
    <w:uiPriority w:val="99"/>
    <w:pPr>
      <w:ind w:firstLine="420"/>
    </w:pPr>
  </w:style>
  <w:style w:type="character" w:customStyle="1" w:styleId="19">
    <w:name w:val="标题 2 字符"/>
    <w:basedOn w:val="15"/>
    <w:link w:val="3"/>
    <w:qFormat/>
    <w:uiPriority w:val="0"/>
    <w:rPr>
      <w:rFonts w:ascii="Times New Roman" w:hAnsi="Times New Roman" w:eastAsiaTheme="majorEastAsia" w:cstheme="majorBidi"/>
      <w:bCs/>
      <w:kern w:val="2"/>
      <w:sz w:val="28"/>
      <w:szCs w:val="32"/>
    </w:rPr>
  </w:style>
  <w:style w:type="character" w:customStyle="1" w:styleId="20">
    <w:name w:val="标题 3 字符"/>
    <w:basedOn w:val="15"/>
    <w:link w:val="4"/>
    <w:qFormat/>
    <w:uiPriority w:val="0"/>
    <w:rPr>
      <w:rFonts w:ascii="Times New Roman" w:hAnsi="Times New Roman"/>
      <w:bCs/>
      <w:kern w:val="2"/>
      <w:sz w:val="24"/>
      <w:szCs w:val="32"/>
    </w:rPr>
  </w:style>
  <w:style w:type="paragraph" w:customStyle="1" w:styleId="21">
    <w:name w:val="表格"/>
    <w:basedOn w:val="1"/>
    <w:link w:val="22"/>
    <w:qFormat/>
    <w:uiPriority w:val="0"/>
    <w:pPr>
      <w:spacing w:line="360" w:lineRule="auto"/>
      <w:ind w:firstLine="0" w:firstLineChars="0"/>
    </w:pPr>
    <w:rPr>
      <w:rFonts w:eastAsia="黑体"/>
      <w:b/>
      <w:sz w:val="21"/>
    </w:rPr>
  </w:style>
  <w:style w:type="character" w:customStyle="1" w:styleId="22">
    <w:name w:val="表格 字符"/>
    <w:basedOn w:val="15"/>
    <w:link w:val="21"/>
    <w:qFormat/>
    <w:uiPriority w:val="0"/>
    <w:rPr>
      <w:rFonts w:ascii="Times New Roman" w:hAnsi="Times New Roman" w:eastAsia="黑体"/>
      <w:b/>
      <w:kern w:val="2"/>
      <w:sz w:val="21"/>
      <w:szCs w:val="24"/>
    </w:rPr>
  </w:style>
  <w:style w:type="character" w:customStyle="1" w:styleId="23">
    <w:name w:val="标题 4 字符"/>
    <w:basedOn w:val="15"/>
    <w:link w:val="5"/>
    <w:qFormat/>
    <w:uiPriority w:val="0"/>
    <w:rPr>
      <w:rFonts w:asciiTheme="majorHAnsi" w:hAnsiTheme="majorHAnsi" w:cstheme="majorBidi"/>
      <w:bCs/>
      <w:kern w:val="2"/>
      <w:sz w:val="24"/>
      <w:szCs w:val="28"/>
    </w:rPr>
  </w:style>
  <w:style w:type="character" w:customStyle="1" w:styleId="24">
    <w:name w:val="标题 5 字符"/>
    <w:basedOn w:val="15"/>
    <w:link w:val="6"/>
    <w:qFormat/>
    <w:uiPriority w:val="0"/>
    <w:rPr>
      <w:rFonts w:ascii="Times New Roman" w:hAnsi="Times New Roman"/>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jpe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chart" Target="charts/chart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2022-2024</a:t>
            </a:r>
            <a:r>
              <a:rPr lang="zh-CN" altLang="en-US"/>
              <a:t>年中国数据治理行业市场规模</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2022年</c:v>
                </c:pt>
              </c:strCache>
            </c:strRef>
          </c:tx>
          <c:spPr>
            <a:solidFill>
              <a:schemeClr val="accent1"/>
            </a:solidFill>
            <a:ln>
              <a:noFill/>
            </a:ln>
            <a:effectLst/>
          </c:spPr>
          <c:invertIfNegative val="0"/>
          <c:dLbls>
            <c:dLbl>
              <c:idx val="0"/>
              <c:layout/>
              <c:tx>
                <c:rich>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r>
                      <a:rPr lang="en-US" altLang="zh-CN"/>
                      <a:t>133</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r>
                      <a:rPr lang="en-US" altLang="zh-CN"/>
                      <a:t>162</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r>
                      <a:rPr lang="en-US" altLang="zh-CN"/>
                      <a:t>191</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dLbl>
              <c:idx val="3"/>
              <c:delete val="1"/>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numCache>
            </c:numRef>
          </c:cat>
          <c:val>
            <c:numRef>
              <c:f>Sheet1!$B$2:$B$5</c:f>
              <c:numCache>
                <c:formatCode>General</c:formatCode>
                <c:ptCount val="4"/>
                <c:pt idx="0">
                  <c:v>133</c:v>
                </c:pt>
                <c:pt idx="1">
                  <c:v>162</c:v>
                </c:pt>
                <c:pt idx="2">
                  <c:v>191</c:v>
                </c:pt>
              </c:numCache>
            </c:numRef>
          </c:val>
        </c:ser>
        <c:dLbls>
          <c:showLegendKey val="0"/>
          <c:showVal val="1"/>
          <c:showCatName val="0"/>
          <c:showSerName val="0"/>
          <c:showPercent val="0"/>
          <c:showBubbleSize val="0"/>
        </c:dLbls>
        <c:gapWidth val="246"/>
        <c:overlap val="-28"/>
        <c:axId val="891839681"/>
        <c:axId val="295943742"/>
      </c:barChart>
      <c:catAx>
        <c:axId val="891839681"/>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年份</a:t>
                </a:r>
                <a:endParaRPr lang="zh-CN" altLang="en-US"/>
              </a:p>
            </c:rich>
          </c:tx>
          <c:layout>
            <c:manualLayout>
              <c:xMode val="edge"/>
              <c:yMode val="edge"/>
              <c:x val="0.920028992510268"/>
              <c:y val="0.797917552061199"/>
            </c:manualLayout>
          </c:layout>
          <c:overlay val="0"/>
          <c:spPr>
            <a:noFill/>
            <a:ln>
              <a:noFill/>
            </a:ln>
            <a:effectLst/>
          </c:spPr>
        </c:title>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5943742"/>
        <c:crosses val="autoZero"/>
        <c:auto val="1"/>
        <c:lblAlgn val="ctr"/>
        <c:lblOffset val="100"/>
        <c:noMultiLvlLbl val="0"/>
      </c:catAx>
      <c:valAx>
        <c:axId val="295943742"/>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市场规模（亿元）</a:t>
                </a:r>
                <a:endParaRPr lang="zh-CN" altLang="en-US"/>
              </a:p>
            </c:rich>
          </c:tx>
          <c:layout>
            <c:manualLayout>
              <c:xMode val="edge"/>
              <c:yMode val="edge"/>
              <c:x val="0.0265764677458323"/>
              <c:y val="0.014449638759031"/>
            </c:manualLayout>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1839681"/>
        <c:crosses val="autoZero"/>
        <c:crossBetween val="between"/>
      </c:valAx>
      <c:spPr>
        <a:noFill/>
        <a:ln>
          <a:noFill/>
        </a:ln>
        <a:effectLst/>
      </c:spPr>
    </c:plotArea>
    <c:plotVisOnly val="1"/>
    <c:dispBlanksAs val="gap"/>
    <c:showDLblsOverMax val="0"/>
    <c:extLst>
      <c:ext uri="{0b15fc19-7d7d-44ad-8c2d-2c3a37ce22c3}">
        <chartProps xmlns="https://web.wps.cn/et/2018/main" chartId="{1e4316b2-9123-402a-b6df-3425c0de1f7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7494</Words>
  <Characters>7679</Characters>
  <Lines>1731</Lines>
  <Paragraphs>1209</Paragraphs>
  <TotalTime>10</TotalTime>
  <ScaleCrop>false</ScaleCrop>
  <LinksUpToDate>false</LinksUpToDate>
  <CharactersWithSpaces>7903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2025-06-07T06:11:00Z</dcterms:created>
  <dc:creator>椿</dc:creator>
  <cp:lastModifiedBy>   小透明</cp:lastModifiedBy>
  <cp:lastPrinted>2025-06-09T17:09:00Z</cp:lastPrinted>
  <dcterms:modified xsi:type="dcterms:W3CDTF">2026-04-14T08:56:14Z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239B6295AC6E41E4A437ED9162FA4D9B_13</vt:lpwstr>
  </property>
  <property fmtid="{D5CDD505-2E9C-101B-9397-08002B2CF9AE}" pid="4" name="KSOTemplateDocerSaveRecord">
    <vt:lpwstr>eyJoZGlkIjoiN2ZkN2U0NTE2ZWZjNGNkOGYwMTY5ODIwZjEyYjUxNGMiLCJ1c2VySWQiOiI1NzE1MDUwMTkifQ==</vt:lpwstr>
  </property>
</Properties>
</file>