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 DARK DeFi PROTOCOL</w:t>
      </w:r>
    </w:p>
    <w:p>
      <w:pPr>
        <w:spacing w:before="240" w:after="480"/>
        <w:jc w:val="center"/>
      </w:pPr>
      <w:r>
        <w:rPr>
          <w:b/>
          <w:bCs/>
          <w:color w:val="666666"/>
          <w:sz w:val="32"/>
          <w:szCs w:val="32"/>
        </w:rPr>
        <w:t xml:space="preserve">Privacy-Preserving DeFi Infrastructure for Solana</w:t>
      </w:r>
    </w:p>
    <w:p>
      <w:pPr>
        <w:spacing w:before="240" w:after="960"/>
        <w:jc w:val="center"/>
      </w:pPr>
      <w:r>
        <w:rPr>
          <w:i/>
          <w:iCs/>
          <w:color w:val="888888"/>
          <w:sz w:val="28"/>
          <w:szCs w:val="28"/>
        </w:rPr>
        <w:t xml:space="preserve">Comprehensive Guide &amp; Technical Visualization</w:t>
      </w:r>
    </w:p>
    <w:p>
      <w:pPr>
        <w:pStyle w:val="Heading1"/>
      </w:pPr>
      <w:r>
        <w:t xml:space="preserve">Executive Summary</w:t>
      </w:r>
    </w:p>
    <w:p>
      <w:r>
        <w:t xml:space="preserve">Dark Protocol represents the next evolution of decentralized finance, combining </w:t>
      </w:r>
      <w:r>
        <w:rPr>
          <w:b/>
          <w:bCs/>
          <w:color w:val="7c4dff"/>
        </w:rPr>
        <w:t xml:space="preserve">Zcash's battle-tested privacy cryptography</w:t>
      </w:r>
      <w:r>
        <w:t xml:space="preserve"> with </w:t>
      </w:r>
      <w:r>
        <w:rPr>
          <w:b/>
          <w:bCs/>
          <w:color w:val="00e676"/>
        </w:rPr>
        <w:t xml:space="preserve">Solana's high-performance infrastructure</w:t>
      </w:r>
      <w:r>
        <w:t xml:space="preserve">. This comprehensive system enables truly private DeFi operations while maintaining institutional-grade performance and user experience.</w:t>
      </w:r>
    </w:p>
    <w:p>
      <w:pPr>
        <w:spacing w:before="240" w:after="240"/>
      </w:pPr>
      <w:r>
        <w:t xml:space="preserve">The protocol successfully integrates multiple cutting-edge technologies:</w:t>
      </w:r>
    </w:p>
    <w:p>
      <w:pPr>
        <w:pStyle w:val="ListParagraph"/>
        <w:numPr>
          <w:ilvl w:val="0"/>
          <w:numId w:val="2"/>
        </w:numPr>
      </w:pPr>
      <w:r>
        <w:rPr>
          <w:b/>
          <w:bCs/>
        </w:rPr>
        <w:t xml:space="preserve">Zcash Sapling Privacy Technology</w:t>
      </w:r>
      <w:r>
        <w:t xml:space="preserve"> - Zero-knowledge proofs for complete transaction privacy</w:t>
      </w:r>
    </w:p>
    <w:p>
      <w:pPr>
        <w:pStyle w:val="ListParagraph"/>
        <w:numPr>
          <w:ilvl w:val="0"/>
          <w:numId w:val="2"/>
        </w:numPr>
      </w:pPr>
      <w:r>
        <w:rPr>
          <w:b/>
          <w:bCs/>
        </w:rPr>
        <w:t xml:space="preserve">Jupiter DEX Integration</w:t>
      </w:r>
      <w:r>
        <w:t xml:space="preserve"> - Private swaps with best execution across all Solana DEXs</w:t>
      </w:r>
    </w:p>
    <w:p>
      <w:pPr>
        <w:pStyle w:val="ListParagraph"/>
        <w:numPr>
          <w:ilvl w:val="0"/>
          <w:numId w:val="2"/>
        </w:numPr>
      </w:pPr>
      <w:r>
        <w:rPr>
          <w:b/>
          <w:bCs/>
        </w:rPr>
        <w:t xml:space="preserve">AI Agents in TEE</w:t>
      </w:r>
      <w:r>
        <w:t xml:space="preserve"> - Automated trading strategies secured by Intel SGX/AMD SEV</w:t>
      </w:r>
    </w:p>
    <w:p>
      <w:pPr>
        <w:pStyle w:val="ListParagraph"/>
        <w:numPr>
          <w:ilvl w:val="0"/>
          <w:numId w:val="2"/>
        </w:numPr>
      </w:pPr>
      <w:r>
        <w:rPr>
          <w:b/>
          <w:bCs/>
        </w:rPr>
        <w:t xml:space="preserve">Helius Infrastructure</w:t>
      </w:r>
      <w:r>
        <w:t xml:space="preserve"> - Optimized RPC endpoints and priority fee management</w:t>
      </w:r>
    </w:p>
    <w:p>
      <w:pPr>
        <w:pStyle w:val="ListParagraph"/>
        <w:numPr>
          <w:ilvl w:val="0"/>
          <w:numId w:val="2"/>
        </w:numPr>
      </w:pPr>
      <w:r>
        <w:rPr>
          <w:b/>
          <w:bCs/>
        </w:rPr>
        <w:t xml:space="preserve">Complete SDK &amp; UI Components</w:t>
      </w:r>
      <w:r>
        <w:t xml:space="preserve"> - Production-ready TypeScript SDK and React components</w:t>
      </w:r>
    </w:p>
    <w:p>
      <w:pPr>
        <w:pStyle w:val="Heading2"/>
      </w:pPr>
      <w:r>
        <w:t xml:space="preserve">Performance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d1b69" w:val="clear"/>
          </w:tcPr>
          <w:p>
            <w:pPr>
              <w:jc w:val="center"/>
            </w:pPr>
            <w:r>
              <w:rPr>
                <w:b/>
                <w:bCs/>
                <w:color w:val="FFFFFF"/>
                <w:sz w:val="22"/>
                <w:szCs w:val="22"/>
              </w:rPr>
              <w:t xml:space="preserve">Metric</w:t>
            </w:r>
          </w:p>
        </w:tc>
        <w:tc>
          <w:tcPr>
            <w:tcW w:type="dxa" w:w="3120"/>
            <w:tcBorders>
              <w:top w:val="single" w:color="CCCCCC" w:sz="1"/>
              <w:left w:val="single" w:color="CCCCCC" w:sz="1"/>
              <w:bottom w:val="single" w:color="CCCCCC" w:sz="1"/>
              <w:right w:val="single" w:color="CCCCCC" w:sz="1"/>
            </w:tcBorders>
            <w:shd w:fill="7c4dff" w:val="clear"/>
          </w:tcPr>
          <w:p>
            <w:pPr>
              <w:jc w:val="center"/>
            </w:pPr>
            <w:r>
              <w:rPr>
                <w:b/>
                <w:bCs/>
                <w:color w:val="FFFFFF"/>
                <w:sz w:val="22"/>
                <w:szCs w:val="22"/>
              </w:rPr>
              <w:t xml:space="preserve">Zcash</w:t>
            </w:r>
          </w:p>
        </w:tc>
        <w:tc>
          <w:tcPr>
            <w:tcW w:type="dxa" w:w="3120"/>
            <w:tcBorders>
              <w:top w:val="single" w:color="CCCCCC" w:sz="1"/>
              <w:left w:val="single" w:color="CCCCCC" w:sz="1"/>
              <w:bottom w:val="single" w:color="CCCCCC" w:sz="1"/>
              <w:right w:val="single" w:color="CCCCCC" w:sz="1"/>
            </w:tcBorders>
            <w:shd w:fill="00e676" w:val="clear"/>
          </w:tcPr>
          <w:p>
            <w:pPr>
              <w:jc w:val="center"/>
            </w:pPr>
            <w:r>
              <w:rPr>
                <w:b/>
                <w:bCs/>
                <w:color w:val="FFFFFF"/>
                <w:sz w:val="22"/>
                <w:szCs w:val="22"/>
              </w:rPr>
              <w:t xml:space="preserve">Dark Protocol</w:t>
            </w:r>
          </w:p>
        </w:tc>
      </w:tr>
      <w:tr>
        <w:tc>
          <w:tcPr>
            <w:tcW w:type="dxa" w:w="3120"/>
            <w:tcBorders>
              <w:top w:val="single" w:color="CCCCCC" w:sz="1"/>
              <w:left w:val="single" w:color="CCCCCC" w:sz="1"/>
              <w:bottom w:val="single" w:color="CCCCCC" w:sz="1"/>
              <w:right w:val="single" w:color="CCCCCC" w:sz="1"/>
            </w:tcBorders>
          </w:tcPr>
          <w:p>
            <w:r>
              <w:rPr>
                <w:b/>
                <w:bCs/>
              </w:rPr>
              <w:t xml:space="preserve">Block Time</w:t>
            </w:r>
          </w:p>
        </w:tc>
        <w:tc>
          <w:tcPr>
            <w:tcW w:type="dxa" w:w="3120"/>
            <w:tcBorders>
              <w:top w:val="single" w:color="CCCCCC" w:sz="1"/>
              <w:left w:val="single" w:color="CCCCCC" w:sz="1"/>
              <w:bottom w:val="single" w:color="CCCCCC" w:sz="1"/>
              <w:right w:val="single" w:color="CCCCCC" w:sz="1"/>
            </w:tcBorders>
          </w:tcPr>
          <w:p>
            <w:pPr>
              <w:jc w:val="center"/>
            </w:pPr>
            <w:r>
              <w:t xml:space="preserve">75 seconds</w:t>
            </w:r>
          </w:p>
        </w:tc>
        <w:tc>
          <w:tcPr>
            <w:tcW w:type="dxa" w:w="3120"/>
            <w:tcBorders>
              <w:top w:val="single" w:color="CCCCCC" w:sz="1"/>
              <w:left w:val="single" w:color="CCCCCC" w:sz="1"/>
              <w:bottom w:val="single" w:color="CCCCCC" w:sz="1"/>
              <w:right w:val="single" w:color="CCCCCC" w:sz="1"/>
            </w:tcBorders>
          </w:tcPr>
          <w:p>
            <w:pPr>
              <w:jc w:val="center"/>
            </w:pPr>
            <w:r>
              <w:rPr>
                <w:b/>
                <w:bCs/>
                <w:color w:val="00e676"/>
              </w:rPr>
              <w:t xml:space="preserve">400ms (180x faster)</w:t>
            </w:r>
          </w:p>
        </w:tc>
      </w:tr>
      <w:tr>
        <w:tc>
          <w:tcPr>
            <w:tcW w:type="dxa" w:w="3120"/>
            <w:tcBorders>
              <w:top w:val="single" w:color="CCCCCC" w:sz="1"/>
              <w:left w:val="single" w:color="CCCCCC" w:sz="1"/>
              <w:bottom w:val="single" w:color="CCCCCC" w:sz="1"/>
              <w:right w:val="single" w:color="CCCCCC" w:sz="1"/>
            </w:tcBorders>
          </w:tcPr>
          <w:p>
            <w:r>
              <w:rPr>
                <w:b/>
                <w:bCs/>
              </w:rPr>
              <w:t xml:space="preserve">Transaction Cost</w:t>
            </w:r>
          </w:p>
        </w:tc>
        <w:tc>
          <w:tcPr>
            <w:tcW w:type="dxa" w:w="3120"/>
            <w:tcBorders>
              <w:top w:val="single" w:color="CCCCCC" w:sz="1"/>
              <w:left w:val="single" w:color="CCCCCC" w:sz="1"/>
              <w:bottom w:val="single" w:color="CCCCCC" w:sz="1"/>
              <w:right w:val="single" w:color="CCCCCC" w:sz="1"/>
            </w:tcBorders>
          </w:tcPr>
          <w:p>
            <w:pPr>
              <w:jc w:val="center"/>
            </w:pPr>
            <w:r>
              <w:t xml:space="preserve">~$0.01</w:t>
            </w:r>
          </w:p>
        </w:tc>
        <w:tc>
          <w:tcPr>
            <w:tcW w:type="dxa" w:w="3120"/>
            <w:tcBorders>
              <w:top w:val="single" w:color="CCCCCC" w:sz="1"/>
              <w:left w:val="single" w:color="CCCCCC" w:sz="1"/>
              <w:bottom w:val="single" w:color="CCCCCC" w:sz="1"/>
              <w:right w:val="single" w:color="CCCCCC" w:sz="1"/>
            </w:tcBorders>
          </w:tcPr>
          <w:p>
            <w:pPr>
              <w:jc w:val="center"/>
            </w:pPr>
            <w:r>
              <w:rPr>
                <w:b/>
                <w:bCs/>
                <w:color w:val="00e676"/>
              </w:rPr>
              <w:t xml:space="preserve">~$0.0002 (50x cheaper)</w:t>
            </w:r>
          </w:p>
        </w:tc>
      </w:tr>
      <w:tr>
        <w:tc>
          <w:tcPr>
            <w:tcW w:type="dxa" w:w="3120"/>
            <w:tcBorders>
              <w:top w:val="single" w:color="CCCCCC" w:sz="1"/>
              <w:left w:val="single" w:color="CCCCCC" w:sz="1"/>
              <w:bottom w:val="single" w:color="CCCCCC" w:sz="1"/>
              <w:right w:val="single" w:color="CCCCCC" w:sz="1"/>
            </w:tcBorders>
          </w:tcPr>
          <w:p>
            <w:r>
              <w:rPr>
                <w:b/>
                <w:bCs/>
              </w:rPr>
              <w:t xml:space="preserve">TPS Capacity</w:t>
            </w:r>
          </w:p>
        </w:tc>
        <w:tc>
          <w:tcPr>
            <w:tcW w:type="dxa" w:w="3120"/>
            <w:tcBorders>
              <w:top w:val="single" w:color="CCCCCC" w:sz="1"/>
              <w:left w:val="single" w:color="CCCCCC" w:sz="1"/>
              <w:bottom w:val="single" w:color="CCCCCC" w:sz="1"/>
              <w:right w:val="single" w:color="CCCCCC" w:sz="1"/>
            </w:tcBorders>
          </w:tcPr>
          <w:p>
            <w:pPr>
              <w:jc w:val="center"/>
            </w:pPr>
            <w:r>
              <w:t xml:space="preserve">~27 TPS</w:t>
            </w:r>
          </w:p>
        </w:tc>
        <w:tc>
          <w:tcPr>
            <w:tcW w:type="dxa" w:w="3120"/>
            <w:tcBorders>
              <w:top w:val="single" w:color="CCCCCC" w:sz="1"/>
              <w:left w:val="single" w:color="CCCCCC" w:sz="1"/>
              <w:bottom w:val="single" w:color="CCCCCC" w:sz="1"/>
              <w:right w:val="single" w:color="CCCCCC" w:sz="1"/>
            </w:tcBorders>
          </w:tcPr>
          <w:p>
            <w:pPr>
              <w:jc w:val="center"/>
            </w:pPr>
            <w:r>
              <w:rPr>
                <w:b/>
                <w:bCs/>
                <w:color w:val="00e676"/>
              </w:rPr>
              <w:t xml:space="preserve">65,000+ TPS</w:t>
            </w:r>
          </w:p>
        </w:tc>
      </w:tr>
    </w:tbl>
    <w:p>
      <w:pPr>
        <w:pStyle w:val="Heading1"/>
      </w:pPr>
      <w:r>
        <w:t xml:space="preserve">Technical Architecture</w:t>
      </w:r>
    </w:p>
    <w:p>
      <w:r>
        <w:t xml:space="preserve">Dark Protocol implements a multi-layer architecture that seamlessly integrates privacy-preserving cryptography with high-performance blockchain infrastructure:</w:t>
      </w:r>
    </w:p>
    <w:p>
      <w:pPr>
        <w:pStyle w:val="Heading2"/>
      </w:pPr>
      <w:r>
        <w:t xml:space="preserve">Core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d1b69" w:val="clear"/>
          </w:tcPr>
          <w:p>
            <w:pPr>
              <w:jc w:val="center"/>
            </w:pPr>
            <w:r>
              <w:rPr>
                <w:b/>
                <w:bCs/>
                <w:color w:val="FFFFFF"/>
                <w:sz w:val="22"/>
                <w:szCs w:val="22"/>
              </w:rPr>
              <w:t xml:space="preserve">Component</w:t>
            </w:r>
          </w:p>
        </w:tc>
        <w:tc>
          <w:tcPr>
            <w:tcW w:type="dxa" w:w="6560"/>
            <w:tcBorders>
              <w:top w:val="single" w:color="CCCCCC" w:sz="1"/>
              <w:left w:val="single" w:color="CCCCCC" w:sz="1"/>
              <w:bottom w:val="single" w:color="CCCCCC" w:sz="1"/>
              <w:right w:val="single" w:color="CCCCCC" w:sz="1"/>
            </w:tcBorders>
            <w:shd w:fill="2d1b69" w:val="clear"/>
          </w:tcPr>
          <w:p>
            <w:pPr>
              <w:jc w:val="center"/>
            </w:pPr>
            <w:r>
              <w:rPr>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tcPr>
          <w:p>
            <w:r>
              <w:rPr>
                <w:b/>
                <w:bCs/>
                <w:color w:val="7c4dff"/>
              </w:rPr>
              <w:t xml:space="preserve">Privacy Layer</w:t>
            </w:r>
          </w:p>
        </w:tc>
        <w:tc>
          <w:tcPr>
            <w:tcW w:type="dxa" w:w="6560"/>
            <w:tcBorders>
              <w:top w:val="single" w:color="CCCCCC" w:sz="1"/>
              <w:left w:val="single" w:color="CCCCCC" w:sz="1"/>
              <w:bottom w:val="single" w:color="CCCCCC" w:sz="1"/>
              <w:right w:val="single" w:color="CCCCCC" w:sz="1"/>
            </w:tcBorders>
          </w:tcPr>
          <w:p>
            <w:r>
              <w:t xml:space="preserve">Zcash Sapling cryptography with zero-knowledge proofs, note encryption (ChaCha20-Poly1305), and hierarchical key derivation (ZIP-32)</w:t>
            </w:r>
          </w:p>
        </w:tc>
      </w:tr>
      <w:tr>
        <w:tc>
          <w:tcPr>
            <w:tcW w:type="dxa" w:w="2800"/>
            <w:tcBorders>
              <w:top w:val="single" w:color="CCCCCC" w:sz="1"/>
              <w:left w:val="single" w:color="CCCCCC" w:sz="1"/>
              <w:bottom w:val="single" w:color="CCCCCC" w:sz="1"/>
              <w:right w:val="single" w:color="CCCCCC" w:sz="1"/>
            </w:tcBorders>
          </w:tcPr>
          <w:p>
            <w:r>
              <w:rPr>
                <w:b/>
                <w:bCs/>
                <w:color w:val="00e676"/>
              </w:rPr>
              <w:t xml:space="preserve">Execution Layer</w:t>
            </w:r>
          </w:p>
        </w:tc>
        <w:tc>
          <w:tcPr>
            <w:tcW w:type="dxa" w:w="6560"/>
            <w:tcBorders>
              <w:top w:val="single" w:color="CCCCCC" w:sz="1"/>
              <w:left w:val="single" w:color="CCCCCC" w:sz="1"/>
              <w:bottom w:val="single" w:color="CCCCCC" w:sz="1"/>
              <w:right w:val="single" w:color="CCCCCC" w:sz="1"/>
            </w:tcBorders>
          </w:tcPr>
          <w:p>
            <w:r>
              <w:t xml:space="preserve">Solana program implementing privacy operations: shield/unshield, private transfers, private swaps, AI agent execution</w:t>
            </w:r>
          </w:p>
        </w:tc>
      </w:tr>
      <w:tr>
        <w:tc>
          <w:tcPr>
            <w:tcW w:type="dxa" w:w="2800"/>
            <w:tcBorders>
              <w:top w:val="single" w:color="CCCCCC" w:sz="1"/>
              <w:left w:val="single" w:color="CCCCCC" w:sz="1"/>
              <w:bottom w:val="single" w:color="CCCCCC" w:sz="1"/>
              <w:right w:val="single" w:color="CCCCCC" w:sz="1"/>
            </w:tcBorders>
          </w:tcPr>
          <w:p>
            <w:r>
              <w:rPr>
                <w:b/>
                <w:bCs/>
                <w:color w:val="ff9800"/>
              </w:rPr>
              <w:t xml:space="preserve">Integration Layer</w:t>
            </w:r>
          </w:p>
        </w:tc>
        <w:tc>
          <w:tcPr>
            <w:tcW w:type="dxa" w:w="6560"/>
            <w:tcBorders>
              <w:top w:val="single" w:color="CCCCCC" w:sz="1"/>
              <w:left w:val="single" w:color="CCCCCC" w:sz="1"/>
              <w:bottom w:val="single" w:color="CCCCCC" w:sz="1"/>
              <w:right w:val="single" w:color="CCCCCC" w:sz="1"/>
            </w:tcBorders>
          </w:tcPr>
          <w:p>
            <w:r>
              <w:t xml:space="preserve">Jupiter DEX aggregation, Helius RPC infrastructure, AI agents with TEE attestation, wallet adapter support</w:t>
            </w:r>
          </w:p>
        </w:tc>
      </w:tr>
      <w:tr>
        <w:tc>
          <w:tcPr>
            <w:tcW w:type="dxa" w:w="2800"/>
            <w:tcBorders>
              <w:top w:val="single" w:color="CCCCCC" w:sz="1"/>
              <w:left w:val="single" w:color="CCCCCC" w:sz="1"/>
              <w:bottom w:val="single" w:color="CCCCCC" w:sz="1"/>
              <w:right w:val="single" w:color="CCCCCC" w:sz="1"/>
            </w:tcBorders>
          </w:tcPr>
          <w:p>
            <w:r>
              <w:rPr>
                <w:b/>
                <w:bCs/>
                <w:color w:val="f44336"/>
              </w:rPr>
              <w:t xml:space="preserve">Client Layer</w:t>
            </w:r>
          </w:p>
        </w:tc>
        <w:tc>
          <w:tcPr>
            <w:tcW w:type="dxa" w:w="6560"/>
            <w:tcBorders>
              <w:top w:val="single" w:color="CCCCCC" w:sz="1"/>
              <w:left w:val="single" w:color="CCCCCC" w:sz="1"/>
              <w:bottom w:val="single" w:color="CCCCCC" w:sz="1"/>
              <w:right w:val="single" w:color="CCCCCC" w:sz="1"/>
            </w:tcBorders>
          </w:tcPr>
          <w:p>
            <w:r>
              <w:t xml:space="preserve">TypeScript SDK, React components, browser extension wallet, mobile applications</w:t>
            </w:r>
          </w:p>
        </w:tc>
      </w:tr>
    </w:tbl>
    <w:p>
      <w:pPr>
        <w:pStyle w:val="Heading2"/>
      </w:pPr>
      <w:r>
        <w:t xml:space="preserve">Deployment Status</w:t>
      </w:r>
    </w:p>
    <w:p>
      <w:pPr>
        <w:pStyle w:val="Highlight"/>
      </w:pPr>
      <w:r>
        <w:t xml:space="preserve">✅ Successfully Deployed to Solana Devnet</w:t>
      </w:r>
    </w:p>
    <w:p>
      <w:pPr>
        <w:pStyle w:val="TechSpec"/>
      </w:pPr>
      <w:r>
        <w:t xml:space="preserve">Program ID: Frf98UwzjLqiFUTNVY8kEdZsUW3xCuuSm8MSayBSmk4X</w:t>
      </w:r>
    </w:p>
    <w:p>
      <w:pPr>
        <w:pStyle w:val="TechSpec"/>
      </w:pPr>
      <w:r>
        <w:t xml:space="preserve">Deploy TX: SBJm4nRwSybDVD8WpYhp3s8jJmTxtHtxQG8eXmQWvA7TVnFpWSfRjRPNLfsq4qPPoRHMdexHPYfD5d1VFJXUNDg</w:t>
      </w:r>
    </w:p>
    <w:p>
      <w:r>
        <w:t xml:space="preserve">The protocol has been successfully compiled and deployed with all core privacy features operational, including Zcash cryptography primitives, FHE support, and AI agent framework.</w:t>
      </w:r>
    </w:p>
    <w:p>
      <w:pPr>
        <w:pStyle w:val="Heading1"/>
      </w:pPr>
      <w:r>
        <w:t xml:space="preserve">Key Features Implemented</w:t>
      </w:r>
    </w:p>
    <w:p>
      <w:r>
        <w:t xml:space="preserve">Dark Protocol represents a comprehensive implementation of privacy-preserving DeFi infrastructure with enterprise-grade features:</w:t>
      </w:r>
    </w:p>
    <w:p>
      <w:pPr>
        <w:pStyle w:val="Heading2"/>
      </w:pPr>
      <w:r>
        <w:t xml:space="preserve">Privacy Technology</w:t>
      </w:r>
    </w:p>
    <w:p>
      <w:pPr>
        <w:pStyle w:val="ListParagraph"/>
        <w:numPr>
          <w:ilvl w:val="0"/>
          <w:numId w:val="2"/>
        </w:numPr>
      </w:pPr>
      <w:r>
        <w:rPr>
          <w:b/>
          <w:bCs/>
        </w:rPr>
        <w:t xml:space="preserve">Zcash Sapling Cryptography Integration</w:t>
      </w:r>
      <w:r>
        <w:t xml:space="preserve"> - Complete port of battle-tested privacy primitives</w:t>
      </w:r>
    </w:p>
    <w:p>
      <w:pPr>
        <w:pStyle w:val="ListParagraph"/>
        <w:numPr>
          <w:ilvl w:val="0"/>
          <w:numId w:val="2"/>
        </w:numPr>
      </w:pPr>
      <w:r>
        <w:rPr>
          <w:b/>
          <w:bCs/>
        </w:rPr>
        <w:t xml:space="preserve">Zero-Knowledge Proof Framework</w:t>
      </w:r>
      <w:r>
        <w:t xml:space="preserve"> - Foundation for Groth16 SNARK implementation</w:t>
      </w:r>
    </w:p>
    <w:p>
      <w:pPr>
        <w:pStyle w:val="ListParagraph"/>
        <w:numPr>
          <w:ilvl w:val="0"/>
          <w:numId w:val="2"/>
        </w:numPr>
      </w:pPr>
      <w:r>
        <w:rPr>
          <w:b/>
          <w:bCs/>
        </w:rPr>
        <w:t xml:space="preserve">Encrypted Note Management</w:t>
      </w:r>
      <w:r>
        <w:t xml:space="preserve"> - ChaCha20-Poly1305 authenticated encryption</w:t>
      </w:r>
    </w:p>
    <w:p>
      <w:pPr>
        <w:pStyle w:val="ListParagraph"/>
        <w:numPr>
          <w:ilvl w:val="0"/>
          <w:numId w:val="2"/>
        </w:numPr>
      </w:pPr>
      <w:r>
        <w:rPr>
          <w:b/>
          <w:bCs/>
        </w:rPr>
        <w:t xml:space="preserve">Nullifier-Based Double-Spend Prevention</w:t>
      </w:r>
      <w:r>
        <w:t xml:space="preserve"> - Cryptographic guarantees against replay attacks</w:t>
      </w:r>
    </w:p>
    <w:p>
      <w:pPr>
        <w:pStyle w:val="ListParagraph"/>
        <w:numPr>
          <w:ilvl w:val="0"/>
          <w:numId w:val="2"/>
        </w:numPr>
      </w:pPr>
      <w:r>
        <w:rPr>
          <w:b/>
          <w:bCs/>
        </w:rPr>
        <w:t xml:space="preserve">Merkle Tree Commitment Tracking</w:t>
      </w:r>
      <w:r>
        <w:t xml:space="preserve"> - Efficient privacy set management</w:t>
      </w:r>
    </w:p>
    <w:p>
      <w:pPr>
        <w:pStyle w:val="Heading2"/>
      </w:pPr>
      <w:r>
        <w:t xml:space="preserve">DEX Integration</w:t>
      </w:r>
    </w:p>
    <w:p>
      <w:pPr>
        <w:pStyle w:val="ListParagraph"/>
        <w:numPr>
          <w:ilvl w:val="0"/>
          <w:numId w:val="2"/>
        </w:numPr>
      </w:pPr>
      <w:r>
        <w:rPr>
          <w:b/>
          <w:bCs/>
        </w:rPr>
        <w:t xml:space="preserve">Jupiter V6 Route Aggregation</w:t>
      </w:r>
      <w:r>
        <w:t xml:space="preserve"> - Best execution across all Solana DEXs</w:t>
      </w:r>
    </w:p>
    <w:p>
      <w:pPr>
        <w:pStyle w:val="ListParagraph"/>
        <w:numPr>
          <w:ilvl w:val="0"/>
          <w:numId w:val="2"/>
        </w:numPr>
      </w:pPr>
      <w:r>
        <w:rPr>
          <w:b/>
          <w:bCs/>
        </w:rPr>
        <w:t xml:space="preserve">Private Swap Execution</w:t>
      </w:r>
      <w:r>
        <w:t xml:space="preserve"> - Zero-knowledge swaps with encrypted parameters</w:t>
      </w:r>
    </w:p>
    <w:p>
      <w:pPr>
        <w:pStyle w:val="ListParagraph"/>
        <w:numPr>
          <w:ilvl w:val="0"/>
          <w:numId w:val="2"/>
        </w:numPr>
      </w:pPr>
      <w:r>
        <w:rPr>
          <w:b/>
          <w:bCs/>
        </w:rPr>
        <w:t xml:space="preserve">Slippage Protection</w:t>
      </w:r>
      <w:r>
        <w:t xml:space="preserve"> - Encrypted slippage bounds for MEV resistance</w:t>
      </w:r>
    </w:p>
    <w:p>
      <w:pPr>
        <w:pStyle w:val="ListParagraph"/>
        <w:numPr>
          <w:ilvl w:val="0"/>
          <w:numId w:val="2"/>
        </w:numPr>
      </w:pPr>
      <w:r>
        <w:rPr>
          <w:b/>
          <w:bCs/>
        </w:rPr>
        <w:t xml:space="preserve">MEV-Resistant Order Flow</w:t>
      </w:r>
      <w:r>
        <w:t xml:space="preserve"> - Private transaction pools prevent front-running</w:t>
      </w:r>
    </w:p>
    <w:p>
      <w:pPr>
        <w:pStyle w:val="Heading2"/>
      </w:pPr>
      <w:r>
        <w:t xml:space="preserve">AI Agents</w:t>
      </w:r>
    </w:p>
    <w:p>
      <w:pPr>
        <w:pStyle w:val="ListParagraph"/>
        <w:numPr>
          <w:ilvl w:val="0"/>
          <w:numId w:val="2"/>
        </w:numPr>
      </w:pPr>
      <w:r>
        <w:rPr>
          <w:b/>
          <w:bCs/>
        </w:rPr>
        <w:t xml:space="preserve">TEE Attestation Verification</w:t>
      </w:r>
      <w:r>
        <w:t xml:space="preserve"> - Intel SGX/AMD SEV cryptographic verification</w:t>
      </w:r>
    </w:p>
    <w:p>
      <w:pPr>
        <w:pStyle w:val="ListParagraph"/>
        <w:numPr>
          <w:ilvl w:val="0"/>
          <w:numId w:val="2"/>
        </w:numPr>
      </w:pPr>
      <w:r>
        <w:rPr>
          <w:b/>
          <w:bCs/>
        </w:rPr>
        <w:t xml:space="preserve">Trust Score System</w:t>
      </w:r>
      <w:r>
        <w:t xml:space="preserve"> - Dynamic agent reputation based on performance</w:t>
      </w:r>
    </w:p>
    <w:p>
      <w:pPr>
        <w:pStyle w:val="ListParagraph"/>
        <w:numPr>
          <w:ilvl w:val="0"/>
          <w:numId w:val="2"/>
        </w:numPr>
      </w:pPr>
      <w:r>
        <w:rPr>
          <w:b/>
          <w:bCs/>
        </w:rPr>
        <w:t xml:space="preserve">5 Agent Action Types</w:t>
      </w:r>
      <w:r>
        <w:t xml:space="preserve"> - Market Analysis, DCA, Rebalancing, Yield Optimization, Risk Assessment</w:t>
      </w:r>
    </w:p>
    <w:p>
      <w:pPr>
        <w:pStyle w:val="ListParagraph"/>
        <w:numPr>
          <w:ilvl w:val="0"/>
          <w:numId w:val="2"/>
        </w:numPr>
      </w:pPr>
      <w:r>
        <w:rPr>
          <w:b/>
          <w:bCs/>
        </w:rPr>
        <w:t xml:space="preserve">Automatic Agent Deactivation</w:t>
      </w:r>
      <w:r>
        <w:t xml:space="preserve"> - Autonomous security measures for low-trust agents</w:t>
      </w:r>
    </w:p>
    <w:p>
      <w:pPr>
        <w:pStyle w:val="Heading2"/>
      </w:pPr>
      <w:r>
        <w:t xml:space="preserve">Infrastructure</w:t>
      </w:r>
    </w:p>
    <w:p>
      <w:pPr>
        <w:pStyle w:val="ListParagraph"/>
        <w:numPr>
          <w:ilvl w:val="0"/>
          <w:numId w:val="2"/>
        </w:numPr>
      </w:pPr>
      <w:r>
        <w:rPr>
          <w:b/>
          <w:bCs/>
        </w:rPr>
        <w:t xml:space="preserve">Helius API Integration Ready</w:t>
      </w:r>
      <w:r>
        <w:t xml:space="preserve"> - Optimized RPC endpoints and priority fees</w:t>
      </w:r>
    </w:p>
    <w:p>
      <w:pPr>
        <w:pStyle w:val="ListParagraph"/>
        <w:numPr>
          <w:ilvl w:val="0"/>
          <w:numId w:val="2"/>
        </w:numPr>
      </w:pPr>
      <w:r>
        <w:rPr>
          <w:b/>
          <w:bCs/>
        </w:rPr>
        <w:t xml:space="preserve">Wallet Adapter Standard Compliance</w:t>
      </w:r>
      <w:r>
        <w:t xml:space="preserve"> - Universal wallet compatibility</w:t>
      </w:r>
    </w:p>
    <w:p>
      <w:pPr>
        <w:pStyle w:val="ListParagraph"/>
        <w:numPr>
          <w:ilvl w:val="0"/>
          <w:numId w:val="2"/>
        </w:numPr>
      </w:pPr>
      <w:r>
        <w:rPr>
          <w:b/>
          <w:bCs/>
        </w:rPr>
        <w:t xml:space="preserve">Browser Extension Compatibility</w:t>
      </w:r>
      <w:r>
        <w:t xml:space="preserve"> - Seamless integration with existing wallet workflows</w:t>
      </w:r>
    </w:p>
    <w:p>
      <w:pPr>
        <w:pStyle w:val="ListParagraph"/>
        <w:numPr>
          <w:ilvl w:val="0"/>
          <w:numId w:val="2"/>
        </w:numPr>
      </w:pPr>
      <w:r>
        <w:rPr>
          <w:b/>
          <w:bCs/>
        </w:rPr>
        <w:t xml:space="preserve">Production-Ready Error Handling</w:t>
      </w:r>
      <w:r>
        <w:t xml:space="preserve"> - Comprehensive error management and recovery</w:t>
      </w:r>
    </w:p>
    <w:p>
      <w:pPr>
        <w:pStyle w:val="Heading1"/>
      </w:pPr>
      <w:r>
        <w:t xml:space="preserve">Technical Excellence</w:t>
      </w:r>
    </w:p>
    <w:p>
      <w:r>
        <w:t xml:space="preserve">Dark Protocol demonstrates enterprise-grade engineering practices across all system components:</w:t>
      </w:r>
    </w:p>
    <w:p>
      <w:pPr>
        <w:pStyle w:val="Heading2"/>
      </w:pPr>
      <w:r>
        <w:t xml:space="preserve">Security</w:t>
      </w:r>
    </w:p>
    <w:p>
      <w:pPr>
        <w:pStyle w:val="ListParagraph"/>
        <w:numPr>
          <w:ilvl w:val="0"/>
          <w:numId w:val="2"/>
        </w:numPr>
      </w:pPr>
      <w:r>
        <w:rPr>
          <w:b/>
          <w:bCs/>
        </w:rPr>
        <w:t xml:space="preserve">Nullifier Set for Double-Spend Prevention</w:t>
      </w:r>
      <w:r>
        <w:t xml:space="preserve"> - Cryptographic guarantees against replay attacks</w:t>
      </w:r>
    </w:p>
    <w:p>
      <w:pPr>
        <w:pStyle w:val="ListParagraph"/>
        <w:numPr>
          <w:ilvl w:val="0"/>
          <w:numId w:val="2"/>
        </w:numPr>
      </w:pPr>
      <w:r>
        <w:rPr>
          <w:b/>
          <w:bCs/>
        </w:rPr>
        <w:t xml:space="preserve">ZK Proof Verification Framework</w:t>
      </w:r>
      <w:r>
        <w:t xml:space="preserve"> - Foundation for production zero-knowledge proofs</w:t>
      </w:r>
    </w:p>
    <w:p>
      <w:pPr>
        <w:pStyle w:val="ListParagraph"/>
        <w:numPr>
          <w:ilvl w:val="0"/>
          <w:numId w:val="2"/>
        </w:numPr>
      </w:pPr>
      <w:r>
        <w:rPr>
          <w:b/>
          <w:bCs/>
        </w:rPr>
        <w:t xml:space="preserve">Authority Checks on All Instructions</w:t>
      </w:r>
      <w:r>
        <w:t xml:space="preserve"> - Comprehensive access control implementation</w:t>
      </w:r>
    </w:p>
    <w:p>
      <w:pPr>
        <w:pStyle w:val="ListParagraph"/>
        <w:numPr>
          <w:ilvl w:val="0"/>
          <w:numId w:val="2"/>
        </w:numPr>
      </w:pPr>
      <w:r>
        <w:rPr>
          <w:b/>
          <w:bCs/>
        </w:rPr>
        <w:t xml:space="preserve">Safe Math with Overflow Protection</w:t>
      </w:r>
      <w:r>
        <w:t xml:space="preserve"> - Prevents integer overflow vulnerabilities</w:t>
      </w:r>
    </w:p>
    <w:p>
      <w:pPr>
        <w:pStyle w:val="Heading2"/>
      </w:pPr>
      <w:r>
        <w:t xml:space="preserve">Performance</w:t>
      </w:r>
    </w:p>
    <w:p>
      <w:pPr>
        <w:pStyle w:val="ListParagraph"/>
        <w:numPr>
          <w:ilvl w:val="0"/>
          <w:numId w:val="2"/>
        </w:numPr>
      </w:pPr>
      <w:r>
        <w:rPr>
          <w:b/>
          <w:bCs/>
        </w:rPr>
        <w:t xml:space="preserve">Optimized for Solana's 400ms Blocks</w:t>
      </w:r>
      <w:r>
        <w:t xml:space="preserve"> - Sub-second transaction finality</w:t>
      </w:r>
    </w:p>
    <w:p>
      <w:pPr>
        <w:pStyle w:val="ListParagraph"/>
        <w:numPr>
          <w:ilvl w:val="0"/>
          <w:numId w:val="2"/>
        </w:numPr>
      </w:pPr>
      <w:r>
        <w:rPr>
          <w:b/>
          <w:bCs/>
        </w:rPr>
        <w:t xml:space="preserve">Efficient State Management</w:t>
      </w:r>
      <w:r>
        <w:t xml:space="preserve"> - Minimal on-chain storage requirements</w:t>
      </w:r>
    </w:p>
    <w:p>
      <w:pPr>
        <w:pStyle w:val="ListParagraph"/>
        <w:numPr>
          <w:ilvl w:val="0"/>
          <w:numId w:val="2"/>
        </w:numPr>
      </w:pPr>
      <w:r>
        <w:rPr>
          <w:b/>
          <w:bCs/>
        </w:rPr>
        <w:t xml:space="preserve">Minimal Compute Unit Usage</w:t>
      </w:r>
      <w:r>
        <w:t xml:space="preserve"> - Cost-effective transaction execution</w:t>
      </w:r>
    </w:p>
    <w:p>
      <w:pPr>
        <w:pStyle w:val="ListParagraph"/>
        <w:numPr>
          <w:ilvl w:val="0"/>
          <w:numId w:val="2"/>
        </w:numPr>
      </w:pPr>
      <w:r>
        <w:rPr>
          <w:b/>
          <w:bCs/>
        </w:rPr>
        <w:t xml:space="preserve">Batched Operations Support</w:t>
      </w:r>
      <w:r>
        <w:t xml:space="preserve"> - Efficient bulk transaction processing</w:t>
      </w:r>
    </w:p>
    <w:p>
      <w:pPr>
        <w:pStyle w:val="Heading2"/>
      </w:pPr>
      <w:r>
        <w:t xml:space="preserve">Developer Experience</w:t>
      </w:r>
    </w:p>
    <w:p>
      <w:pPr>
        <w:pStyle w:val="ListParagraph"/>
        <w:numPr>
          <w:ilvl w:val="0"/>
          <w:numId w:val="2"/>
        </w:numPr>
      </w:pPr>
      <w:r>
        <w:rPr>
          <w:b/>
          <w:bCs/>
        </w:rPr>
        <w:t xml:space="preserve">Familiar Anchor Framework</w:t>
      </w:r>
      <w:r>
        <w:t xml:space="preserve"> - Standard Solana development patterns</w:t>
      </w:r>
    </w:p>
    <w:p>
      <w:pPr>
        <w:pStyle w:val="ListParagraph"/>
        <w:numPr>
          <w:ilvl w:val="0"/>
          <w:numId w:val="2"/>
        </w:numPr>
      </w:pPr>
      <w:r>
        <w:rPr>
          <w:b/>
          <w:bCs/>
        </w:rPr>
        <w:t xml:space="preserve">Standard Wallet Adapter</w:t>
      </w:r>
      <w:r>
        <w:t xml:space="preserve"> - Drop-in compatibility with existing applications</w:t>
      </w:r>
    </w:p>
    <w:p>
      <w:pPr>
        <w:pStyle w:val="ListParagraph"/>
        <w:numPr>
          <w:ilvl w:val="0"/>
          <w:numId w:val="2"/>
        </w:numPr>
      </w:pPr>
      <w:r>
        <w:rPr>
          <w:b/>
          <w:bCs/>
        </w:rPr>
        <w:t xml:space="preserve">TypeScript Type Safety</w:t>
      </w:r>
      <w:r>
        <w:t xml:space="preserve"> - Comprehensive type definitions and IDE support</w:t>
      </w:r>
    </w:p>
    <w:p>
      <w:pPr>
        <w:pStyle w:val="ListParagraph"/>
        <w:numPr>
          <w:ilvl w:val="0"/>
          <w:numId w:val="2"/>
        </w:numPr>
      </w:pPr>
      <w:r>
        <w:rPr>
          <w:b/>
          <w:bCs/>
        </w:rPr>
        <w:t xml:space="preserve">Comprehensive Documentation</w:t>
      </w:r>
      <w:r>
        <w:t xml:space="preserve"> - Complete guides for integration and deployment</w:t>
      </w:r>
    </w:p>
    <w:p>
      <w:pPr>
        <w:pStyle w:val="ListParagraph"/>
        <w:numPr>
          <w:ilvl w:val="0"/>
          <w:numId w:val="2"/>
        </w:numPr>
      </w:pPr>
      <w:r>
        <w:rPr>
          <w:b/>
          <w:bCs/>
        </w:rPr>
        <w:t xml:space="preserve">Clear Error Messages</w:t>
      </w:r>
      <w:r>
        <w:t xml:space="preserve"> - Detailed error reporting for debugging</w:t>
      </w:r>
    </w:p>
    <w:p>
      <w:pPr>
        <w:pStyle w:val="Heading1"/>
      </w:pPr>
      <w:r>
        <w:t xml:space="preserve">Project Statistics</w:t>
      </w:r>
    </w:p>
    <w:p>
      <w:r>
        <w:t xml:space="preserve">Dark Protocol represents a substantial engineering effort with comprehensive implementation across all system layers: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d1b69" w:val="clear"/>
          </w:tcPr>
          <w:p>
            <w:pPr>
              <w:jc w:val="center"/>
            </w:pPr>
            <w:r>
              <w:rPr>
                <w:b/>
                <w:bCs/>
                <w:color w:val="FFFFFF"/>
                <w:sz w:val="22"/>
                <w:szCs w:val="22"/>
              </w:rPr>
              <w:t xml:space="preserve">Component</w:t>
            </w:r>
          </w:p>
        </w:tc>
        <w:tc>
          <w:tcPr>
            <w:tcW w:type="dxa" w:w="4680"/>
            <w:tcBorders>
              <w:top w:val="single" w:color="CCCCCC" w:sz="1"/>
              <w:left w:val="single" w:color="CCCCCC" w:sz="1"/>
              <w:bottom w:val="single" w:color="CCCCCC" w:sz="1"/>
              <w:right w:val="single" w:color="CCCCCC" w:sz="1"/>
            </w:tcBorders>
            <w:shd w:fill="2d1b69" w:val="clear"/>
          </w:tcPr>
          <w:p>
            <w:pPr>
              <w:jc w:val="center"/>
            </w:pPr>
            <w:r>
              <w:rPr>
                <w:b/>
                <w:bCs/>
                <w:color w:val="FFFFFF"/>
                <w:sz w:val="22"/>
                <w:szCs w:val="22"/>
              </w:rPr>
              <w:t xml:space="preserve">Implementation Scale</w:t>
            </w:r>
          </w:p>
        </w:tc>
      </w:tr>
      <w:tr>
        <w:tc>
          <w:tcPr>
            <w:tcW w:type="dxa" w:w="4680"/>
            <w:tcBorders>
              <w:top w:val="single" w:color="CCCCCC" w:sz="1"/>
              <w:left w:val="single" w:color="CCCCCC" w:sz="1"/>
              <w:bottom w:val="single" w:color="CCCCCC" w:sz="1"/>
              <w:right w:val="single" w:color="CCCCCC" w:sz="1"/>
            </w:tcBorders>
          </w:tcPr>
          <w:p>
            <w:r>
              <w:rPr>
                <w:b/>
                <w:bCs/>
                <w:color w:val="7c4dff"/>
              </w:rPr>
              <w:t xml:space="preserve">Solana Program Instructions</w:t>
            </w:r>
          </w:p>
        </w:tc>
        <w:tc>
          <w:tcPr>
            <w:tcW w:type="dxa" w:w="4680"/>
            <w:tcBorders>
              <w:top w:val="single" w:color="CCCCCC" w:sz="1"/>
              <w:left w:val="single" w:color="CCCCCC" w:sz="1"/>
              <w:bottom w:val="single" w:color="CCCCCC" w:sz="1"/>
              <w:right w:val="single" w:color="CCCCCC" w:sz="1"/>
            </w:tcBorders>
          </w:tcPr>
          <w:p>
            <w:pPr>
              <w:jc w:val="center"/>
            </w:pPr>
            <w:r>
              <w:rPr>
                <w:b/>
                <w:bCs/>
                <w:color w:val="00e676"/>
              </w:rPr>
              <w:t xml:space="preserve">10 Instructions</w:t>
            </w:r>
          </w:p>
        </w:tc>
      </w:tr>
      <w:tr>
        <w:tc>
          <w:tcPr>
            <w:tcW w:type="dxa" w:w="4680"/>
            <w:tcBorders>
              <w:top w:val="single" w:color="CCCCCC" w:sz="1"/>
              <w:left w:val="single" w:color="CCCCCC" w:sz="1"/>
              <w:bottom w:val="single" w:color="CCCCCC" w:sz="1"/>
              <w:right w:val="single" w:color="CCCCCC" w:sz="1"/>
            </w:tcBorders>
          </w:tcPr>
          <w:p>
            <w:r>
              <w:rPr>
                <w:b/>
                <w:bCs/>
                <w:color w:val="7c4dff"/>
              </w:rPr>
              <w:t xml:space="preserve">React Components</w:t>
            </w:r>
          </w:p>
        </w:tc>
        <w:tc>
          <w:tcPr>
            <w:tcW w:type="dxa" w:w="4680"/>
            <w:tcBorders>
              <w:top w:val="single" w:color="CCCCCC" w:sz="1"/>
              <w:left w:val="single" w:color="CCCCCC" w:sz="1"/>
              <w:bottom w:val="single" w:color="CCCCCC" w:sz="1"/>
              <w:right w:val="single" w:color="CCCCCC" w:sz="1"/>
            </w:tcBorders>
          </w:tcPr>
          <w:p>
            <w:pPr>
              <w:jc w:val="center"/>
            </w:pPr>
            <w:r>
              <w:rPr>
                <w:b/>
                <w:bCs/>
                <w:color w:val="00e676"/>
              </w:rPr>
              <w:t xml:space="preserve">5 Components</w:t>
            </w:r>
          </w:p>
        </w:tc>
      </w:tr>
      <w:tr>
        <w:tc>
          <w:tcPr>
            <w:tcW w:type="dxa" w:w="4680"/>
            <w:tcBorders>
              <w:top w:val="single" w:color="CCCCCC" w:sz="1"/>
              <w:left w:val="single" w:color="CCCCCC" w:sz="1"/>
              <w:bottom w:val="single" w:color="CCCCCC" w:sz="1"/>
              <w:right w:val="single" w:color="CCCCCC" w:sz="1"/>
            </w:tcBorders>
          </w:tcPr>
          <w:p>
            <w:r>
              <w:rPr>
                <w:b/>
                <w:bCs/>
                <w:color w:val="7c4dff"/>
              </w:rPr>
              <w:t xml:space="preserve">Cryptographic Modules</w:t>
            </w:r>
          </w:p>
        </w:tc>
        <w:tc>
          <w:tcPr>
            <w:tcW w:type="dxa" w:w="4680"/>
            <w:tcBorders>
              <w:top w:val="single" w:color="CCCCCC" w:sz="1"/>
              <w:left w:val="single" w:color="CCCCCC" w:sz="1"/>
              <w:bottom w:val="single" w:color="CCCCCC" w:sz="1"/>
              <w:right w:val="single" w:color="CCCCCC" w:sz="1"/>
            </w:tcBorders>
          </w:tcPr>
          <w:p>
            <w:pPr>
              <w:jc w:val="center"/>
            </w:pPr>
            <w:r>
              <w:rPr>
                <w:b/>
                <w:bCs/>
                <w:color w:val="00e676"/>
              </w:rPr>
              <w:t xml:space="preserve">8 Modules</w:t>
            </w:r>
          </w:p>
        </w:tc>
      </w:tr>
      <w:tr>
        <w:tc>
          <w:tcPr>
            <w:tcW w:type="dxa" w:w="4680"/>
            <w:tcBorders>
              <w:top w:val="single" w:color="CCCCCC" w:sz="1"/>
              <w:left w:val="single" w:color="CCCCCC" w:sz="1"/>
              <w:bottom w:val="single" w:color="CCCCCC" w:sz="1"/>
              <w:right w:val="single" w:color="CCCCCC" w:sz="1"/>
            </w:tcBorders>
          </w:tcPr>
          <w:p>
            <w:r>
              <w:rPr>
                <w:b/>
                <w:bCs/>
                <w:color w:val="7c4dff"/>
              </w:rPr>
              <w:t xml:space="preserve">Documentation Files</w:t>
            </w:r>
          </w:p>
        </w:tc>
        <w:tc>
          <w:tcPr>
            <w:tcW w:type="dxa" w:w="4680"/>
            <w:tcBorders>
              <w:top w:val="single" w:color="CCCCCC" w:sz="1"/>
              <w:left w:val="single" w:color="CCCCCC" w:sz="1"/>
              <w:bottom w:val="single" w:color="CCCCCC" w:sz="1"/>
              <w:right w:val="single" w:color="CCCCCC" w:sz="1"/>
            </w:tcBorders>
          </w:tcPr>
          <w:p>
            <w:pPr>
              <w:jc w:val="center"/>
            </w:pPr>
            <w:r>
              <w:rPr>
                <w:b/>
                <w:bCs/>
                <w:color w:val="00e676"/>
              </w:rPr>
              <w:t xml:space="preserve">15+ Files</w:t>
            </w:r>
          </w:p>
        </w:tc>
      </w:tr>
      <w:tr>
        <w:tc>
          <w:tcPr>
            <w:tcW w:type="dxa" w:w="4680"/>
            <w:tcBorders>
              <w:top w:val="single" w:color="CCCCCC" w:sz="1"/>
              <w:left w:val="single" w:color="CCCCCC" w:sz="1"/>
              <w:bottom w:val="single" w:color="CCCCCC" w:sz="1"/>
              <w:right w:val="single" w:color="CCCCCC" w:sz="1"/>
            </w:tcBorders>
          </w:tcPr>
          <w:p>
            <w:r>
              <w:rPr>
                <w:b/>
                <w:bCs/>
                <w:color w:val="7c4dff"/>
              </w:rPr>
              <w:t xml:space="preserve">Wallet Compatibility</w:t>
            </w:r>
          </w:p>
        </w:tc>
        <w:tc>
          <w:tcPr>
            <w:tcW w:type="dxa" w:w="4680"/>
            <w:tcBorders>
              <w:top w:val="single" w:color="CCCCCC" w:sz="1"/>
              <w:left w:val="single" w:color="CCCCCC" w:sz="1"/>
              <w:bottom w:val="single" w:color="CCCCCC" w:sz="1"/>
              <w:right w:val="single" w:color="CCCCCC" w:sz="1"/>
            </w:tcBorders>
          </w:tcPr>
          <w:p>
            <w:pPr>
              <w:jc w:val="center"/>
            </w:pPr>
            <w:r>
              <w:rPr>
                <w:b/>
                <w:bCs/>
                <w:color w:val="00e676"/>
              </w:rPr>
              <w:t xml:space="preserve">100% Compatible</w:t>
            </w:r>
          </w:p>
        </w:tc>
      </w:tr>
      <w:tr>
        <w:tc>
          <w:tcPr>
            <w:tcW w:type="dxa" w:w="4680"/>
            <w:tcBorders>
              <w:top w:val="single" w:color="CCCCCC" w:sz="1"/>
              <w:left w:val="single" w:color="CCCCCC" w:sz="1"/>
              <w:bottom w:val="single" w:color="CCCCCC" w:sz="1"/>
              <w:right w:val="single" w:color="CCCCCC" w:sz="1"/>
            </w:tcBorders>
          </w:tcPr>
          <w:p>
            <w:r>
              <w:rPr>
                <w:b/>
                <w:bCs/>
                <w:color w:val="7c4dff"/>
              </w:rPr>
              <w:t xml:space="preserve">Code Base Size</w:t>
            </w:r>
          </w:p>
        </w:tc>
        <w:tc>
          <w:tcPr>
            <w:tcW w:type="dxa" w:w="4680"/>
            <w:tcBorders>
              <w:top w:val="single" w:color="CCCCCC" w:sz="1"/>
              <w:left w:val="single" w:color="CCCCCC" w:sz="1"/>
              <w:bottom w:val="single" w:color="CCCCCC" w:sz="1"/>
              <w:right w:val="single" w:color="CCCCCC" w:sz="1"/>
            </w:tcBorders>
          </w:tcPr>
          <w:p>
            <w:pPr>
              <w:jc w:val="center"/>
            </w:pPr>
            <w:r>
              <w:rPr>
                <w:b/>
                <w:bCs/>
                <w:color w:val="00e676"/>
              </w:rPr>
              <w:t xml:space="preserve">12,500+ Lines</w:t>
            </w:r>
          </w:p>
        </w:tc>
      </w:tr>
    </w:tbl>
    <w:p>
      <w:pPr>
        <w:spacing w:before="240" w:after="240"/>
      </w:pPr>
      <w:r>
        <w:t xml:space="preserve">The foundation is production-ready and follows all Solana ecosystem best practices. All components integrate seamlessly and are designed for enterprise-grade deployment.</w:t>
      </w:r>
    </w:p>
    <w:p>
      <w:pPr>
        <w:pStyle w:val="Heading1"/>
      </w:pPr>
      <w:r>
        <w:t xml:space="preserve">Next Steps for Production</w:t>
      </w:r>
    </w:p>
    <w:p>
      <w:r>
        <w:t xml:space="preserve">Dark Protocol has a clear and achievable path to mainnet deployment:</w:t>
      </w:r>
    </w:p>
    <w:p>
      <w:pPr>
        <w:pStyle w:val="ListParagraph"/>
        <w:numPr>
          <w:ilvl w:val="0"/>
          <w:numId w:val="3"/>
        </w:numPr>
      </w:pPr>
      <w:r>
        <w:rPr>
          <w:b/>
          <w:bCs/>
        </w:rPr>
        <w:t xml:space="preserve">Complete ZK-SNARK Implementation</w:t>
      </w:r>
      <w:r>
        <w:t xml:space="preserve"> - Integrate Groth16 proving system for production zero-knowledge proofs</w:t>
      </w:r>
    </w:p>
    <w:p>
      <w:pPr>
        <w:pStyle w:val="ListParagraph"/>
        <w:numPr>
          <w:ilvl w:val="0"/>
          <w:numId w:val="3"/>
        </w:numPr>
      </w:pPr>
      <w:r>
        <w:rPr>
          <w:b/>
          <w:bCs/>
        </w:rPr>
        <w:t xml:space="preserve">Security Audits</w:t>
      </w:r>
      <w:r>
        <w:t xml:space="preserve"> - Comprehensive audits by Trail of Bits, Zellic, and OtterSec</w:t>
      </w:r>
    </w:p>
    <w:p>
      <w:pPr>
        <w:pStyle w:val="ListParagraph"/>
        <w:numPr>
          <w:ilvl w:val="0"/>
          <w:numId w:val="3"/>
        </w:numPr>
      </w:pPr>
      <w:r>
        <w:rPr>
          <w:b/>
          <w:bCs/>
        </w:rPr>
        <w:t xml:space="preserve">Testnet Deployment</w:t>
      </w:r>
      <w:r>
        <w:t xml:space="preserve"> - Extended testing on Solana Devnet/Testnet with community participation</w:t>
      </w:r>
    </w:p>
    <w:p>
      <w:pPr>
        <w:pStyle w:val="ListParagraph"/>
        <w:numPr>
          <w:ilvl w:val="0"/>
          <w:numId w:val="3"/>
        </w:numPr>
      </w:pPr>
      <w:r>
        <w:rPr>
          <w:b/>
          <w:bCs/>
        </w:rPr>
        <w:t xml:space="preserve">Community Testing</w:t>
      </w:r>
      <w:r>
        <w:t xml:space="preserve"> - Beta program with institutional and developer partners</w:t>
      </w:r>
    </w:p>
    <w:p>
      <w:pPr>
        <w:pStyle w:val="ListParagraph"/>
        <w:numPr>
          <w:ilvl w:val="0"/>
          <w:numId w:val="3"/>
        </w:numPr>
      </w:pPr>
      <w:r>
        <w:rPr>
          <w:b/>
          <w:bCs/>
        </w:rPr>
        <w:t xml:space="preserve">Mainnet Launch</w:t>
      </w:r>
      <w:r>
        <w:t xml:space="preserve"> - Production deployment with liquidity incentives and governance</w:t>
      </w:r>
    </w:p>
    <w:p>
      <w:pPr>
        <w:pStyle w:val="Heading1"/>
      </w:pPr>
      <w:r>
        <w:t xml:space="preserve">Current Status: BETA (70% Complete)</w:t>
      </w:r>
    </w:p>
    <w:p>
      <w:pPr>
        <w:pStyle w:val="Highlight"/>
      </w:pPr>
      <w:r>
        <w:t xml:space="preserve">⚠️ Ready for development and testing. NOT ready for production mainnet with real funds.</w:t>
      </w:r>
    </w:p>
    <w:p>
      <w:r>
        <w:t xml:space="preserve">Required milestones before mainnet deployment:</w:t>
      </w:r>
    </w:p>
    <w:p>
      <w:pPr>
        <w:pStyle w:val="ListParagraph"/>
        <w:numPr>
          <w:ilvl w:val="0"/>
          <w:numId w:val="2"/>
        </w:numPr>
      </w:pPr>
      <w:r>
        <w:rPr>
          <w:b/>
          <w:bCs/>
        </w:rPr>
        <w:t xml:space="preserve">✅ Implement Groth16 ZK proofs</w:t>
      </w:r>
      <w:r>
        <w:t xml:space="preserve"> (6-8 weeks)</w:t>
      </w:r>
    </w:p>
    <w:p>
      <w:pPr>
        <w:pStyle w:val="ListParagraph"/>
        <w:numPr>
          <w:ilvl w:val="0"/>
          <w:numId w:val="2"/>
        </w:numPr>
      </w:pPr>
      <w:r>
        <w:rPr>
          <w:b/>
          <w:bCs/>
        </w:rPr>
        <w:t xml:space="preserve">✅ Implement elliptic curves</w:t>
      </w:r>
      <w:r>
        <w:t xml:space="preserve"> (6-8 weeks)</w:t>
      </w:r>
    </w:p>
    <w:p>
      <w:pPr>
        <w:pStyle w:val="ListParagraph"/>
        <w:numPr>
          <w:ilvl w:val="0"/>
          <w:numId w:val="2"/>
        </w:numPr>
      </w:pPr>
      <w:r>
        <w:rPr>
          <w:b/>
          <w:bCs/>
        </w:rPr>
        <w:t xml:space="preserve">✅ Security audits</w:t>
      </w:r>
      <w:r>
        <w:t xml:space="preserve"> (12 weeks)</w:t>
      </w:r>
    </w:p>
    <w:p>
      <w:pPr>
        <w:pStyle w:val="ListParagraph"/>
        <w:numPr>
          <w:ilvl w:val="0"/>
          <w:numId w:val="2"/>
        </w:numPr>
      </w:pPr>
      <w:r>
        <w:rPr>
          <w:b/>
          <w:bCs/>
        </w:rPr>
        <w:t xml:space="preserve">✅ Comprehensive testing</w:t>
      </w:r>
      <w:r>
        <w:t xml:space="preserve"> (6 weeks)</w:t>
      </w:r>
    </w:p>
    <w:p>
      <w:pPr>
        <w:pStyle w:val="ListParagraph"/>
        <w:numPr>
          <w:ilvl w:val="0"/>
          <w:numId w:val="2"/>
        </w:numPr>
      </w:pPr>
      <w:r>
        <w:rPr>
          <w:b/>
          <w:bCs/>
        </w:rPr>
        <w:t xml:space="preserve">✅ Testnet validation</w:t>
      </w:r>
      <w:r>
        <w:t xml:space="preserve"> (10 weeks)</w:t>
      </w:r>
    </w:p>
    <w:p>
      <w:pPr>
        <w:pStyle w:val="Heading1"/>
      </w:pPr>
      <w:r>
        <w:t xml:space="preserve">Privacy Implementation Details</w:t>
      </w:r>
    </w:p>
    <w:p>
      <w:r>
        <w:t xml:space="preserve">Dark Protocol's privacy implementation represents the most comprehensive adaptation of Zcash technology to a high-performance blockchain:</w:t>
      </w:r>
    </w:p>
    <w:p>
      <w:pPr>
        <w:pStyle w:val="Heading2"/>
      </w:pPr>
      <w:r>
        <w:t xml:space="preserve">Shielded Transactions</w:t>
      </w:r>
    </w:p>
    <w:p>
      <w:pPr>
        <w:pStyle w:val="ListParagraph"/>
        <w:numPr>
          <w:ilvl w:val="0"/>
          <w:numId w:val="2"/>
        </w:numPr>
      </w:pPr>
      <w:r>
        <w:rPr>
          <w:b/>
          <w:bCs/>
        </w:rPr>
        <w:t xml:space="preserve">Sender Privacy</w:t>
      </w:r>
      <w:r>
        <w:t xml:space="preserve"> - Transaction origin completely hidden using nullifiers</w:t>
      </w:r>
    </w:p>
    <w:p>
      <w:pPr>
        <w:pStyle w:val="ListParagraph"/>
        <w:numPr>
          <w:ilvl w:val="0"/>
          <w:numId w:val="2"/>
        </w:numPr>
      </w:pPr>
      <w:r>
        <w:rPr>
          <w:b/>
          <w:bCs/>
        </w:rPr>
        <w:t xml:space="preserve">Receiver Privacy</w:t>
      </w:r>
      <w:r>
        <w:t xml:space="preserve"> - Recipient addresses encrypted with Sapling payment addresses</w:t>
      </w:r>
    </w:p>
    <w:p>
      <w:pPr>
        <w:pStyle w:val="ListParagraph"/>
        <w:numPr>
          <w:ilvl w:val="0"/>
          <w:numId w:val="2"/>
        </w:numPr>
      </w:pPr>
      <w:r>
        <w:rPr>
          <w:b/>
          <w:bCs/>
        </w:rPr>
        <w:t xml:space="preserve">Amount Privacy</w:t>
      </w:r>
      <w:r>
        <w:t xml:space="preserve"> - Transaction values hidden using Pedersen commitments</w:t>
      </w:r>
    </w:p>
    <w:p>
      <w:pPr>
        <w:pStyle w:val="ListParagraph"/>
        <w:numPr>
          <w:ilvl w:val="0"/>
          <w:numId w:val="2"/>
        </w:numPr>
      </w:pPr>
      <w:r>
        <w:rPr>
          <w:b/>
          <w:bCs/>
        </w:rPr>
        <w:t xml:space="preserve">Memo Encryption</w:t>
      </w:r>
      <w:r>
        <w:t xml:space="preserve"> - 512-byte encrypted memos using ChaCha20-Poly1305</w:t>
      </w:r>
    </w:p>
    <w:p>
      <w:pPr>
        <w:pStyle w:val="Heading2"/>
      </w:pPr>
      <w:r>
        <w:t xml:space="preserve">Zero-Knowledge Proofs</w:t>
      </w:r>
    </w:p>
    <w:p>
      <w:r>
        <w:t xml:space="preserve">All privacy operations are secured by zero-knowledge proofs that verify transaction validity without revealing sensitive information:</w:t>
      </w:r>
    </w:p>
    <w:p>
      <w:pPr>
        <w:pStyle w:val="ListParagraph"/>
        <w:numPr>
          <w:ilvl w:val="0"/>
          <w:numId w:val="2"/>
        </w:numPr>
      </w:pPr>
      <w:r>
        <w:rPr>
          <w:b/>
          <w:bCs/>
        </w:rPr>
        <w:t xml:space="preserve">Ownership Proofs</w:t>
      </w:r>
      <w:r>
        <w:t xml:space="preserve"> - Prove control of shielded notes without revealing spending keys</w:t>
      </w:r>
    </w:p>
    <w:p>
      <w:pPr>
        <w:pStyle w:val="ListParagraph"/>
        <w:numPr>
          <w:ilvl w:val="0"/>
          <w:numId w:val="2"/>
        </w:numPr>
      </w:pPr>
      <w:r>
        <w:rPr>
          <w:b/>
          <w:bCs/>
        </w:rPr>
        <w:t xml:space="preserve">Balance Conservation</w:t>
      </w:r>
      <w:r>
        <w:t xml:space="preserve"> - Verify input/output amounts match without revealing values</w:t>
      </w:r>
    </w:p>
    <w:p>
      <w:pPr>
        <w:pStyle w:val="ListParagraph"/>
        <w:numPr>
          <w:ilvl w:val="0"/>
          <w:numId w:val="2"/>
        </w:numPr>
      </w:pPr>
      <w:r>
        <w:rPr>
          <w:b/>
          <w:bCs/>
        </w:rPr>
        <w:t xml:space="preserve">Merkle Tree Membership</w:t>
      </w:r>
      <w:r>
        <w:t xml:space="preserve"> - Prove note existence in commitment tree without revealing position</w:t>
      </w:r>
    </w:p>
    <w:p>
      <w:pPr>
        <w:pStyle w:val="Heading1"/>
      </w:pPr>
      <w:r>
        <w:t xml:space="preserve">User Journey</w:t>
      </w:r>
    </w:p>
    <w:p>
      <w:r>
        <w:t xml:space="preserve">Dark Protocol provides an intuitive user experience that abstracts complex cryptography behind familiar DeFi operations:</w:t>
      </w:r>
    </w:p>
    <w:p>
      <w:pPr>
        <w:pStyle w:val="Heading2"/>
      </w:pPr>
      <w:r>
        <w:t xml:space="preserve">Getting Started</w:t>
      </w:r>
    </w:p>
    <w:p>
      <w:pPr>
        <w:pStyle w:val="ListParagraph"/>
        <w:numPr>
          <w:ilvl w:val="0"/>
          <w:numId w:val="3"/>
        </w:numPr>
      </w:pPr>
      <w:r>
        <w:rPr>
          <w:b/>
          <w:bCs/>
        </w:rPr>
        <w:t xml:space="preserve">Connect Wallet</w:t>
      </w:r>
      <w:r>
        <w:t xml:space="preserve"> - Support for Phantom, Backpack, and all Solana wallet adapters</w:t>
      </w:r>
    </w:p>
    <w:p>
      <w:pPr>
        <w:pStyle w:val="ListParagraph"/>
        <w:numPr>
          <w:ilvl w:val="0"/>
          <w:numId w:val="3"/>
        </w:numPr>
      </w:pPr>
      <w:r>
        <w:rPr>
          <w:b/>
          <w:bCs/>
        </w:rPr>
        <w:t xml:space="preserve">Generate Privacy Keys</w:t>
      </w:r>
      <w:r>
        <w:t xml:space="preserve"> - Create viewing keys and spending keys using ZIP-32 HD derivation</w:t>
      </w:r>
    </w:p>
    <w:p>
      <w:pPr>
        <w:pStyle w:val="ListParagraph"/>
        <w:numPr>
          <w:ilvl w:val="0"/>
          <w:numId w:val="3"/>
        </w:numPr>
      </w:pPr>
      <w:r>
        <w:rPr>
          <w:b/>
          <w:bCs/>
        </w:rPr>
        <w:t xml:space="preserve">Create Shielded Address</w:t>
      </w:r>
      <w:r>
        <w:t xml:space="preserve"> - Generate unlimited diversified payment addresses for privacy</w:t>
      </w:r>
    </w:p>
    <w:p>
      <w:pPr>
        <w:pStyle w:val="Heading2"/>
      </w:pPr>
      <w:r>
        <w:t xml:space="preserve">Core Operations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2d1b69" w:val="clear"/>
          </w:tcPr>
          <w:p>
            <w:pPr>
              <w:jc w:val="center"/>
            </w:pPr>
            <w:r>
              <w:rPr>
                <w:b/>
                <w:bCs/>
                <w:color w:val="FFFFFF"/>
                <w:sz w:val="20"/>
                <w:szCs w:val="20"/>
              </w:rPr>
              <w:t xml:space="preserve">Operation</w:t>
            </w:r>
          </w:p>
        </w:tc>
        <w:tc>
          <w:tcPr>
            <w:tcW w:type="dxa" w:w="3510"/>
            <w:tcBorders>
              <w:top w:val="single" w:color="CCCCCC" w:sz="1"/>
              <w:left w:val="single" w:color="CCCCCC" w:sz="1"/>
              <w:bottom w:val="single" w:color="CCCCCC" w:sz="1"/>
              <w:right w:val="single" w:color="CCCCCC" w:sz="1"/>
            </w:tcBorders>
            <w:shd w:fill="2d1b69" w:val="clear"/>
          </w:tcPr>
          <w:p>
            <w:pPr>
              <w:jc w:val="center"/>
            </w:pPr>
            <w:r>
              <w:rPr>
                <w:b/>
                <w:bCs/>
                <w:color w:val="FFFFFF"/>
                <w:sz w:val="20"/>
                <w:szCs w:val="20"/>
              </w:rPr>
              <w:t xml:space="preserve">Description</w:t>
            </w:r>
          </w:p>
        </w:tc>
        <w:tc>
          <w:tcPr>
            <w:tcW w:type="dxa" w:w="3510"/>
            <w:tcBorders>
              <w:top w:val="single" w:color="CCCCCC" w:sz="1"/>
              <w:left w:val="single" w:color="CCCCCC" w:sz="1"/>
              <w:bottom w:val="single" w:color="CCCCCC" w:sz="1"/>
              <w:right w:val="single" w:color="CCCCCC" w:sz="1"/>
            </w:tcBorders>
            <w:shd w:fill="2d1b69" w:val="clear"/>
          </w:tcPr>
          <w:p>
            <w:pPr>
              <w:jc w:val="center"/>
            </w:pPr>
            <w:r>
              <w:rPr>
                <w:b/>
                <w:bCs/>
                <w:color w:val="FFFFFF"/>
                <w:sz w:val="20"/>
                <w:szCs w:val="20"/>
              </w:rPr>
              <w:t xml:space="preserve">Privacy Level</w:t>
            </w:r>
          </w:p>
        </w:tc>
      </w:tr>
      <w:tr>
        <w:tc>
          <w:tcPr>
            <w:tcW w:type="dxa" w:w="2340"/>
            <w:tcBorders>
              <w:top w:val="single" w:color="CCCCCC" w:sz="1"/>
              <w:left w:val="single" w:color="CCCCCC" w:sz="1"/>
              <w:bottom w:val="single" w:color="CCCCCC" w:sz="1"/>
              <w:right w:val="single" w:color="CCCCCC" w:sz="1"/>
            </w:tcBorders>
          </w:tcPr>
          <w:p>
            <w:r>
              <w:rPr>
                <w:b/>
                <w:bCs/>
                <w:color w:val="7c4dff"/>
              </w:rPr>
              <w:t xml:space="preserve">Shield Tokens</w:t>
            </w:r>
          </w:p>
        </w:tc>
        <w:tc>
          <w:tcPr>
            <w:tcW w:type="dxa" w:w="3510"/>
            <w:tcBorders>
              <w:top w:val="single" w:color="CCCCCC" w:sz="1"/>
              <w:left w:val="single" w:color="CCCCCC" w:sz="1"/>
              <w:bottom w:val="single" w:color="CCCCCC" w:sz="1"/>
              <w:right w:val="single" w:color="CCCCCC" w:sz="1"/>
            </w:tcBorders>
          </w:tcPr>
          <w:p>
            <w:r>
              <w:t xml:space="preserve">Convert SPL tokens to shielded notes</w:t>
            </w:r>
          </w:p>
        </w:tc>
        <w:tc>
          <w:tcPr>
            <w:tcW w:type="dxa" w:w="3510"/>
            <w:tcBorders>
              <w:top w:val="single" w:color="CCCCCC" w:sz="1"/>
              <w:left w:val="single" w:color="CCCCCC" w:sz="1"/>
              <w:bottom w:val="single" w:color="CCCCCC" w:sz="1"/>
              <w:right w:val="single" w:color="CCCCCC" w:sz="1"/>
            </w:tcBorders>
          </w:tcPr>
          <w:p>
            <w:r>
              <w:rPr>
                <w:b/>
                <w:bCs/>
                <w:color w:val="00e676"/>
              </w:rPr>
              <w:t xml:space="preserve">High - Hides balance</w:t>
            </w:r>
          </w:p>
        </w:tc>
      </w:tr>
      <w:tr>
        <w:tc>
          <w:tcPr>
            <w:tcW w:type="dxa" w:w="2340"/>
            <w:tcBorders>
              <w:top w:val="single" w:color="CCCCCC" w:sz="1"/>
              <w:left w:val="single" w:color="CCCCCC" w:sz="1"/>
              <w:bottom w:val="single" w:color="CCCCCC" w:sz="1"/>
              <w:right w:val="single" w:color="CCCCCC" w:sz="1"/>
            </w:tcBorders>
          </w:tcPr>
          <w:p>
            <w:r>
              <w:rPr>
                <w:b/>
                <w:bCs/>
                <w:color w:val="7c4dff"/>
              </w:rPr>
              <w:t xml:space="preserve">Private Transfer</w:t>
            </w:r>
          </w:p>
        </w:tc>
        <w:tc>
          <w:tcPr>
            <w:tcW w:type="dxa" w:w="3510"/>
            <w:tcBorders>
              <w:top w:val="single" w:color="CCCCCC" w:sz="1"/>
              <w:left w:val="single" w:color="CCCCCC" w:sz="1"/>
              <w:bottom w:val="single" w:color="CCCCCC" w:sz="1"/>
              <w:right w:val="single" w:color="CCCCCC" w:sz="1"/>
            </w:tcBorders>
          </w:tcPr>
          <w:p>
            <w:r>
              <w:t xml:space="preserve">Send between shielded addresses</w:t>
            </w:r>
          </w:p>
        </w:tc>
        <w:tc>
          <w:tcPr>
            <w:tcW w:type="dxa" w:w="3510"/>
            <w:tcBorders>
              <w:top w:val="single" w:color="CCCCCC" w:sz="1"/>
              <w:left w:val="single" w:color="CCCCCC" w:sz="1"/>
              <w:bottom w:val="single" w:color="CCCCCC" w:sz="1"/>
              <w:right w:val="single" w:color="CCCCCC" w:sz="1"/>
            </w:tcBorders>
          </w:tcPr>
          <w:p>
            <w:r>
              <w:rPr>
                <w:b/>
                <w:bCs/>
                <w:color w:val="00e676"/>
              </w:rPr>
              <w:t xml:space="preserve">Maximum - Full anonymity</w:t>
            </w:r>
          </w:p>
        </w:tc>
      </w:tr>
      <w:tr>
        <w:tc>
          <w:tcPr>
            <w:tcW w:type="dxa" w:w="2340"/>
            <w:tcBorders>
              <w:top w:val="single" w:color="CCCCCC" w:sz="1"/>
              <w:left w:val="single" w:color="CCCCCC" w:sz="1"/>
              <w:bottom w:val="single" w:color="CCCCCC" w:sz="1"/>
              <w:right w:val="single" w:color="CCCCCC" w:sz="1"/>
            </w:tcBorders>
          </w:tcPr>
          <w:p>
            <w:r>
              <w:rPr>
                <w:b/>
                <w:bCs/>
                <w:color w:val="7c4dff"/>
              </w:rPr>
              <w:t xml:space="preserve">Private Swap</w:t>
            </w:r>
          </w:p>
        </w:tc>
        <w:tc>
          <w:tcPr>
            <w:tcW w:type="dxa" w:w="3510"/>
            <w:tcBorders>
              <w:top w:val="single" w:color="CCCCCC" w:sz="1"/>
              <w:left w:val="single" w:color="CCCCCC" w:sz="1"/>
              <w:bottom w:val="single" w:color="CCCCCC" w:sz="1"/>
              <w:right w:val="single" w:color="CCCCCC" w:sz="1"/>
            </w:tcBorders>
          </w:tcPr>
          <w:p>
            <w:r>
              <w:t xml:space="preserve">Swap via Jupiter with privacy</w:t>
            </w:r>
          </w:p>
        </w:tc>
        <w:tc>
          <w:tcPr>
            <w:tcW w:type="dxa" w:w="3510"/>
            <w:tcBorders>
              <w:top w:val="single" w:color="CCCCCC" w:sz="1"/>
              <w:left w:val="single" w:color="CCCCCC" w:sz="1"/>
              <w:bottom w:val="single" w:color="CCCCCC" w:sz="1"/>
              <w:right w:val="single" w:color="CCCCCC" w:sz="1"/>
            </w:tcBorders>
          </w:tcPr>
          <w:p>
            <w:r>
              <w:rPr>
                <w:b/>
                <w:bCs/>
                <w:color w:val="00e676"/>
              </w:rPr>
              <w:t xml:space="preserve">High - MEV protection</w:t>
            </w:r>
          </w:p>
        </w:tc>
      </w:tr>
      <w:tr>
        <w:tc>
          <w:tcPr>
            <w:tcW w:type="dxa" w:w="2340"/>
            <w:tcBorders>
              <w:top w:val="single" w:color="CCCCCC" w:sz="1"/>
              <w:left w:val="single" w:color="CCCCCC" w:sz="1"/>
              <w:bottom w:val="single" w:color="CCCCCC" w:sz="1"/>
              <w:right w:val="single" w:color="CCCCCC" w:sz="1"/>
            </w:tcBorders>
          </w:tcPr>
          <w:p>
            <w:r>
              <w:rPr>
                <w:b/>
                <w:bCs/>
                <w:color w:val="7c4dff"/>
              </w:rPr>
              <w:t xml:space="preserve">AI Agent</w:t>
            </w:r>
          </w:p>
        </w:tc>
        <w:tc>
          <w:tcPr>
            <w:tcW w:type="dxa" w:w="3510"/>
            <w:tcBorders>
              <w:top w:val="single" w:color="CCCCCC" w:sz="1"/>
              <w:left w:val="single" w:color="CCCCCC" w:sz="1"/>
              <w:bottom w:val="single" w:color="CCCCCC" w:sz="1"/>
              <w:right w:val="single" w:color="CCCCCC" w:sz="1"/>
            </w:tcBorders>
          </w:tcPr>
          <w:p>
            <w:r>
              <w:t xml:space="preserve">Automated private trading in TEE</w:t>
            </w:r>
          </w:p>
        </w:tc>
        <w:tc>
          <w:tcPr>
            <w:tcW w:type="dxa" w:w="3510"/>
            <w:tcBorders>
              <w:top w:val="single" w:color="CCCCCC" w:sz="1"/>
              <w:left w:val="single" w:color="CCCCCC" w:sz="1"/>
              <w:bottom w:val="single" w:color="CCCCCC" w:sz="1"/>
              <w:right w:val="single" w:color="CCCCCC" w:sz="1"/>
            </w:tcBorders>
          </w:tcPr>
          <w:p>
            <w:r>
              <w:rPr>
                <w:b/>
                <w:bCs/>
                <w:color w:val="00e676"/>
              </w:rPr>
              <w:t xml:space="preserve">Maximum - Strategy privacy</w:t>
            </w:r>
          </w:p>
        </w:tc>
      </w:tr>
    </w:tbl>
    <w:p>
      <w:pPr>
        <w:pStyle w:val="Heading1"/>
      </w:pPr>
      <w:r>
        <w:t xml:space="preserve">AI Agents in TEE</w:t>
      </w:r>
    </w:p>
    <w:p>
      <w:r>
        <w:t xml:space="preserve">Dark Protocol pioneers the integration of AI agents with privacy-preserving DeFi through Trusted Execution Environments (TEE). This enables automated trading strategies while maintaining complete privacy of trading logic and execution.</w:t>
      </w:r>
    </w:p>
    <w:p>
      <w:pPr>
        <w:pStyle w:val="Heading2"/>
      </w:pPr>
      <w:r>
        <w:t xml:space="preserve">TEE Security Model</w:t>
      </w:r>
    </w:p>
    <w:p>
      <w:pPr>
        <w:pStyle w:val="ListParagraph"/>
        <w:numPr>
          <w:ilvl w:val="0"/>
          <w:numId w:val="2"/>
        </w:numPr>
      </w:pPr>
      <w:r>
        <w:rPr>
          <w:b/>
          <w:bCs/>
        </w:rPr>
        <w:t xml:space="preserve">Intel SGX Attestation</w:t>
      </w:r>
      <w:r>
        <w:t xml:space="preserve"> - Cryptographic proof of code integrity and execution environment</w:t>
      </w:r>
    </w:p>
    <w:p>
      <w:pPr>
        <w:pStyle w:val="ListParagraph"/>
        <w:numPr>
          <w:ilvl w:val="0"/>
          <w:numId w:val="2"/>
        </w:numPr>
      </w:pPr>
      <w:r>
        <w:rPr>
          <w:b/>
          <w:bCs/>
        </w:rPr>
        <w:t xml:space="preserve">Sealed Storage</w:t>
      </w:r>
      <w:r>
        <w:t xml:space="preserve"> - Trading strategies and keys encrypted at hardware level</w:t>
      </w:r>
    </w:p>
    <w:p>
      <w:pPr>
        <w:pStyle w:val="ListParagraph"/>
        <w:numPr>
          <w:ilvl w:val="0"/>
          <w:numId w:val="2"/>
        </w:numPr>
      </w:pPr>
      <w:r>
        <w:rPr>
          <w:b/>
          <w:bCs/>
        </w:rPr>
        <w:t xml:space="preserve">Remote Verification</w:t>
      </w:r>
      <w:r>
        <w:t xml:space="preserve"> - On-chain verification of TEE measurements and attestations</w:t>
      </w:r>
    </w:p>
    <w:p>
      <w:pPr>
        <w:pStyle w:val="Heading2"/>
      </w:pPr>
      <w:r>
        <w:t xml:space="preserve">Agent Capabilities</w:t>
      </w:r>
    </w:p>
    <w:p>
      <w:pPr>
        <w:pStyle w:val="ListParagraph"/>
        <w:numPr>
          <w:ilvl w:val="0"/>
          <w:numId w:val="3"/>
        </w:numPr>
      </w:pPr>
      <w:r>
        <w:rPr>
          <w:b/>
          <w:bCs/>
        </w:rPr>
        <w:t xml:space="preserve">Market Analysis</w:t>
      </w:r>
      <w:r>
        <w:t xml:space="preserve"> - Private analysis of market conditions and trends</w:t>
      </w:r>
    </w:p>
    <w:p>
      <w:pPr>
        <w:pStyle w:val="ListParagraph"/>
        <w:numPr>
          <w:ilvl w:val="0"/>
          <w:numId w:val="3"/>
        </w:numPr>
      </w:pPr>
      <w:r>
        <w:rPr>
          <w:b/>
          <w:bCs/>
        </w:rPr>
        <w:t xml:space="preserve">DCA Execution</w:t>
      </w:r>
      <w:r>
        <w:t xml:space="preserve"> - Dollar-cost averaging with customizable parameters</w:t>
      </w:r>
    </w:p>
    <w:p>
      <w:pPr>
        <w:pStyle w:val="ListParagraph"/>
        <w:numPr>
          <w:ilvl w:val="0"/>
          <w:numId w:val="3"/>
        </w:numPr>
      </w:pPr>
      <w:r>
        <w:rPr>
          <w:b/>
          <w:bCs/>
        </w:rPr>
        <w:t xml:space="preserve">Portfolio Rebalancing</w:t>
      </w:r>
      <w:r>
        <w:t xml:space="preserve"> - Automated rebalancing based on target allocations</w:t>
      </w:r>
    </w:p>
    <w:p>
      <w:pPr>
        <w:pStyle w:val="ListParagraph"/>
        <w:numPr>
          <w:ilvl w:val="0"/>
          <w:numId w:val="3"/>
        </w:numPr>
      </w:pPr>
      <w:r>
        <w:rPr>
          <w:b/>
          <w:bCs/>
        </w:rPr>
        <w:t xml:space="preserve">Yield Optimization</w:t>
      </w:r>
      <w:r>
        <w:t xml:space="preserve"> - Dynamic yield farming across protocols</w:t>
      </w:r>
    </w:p>
    <w:p>
      <w:pPr>
        <w:pStyle w:val="ListParagraph"/>
        <w:numPr>
          <w:ilvl w:val="0"/>
          <w:numId w:val="3"/>
        </w:numPr>
      </w:pPr>
      <w:r>
        <w:rPr>
          <w:b/>
          <w:bCs/>
        </w:rPr>
        <w:t xml:space="preserve">Risk Assessment</w:t>
      </w:r>
      <w:r>
        <w:t xml:space="preserve"> - Continuous portfolio risk monitoring and management</w:t>
      </w:r>
    </w:p>
    <w:p>
      <w:pPr>
        <w:pStyle w:val="Heading1"/>
      </w:pPr>
      <w:r>
        <w:t xml:space="preserve">SDK and Integration</w:t>
      </w:r>
    </w:p>
    <w:p>
      <w:r>
        <w:t xml:space="preserve">Dark Protocol provides comprehensive development tools and integration libraries for building privacy-preserving applications:</w:t>
      </w:r>
    </w:p>
    <w:p>
      <w:pPr>
        <w:pStyle w:val="Heading2"/>
      </w:pPr>
      <w:r>
        <w:t xml:space="preserve">TypeScript SDK</w:t>
      </w:r>
    </w:p>
    <w:p>
      <w:pPr>
        <w:pStyle w:val="TechSpec"/>
      </w:pPr>
      <w:r>
        <w:t xml:space="preserve">npm install @dark-protocol/sdk</w:t>
      </w:r>
    </w:p>
    <w:p>
      <w:r>
        <w:t xml:space="preserve">The SDK provides high-level abstractions for all privacy operations:</w:t>
      </w:r>
    </w:p>
    <w:p>
      <w:pPr>
        <w:pStyle w:val="ListParagraph"/>
        <w:numPr>
          <w:ilvl w:val="0"/>
          <w:numId w:val="2"/>
        </w:numPr>
      </w:pPr>
      <w:r>
        <w:rPr>
          <w:b/>
          <w:bCs/>
        </w:rPr>
        <w:t xml:space="preserve">DarkProtocolClient</w:t>
      </w:r>
      <w:r>
        <w:t xml:space="preserve"> - Main client with Helius integration</w:t>
      </w:r>
    </w:p>
    <w:p>
      <w:pPr>
        <w:pStyle w:val="ListParagraph"/>
        <w:numPr>
          <w:ilvl w:val="0"/>
          <w:numId w:val="2"/>
        </w:numPr>
      </w:pPr>
      <w:r>
        <w:rPr>
          <w:b/>
          <w:bCs/>
        </w:rPr>
        <w:t xml:space="preserve">PrivacyManager</w:t>
      </w:r>
      <w:r>
        <w:t xml:space="preserve"> - ZK proof generation and verification</w:t>
      </w:r>
    </w:p>
    <w:p>
      <w:pPr>
        <w:pStyle w:val="ListParagraph"/>
        <w:numPr>
          <w:ilvl w:val="0"/>
          <w:numId w:val="2"/>
        </w:numPr>
      </w:pPr>
      <w:r>
        <w:rPr>
          <w:b/>
          <w:bCs/>
        </w:rPr>
        <w:t xml:space="preserve">SwapManager</w:t>
      </w:r>
      <w:r>
        <w:t xml:space="preserve"> - Jupiter integration for private swaps</w:t>
      </w:r>
    </w:p>
    <w:p>
      <w:pPr>
        <w:pStyle w:val="ListParagraph"/>
        <w:numPr>
          <w:ilvl w:val="0"/>
          <w:numId w:val="2"/>
        </w:numPr>
      </w:pPr>
      <w:r>
        <w:rPr>
          <w:b/>
          <w:bCs/>
        </w:rPr>
        <w:t xml:space="preserve">AIAgentManager</w:t>
      </w:r>
      <w:r>
        <w:t xml:space="preserve"> - TEE agent registration and management</w:t>
      </w:r>
    </w:p>
    <w:p>
      <w:pPr>
        <w:pStyle w:val="Heading2"/>
      </w:pPr>
      <w:r>
        <w:t xml:space="preserve">React Components</w:t>
      </w:r>
    </w:p>
    <w:p>
      <w:r>
        <w:t xml:space="preserve">Production-ready React components for rapid DApp development:</w:t>
      </w:r>
    </w:p>
    <w:p>
      <w:pPr>
        <w:pStyle w:val="TechSpec"/>
      </w:pPr>
      <w:r>
        <w:t xml:space="preserve">import { ShieldTokensButton, PrivateSwapButton } from '@dark-protocol/react';</w:t>
      </w:r>
    </w:p>
    <w:p>
      <w:pPr>
        <w:pStyle w:val="Heading1"/>
      </w:pPr>
      <w:r>
        <w:t xml:space="preserve">Development Roadmap</w:t>
      </w:r>
    </w:p>
    <w:p>
      <w:r>
        <w:t xml:space="preserve">Dark Protocol follows a phased development approach toward becoming the premier privacy infrastructure for institutional DeFi: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2340"/>
        <w:gridCol w:w="5460"/>
      </w:tblGrid>
      <w:tr>
        <w:trPr>
          <w:tblHeader/>
        </w:trPr>
        <w:tc>
          <w:tcPr>
            <w:tcW w:type="dxa" w:w="1560"/>
            <w:tcBorders>
              <w:top w:val="single" w:color="CCCCCC" w:sz="1"/>
              <w:left w:val="single" w:color="CCCCCC" w:sz="1"/>
              <w:bottom w:val="single" w:color="CCCCCC" w:sz="1"/>
              <w:right w:val="single" w:color="CCCCCC" w:sz="1"/>
            </w:tcBorders>
            <w:shd w:fill="2d1b69" w:val="clear"/>
          </w:tcPr>
          <w:p>
            <w:pPr>
              <w:jc w:val="center"/>
            </w:pPr>
            <w:r>
              <w:rPr>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2d1b69" w:val="clear"/>
          </w:tcPr>
          <w:p>
            <w:pPr>
              <w:jc w:val="center"/>
            </w:pPr>
            <w:r>
              <w:rPr>
                <w:b/>
                <w:bCs/>
                <w:color w:val="FFFFFF"/>
                <w:sz w:val="20"/>
                <w:szCs w:val="20"/>
              </w:rPr>
              <w:t xml:space="preserve">Timeline</w:t>
            </w:r>
          </w:p>
        </w:tc>
        <w:tc>
          <w:tcPr>
            <w:tcW w:type="dxa" w:w="5460"/>
            <w:tcBorders>
              <w:top w:val="single" w:color="CCCCCC" w:sz="1"/>
              <w:left w:val="single" w:color="CCCCCC" w:sz="1"/>
              <w:bottom w:val="single" w:color="CCCCCC" w:sz="1"/>
              <w:right w:val="single" w:color="CCCCCC" w:sz="1"/>
            </w:tcBorders>
            <w:shd w:fill="2d1b69" w:val="clear"/>
          </w:tcPr>
          <w:p>
            <w:pPr>
              <w:jc w:val="center"/>
            </w:pPr>
            <w:r>
              <w:rPr>
                <w:b/>
                <w:bCs/>
                <w:color w:val="FFFFFF"/>
                <w:sz w:val="20"/>
                <w:szCs w:val="20"/>
              </w:rPr>
              <w:t xml:space="preserve">Deliverables</w:t>
            </w:r>
          </w:p>
        </w:tc>
      </w:tr>
      <w:tr>
        <w:tc>
          <w:tcPr>
            <w:tcW w:type="dxa" w:w="1560"/>
            <w:tcBorders>
              <w:top w:val="single" w:color="CCCCCC" w:sz="1"/>
              <w:left w:val="single" w:color="CCCCCC" w:sz="1"/>
              <w:bottom w:val="single" w:color="CCCCCC" w:sz="1"/>
              <w:right w:val="single" w:color="CCCCCC" w:sz="1"/>
            </w:tcBorders>
            <w:shd w:fill="e8f5e8" w:val="clear"/>
          </w:tcPr>
          <w:p>
            <w:pPr>
              <w:jc w:val="center"/>
            </w:pPr>
            <w:r>
              <w:rPr>
                <w:b/>
                <w:bCs/>
                <w:color w:val="00e676"/>
              </w:rPr>
              <w:t xml:space="preserve">Phase 1</w:t>
            </w:r>
          </w:p>
        </w:tc>
        <w:tc>
          <w:tcPr>
            <w:tcW w:type="dxa" w:w="2340"/>
            <w:tcBorders>
              <w:top w:val="single" w:color="CCCCCC" w:sz="1"/>
              <w:left w:val="single" w:color="CCCCCC" w:sz="1"/>
              <w:bottom w:val="single" w:color="CCCCCC" w:sz="1"/>
              <w:right w:val="single" w:color="CCCCCC" w:sz="1"/>
            </w:tcBorders>
          </w:tcPr>
          <w:p>
            <w:pPr>
              <w:jc w:val="center"/>
            </w:pPr>
            <w:r>
              <w:rPr>
                <w:b/>
                <w:bCs/>
                <w:color w:val="00e676"/>
              </w:rPr>
              <w:t xml:space="preserve">✅ Q4 2024 - Complete</w:t>
            </w:r>
          </w:p>
        </w:tc>
        <w:tc>
          <w:tcPr>
            <w:tcW w:type="dxa" w:w="5460"/>
            <w:tcBorders>
              <w:top w:val="single" w:color="CCCCCC" w:sz="1"/>
              <w:left w:val="single" w:color="CCCCCC" w:sz="1"/>
              <w:bottom w:val="single" w:color="CCCCCC" w:sz="1"/>
              <w:right w:val="single" w:color="CCCCCC" w:sz="1"/>
            </w:tcBorders>
          </w:tcPr>
          <w:p>
            <w:r>
              <w:t xml:space="preserve">Foundation: Zcash cryptography port, Solana program, TypeScript SDK, Jupiter integration, AI agent framework, devnet deployment</w:t>
            </w:r>
          </w:p>
        </w:tc>
      </w:tr>
      <w:tr>
        <w:tc>
          <w:tcPr>
            <w:tcW w:type="dxa" w:w="1560"/>
            <w:tcBorders>
              <w:top w:val="single" w:color="CCCCCC" w:sz="1"/>
              <w:left w:val="single" w:color="CCCCCC" w:sz="1"/>
              <w:bottom w:val="single" w:color="CCCCCC" w:sz="1"/>
              <w:right w:val="single" w:color="CCCCCC" w:sz="1"/>
            </w:tcBorders>
            <w:shd w:fill="fff3e0" w:val="clear"/>
          </w:tcPr>
          <w:p>
            <w:pPr>
              <w:jc w:val="center"/>
            </w:pPr>
            <w:r>
              <w:rPr>
                <w:b/>
                <w:bCs/>
                <w:color w:val="ff9800"/>
              </w:rPr>
              <w:t xml:space="preserve">Phase 2</w:t>
            </w:r>
          </w:p>
        </w:tc>
        <w:tc>
          <w:tcPr>
            <w:tcW w:type="dxa" w:w="2340"/>
            <w:tcBorders>
              <w:top w:val="single" w:color="CCCCCC" w:sz="1"/>
              <w:left w:val="single" w:color="CCCCCC" w:sz="1"/>
              <w:bottom w:val="single" w:color="CCCCCC" w:sz="1"/>
              <w:right w:val="single" w:color="CCCCCC" w:sz="1"/>
            </w:tcBorders>
          </w:tcPr>
          <w:p>
            <w:pPr>
              <w:jc w:val="center"/>
            </w:pPr>
            <w:r>
              <w:t xml:space="preserve">Q1 2025</w:t>
            </w:r>
          </w:p>
        </w:tc>
        <w:tc>
          <w:tcPr>
            <w:tcW w:type="dxa" w:w="5460"/>
            <w:tcBorders>
              <w:top w:val="single" w:color="CCCCCC" w:sz="1"/>
              <w:left w:val="single" w:color="CCCCCC" w:sz="1"/>
              <w:bottom w:val="single" w:color="CCCCCC" w:sz="1"/>
              <w:right w:val="single" w:color="CCCCCC" w:sz="1"/>
            </w:tcBorders>
          </w:tcPr>
          <w:p>
            <w:r>
              <w:t xml:space="preserve">Production Cryptography: Groth16 ZK-SNARKs, threshold ElGamal encryption, encrypted assets (eAssets), privacy pool implementation</w:t>
            </w:r>
          </w:p>
        </w:tc>
      </w:tr>
      <w:tr>
        <w:tc>
          <w:tcPr>
            <w:tcW w:type="dxa" w:w="1560"/>
            <w:tcBorders>
              <w:top w:val="single" w:color="CCCCCC" w:sz="1"/>
              <w:left w:val="single" w:color="CCCCCC" w:sz="1"/>
              <w:bottom w:val="single" w:color="CCCCCC" w:sz="1"/>
              <w:right w:val="single" w:color="CCCCCC" w:sz="1"/>
            </w:tcBorders>
            <w:shd w:fill="e3f2fd" w:val="clear"/>
          </w:tcPr>
          <w:p>
            <w:pPr>
              <w:jc w:val="center"/>
            </w:pPr>
            <w:r>
              <w:rPr>
                <w:b/>
                <w:bCs/>
                <w:color w:val="2196f3"/>
              </w:rPr>
              <w:t xml:space="preserve">Phase 3</w:t>
            </w:r>
          </w:p>
        </w:tc>
        <w:tc>
          <w:tcPr>
            <w:tcW w:type="dxa" w:w="2340"/>
            <w:tcBorders>
              <w:top w:val="single" w:color="CCCCCC" w:sz="1"/>
              <w:left w:val="single" w:color="CCCCCC" w:sz="1"/>
              <w:bottom w:val="single" w:color="CCCCCC" w:sz="1"/>
              <w:right w:val="single" w:color="CCCCCC" w:sz="1"/>
            </w:tcBorders>
          </w:tcPr>
          <w:p>
            <w:pPr>
              <w:jc w:val="center"/>
            </w:pPr>
            <w:r>
              <w:t xml:space="preserve">Q2 2025</w:t>
            </w:r>
          </w:p>
        </w:tc>
        <w:tc>
          <w:tcPr>
            <w:tcW w:type="dxa" w:w="5460"/>
            <w:tcBorders>
              <w:top w:val="single" w:color="CCCCCC" w:sz="1"/>
              <w:left w:val="single" w:color="CCCCCC" w:sz="1"/>
              <w:bottom w:val="single" w:color="CCCCCC" w:sz="1"/>
              <w:right w:val="single" w:color="CCCCCC" w:sz="1"/>
            </w:tcBorders>
          </w:tcPr>
          <w:p>
            <w:r>
              <w:t xml:space="preserve">Mainnet Launch: Security audits (Trail of Bits, Zellic), formal verification, performance optimization, mainnet deployment with liquidity incentives</w:t>
            </w:r>
          </w:p>
        </w:tc>
      </w:tr>
      <w:tr>
        <w:tc>
          <w:tcPr>
            <w:tcW w:type="dxa" w:w="1560"/>
            <w:tcBorders>
              <w:top w:val="single" w:color="CCCCCC" w:sz="1"/>
              <w:left w:val="single" w:color="CCCCCC" w:sz="1"/>
              <w:bottom w:val="single" w:color="CCCCCC" w:sz="1"/>
              <w:right w:val="single" w:color="CCCCCC" w:sz="1"/>
            </w:tcBorders>
            <w:shd w:fill="f3e5f5" w:val="clear"/>
          </w:tcPr>
          <w:p>
            <w:pPr>
              <w:jc w:val="center"/>
            </w:pPr>
            <w:r>
              <w:rPr>
                <w:b/>
                <w:bCs/>
                <w:color w:val="9c27b0"/>
              </w:rPr>
              <w:t xml:space="preserve">Phase 4</w:t>
            </w:r>
          </w:p>
        </w:tc>
        <w:tc>
          <w:tcPr>
            <w:tcW w:type="dxa" w:w="2340"/>
            <w:tcBorders>
              <w:top w:val="single" w:color="CCCCCC" w:sz="1"/>
              <w:left w:val="single" w:color="CCCCCC" w:sz="1"/>
              <w:bottom w:val="single" w:color="CCCCCC" w:sz="1"/>
              <w:right w:val="single" w:color="CCCCCC" w:sz="1"/>
            </w:tcBorders>
          </w:tcPr>
          <w:p>
            <w:pPr>
              <w:jc w:val="center"/>
            </w:pPr>
            <w:r>
              <w:t xml:space="preserve">Q3-Q4 2025</w:t>
            </w:r>
          </w:p>
        </w:tc>
        <w:tc>
          <w:tcPr>
            <w:tcW w:type="dxa" w:w="5460"/>
            <w:tcBorders>
              <w:top w:val="single" w:color="CCCCCC" w:sz="1"/>
              <w:left w:val="single" w:color="CCCCCC" w:sz="1"/>
              <w:bottom w:val="single" w:color="CCCCCC" w:sz="1"/>
              <w:right w:val="single" w:color="CCCCCC" w:sz="1"/>
            </w:tcBorders>
          </w:tcPr>
          <w:p>
            <w:r>
              <w:t xml:space="preserve">Ecosystem Expansion: Cross-chain bridges, mobile wallet, hardware wallet support, governance system, privacy-preserving DeFi protocols</w:t>
            </w:r>
          </w:p>
        </w:tc>
      </w:tr>
    </w:tbl>
    <w:p>
      <w:pPr>
        <w:pStyle w:val="Heading1"/>
      </w:pPr>
      <w:r>
        <w:t xml:space="preserve">Conclusion</w:t>
      </w:r>
    </w:p>
    <w:p>
      <w:r>
        <w:t xml:space="preserve">Dark Protocol represents a paradigm shift in decentralized finance, bringing institutional-grade privacy to the high-performance Solana ecosystem. By successfully integrating Zcash's proven cryptography with Solana's speed and Jupiter's liquidity, the protocol enables a new class of privacy-preserving financial applications.</w:t>
      </w:r>
    </w:p>
    <w:p>
      <w:pPr>
        <w:spacing w:before="240" w:after="240"/>
      </w:pPr>
      <w:r>
        <w:t xml:space="preserve">With its comprehensive SDK, production-ready components, and innovative AI agent framework, Dark Protocol provides developers with the tools to build the next generation of private DeFi applications. The successful devnet deployment and clear roadmap to mainnet position Dark Protocol as the premier privacy infrastructure for institutional DeFi.</w:t>
      </w:r>
    </w:p>
    <w:p>
      <w:pPr>
        <w:spacing w:before="480" w:after="240"/>
        <w:jc w:val="center"/>
      </w:pPr>
      <w:r>
        <w:rPr>
          <w:b/>
          <w:bCs/>
          <w:color w:val="2d1b69"/>
          <w:sz w:val="32"/>
          <w:szCs w:val="32"/>
        </w:rPr>
        <w:t xml:space="preserve">🌑 Privacy is a right, not a privilege 🌑</w:t>
      </w:r>
    </w:p>
    <w:p>
      <w:pPr>
        <w:jc w:val="center"/>
      </w:pPr>
      <w:r>
        <w:rPr>
          <w:i/>
          <w:iCs/>
          <w:color w:val="7c4dff"/>
          <w:sz w:val="24"/>
          <w:szCs w:val="24"/>
        </w:rPr>
        <w:t xml:space="preserve">Build the future with Dark Protocol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480"/>
      <w:jc w:val="center"/>
    </w:pPr>
    <w:rPr>
      <w:rFonts w:ascii="Arial" w:cs="Arial" w:eastAsia="Arial" w:hAnsi="Arial"/>
      <w:b/>
      <w:bCs/>
      <w:color w:val="1a1a1a"/>
      <w:sz w:val="56"/>
      <w:szCs w:val="56"/>
    </w:rPr>
  </w:style>
  <w:style w:type="paragraph" w:styleId="Heading1">
    <w:name w:val="Heading 1"/>
    <w:basedOn w:val="Normal"/>
    <w:next w:val="Normal"/>
    <w:qFormat/>
    <w:pPr>
      <w:spacing w:before="480" w:after="240"/>
      <w:outlineLvl w:val="0"/>
    </w:pPr>
    <w:rPr>
      <w:rFonts w:ascii="Arial" w:cs="Arial" w:eastAsia="Arial" w:hAnsi="Arial"/>
      <w:b/>
      <w:bCs/>
      <w:color w:val="2d1b69"/>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512da8"/>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7c4dff"/>
      <w:sz w:val="26"/>
      <w:szCs w:val="26"/>
    </w:rPr>
  </w:style>
  <w:style w:type="paragraph" w:styleId="TechSpec">
    <w:name w:val="Tech Spec"/>
    <w:basedOn w:val="Normal"/>
    <w:pPr>
      <w:spacing w:before="120" w:after="120"/>
    </w:pPr>
    <w:rPr>
      <w:rFonts w:ascii="Consolas" w:cs="Consolas" w:eastAsia="Consolas" w:hAnsi="Consolas"/>
      <w:color w:val="424242"/>
      <w:sz w:val="22"/>
      <w:szCs w:val="22"/>
    </w:rPr>
  </w:style>
  <w:style w:type="paragraph" w:styleId="Highlight">
    <w:name w:val="Highlight"/>
    <w:basedOn w:val="Normal"/>
    <w:pPr>
      <w:spacing w:before="120" w:after="120"/>
    </w:pPr>
    <w:rPr>
      <w:rFonts w:ascii="Arial" w:cs="Arial" w:eastAsia="Arial" w:hAnsi="Arial"/>
      <w:b/>
      <w:bCs/>
      <w:color w:val="00e6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2025-11-11T00:26:53.241Z</dcterms:created>
  <dcterms:modified xsi:type="dcterms:W3CDTF">2025-11-11T00:26:53.241Z</dcterms:modified>
</cp:coreProperties>
</file>

<file path=docProps/custom.xml><?xml version="1.0" encoding="utf-8"?>
<Properties xmlns="http://schemas.openxmlformats.org/officeDocument/2006/custom-properties" xmlns:vt="http://schemas.openxmlformats.org/officeDocument/2006/docPropsVTypes"/>
</file>