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«Альфа»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133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продлении действия положений учетной политики для целей бухгалтерского и налогового учета ООО «Альфа» на 2024 год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29.12.2023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Продлить на </w:t>
      </w:r>
      <w:r>
        <w:rPr>
          <w:rFonts w:hAnsi="Times New Roman" w:cs="Times New Roman"/>
          <w:color w:val="000000"/>
          <w:sz w:val="24"/>
          <w:szCs w:val="24"/>
        </w:rPr>
        <w:t>2024</w:t>
      </w:r>
      <w:r>
        <w:rPr>
          <w:rFonts w:hAnsi="Times New Roman" w:cs="Times New Roman"/>
          <w:color w:val="000000"/>
          <w:sz w:val="24"/>
          <w:szCs w:val="24"/>
        </w:rPr>
        <w:t xml:space="preserve"> год действие учетной политики для целей бухгалтерского и налогового учета, утвержденной приказом №</w:t>
      </w:r>
      <w:r>
        <w:rPr>
          <w:rFonts w:hAnsi="Times New Roman" w:cs="Times New Roman"/>
          <w:color w:val="000000"/>
          <w:sz w:val="24"/>
          <w:szCs w:val="24"/>
        </w:rPr>
        <w:t xml:space="preserve"> 3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30.12.2021г.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Положения учетной политики являются обязательными для исполнения всеми работниками ООО «Альфа», работающими с первичными документами предприятия, ведущими бухгалтерский и налоговый учет.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Специалисту отдела кадров ознакомить с настоящим приказом сотрудников предприятия, имеющих отношение к учетному процессу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данного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c0f3614a9245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