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ПРИКАЗ № 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«О внесении и утверждении изменений учетной политики,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ранее утвержденной приказом № </w:t>
      </w:r>
      <w:r>
        <w:rPr>
          <w:rFonts w:hAnsi="Times New Roman" w:cs="Times New Roman"/>
          <w:color w:val="000000"/>
          <w:sz w:val="24"/>
          <w:szCs w:val="24"/>
        </w:rPr>
        <w:t>13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01.04</w:t>
      </w:r>
      <w:r>
        <w:rPr>
          <w:rFonts w:hAnsi="Times New Roman" w:cs="Times New Roman"/>
          <w:color w:val="000000"/>
          <w:sz w:val="24"/>
          <w:szCs w:val="24"/>
        </w:rPr>
        <w:t>.2021</w:t>
      </w:r>
      <w:r>
        <w:rPr>
          <w:rFonts w:hAnsi="Times New Roman" w:cs="Times New Roman"/>
          <w:color w:val="000000"/>
          <w:sz w:val="24"/>
          <w:szCs w:val="24"/>
        </w:rPr>
        <w:t>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 Ташкент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01.04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.2021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35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и дополнений в Налоговый Кодекс Республики Узбекистан» № ЗРУ-741 от 29.12.2021 г. на основании </w:t>
      </w:r>
      <w:r>
        <w:rPr>
          <w:rFonts w:hAnsi="Times New Roman" w:cs="Times New Roman"/>
          <w:color w:val="000000"/>
          <w:sz w:val="24"/>
          <w:szCs w:val="24"/>
        </w:rPr>
        <w:t>статьи 306</w:t>
      </w:r>
      <w:r>
        <w:rPr>
          <w:rFonts w:hAnsi="Times New Roman" w:cs="Times New Roman"/>
          <w:color w:val="000000"/>
          <w:sz w:val="24"/>
          <w:szCs w:val="24"/>
        </w:rPr>
        <w:t xml:space="preserve"> НК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Для целей налогообложения сумму амортизационных отчислений учитывать в соответствии с нормами и требованиями </w:t>
      </w:r>
      <w:r>
        <w:rPr>
          <w:rFonts w:hAnsi="Times New Roman" w:cs="Times New Roman"/>
          <w:color w:val="000000"/>
          <w:sz w:val="24"/>
          <w:szCs w:val="24"/>
        </w:rPr>
        <w:t>статьи 306</w:t>
      </w:r>
      <w:r>
        <w:rPr>
          <w:rFonts w:hAnsi="Times New Roman" w:cs="Times New Roman"/>
          <w:color w:val="000000"/>
          <w:sz w:val="24"/>
          <w:szCs w:val="24"/>
        </w:rPr>
        <w:t xml:space="preserve"> НК.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Контроль за исполнением измененных положений учетной политики возложить на главного бухгалтера </w:t>
      </w:r>
      <w:r>
        <w:rPr>
          <w:rFonts w:hAnsi="Times New Roman" w:cs="Times New Roman"/>
          <w:color w:val="000000"/>
          <w:sz w:val="24"/>
          <w:szCs w:val="24"/>
        </w:rPr>
        <w:t>И. Жалолова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Контроль исполнения данного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Н. Кадыров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И. Жалолова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1cb6025552945f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