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УВЕДОМЛЕНИЕ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 возможности отказа от сверхурочных работ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Уважаемый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 связи с производственной аварией в цехе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 и необходимостью срочного проведения работ по устранению ее последствий планируется привлечь Вас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с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часов к сверхурочной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Уведомляем Вас о том, что в соответствии со статьями </w:t>
      </w:r>
      <w:r>
        <w:rPr>
          <w:rFonts w:hAnsi="Times New Roman" w:cs="Times New Roman"/>
          <w:color w:val="000000"/>
          <w:sz w:val="24"/>
          <w:szCs w:val="24"/>
        </w:rPr>
        <w:t>189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428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Вы как лицо с инвалидностью имеете право отказаться от привлечения к сверхурочной работе. В соответствии со статьей </w:t>
      </w:r>
      <w:r>
        <w:rPr>
          <w:rFonts w:hAnsi="Times New Roman" w:cs="Times New Roman"/>
          <w:color w:val="000000"/>
          <w:sz w:val="24"/>
          <w:szCs w:val="24"/>
        </w:rPr>
        <w:t>262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 Вы можете выбрать вид компенсации за сверхурочную работу: денежную компенсацию не ниже, чем в двойном размере или предоставление дополнительного времени отдыха, соответствующего продолжительности времени, отработанного сверхурочно.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3886509d7945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