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</w:t>
      </w:r>
    </w:p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5340"/>
        <w:gridCol w:w="1440"/>
      </w:tblGrid>
      <w:tr>
        <w:trPr>
          <w:trHeight w:val="0"/>
        </w:trPr>
        <w:tc>
          <w:tcPr>
            <w:tcW w:w="534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52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«О создании </w:t>
      </w:r>
      <w:r>
        <w:rPr>
          <w:rFonts w:hAnsi="Times New Roman" w:cs="Times New Roman"/>
          <w:color w:val="000000"/>
          <w:sz w:val="24"/>
          <w:szCs w:val="24"/>
        </w:rPr>
        <w:t>комиссии по списанию недостачи</w:t>
      </w:r>
      <w:r>
        <w:rPr>
          <w:rFonts w:hAnsi="Times New Roman" w:cs="Times New Roman"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выявленным в хоте инвентаризации, проведенной на основании приказа 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фактом недостачи материалов (ведомость учета результатов инвентаризации от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комиссию в составе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Возложить на комиссию обязанности по: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установлению виновных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установлению рыночной стоимости недостающих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принятию решения о списании стоимости материалов, с оформлением акта на списание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1075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3060"/>
        <w:gridCol w:w="480"/>
        <w:gridCol w:w="1440"/>
      </w:tblGrid>
      <w:tr>
        <w:trPr>
          <w:trHeight w:val="0"/>
        </w:trPr>
        <w:tc>
          <w:tcPr>
            <w:tcW w:w="31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3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19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3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1069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3060"/>
        <w:gridCol w:w="480"/>
        <w:gridCol w:w="276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a4709d2c0f42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