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предоставлении ежегодного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основного удлиненного трудового отпуска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–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предоставить основной удлиненный трудовой отпуск за период работы с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по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года</w:t>
      </w:r>
      <w:r>
        <w:rPr>
          <w:rFonts w:hAnsi="Times New Roman" w:cs="Times New Roman"/>
          <w:color w:val="000000"/>
          <w:sz w:val="24"/>
          <w:szCs w:val="24"/>
        </w:rPr>
        <w:t xml:space="preserve"> в количестве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календарных дней</w:t>
      </w:r>
      <w:r>
        <w:rPr>
          <w:rFonts w:hAnsi="Times New Roman" w:cs="Times New Roman"/>
          <w:color w:val="000000"/>
          <w:sz w:val="24"/>
          <w:szCs w:val="24"/>
        </w:rPr>
        <w:t xml:space="preserve"> в год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Выход на работу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Статья 218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ТК.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 График отпусков.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3. Заявление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лабораторией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fd999c6e5874d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