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 «Альфа»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 утверждении учетной политики на 20</w:t>
      </w:r>
      <w:r>
        <w:rPr>
          <w:rFonts w:hAnsi="Times New Roman" w:cs="Times New Roman"/>
          <w:color w:val="000000"/>
          <w:sz w:val="24"/>
          <w:szCs w:val="24"/>
        </w:rPr>
        <w:t>25</w:t>
      </w:r>
      <w:r>
        <w:rPr>
          <w:rFonts w:hAnsi="Times New Roman" w:cs="Times New Roman"/>
          <w:color w:val="000000"/>
          <w:sz w:val="24"/>
          <w:szCs w:val="24"/>
        </w:rPr>
        <w:t xml:space="preserve"> год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03.01.2025 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основании Закона РУз «О бухгалтерском учете» и Национального стандарта бухгалтерского учета №1 «Предоставление финансовой отчетности и Учетная политика», в соответствии с главой 7 Налогового кодекса Республики Узбекистан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на </w:t>
      </w:r>
      <w:r>
        <w:rPr>
          <w:rFonts w:hAnsi="Times New Roman" w:cs="Times New Roman"/>
          <w:color w:val="000000"/>
          <w:sz w:val="24"/>
          <w:szCs w:val="24"/>
        </w:rPr>
        <w:t>2025 </w:t>
      </w:r>
      <w:r>
        <w:rPr>
          <w:rFonts w:hAnsi="Times New Roman" w:cs="Times New Roman"/>
          <w:color w:val="000000"/>
          <w:sz w:val="24"/>
          <w:szCs w:val="24"/>
        </w:rPr>
        <w:t xml:space="preserve">год учетную политику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для целей </w:t>
      </w:r>
      <w:r>
        <w:rPr>
          <w:rFonts w:hAnsi="Times New Roman" w:cs="Times New Roman"/>
          <w:color w:val="000000"/>
          <w:sz w:val="24"/>
          <w:szCs w:val="24"/>
        </w:rPr>
        <w:t>бухгалтерского учета</w:t>
      </w:r>
      <w:r>
        <w:rPr>
          <w:rFonts w:hAnsi="Times New Roman" w:cs="Times New Roman"/>
          <w:color w:val="000000"/>
          <w:sz w:val="24"/>
          <w:szCs w:val="24"/>
        </w:rPr>
        <w:t xml:space="preserve"> и </w:t>
      </w:r>
      <w:r>
        <w:rPr>
          <w:rFonts w:hAnsi="Times New Roman" w:cs="Times New Roman"/>
          <w:color w:val="000000"/>
          <w:sz w:val="24"/>
          <w:szCs w:val="24"/>
        </w:rPr>
        <w:t xml:space="preserve">налогообложения </w:t>
      </w:r>
      <w:r>
        <w:rPr>
          <w:rFonts w:hAnsi="Times New Roman" w:cs="Times New Roman"/>
          <w:color w:val="000000"/>
          <w:sz w:val="24"/>
          <w:szCs w:val="24"/>
        </w:rPr>
        <w:t>согласно приложению к настоящему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2.Положения учетной политики обязательны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 </w:t>
      </w:r>
      <w:r>
        <w:rPr>
          <w:rFonts w:hAnsi="Times New Roman" w:cs="Times New Roman"/>
          <w:color w:val="000000"/>
          <w:sz w:val="24"/>
          <w:szCs w:val="24"/>
        </w:rPr>
        <w:t>ответственными за ведение бухгалтерского и налогового учета, подготовку первичных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Ответственность за исполнение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главного бухгалтера А.С.</w:t>
      </w:r>
      <w:r>
        <w:rPr>
          <w:rFonts w:hAnsi="Times New Roman" w:cs="Times New Roman"/>
          <w:color w:val="000000"/>
          <w:sz w:val="24"/>
          <w:szCs w:val="24"/>
        </w:rPr>
        <w:t> Глебову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Львов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А.В. Львов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99b6d3af7243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