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 № 387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разделении трудового отпуска на части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заявления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о разделении ежегодного основного оплачиваемого отпуска, а также в соответствии со статьей </w:t>
      </w:r>
      <w:r>
        <w:rPr>
          <w:rFonts w:hAnsi="Times New Roman" w:cs="Times New Roman"/>
          <w:color w:val="000000"/>
          <w:sz w:val="24"/>
          <w:szCs w:val="24"/>
        </w:rPr>
        <w:t>231</w:t>
      </w:r>
      <w:r>
        <w:rPr>
          <w:rFonts w:hAnsi="Times New Roman" w:cs="Times New Roman"/>
          <w:color w:val="000000"/>
          <w:sz w:val="24"/>
          <w:szCs w:val="24"/>
        </w:rPr>
        <w:t xml:space="preserve"> ТК,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Разделить ежегодный основной оплачиваемый отпуск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на 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продолжительностью по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Кадровой службе в лице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своевременное и полное внесение изменений в личную карточку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в график отпусков от «____»________ № 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Начальник отдела кадров: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Главный бухгалтер: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Юрист-консультант: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e4d2339e0442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