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фиксирования показаний счетчика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фискальной памяти ККМ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№ 123 от «25» января 2020</w:t>
      </w:r>
      <w:r>
        <w:rPr>
          <w:rFonts w:hAnsi="Times New Roman" w:cs="Times New Roman"/>
          <w:color w:val="000000"/>
          <w:sz w:val="24"/>
          <w:szCs w:val="24"/>
        </w:rPr>
        <w:t xml:space="preserve"> года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Представитель ОГНС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Инспектор Туйчиев С.М.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5040"/>
        <w:gridCol w:w="1440"/>
      </w:tblGrid>
      <w:tr>
        <w:trPr>
          <w:trHeight w:val="0"/>
        </w:trPr>
        <w:tc>
          <w:tcPr>
            <w:tcW w:w="504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Представитель хозяйствующего субъекта</w:t>
            </w:r>
          </w:p>
        </w:tc>
        <w:tc>
          <w:tcPr>
            <w:tcW w:w="54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 Аскаров С.Т.  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Представитель обслуживающей организации ККМ согласно договору на техническое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обслуживание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«Мастер» инженер Потапов А.М. по договору № 12 от 25.01.2017 г.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и ИНН хозяйствующего субъекта, за которым зарегистрирована ККМ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456789321 ООО «Бетта»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369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Местонахождение зарегистрированной ККМ</w:t>
            </w:r>
          </w:p>
        </w:tc>
        <w:tc>
          <w:tcPr>
            <w:tcW w:w="676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г.Ташкент, Мирабадский район, ул. Фергана йули, д. 148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Модель и заводской номер ККМ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Меркурий Ф-115 заводской №753159027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Показания суммирующего счетчика фискальной памяти ККМ на момент пуско-наладочных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работ/снятия с регистрации </w:t>
      </w:r>
      <w:r>
        <w:rPr>
          <w:rFonts w:hAnsi="Times New Roman" w:cs="Times New Roman"/>
          <w:color w:val="000000"/>
          <w:sz w:val="24"/>
          <w:szCs w:val="24"/>
        </w:rPr>
        <w:t>1470369</w:t>
      </w:r>
      <w:r>
        <w:rPr>
          <w:rFonts w:hAnsi="Times New Roman" w:cs="Times New Roman"/>
          <w:color w:val="000000"/>
          <w:sz w:val="24"/>
          <w:szCs w:val="24"/>
        </w:rPr>
        <w:t xml:space="preserve"> (контрольный чек прилагается).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доступа фискальной памяти ККМ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02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(указывается при снятии с регистрации)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составлении акта жалоб и заявлений не поступало, о чем составлен настоящий акт в 3-х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экземплярах.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4920"/>
      </w:tblGrid>
      <w:tr>
        <w:trPr>
          <w:trHeight w:val="0"/>
        </w:trPr>
        <w:tc>
          <w:tcPr>
            <w:tcW w:w="553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Представитель ОГНС</w:t>
            </w:r>
          </w:p>
        </w:tc>
        <w:tc>
          <w:tcPr>
            <w:tcW w:w="4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Туйчиев С.М. </w:t>
            </w:r>
          </w:p>
        </w:tc>
      </w:tr>
      <w:tr>
        <w:trPr>
          <w:trHeight w:val="0"/>
        </w:trPr>
        <w:tc>
          <w:tcPr>
            <w:tcW w:w="553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92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4920"/>
      </w:tblGrid>
      <w:tr>
        <w:trPr>
          <w:trHeight w:val="0"/>
        </w:trPr>
        <w:tc>
          <w:tcPr>
            <w:tcW w:w="553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Представитель хозяйствующего субъекта</w:t>
            </w:r>
          </w:p>
        </w:tc>
        <w:tc>
          <w:tcPr>
            <w:tcW w:w="4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Аскаров С.Т.</w:t>
            </w:r>
          </w:p>
        </w:tc>
      </w:tr>
      <w:tr>
        <w:trPr>
          <w:trHeight w:val="0"/>
        </w:trPr>
        <w:tc>
          <w:tcPr>
            <w:tcW w:w="553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92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4920"/>
      </w:tblGrid>
      <w:tr>
        <w:trPr>
          <w:trHeight w:val="0"/>
        </w:trPr>
        <w:tc>
          <w:tcPr>
            <w:tcW w:w="553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Представитель обслуживающей организации</w:t>
            </w:r>
          </w:p>
        </w:tc>
        <w:tc>
          <w:tcPr>
            <w:tcW w:w="4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Потапов А.М.</w:t>
            </w:r>
          </w:p>
        </w:tc>
      </w:tr>
      <w:tr>
        <w:trPr>
          <w:trHeight w:val="0"/>
        </w:trPr>
        <w:tc>
          <w:tcPr>
            <w:tcW w:w="553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92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2744f5ce72b46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