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КНИГА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регистрации контрольно-кассовых машин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с фискальной памятью</w:t>
      </w:r>
    </w:p>
    <w:tbl>
      <w:tblPr>
        <w:tblW w:w="24000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Регистра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ционный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хозяйст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вующего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субъекта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Место 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нахождение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руемой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ККМ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Модель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регистри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руемой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ККМ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Завод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ской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ККМ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програм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мной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версии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Код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доступа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 фис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кальной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памяти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ККМ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снятия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 регист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рации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ККМ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bea39d1f354b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