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инвентаризационной комиссии и проведении инвентаризации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составления годовой финансовой отчетности за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 год </w:t>
      </w: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НСБУ № 19</w:t>
      </w:r>
      <w:r>
        <w:rPr>
          <w:rFonts w:hAnsi="Times New Roman" w:cs="Times New Roman"/>
          <w:color w:val="000000"/>
          <w:sz w:val="24"/>
          <w:szCs w:val="24"/>
        </w:rPr>
        <w:t xml:space="preserve"> и учетной политикой предприятия,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проведения инвентаризации создать постоянно действующую инвентаризационную комиссию в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рабочую инвентаризационную комиссию в следующем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Провести инвентаризацию основных средств, нематериальных активов, финансовых инвестиций, товарно-материальных запасов, кассы, расчетов с дебиторами и кредиторами.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 инвентаризации приступить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и окончить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Причина инвентаризации: подготовка годовой финансовой отчетности за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Материалы по инвентаризации сдать в бухгалтерию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61dd50ad8142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