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05</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Smart Psychology</w:t>
      </w:r>
    </w:p>
    <w:p>
      <w:pPr>
        <w:spacing w:after="200" w:before="0"/>
      </w:pPr>
      <w:r>
        <w:rPr>
          <w:rFonts w:ascii="Arial" w:cs="Arial" w:eastAsia="Arial" w:hAnsi="Arial"/>
          <w:color w:val="4A4A6A"/>
          <w:sz w:val="24"/>
          <w:szCs w:val="24"/>
        </w:rPr>
        <w:t xml:space="preserve">The behavioural science behind FuelSync's core mechanics — the what-the-hell effect, the guilt loop, the spiral breaker, the 6-meal feed, and the community layer. Every product decision in FuelSync maps to a specific, researched psychological mechanism.</w:t>
      </w:r>
    </w:p>
    <w:p>
      <w:pPr>
        <w:spacing w:after="240" w:before="0"/>
      </w:pPr>
    </w:p>
    <w:p>
      <w:pPr>
        <w:spacing w:after="120" w:before="400"/>
      </w:pPr>
      <w:r>
        <w:rPr>
          <w:rFonts w:ascii="Arial" w:cs="Arial" w:eastAsia="Arial" w:hAnsi="Arial"/>
          <w:b/>
          <w:bCs/>
          <w:color w:val="1A1A2E"/>
          <w:sz w:val="26"/>
          <w:szCs w:val="26"/>
        </w:rPr>
        <w:t xml:space="preserve">Part 1 — The What-The-Hell Effect</w:t>
      </w:r>
    </w:p>
    <w:p>
      <w:pPr>
        <w:spacing w:after="200" w:before="0"/>
      </w:pPr>
      <w:r>
        <w:rPr>
          <w:rFonts w:ascii="Arial" w:cs="Arial" w:eastAsia="Arial" w:hAnsi="Arial"/>
          <w:color w:val="4A4A6A"/>
          <w:sz w:val="24"/>
          <w:szCs w:val="24"/>
        </w:rPr>
        <w:t xml:space="preserve">The most common failure pattern in dietary behaviour is not gradual decline — it is sudden collapse triggered by a single perceived violation. This is the what-the-hell effect, first described by Herman &amp; Mack (1975) and popularised by Janet Polivy: once a restrained eater believes they have broken their diet, they shift from conservative eating into all-or-nothing thinking and overeat significantly relative to non-dieters.</w:t>
      </w:r>
    </w:p>
    <w:p>
      <w:pPr>
        <w:spacing w:after="200" w:before="0"/>
      </w:pPr>
      <w:r>
        <w:rPr>
          <w:rFonts w:ascii="Arial" w:cs="Arial" w:eastAsia="Arial" w:hAnsi="Arial"/>
          <w:color w:val="4A4A6A"/>
          <w:sz w:val="24"/>
          <w:szCs w:val="24"/>
        </w:rPr>
        <w:t xml:space="preserve">The mechanism works like this: rigid dietary rules create a binary mental state — either you are on the diet or you are not. When a small violation occurs (a piece of cake, a takeaway meal, a skipped gym session), the dieter perceives the entire plan as ruined. The cognitive response is not guilt followed by correction — it is guilt followed by abandonment. 'I've already blown it, I may as well keep going.'</w:t>
      </w:r>
    </w:p>
    <w:p>
      <w:pPr>
        <w:pBdr>
          <w:left w:val="single" w:color="7B5FFF" w:sz="16" w:space="20"/>
        </w:pBdr>
        <w:spacing w:after="320" w:before="320"/>
        <w:ind w:left="720"/>
      </w:pPr>
      <w:r>
        <w:rPr>
          <w:rFonts w:ascii="Arial" w:cs="Arial" w:eastAsia="Arial" w:hAnsi="Arial"/>
          <w:b/>
          <w:bCs/>
          <w:i/>
          <w:iCs/>
          <w:color w:val="7B5FFF"/>
          <w:sz w:val="26"/>
          <w:szCs w:val="26"/>
        </w:rPr>
        <w:t xml:space="preserve">Once dieters believe they've broken the rule, self-control collapses — and they eat more than people who were never dieting at all.</w:t>
      </w:r>
    </w:p>
    <w:p>
      <w:pPr>
        <w:spacing w:after="200" w:before="0"/>
      </w:pPr>
      <w:r>
        <w:rPr>
          <w:rFonts w:ascii="Arial" w:cs="Arial" w:eastAsia="Arial" w:hAnsi="Arial"/>
          <w:color w:val="4A4A6A"/>
          <w:sz w:val="24"/>
          <w:szCs w:val="24"/>
        </w:rPr>
        <w:t xml:space="preserve">Research on compensatory beliefs (Rabiau, Knäuper &amp; Miquelon, 2012, Appetite) extended this finding by showing that compensatory thinking — 'I'll fix it later' — also contributes to the same collapse. The small violation is rationalised, the behaviour continues, and the cycle deepens.</w:t>
      </w:r>
    </w:p>
    <w:p>
      <w:pPr>
        <w:spacing w:after="200" w:before="0"/>
      </w:pPr>
      <w:r>
        <w:rPr>
          <w:rFonts w:ascii="Arial" w:cs="Arial" w:eastAsia="Arial" w:hAnsi="Arial"/>
          <w:color w:val="4A4A6A"/>
          <w:sz w:val="24"/>
          <w:szCs w:val="24"/>
        </w:rPr>
        <w:t xml:space="preserve">The practical implication is direct: flexible dietary approaches that allow small deviations without triggering the all-or-nothing cognitive switch significantly reduce what-the-hell rebound eating. A product that responds to a lapse with non-judgment and immediate alternatives — rather than a calorie total turning red — interrupts this mechanism at the exact moment it would otherwise take hold.</w:t>
      </w:r>
    </w:p>
    <w:p>
      <w:pPr>
        <w:spacing w:after="200" w:before="0"/>
      </w:pPr>
      <w:r>
        <w:rPr>
          <w:rFonts w:ascii="Arial" w:cs="Arial" w:eastAsia="Arial" w:hAnsi="Arial"/>
          <w:color w:val="4A4A6A"/>
          <w:sz w:val="24"/>
          <w:szCs w:val="24"/>
        </w:rPr>
        <w:t xml:space="preserve">This is FuelSync's spiral breaker mechanic in psychological terms. The moment a user signals they have eaten something outside their usual pattern, the product does not score the violation. It offers 6 realistic next options. The message is not 'you broke it' — it is 'you still have choices.' This directly counteracts the all-or-nothing cognitive shift that drives the what-the-hell effect.</w:t>
      </w:r>
    </w:p>
    <w:p>
      <w:pPr>
        <w:spacing w:after="200" w:before="0"/>
      </w:pPr>
      <w:r>
        <w:rPr>
          <w:rFonts w:ascii="Arial" w:cs="Arial" w:eastAsia="Arial" w:hAnsi="Arial"/>
          <w:i/>
          <w:iCs/>
          <w:color w:val="888888"/>
          <w:sz w:val="22"/>
          <w:szCs w:val="22"/>
        </w:rPr>
        <w:t xml:space="preserve">Sources: Herman &amp; Mack (1975), original what-the-hell effect; Rabiau, Knäuper &amp; Miquelon (2012), Appetite — compensatory beliefs and self-regulation; Polivy, counterregulatory eating literature</w:t>
      </w:r>
    </w:p>
    <w:p>
      <w:pPr>
        <w:spacing w:after="80" w:before="0"/>
      </w:pPr>
    </w:p>
    <w:p>
      <w:pPr>
        <w:spacing w:after="120" w:before="400"/>
      </w:pPr>
      <w:r>
        <w:rPr>
          <w:rFonts w:ascii="Arial" w:cs="Arial" w:eastAsia="Arial" w:hAnsi="Arial"/>
          <w:b/>
          <w:bCs/>
          <w:color w:val="1A1A2E"/>
          <w:sz w:val="26"/>
          <w:szCs w:val="26"/>
        </w:rPr>
        <w:t xml:space="preserve">Part 2 — Guilt vs Shame: The Mechanism That Matters</w:t>
      </w:r>
    </w:p>
    <w:p>
      <w:pPr>
        <w:spacing w:after="200" w:before="0"/>
      </w:pPr>
      <w:r>
        <w:rPr>
          <w:rFonts w:ascii="Arial" w:cs="Arial" w:eastAsia="Arial" w:hAnsi="Arial"/>
          <w:color w:val="4A4A6A"/>
          <w:sz w:val="24"/>
          <w:szCs w:val="24"/>
        </w:rPr>
        <w:t xml:space="preserve">A critical distinction in the research on dietary lapses is the difference between guilt and shame — and which one is the primary driver of failure.</w:t>
      </w:r>
    </w:p>
    <w:p>
      <w:pPr>
        <w:spacing w:after="200" w:before="0"/>
      </w:pPr>
      <w:r>
        <w:rPr>
          <w:rFonts w:ascii="Arial" w:cs="Arial" w:eastAsia="Arial" w:hAnsi="Arial"/>
          <w:color w:val="4A4A6A"/>
          <w:sz w:val="24"/>
          <w:szCs w:val="24"/>
        </w:rPr>
        <w:t xml:space="preserve">A longitudinal daily diary study (Mantzios et al., 2020, Applied Psychology: Health and Well-Being) tracked dieters through real lapses and measured the downstream effects of guilt, shame, self-compassion, intention, and self-efficacy. The key finding was specific: guilt — not shame — was the mechanism that undermined continued effort. Higher guilt after a lapse predicted lower intention to continue dieting, lower self-efficacy, and more negative reactions including giving up.</w:t>
      </w:r>
    </w:p>
    <w:p>
      <w:pPr>
        <w:spacing w:after="200" w:before="0"/>
      </w:pPr>
      <w:r>
        <w:rPr>
          <w:rFonts w:ascii="Arial" w:cs="Arial" w:eastAsia="Arial" w:hAnsi="Arial"/>
          <w:color w:val="4A4A6A"/>
          <w:sz w:val="24"/>
          <w:szCs w:val="24"/>
        </w:rPr>
        <w:t xml:space="preserve">Critically, self-compassion reduced guilt, and guilt mediated the entire relationship between self-compassion and outcomes. In practical terms: being kind to yourself after a lapse does not directly improve adherence — it does so by reducing guilt first, and reduced guilt then allows motivation and self-efficacy to recover.</w:t>
      </w:r>
    </w:p>
    <w:p>
      <w:pPr>
        <w:pBdr>
          <w:left w:val="single" w:color="7B5FFF" w:sz="16" w:space="20"/>
        </w:pBdr>
        <w:spacing w:after="320" w:before="320"/>
        <w:ind w:left="720"/>
      </w:pPr>
      <w:r>
        <w:rPr>
          <w:rFonts w:ascii="Arial" w:cs="Arial" w:eastAsia="Arial" w:hAnsi="Arial"/>
          <w:b/>
          <w:bCs/>
          <w:i/>
          <w:iCs/>
          <w:color w:val="7B5FFF"/>
          <w:sz w:val="26"/>
          <w:szCs w:val="26"/>
        </w:rPr>
        <w:t xml:space="preserve">Self-compassion helps not because it feels good — but because it reduces the guilt that would otherwise kill the intention to continue.</w:t>
      </w:r>
    </w:p>
    <w:p>
      <w:pPr>
        <w:spacing w:after="200" w:before="0"/>
      </w:pPr>
      <w:r>
        <w:rPr>
          <w:rFonts w:ascii="Arial" w:cs="Arial" w:eastAsia="Arial" w:hAnsi="Arial"/>
          <w:color w:val="4A4A6A"/>
          <w:sz w:val="24"/>
          <w:szCs w:val="24"/>
        </w:rPr>
        <w:t xml:space="preserve">This has direct product design implications. Every element of FuelSync's post-lapse experience is designed to reduce guilt rather than increase it:</w:t>
      </w:r>
    </w:p>
    <w:p>
      <w:pPr>
        <w:pStyle w:val="ListParagraph"/>
        <w:numPr>
          <w:ilvl w:val="0"/>
          <w:numId w:val="2"/>
        </w:numPr>
        <w:spacing w:after="160" w:before="0"/>
      </w:pPr>
      <w:r>
        <w:rPr>
          <w:rFonts w:ascii="Arial" w:cs="Arial" w:eastAsia="Arial" w:hAnsi="Arial"/>
          <w:color w:val="4A4A6A"/>
          <w:sz w:val="24"/>
          <w:szCs w:val="24"/>
        </w:rPr>
        <w:t xml:space="preserve">No calorie totals turning red after a bad day</w:t>
      </w:r>
    </w:p>
    <w:p>
      <w:pPr>
        <w:pStyle w:val="ListParagraph"/>
        <w:numPr>
          <w:ilvl w:val="0"/>
          <w:numId w:val="2"/>
        </w:numPr>
        <w:spacing w:after="160" w:before="0"/>
      </w:pPr>
      <w:r>
        <w:rPr>
          <w:rFonts w:ascii="Arial" w:cs="Arial" w:eastAsia="Arial" w:hAnsi="Arial"/>
          <w:color w:val="4A4A6A"/>
          <w:sz w:val="24"/>
          <w:szCs w:val="24"/>
        </w:rPr>
        <w:t xml:space="preserve">No streak-breaking notifications</w:t>
      </w:r>
    </w:p>
    <w:p>
      <w:pPr>
        <w:pStyle w:val="ListParagraph"/>
        <w:numPr>
          <w:ilvl w:val="0"/>
          <w:numId w:val="2"/>
        </w:numPr>
        <w:spacing w:after="160" w:before="0"/>
      </w:pPr>
      <w:r>
        <w:rPr>
          <w:rFonts w:ascii="Arial" w:cs="Arial" w:eastAsia="Arial" w:hAnsi="Arial"/>
          <w:color w:val="4A4A6A"/>
          <w:sz w:val="24"/>
          <w:szCs w:val="24"/>
        </w:rPr>
        <w:t xml:space="preserve">No 'you were over by X calories' summaries</w:t>
      </w:r>
    </w:p>
    <w:p>
      <w:pPr>
        <w:pStyle w:val="ListParagraph"/>
        <w:numPr>
          <w:ilvl w:val="0"/>
          <w:numId w:val="2"/>
        </w:numPr>
        <w:spacing w:after="160" w:before="0"/>
      </w:pPr>
      <w:r>
        <w:rPr>
          <w:rFonts w:ascii="Arial" w:cs="Arial" w:eastAsia="Arial" w:hAnsi="Arial"/>
          <w:color w:val="4A4A6A"/>
          <w:sz w:val="24"/>
          <w:szCs w:val="24"/>
        </w:rPr>
        <w:t xml:space="preserve">Copy that frames lapses as expected events rather than failures</w:t>
      </w:r>
    </w:p>
    <w:p>
      <w:pPr>
        <w:pStyle w:val="ListParagraph"/>
        <w:numPr>
          <w:ilvl w:val="0"/>
          <w:numId w:val="2"/>
        </w:numPr>
        <w:spacing w:after="160" w:before="0"/>
      </w:pPr>
      <w:r>
        <w:rPr>
          <w:rFonts w:ascii="Arial" w:cs="Arial" w:eastAsia="Arial" w:hAnsi="Arial"/>
          <w:color w:val="4A4A6A"/>
          <w:sz w:val="24"/>
          <w:szCs w:val="24"/>
        </w:rPr>
        <w:t xml:space="preserve">Immediate redirection to the next action rather than dwelling on the violation</w:t>
      </w:r>
    </w:p>
    <w:p>
      <w:pPr>
        <w:spacing w:after="200" w:before="0"/>
      </w:pPr>
      <w:r>
        <w:rPr>
          <w:rFonts w:ascii="Arial" w:cs="Arial" w:eastAsia="Arial" w:hAnsi="Arial"/>
          <w:color w:val="4A4A6A"/>
          <w:sz w:val="24"/>
          <w:szCs w:val="24"/>
        </w:rPr>
        <w:t xml:space="preserve">The broader mindful and intuitive eating literature reinforces this: moralising food as 'good' or 'bad' and applying harsh self-criticism after violations drives guilt-overeating cycles, while non-judgmental awareness and self-kindness support more stable, sustainable eating patterns over time.</w:t>
      </w:r>
    </w:p>
    <w:p>
      <w:pPr>
        <w:spacing w:after="200" w:before="0"/>
      </w:pPr>
      <w:r>
        <w:rPr>
          <w:rFonts w:ascii="Arial" w:cs="Arial" w:eastAsia="Arial" w:hAnsi="Arial"/>
          <w:i/>
          <w:iCs/>
          <w:color w:val="888888"/>
          <w:sz w:val="22"/>
          <w:szCs w:val="22"/>
        </w:rPr>
        <w:t xml:space="preserve">Source: Mantzios et al. (2020), PMC8451927 — self-compassion, guilt, and dietary lapse outcomes</w:t>
      </w:r>
    </w:p>
    <w:p>
      <w:pPr>
        <w:spacing w:after="80" w:before="0"/>
      </w:pPr>
    </w:p>
    <w:p>
      <w:pPr>
        <w:spacing w:after="120" w:before="400"/>
      </w:pPr>
      <w:r>
        <w:rPr>
          <w:rFonts w:ascii="Arial" w:cs="Arial" w:eastAsia="Arial" w:hAnsi="Arial"/>
          <w:b/>
          <w:bCs/>
          <w:color w:val="1A1A2E"/>
          <w:sz w:val="26"/>
          <w:szCs w:val="26"/>
        </w:rPr>
        <w:t xml:space="preserve">Part 3 — The 6-Meal Feed: Restoring Control After a Lapse</w:t>
      </w:r>
    </w:p>
    <w:p>
      <w:pPr>
        <w:spacing w:after="200" w:before="0"/>
      </w:pPr>
      <w:r>
        <w:rPr>
          <w:rFonts w:ascii="Arial" w:cs="Arial" w:eastAsia="Arial" w:hAnsi="Arial"/>
          <w:color w:val="4A4A6A"/>
          <w:sz w:val="24"/>
          <w:szCs w:val="24"/>
        </w:rPr>
        <w:t xml:space="preserve">When someone eats something outside their usual pattern, the most important psychological variable in determining whether they re-engage is perceived control. Research on counterregulatory eating shows that all-or-nothing thinking ('it's ruined') is driven partly by the loss of perceived agency — the feeling that the situation is now out of your hands.</w:t>
      </w:r>
    </w:p>
    <w:p>
      <w:pPr>
        <w:spacing w:after="200" w:before="0"/>
      </w:pPr>
      <w:r>
        <w:rPr>
          <w:rFonts w:ascii="Arial" w:cs="Arial" w:eastAsia="Arial" w:hAnsi="Arial"/>
          <w:color w:val="4A4A6A"/>
          <w:sz w:val="24"/>
          <w:szCs w:val="24"/>
        </w:rPr>
        <w:t xml:space="preserve">Offering multiple realistic next options directly addresses this. A 2024 systematic review on food choice determinants (ScienceDirect) concluded that affect, habits, and perceived behavioural control are the primary drivers of food behaviour — and that interventions which restore a sense of control and efficacy after slips are more likely to support re-engagement with healthy behaviour.</w:t>
      </w:r>
    </w:p>
    <w:p>
      <w:pPr>
        <w:spacing w:after="200" w:before="0"/>
      </w:pPr>
      <w:r>
        <w:rPr>
          <w:rFonts w:ascii="Arial" w:cs="Arial" w:eastAsia="Arial" w:hAnsi="Arial"/>
          <w:color w:val="4A4A6A"/>
          <w:sz w:val="24"/>
          <w:szCs w:val="24"/>
        </w:rPr>
        <w:t xml:space="preserve">While there is no canonical randomised controlled trial specifically on 'multi-option menus presented after unhealthy meals', the convergent evidence from three independent research streams all points in the same direction:</w:t>
      </w:r>
    </w:p>
    <w:p>
      <w:pPr>
        <w:pStyle w:val="ListParagraph"/>
        <w:numPr>
          <w:ilvl w:val="0"/>
          <w:numId w:val="2"/>
        </w:numPr>
        <w:spacing w:after="160" w:before="0"/>
      </w:pPr>
      <w:r>
        <w:rPr>
          <w:rFonts w:ascii="Arial" w:cs="Arial" w:eastAsia="Arial" w:hAnsi="Arial"/>
          <w:color w:val="4A4A6A"/>
          <w:sz w:val="24"/>
          <w:szCs w:val="24"/>
        </w:rPr>
        <w:t xml:space="preserve">Counterregulatory eating research shows flexible options reduce the what-the-hell cognitive shift</w:t>
      </w:r>
    </w:p>
    <w:p>
      <w:pPr>
        <w:pStyle w:val="ListParagraph"/>
        <w:numPr>
          <w:ilvl w:val="0"/>
          <w:numId w:val="2"/>
        </w:numPr>
        <w:spacing w:after="160" w:before="0"/>
      </w:pPr>
      <w:r>
        <w:rPr>
          <w:rFonts w:ascii="Arial" w:cs="Arial" w:eastAsia="Arial" w:hAnsi="Arial"/>
          <w:color w:val="4A4A6A"/>
          <w:sz w:val="24"/>
          <w:szCs w:val="24"/>
        </w:rPr>
        <w:t xml:space="preserve">Self-compassion research shows non-judgmental next-steps preserve motivation better than dwelling on the violation</w:t>
      </w:r>
    </w:p>
    <w:p>
      <w:pPr>
        <w:pStyle w:val="ListParagraph"/>
        <w:numPr>
          <w:ilvl w:val="0"/>
          <w:numId w:val="2"/>
        </w:numPr>
        <w:spacing w:after="160" w:before="0"/>
      </w:pPr>
      <w:r>
        <w:rPr>
          <w:rFonts w:ascii="Arial" w:cs="Arial" w:eastAsia="Arial" w:hAnsi="Arial"/>
          <w:color w:val="4A4A6A"/>
          <w:sz w:val="24"/>
          <w:szCs w:val="24"/>
        </w:rPr>
        <w:t xml:space="preserve">Perceived control research shows restoring agency immediately after a lapse is the key intervention point</w:t>
      </w:r>
    </w:p>
    <w:p>
      <w:pPr>
        <w:spacing w:after="200" w:before="0"/>
      </w:pPr>
      <w:r>
        <w:rPr>
          <w:rFonts w:ascii="Arial" w:cs="Arial" w:eastAsia="Arial" w:hAnsi="Arial"/>
          <w:color w:val="4A4A6A"/>
          <w:sz w:val="24"/>
          <w:szCs w:val="24"/>
        </w:rPr>
        <w:t xml:space="preserve">FuelSync's 6-meal feed is designed to activate all three mechanisms simultaneously. Three options sourced from AI reasoning over the user's current state. Three options from community members with similar profiles. The message encoded in the design: you still have choices, and people like you have found options that work. The spiral ends not through willpower but through the simple act of seeing something worth eating next.</w:t>
      </w:r>
    </w:p>
    <w:p>
      <w:pPr>
        <w:spacing w:after="200" w:before="0"/>
      </w:pPr>
      <w:r>
        <w:rPr>
          <w:rFonts w:ascii="Arial" w:cs="Arial" w:eastAsia="Arial" w:hAnsi="Arial"/>
          <w:i/>
          <w:iCs/>
          <w:color w:val="888888"/>
          <w:sz w:val="22"/>
          <w:szCs w:val="22"/>
        </w:rPr>
        <w:t xml:space="preserve">Source: Systematic review on food choice determinants, ScienceDirect 2024; counterregulatory eating literature; Mantzios et al. 2020</w:t>
      </w:r>
    </w:p>
    <w:p>
      <w:pPr>
        <w:spacing w:after="80" w:before="0"/>
      </w:pPr>
    </w:p>
    <w:p>
      <w:pPr>
        <w:spacing w:after="120" w:before="400"/>
      </w:pPr>
      <w:r>
        <w:rPr>
          <w:rFonts w:ascii="Arial" w:cs="Arial" w:eastAsia="Arial" w:hAnsi="Arial"/>
          <w:b/>
          <w:bCs/>
          <w:color w:val="1A1A2E"/>
          <w:sz w:val="26"/>
          <w:szCs w:val="26"/>
        </w:rPr>
        <w:t xml:space="preserve">Part 4 — Social Proof and Community as Behaviour Change</w:t>
      </w:r>
    </w:p>
    <w:p>
      <w:pPr>
        <w:spacing w:after="200" w:before="0"/>
      </w:pPr>
      <w:r>
        <w:rPr>
          <w:rFonts w:ascii="Arial" w:cs="Arial" w:eastAsia="Arial" w:hAnsi="Arial"/>
          <w:color w:val="4A4A6A"/>
          <w:sz w:val="24"/>
          <w:szCs w:val="24"/>
        </w:rPr>
        <w:t xml:space="preserve">The community meal card mechanic in FuelSync is not a social feature added for engagement. It is a behaviour change intervention grounded in research on social norms and food choice.</w:t>
      </w:r>
    </w:p>
    <w:p>
      <w:pPr>
        <w:spacing w:after="200" w:before="0"/>
      </w:pPr>
      <w:r>
        <w:rPr>
          <w:rFonts w:ascii="Arial" w:cs="Arial" w:eastAsia="Arial" w:hAnsi="Arial"/>
          <w:color w:val="4A4A6A"/>
          <w:sz w:val="24"/>
          <w:szCs w:val="24"/>
        </w:rPr>
        <w:t xml:space="preserve">A multi-study experiment (Bhatti et al., 2024, British Food Journal) tested the effects of social proof on food choices across approximately 500 young adults. The findings were clear: herd behaviour and social proof significantly influenced food choices, especially when information came from credible sources — people with shared characteristics rather than abstract endorsements. For healthier food options specifically, visible social proof through ratings, testimonials, and 'what most people like you chose' cues consistently shifted choices toward the signalled option.</w:t>
      </w:r>
    </w:p>
    <w:p>
      <w:pPr>
        <w:spacing w:after="200" w:before="0"/>
      </w:pPr>
      <w:r>
        <w:rPr>
          <w:rFonts w:ascii="Arial" w:cs="Arial" w:eastAsia="Arial" w:hAnsi="Arial"/>
          <w:color w:val="4A4A6A"/>
          <w:sz w:val="24"/>
          <w:szCs w:val="24"/>
        </w:rPr>
        <w:t xml:space="preserve">A separate 2024 study analysing behaviour change techniques in effective food literacy programs (ECU, 2024) identified social comparison, demonstration of behaviour, and identification of self as role model as active ingredients in successful dietary interventions. These are not passive features — they are the mechanisms through which community membership translates into individual behaviour change.</w:t>
      </w:r>
    </w:p>
    <w:p>
      <w:pPr>
        <w:spacing w:after="200" w:before="0"/>
      </w:pPr>
      <w:r>
        <w:rPr>
          <w:rFonts w:ascii="Arial" w:cs="Arial" w:eastAsia="Arial" w:hAnsi="Arial"/>
          <w:color w:val="4A4A6A"/>
          <w:sz w:val="24"/>
          <w:szCs w:val="24"/>
        </w:rPr>
        <w:t xml:space="preserve">The implication for FuelSync's community mechanic is specific:</w:t>
      </w:r>
    </w:p>
    <w:p>
      <w:pPr>
        <w:pStyle w:val="ListParagraph"/>
        <w:numPr>
          <w:ilvl w:val="0"/>
          <w:numId w:val="2"/>
        </w:numPr>
        <w:spacing w:after="160" w:before="0"/>
      </w:pPr>
      <w:r>
        <w:rPr>
          <w:rFonts w:ascii="Arial" w:cs="Arial" w:eastAsia="Arial" w:hAnsi="Arial"/>
          <w:color w:val="4A4A6A"/>
          <w:sz w:val="24"/>
          <w:szCs w:val="24"/>
        </w:rPr>
        <w:t xml:space="preserve">Meal cards are not just content — they are social proof from credible peers</w:t>
      </w:r>
    </w:p>
    <w:p>
      <w:pPr>
        <w:pStyle w:val="ListParagraph"/>
        <w:numPr>
          <w:ilvl w:val="0"/>
          <w:numId w:val="2"/>
        </w:numPr>
        <w:spacing w:after="160" w:before="0"/>
      </w:pPr>
      <w:r>
        <w:rPr>
          <w:rFonts w:ascii="Arial" w:cs="Arial" w:eastAsia="Arial" w:hAnsi="Arial"/>
          <w:color w:val="4A4A6A"/>
          <w:sz w:val="24"/>
          <w:szCs w:val="24"/>
        </w:rPr>
        <w:t xml:space="preserve">'People like you are eating this' is a more powerful signal than 'nutritionists recommend this'</w:t>
      </w:r>
    </w:p>
    <w:p>
      <w:pPr>
        <w:pStyle w:val="ListParagraph"/>
        <w:numPr>
          <w:ilvl w:val="0"/>
          <w:numId w:val="2"/>
        </w:numPr>
        <w:spacing w:after="160" w:before="0"/>
      </w:pPr>
      <w:r>
        <w:rPr>
          <w:rFonts w:ascii="Arial" w:cs="Arial" w:eastAsia="Arial" w:hAnsi="Arial"/>
          <w:color w:val="4A4A6A"/>
          <w:sz w:val="24"/>
          <w:szCs w:val="24"/>
        </w:rPr>
        <w:t xml:space="preserve">Upvotes and return rates on community cards are visible social validation of specific meals</w:t>
      </w:r>
    </w:p>
    <w:p>
      <w:pPr>
        <w:pStyle w:val="ListParagraph"/>
        <w:numPr>
          <w:ilvl w:val="0"/>
          <w:numId w:val="2"/>
        </w:numPr>
        <w:spacing w:after="160" w:before="0"/>
      </w:pPr>
      <w:r>
        <w:rPr>
          <w:rFonts w:ascii="Arial" w:cs="Arial" w:eastAsia="Arial" w:hAnsi="Arial"/>
          <w:color w:val="4A4A6A"/>
          <w:sz w:val="24"/>
          <w:szCs w:val="24"/>
        </w:rPr>
        <w:t xml:space="preserve">Cultural diversity in the community feed — Pacific Island, Southeast Asian, Middle Eastern, and other cuisines — creates social proof that is actually relevant to the user's lived experience</w:t>
      </w:r>
    </w:p>
    <w:p>
      <w:pPr>
        <w:spacing w:after="200" w:before="0"/>
      </w:pPr>
      <w:r>
        <w:rPr>
          <w:rFonts w:ascii="Arial" w:cs="Arial" w:eastAsia="Arial" w:hAnsi="Arial"/>
          <w:i/>
          <w:iCs/>
          <w:color w:val="888888"/>
          <w:sz w:val="22"/>
          <w:szCs w:val="22"/>
        </w:rPr>
        <w:t xml:space="preserve">Source: Bhatti et al. (2024), British Food Journal — social proof and food choice; ECU behaviour change technique analysis (2024)</w:t>
      </w:r>
    </w:p>
    <w:p>
      <w:pPr>
        <w:spacing w:after="80" w:before="0"/>
      </w:pPr>
    </w:p>
    <w:p>
      <w:pPr>
        <w:spacing w:after="120" w:before="400"/>
      </w:pPr>
      <w:r>
        <w:rPr>
          <w:rFonts w:ascii="Arial" w:cs="Arial" w:eastAsia="Arial" w:hAnsi="Arial"/>
          <w:b/>
          <w:bCs/>
          <w:color w:val="1A1A2E"/>
          <w:sz w:val="26"/>
          <w:szCs w:val="26"/>
        </w:rPr>
        <w:t xml:space="preserve">Part 5 — Identity-Based Habits</w:t>
      </w:r>
    </w:p>
    <w:p>
      <w:pPr>
        <w:spacing w:after="200" w:before="0"/>
      </w:pPr>
      <w:r>
        <w:rPr>
          <w:rFonts w:ascii="Arial" w:cs="Arial" w:eastAsia="Arial" w:hAnsi="Arial"/>
          <w:color w:val="4A4A6A"/>
          <w:sz w:val="24"/>
          <w:szCs w:val="24"/>
        </w:rPr>
        <w:t xml:space="preserve">The most durable dietary behaviour change happens not when people try harder to follow rules, but when they begin to see healthy eating as part of who they are. This is the principle of identity-based habits — the finding that framing behaviours as expressions of personal identity produces stronger and more persistent patterns than framing them as outcomes to be achieved.</w:t>
      </w:r>
    </w:p>
    <w:p>
      <w:pPr>
        <w:spacing w:after="200" w:before="0"/>
      </w:pPr>
      <w:r>
        <w:rPr>
          <w:rFonts w:ascii="Arial" w:cs="Arial" w:eastAsia="Arial" w:hAnsi="Arial"/>
          <w:color w:val="4A4A6A"/>
          <w:sz w:val="24"/>
          <w:szCs w:val="24"/>
        </w:rPr>
        <w:t xml:space="preserve">A 2025 study applying an extended Theory of Planned Behaviour model to sustainable dietary behaviour (Cecchini et al., 2025, Nutrients) found that identity-related constructs — felt obligation, internalised values, self-concept as a healthy eater — explained significantly more variance in food behaviour than standard intention and attitude measures alone. When people were less driven by external rules and more by internalised identity, the link between intention and actual behaviour was substantially stronger.</w:t>
      </w:r>
    </w:p>
    <w:p>
      <w:pPr>
        <w:spacing w:after="200" w:before="0"/>
      </w:pPr>
      <w:r>
        <w:rPr>
          <w:rFonts w:ascii="Arial" w:cs="Arial" w:eastAsia="Arial" w:hAnsi="Arial"/>
          <w:color w:val="4A4A6A"/>
          <w:sz w:val="24"/>
          <w:szCs w:val="24"/>
        </w:rPr>
        <w:t xml:space="preserve">A 2024 systematic review of reviews on food choice determinants corroborated this: personal values, self-concept, and identity dimensions are consistent predictors of dietary behaviour, particularly for choices that require sustained effort rather than one-off decisions.</w:t>
      </w:r>
    </w:p>
    <w:p>
      <w:pPr>
        <w:spacing w:after="200" w:before="0"/>
      </w:pPr>
      <w:r>
        <w:rPr>
          <w:rFonts w:ascii="Arial" w:cs="Arial" w:eastAsia="Arial" w:hAnsi="Arial"/>
          <w:color w:val="4A4A6A"/>
          <w:sz w:val="24"/>
          <w:szCs w:val="24"/>
        </w:rPr>
        <w:t xml:space="preserve">FuelSync's identity mechanic is embedded throughout the product:</w:t>
      </w:r>
    </w:p>
    <w:p>
      <w:pPr>
        <w:pStyle w:val="ListParagraph"/>
        <w:numPr>
          <w:ilvl w:val="0"/>
          <w:numId w:val="2"/>
        </w:numPr>
        <w:spacing w:after="160" w:before="0"/>
      </w:pPr>
      <w:r>
        <w:rPr>
          <w:rFonts w:ascii="Arial" w:cs="Arial" w:eastAsia="Arial" w:hAnsi="Arial"/>
          <w:color w:val="4A4A6A"/>
          <w:sz w:val="24"/>
          <w:szCs w:val="24"/>
        </w:rPr>
        <w:t xml:space="preserve">'Your anchor meal' — not 'the meal you are supposed to eat' but 'the meal that is yours'</w:t>
      </w:r>
    </w:p>
    <w:p>
      <w:pPr>
        <w:pStyle w:val="ListParagraph"/>
        <w:numPr>
          <w:ilvl w:val="0"/>
          <w:numId w:val="2"/>
        </w:numPr>
        <w:spacing w:after="160" w:before="0"/>
      </w:pPr>
      <w:r>
        <w:rPr>
          <w:rFonts w:ascii="Arial" w:cs="Arial" w:eastAsia="Arial" w:hAnsi="Arial"/>
          <w:color w:val="4A4A6A"/>
          <w:sz w:val="24"/>
          <w:szCs w:val="24"/>
        </w:rPr>
        <w:t xml:space="preserve">'Your standard dinner' — language that reinforces ownership and routine rather than compliance</w:t>
      </w:r>
    </w:p>
    <w:p>
      <w:pPr>
        <w:pStyle w:val="ListParagraph"/>
        <w:numPr>
          <w:ilvl w:val="0"/>
          <w:numId w:val="2"/>
        </w:numPr>
        <w:spacing w:after="160" w:before="0"/>
      </w:pPr>
      <w:r>
        <w:rPr>
          <w:rFonts w:ascii="Arial" w:cs="Arial" w:eastAsia="Arial" w:hAnsi="Arial"/>
          <w:color w:val="4A4A6A"/>
          <w:sz w:val="24"/>
          <w:szCs w:val="24"/>
        </w:rPr>
        <w:t xml:space="preserve">Onboarding that frames the user as someone who is discovering their food identity, not starting a diet</w:t>
      </w:r>
    </w:p>
    <w:p>
      <w:pPr>
        <w:pStyle w:val="ListParagraph"/>
        <w:numPr>
          <w:ilvl w:val="0"/>
          <w:numId w:val="2"/>
        </w:numPr>
        <w:spacing w:after="160" w:before="0"/>
      </w:pPr>
      <w:r>
        <w:rPr>
          <w:rFonts w:ascii="Arial" w:cs="Arial" w:eastAsia="Arial" w:hAnsi="Arial"/>
          <w:color w:val="4A4A6A"/>
          <w:sz w:val="24"/>
          <w:szCs w:val="24"/>
        </w:rPr>
        <w:t xml:space="preserve">Meal card language that celebrates repeated choices as markers of stable identity rather than monotony</w:t>
      </w:r>
    </w:p>
    <w:p>
      <w:pPr>
        <w:pBdr>
          <w:left w:val="single" w:color="7B5FFF" w:sz="16" w:space="20"/>
        </w:pBdr>
        <w:spacing w:after="320" w:before="320"/>
        <w:ind w:left="720"/>
      </w:pPr>
      <w:r>
        <w:rPr>
          <w:rFonts w:ascii="Arial" w:cs="Arial" w:eastAsia="Arial" w:hAnsi="Arial"/>
          <w:b/>
          <w:bCs/>
          <w:i/>
          <w:iCs/>
          <w:color w:val="7B5FFF"/>
          <w:sz w:val="26"/>
          <w:szCs w:val="26"/>
        </w:rPr>
        <w:t xml:space="preserve">The goal is not to make users diet harder. It is to help them become someone who has a meal they love — because identity is more durable than willpower.</w:t>
      </w:r>
    </w:p>
    <w:p>
      <w:pPr>
        <w:spacing w:after="200" w:before="0"/>
      </w:pPr>
      <w:r>
        <w:rPr>
          <w:rFonts w:ascii="Arial" w:cs="Arial" w:eastAsia="Arial" w:hAnsi="Arial"/>
          <w:i/>
          <w:iCs/>
          <w:color w:val="888888"/>
          <w:sz w:val="22"/>
          <w:szCs w:val="22"/>
        </w:rPr>
        <w:t xml:space="preserve">Source: Cecchini et al. (2025), Nutrients — identity, values, and dietary behaviour; 2024 systematic review of food choice determinants</w:t>
      </w:r>
    </w:p>
    <w:p>
      <w:pPr>
        <w:spacing w:after="80" w:before="0"/>
      </w:pPr>
    </w:p>
    <w:p>
      <w:pPr>
        <w:spacing w:after="120" w:before="400"/>
      </w:pPr>
      <w:r>
        <w:rPr>
          <w:rFonts w:ascii="Arial" w:cs="Arial" w:eastAsia="Arial" w:hAnsi="Arial"/>
          <w:b/>
          <w:bCs/>
          <w:color w:val="1A1A2E"/>
          <w:sz w:val="26"/>
          <w:szCs w:val="26"/>
        </w:rPr>
        <w:t xml:space="preserve">Part 6 — The Product Rules</w:t>
      </w:r>
    </w:p>
    <w:p>
      <w:pPr>
        <w:spacing w:after="200" w:before="0"/>
      </w:pPr>
      <w:r>
        <w:rPr>
          <w:rFonts w:ascii="Arial" w:cs="Arial" w:eastAsia="Arial" w:hAnsi="Arial"/>
          <w:color w:val="4A4A6A"/>
          <w:sz w:val="24"/>
          <w:szCs w:val="24"/>
        </w:rPr>
        <w:t xml:space="preserve">The five psychological mechanisms above translate directly into a set of product design rules that govern every interaction in FuelSync: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Mechanism</w:t>
            </w:r>
          </w:p>
        </w:tc>
        <w:tc>
          <w:tcPr>
            <w:tcW w:type="dxa" w:w="348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Product rule</w:t>
            </w:r>
          </w:p>
        </w:tc>
        <w:tc>
          <w:tcPr>
            <w:tcW w:type="dxa" w:w="348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Why</w:t>
            </w:r>
          </w:p>
        </w:tc>
      </w:tr>
      <w:tr>
        <w:tc>
          <w:tcPr>
            <w:tcW w:type="dxa" w:w="24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What-the-hell effect</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Never score a lapse. Offer alternatives immediately.</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All-or-nothing thinking collapses when choices remain visible.</w:t>
            </w:r>
          </w:p>
        </w:tc>
      </w:tr>
      <w:tr>
        <w:tc>
          <w:tcPr>
            <w:tcW w:type="dxa" w:w="24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Guilt mechanism</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Use self-compassionate copy. Never show red indicators after a bad day.</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Guilt — not the lapse itself — kills intention and self-efficacy.</w:t>
            </w:r>
          </w:p>
        </w:tc>
      </w:tr>
      <w:tr>
        <w:tc>
          <w:tcPr>
            <w:tcW w:type="dxa" w:w="24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Perceived control</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6-meal feed after every lapse. Always 'you still have choices.'</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Restoring agency interrupts the spiral at the critical moment.</w:t>
            </w:r>
          </w:p>
        </w:tc>
      </w:tr>
      <w:tr>
        <w:tc>
          <w:tcPr>
            <w:tcW w:type="dxa" w:w="24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Social proof</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Community cards with peer signals. 'People like you eat this.'</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Credible social proof shifts food choices more than generic recommendations.</w:t>
            </w:r>
          </w:p>
        </w:tc>
      </w:tr>
      <w:tr>
        <w:tc>
          <w:tcPr>
            <w:tcW w:type="dxa" w:w="240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Identity-based habits</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Language that reinforces ownership: 'your meal', 'your standard dinner'.</w:t>
            </w:r>
          </w:p>
        </w:tc>
        <w:tc>
          <w:tcPr>
            <w:tcW w:type="dxa" w:w="348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Identity framing produces stronger intention-behaviour links than goal framing.</w:t>
            </w:r>
          </w:p>
        </w:tc>
      </w:tr>
    </w:tbl>
    <w:p>
      <w:pPr>
        <w:spacing w:after="24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Herman, C.P., &amp; Mack, D. (1975). Restrained and unrestrained eating. Journal of Personality.</w:t>
      </w:r>
    </w:p>
    <w:p>
      <w:pPr>
        <w:spacing w:after="200" w:before="0"/>
      </w:pPr>
      <w:r>
        <w:rPr>
          <w:rFonts w:ascii="Arial" w:cs="Arial" w:eastAsia="Arial" w:hAnsi="Arial"/>
          <w:color w:val="4A4A6A"/>
          <w:sz w:val="24"/>
          <w:szCs w:val="24"/>
        </w:rPr>
        <w:t xml:space="preserve">https://en.wikipedia.org/wiki/Counterregulatory_eating</w:t>
      </w:r>
    </w:p>
    <w:p>
      <w:pPr>
        <w:spacing w:after="80" w:before="0"/>
      </w:pPr>
    </w:p>
    <w:p>
      <w:pPr>
        <w:spacing w:after="200" w:before="0"/>
      </w:pPr>
      <w:r>
        <w:rPr>
          <w:rFonts w:ascii="Arial" w:cs="Arial" w:eastAsia="Arial" w:hAnsi="Arial"/>
          <w:color w:val="4A4A6A"/>
          <w:sz w:val="24"/>
          <w:szCs w:val="24"/>
        </w:rPr>
        <w:t xml:space="preserve">Rabiau, M., Knäuper, B., &amp; Miquelon, P. (2012). Compensatory beliefs and intentions. Appetite.</w:t>
      </w:r>
    </w:p>
    <w:p>
      <w:pPr>
        <w:spacing w:after="200" w:before="0"/>
      </w:pPr>
      <w:r>
        <w:rPr>
          <w:rFonts w:ascii="Arial" w:cs="Arial" w:eastAsia="Arial" w:hAnsi="Arial"/>
          <w:color w:val="4A4A6A"/>
          <w:sz w:val="24"/>
          <w:szCs w:val="24"/>
        </w:rPr>
        <w:t xml:space="preserve">https://www.sciencedirect.com/science/article/abs/pii/S0195666311004636</w:t>
      </w:r>
    </w:p>
    <w:p>
      <w:pPr>
        <w:spacing w:after="80" w:before="0"/>
      </w:pPr>
    </w:p>
    <w:p>
      <w:pPr>
        <w:spacing w:after="200" w:before="0"/>
      </w:pPr>
      <w:r>
        <w:rPr>
          <w:rFonts w:ascii="Arial" w:cs="Arial" w:eastAsia="Arial" w:hAnsi="Arial"/>
          <w:color w:val="4A4A6A"/>
          <w:sz w:val="24"/>
          <w:szCs w:val="24"/>
        </w:rPr>
        <w:t xml:space="preserve">Mantzios, M., et al. (2020). Does self-compassion help to deal with dietary lapses? Applied Psychology: Health and Well-Being.</w:t>
      </w:r>
    </w:p>
    <w:p>
      <w:pPr>
        <w:spacing w:after="200" w:before="0"/>
      </w:pPr>
      <w:r>
        <w:rPr>
          <w:rFonts w:ascii="Arial" w:cs="Arial" w:eastAsia="Arial" w:hAnsi="Arial"/>
          <w:color w:val="4A4A6A"/>
          <w:sz w:val="24"/>
          <w:szCs w:val="24"/>
        </w:rPr>
        <w:t xml:space="preserve">https://pmc.ncbi.nlm.nih.gov/articles/PMC8451927/</w:t>
      </w:r>
    </w:p>
    <w:p>
      <w:pPr>
        <w:spacing w:after="80" w:before="0"/>
      </w:pPr>
    </w:p>
    <w:p>
      <w:pPr>
        <w:spacing w:after="200" w:before="0"/>
      </w:pPr>
      <w:r>
        <w:rPr>
          <w:rFonts w:ascii="Arial" w:cs="Arial" w:eastAsia="Arial" w:hAnsi="Arial"/>
          <w:color w:val="4A4A6A"/>
          <w:sz w:val="24"/>
          <w:szCs w:val="24"/>
        </w:rPr>
        <w:t xml:space="preserve">Bhatti, et al. (2024). Does social proof and herd behaviour drive food choices? British Food Journal.</w:t>
      </w:r>
    </w:p>
    <w:p>
      <w:pPr>
        <w:spacing w:after="200" w:before="0"/>
      </w:pPr>
      <w:r>
        <w:rPr>
          <w:rFonts w:ascii="Arial" w:cs="Arial" w:eastAsia="Arial" w:hAnsi="Arial"/>
          <w:color w:val="4A4A6A"/>
          <w:sz w:val="24"/>
          <w:szCs w:val="24"/>
        </w:rPr>
        <w:t xml:space="preserve">https://pure.sruc.ac.uk/en/publications/does-social-proof-and-herd-behaviour-drive-food-choices-of-consum/</w:t>
      </w:r>
    </w:p>
    <w:p>
      <w:pPr>
        <w:spacing w:after="80" w:before="0"/>
      </w:pPr>
    </w:p>
    <w:p>
      <w:pPr>
        <w:spacing w:after="200" w:before="0"/>
      </w:pPr>
      <w:r>
        <w:rPr>
          <w:rFonts w:ascii="Arial" w:cs="Arial" w:eastAsia="Arial" w:hAnsi="Arial"/>
          <w:color w:val="4A4A6A"/>
          <w:sz w:val="24"/>
          <w:szCs w:val="24"/>
        </w:rPr>
        <w:t xml:space="preserve">ECU. (2024). Analysing behaviour change techniques in an effective food literacy program.</w:t>
      </w:r>
    </w:p>
    <w:p>
      <w:pPr>
        <w:spacing w:after="200" w:before="0"/>
      </w:pPr>
      <w:r>
        <w:rPr>
          <w:rFonts w:ascii="Arial" w:cs="Arial" w:eastAsia="Arial" w:hAnsi="Arial"/>
          <w:color w:val="4A4A6A"/>
          <w:sz w:val="24"/>
          <w:szCs w:val="24"/>
        </w:rPr>
        <w:t xml:space="preserve">https://ro.ecu.edu.au/cgi/viewcontent.cgi?article=5765&amp;context=ecuworks2022-2026</w:t>
      </w:r>
    </w:p>
    <w:p>
      <w:pPr>
        <w:spacing w:after="80" w:before="0"/>
      </w:pPr>
    </w:p>
    <w:p>
      <w:pPr>
        <w:spacing w:after="200" w:before="0"/>
      </w:pPr>
      <w:r>
        <w:rPr>
          <w:rFonts w:ascii="Arial" w:cs="Arial" w:eastAsia="Arial" w:hAnsi="Arial"/>
          <w:color w:val="4A4A6A"/>
          <w:sz w:val="24"/>
          <w:szCs w:val="24"/>
        </w:rPr>
        <w:t xml:space="preserve">Cecchini, M., et al. (2025). Psychological well-being and dysfunctional eating styles. Nutrients.</w:t>
      </w:r>
    </w:p>
    <w:p>
      <w:pPr>
        <w:spacing w:after="200" w:before="0"/>
      </w:pPr>
      <w:r>
        <w:rPr>
          <w:rFonts w:ascii="Arial" w:cs="Arial" w:eastAsia="Arial" w:hAnsi="Arial"/>
          <w:color w:val="4A4A6A"/>
          <w:sz w:val="24"/>
          <w:szCs w:val="24"/>
        </w:rPr>
        <w:t xml:space="preserve">https://pmc.ncbi.nlm.nih.gov/articles/PMC12348166/</w:t>
      </w:r>
    </w:p>
    <w:p>
      <w:pPr>
        <w:spacing w:after="80" w:before="0"/>
      </w:pPr>
    </w:p>
    <w:p>
      <w:pPr>
        <w:spacing w:after="200" w:before="0"/>
      </w:pPr>
      <w:r>
        <w:rPr>
          <w:rFonts w:ascii="Arial" w:cs="Arial" w:eastAsia="Arial" w:hAnsi="Arial"/>
          <w:color w:val="4A4A6A"/>
          <w:sz w:val="24"/>
          <w:szCs w:val="24"/>
        </w:rPr>
        <w:t xml:space="preserve">Systematic review: Food choice determinants and perceived control. (2024). ScienceDirect.</w:t>
      </w:r>
    </w:p>
    <w:p>
      <w:pPr>
        <w:spacing w:after="200" w:before="0"/>
      </w:pPr>
      <w:r>
        <w:rPr>
          <w:rFonts w:ascii="Arial" w:cs="Arial" w:eastAsia="Arial" w:hAnsi="Arial"/>
          <w:color w:val="4A4A6A"/>
          <w:sz w:val="24"/>
          <w:szCs w:val="24"/>
        </w:rPr>
        <w:t xml:space="preserve">https://www.sciencedirect.com/science/article/pii/S2405844024085232</w:t>
      </w:r>
    </w:p>
    <w:p>
      <w:pPr>
        <w:spacing w:after="480" w:before="0"/>
      </w:pPr>
    </w:p>
    <w:p>
      <w:pPr>
        <w:spacing w:after="0" w:before="0"/>
      </w:pPr>
      <w:r>
        <w:rPr>
          <w:rFonts w:ascii="Arial" w:cs="Arial" w:eastAsia="Arial" w:hAnsi="Arial"/>
          <w:color w:val="AAAAAA"/>
          <w:sz w:val="18"/>
          <w:szCs w:val="18"/>
        </w:rPr>
        <w:t xml:space="preserve">FuelSync  |  Brisbane, Australia  |  Document 05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2026-04-15T11:20:57.170Z</dcterms:created>
  <dcterms:modified xsi:type="dcterms:W3CDTF">2026-04-15T11:20:57.171Z</dcterms:modified>
</cp:coreProperties>
</file>

<file path=docProps/custom.xml><?xml version="1.0" encoding="utf-8"?>
<Properties xmlns="http://schemas.openxmlformats.org/officeDocument/2006/custom-properties" xmlns:vt="http://schemas.openxmlformats.org/officeDocument/2006/docPropsVTypes"/>
</file>