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7B5FFF"/>
          <w:spacing w:val="60"/>
          <w:sz w:val="18"/>
          <w:szCs w:val="18"/>
        </w:rPr>
        <w:t xml:space="preserve">FUELSYNC — DOCUMENT 07</w:t>
      </w:r>
    </w:p>
    <w:p>
      <w:pPr>
        <w:pBdr>
          <w:bottom w:val="single" w:color="7B5FFF" w:sz="6" w:space="1"/>
        </w:pBdr>
        <w:spacing w:after="240" w:before="0"/>
      </w:pPr>
    </w:p>
    <w:p>
      <w:pPr>
        <w:spacing w:after="80" w:before="0"/>
      </w:pPr>
    </w:p>
    <w:p>
      <w:pPr>
        <w:spacing w:after="160" w:before="0"/>
      </w:pPr>
      <w:r>
        <w:rPr>
          <w:rFonts w:ascii="Arial" w:cs="Arial" w:eastAsia="Arial" w:hAnsi="Arial"/>
          <w:b/>
          <w:bCs/>
          <w:color w:val="1A1A2E"/>
          <w:sz w:val="36"/>
          <w:szCs w:val="36"/>
        </w:rPr>
        <w:t xml:space="preserve">Agent Architecture v1.0</w:t>
      </w:r>
    </w:p>
    <w:p>
      <w:pPr>
        <w:spacing w:after="200" w:before="0"/>
      </w:pPr>
      <w:r>
        <w:rPr>
          <w:rFonts w:ascii="Arial" w:cs="Arial" w:eastAsia="Arial" w:hAnsi="Arial"/>
          <w:color w:val="4A4A6A"/>
          <w:sz w:val="24"/>
          <w:szCs w:val="24"/>
        </w:rPr>
        <w:t xml:space="preserve">The technical architecture of FuelSync's core AI system — how agentic AI, LLM reasoning, memory layers, and behaviour-change mechanics combine into a product that gets smarter with every interaction and builds a data moat no incumbent can replicate.</w:t>
      </w:r>
    </w:p>
    <w:p>
      <w:pPr>
        <w:spacing w:after="240" w:before="0"/>
      </w:pPr>
    </w:p>
    <w:p>
      <w:pPr>
        <w:spacing w:after="120" w:before="400"/>
      </w:pPr>
      <w:r>
        <w:rPr>
          <w:rFonts w:ascii="Arial" w:cs="Arial" w:eastAsia="Arial" w:hAnsi="Arial"/>
          <w:b/>
          <w:bCs/>
          <w:color w:val="1A1A2E"/>
          <w:sz w:val="26"/>
          <w:szCs w:val="26"/>
        </w:rPr>
        <w:t xml:space="preserve">Part 1 — Why Agent-Native Architecture Matters</w:t>
      </w:r>
    </w:p>
    <w:p>
      <w:pPr>
        <w:spacing w:after="200" w:before="0"/>
      </w:pPr>
      <w:r>
        <w:rPr>
          <w:rFonts w:ascii="Arial" w:cs="Arial" w:eastAsia="Arial" w:hAnsi="Arial"/>
          <w:color w:val="4A4A6A"/>
          <w:sz w:val="24"/>
          <w:szCs w:val="24"/>
        </w:rPr>
        <w:t xml:space="preserve">Most health apps in 2024–2025 are adding AI features to products that were not designed for AI. MyFitnessPal has added a chatbot. Noom has added AI-generated lesson summaries. These are AI features bolted onto calorie-tracking databases — the underlying architecture remains a manual logging system with a conversational layer on top.</w:t>
      </w:r>
    </w:p>
    <w:p>
      <w:pPr>
        <w:spacing w:after="200" w:before="0"/>
      </w:pPr>
      <w:r>
        <w:rPr>
          <w:rFonts w:ascii="Arial" w:cs="Arial" w:eastAsia="Arial" w:hAnsi="Arial"/>
          <w:color w:val="4A4A6A"/>
          <w:sz w:val="24"/>
          <w:szCs w:val="24"/>
        </w:rPr>
        <w:t xml:space="preserve">FuelSync is built differently. The agentic AI layer is not a feature — it is the product. Every screen, every interaction, every piece of data collected exists to feed the agent's reasoning about what this specific user needs next. This architectural difference is not just a technical detail — it is the source of FuelSync's primary competitive moat.</w:t>
      </w:r>
    </w:p>
    <w:p>
      <w:pPr>
        <w:pBdr>
          <w:left w:val="single" w:color="7B5FFF" w:sz="16" w:space="20"/>
        </w:pBdr>
        <w:spacing w:after="320" w:before="320"/>
        <w:ind w:left="720"/>
      </w:pPr>
      <w:r>
        <w:rPr>
          <w:rFonts w:ascii="Arial" w:cs="Arial" w:eastAsia="Arial" w:hAnsi="Arial"/>
          <w:b/>
          <w:bCs/>
          <w:i/>
          <w:iCs/>
          <w:color w:val="7B5FFF"/>
          <w:sz w:val="26"/>
          <w:szCs w:val="26"/>
        </w:rPr>
        <w:t xml:space="preserve">Incumbents are retrofitting AI onto legacy stacks. FuelSync is building the legacy stack in AI from day one.</w:t>
      </w:r>
    </w:p>
    <w:p>
      <w:pPr>
        <w:spacing w:after="200" w:before="0"/>
      </w:pPr>
      <w:r>
        <w:rPr>
          <w:rFonts w:ascii="Arial" w:cs="Arial" w:eastAsia="Arial" w:hAnsi="Arial"/>
          <w:color w:val="4A4A6A"/>
          <w:sz w:val="24"/>
          <w:szCs w:val="24"/>
        </w:rPr>
        <w:t xml:space="preserve">Industry analysis from Deloitte (2026, reflecting 2024–2025 pilots) describes the challenge facing established health platforms: agentic AI requires tight coupling between agents, product flows, telemetry, and UX — the kind of end-to-end orchestration that is dramatically easier to build greenfield than to retrofit into fragmented legacy systems. FuelSync's greenfield position is a structural advantage that compounds over time.</w:t>
      </w:r>
    </w:p>
    <w:p>
      <w:pPr>
        <w:spacing w:after="200" w:before="0"/>
      </w:pPr>
      <w:r>
        <w:rPr>
          <w:rFonts w:ascii="Arial" w:cs="Arial" w:eastAsia="Arial" w:hAnsi="Arial"/>
          <w:i/>
          <w:iCs/>
          <w:color w:val="888888"/>
          <w:sz w:val="22"/>
          <w:szCs w:val="22"/>
        </w:rPr>
        <w:t xml:space="preserve">Source: Deloitte Insights — Health care leans into agentic AI (Feb 2026)</w:t>
      </w:r>
    </w:p>
    <w:p>
      <w:pPr>
        <w:spacing w:after="80" w:before="0"/>
      </w:pPr>
    </w:p>
    <w:p>
      <w:pPr>
        <w:spacing w:after="120" w:before="400"/>
      </w:pPr>
      <w:r>
        <w:rPr>
          <w:rFonts w:ascii="Arial" w:cs="Arial" w:eastAsia="Arial" w:hAnsi="Arial"/>
          <w:b/>
          <w:bCs/>
          <w:color w:val="1A1A2E"/>
          <w:sz w:val="26"/>
          <w:szCs w:val="26"/>
        </w:rPr>
        <w:t xml:space="preserve">Part 2 — The State of Agentic AI in Consumer Health</w:t>
      </w:r>
    </w:p>
    <w:p>
      <w:pPr>
        <w:spacing w:after="200" w:before="0"/>
      </w:pPr>
      <w:r>
        <w:rPr>
          <w:rFonts w:ascii="Arial" w:cs="Arial" w:eastAsia="Arial" w:hAnsi="Arial"/>
          <w:color w:val="4A4A6A"/>
          <w:sz w:val="24"/>
          <w:szCs w:val="24"/>
        </w:rPr>
        <w:t xml:space="preserve">As of 2024–2025, production agentic AI systems in consumer health are largely early-stage pilots. The dominant use cases are clinical workflow automation, patient navigation, and care coordination — enterprise-facing tools integrated into hospital systems and payer portals. Consumer-facing agentic AI in everyday wellness apps remains largely unrealised.</w:t>
      </w:r>
    </w:p>
    <w:p>
      <w:pPr>
        <w:spacing w:after="200" w:before="0"/>
      </w:pPr>
      <w:r>
        <w:rPr>
          <w:rFonts w:ascii="Arial" w:cs="Arial" w:eastAsia="Arial" w:hAnsi="Arial"/>
          <w:color w:val="4A4A6A"/>
          <w:sz w:val="24"/>
          <w:szCs w:val="24"/>
        </w:rPr>
        <w:t xml:space="preserve">IQVIA's 2026 whitepaper on the consumer health revolution argues that the next phase of this market will be 'AI intermediaries' that autonomously search evidence, compare options, and act on behalf of consumers for OTC and wellness products. The agentic AI healthcare market was estimated at approximately USD 538 million in 2024, projected to reach multibillion scale by 2030, driven partly by behaviour-change use cases like adherence support, lifestyle coaching, and care navigation.</w:t>
      </w:r>
    </w:p>
    <w:p>
      <w:pPr>
        <w:spacing w:after="200" w:before="0"/>
      </w:pPr>
      <w:r>
        <w:rPr>
          <w:rFonts w:ascii="Arial" w:cs="Arial" w:eastAsia="Arial" w:hAnsi="Arial"/>
          <w:color w:val="4A4A6A"/>
          <w:sz w:val="24"/>
          <w:szCs w:val="24"/>
        </w:rPr>
        <w:t xml:space="preserve">FuelSync enters this market at the moment of category formation — before a dominant consumer agentic health product has established itself. This is the same window that existed for MyFitnessPal in 2005 before calorie tracking became mainstream. The difference is that FuelSync is not building a calorie tracker — it is building the first consumer product designed around the behaviour-change mechanics that calorie trackers systematically fail to address.</w:t>
      </w:r>
    </w:p>
    <w:p>
      <w:pPr>
        <w:spacing w:after="200" w:before="0"/>
      </w:pPr>
      <w:r>
        <w:rPr>
          <w:rFonts w:ascii="Arial" w:cs="Arial" w:eastAsia="Arial" w:hAnsi="Arial"/>
          <w:i/>
          <w:iCs/>
          <w:color w:val="888888"/>
          <w:sz w:val="22"/>
          <w:szCs w:val="22"/>
        </w:rPr>
        <w:t xml:space="preserve">Sources: IQVIA — An Agentic AI-Powered Consumer Health Revolution (Jan 2026); Grand View Research — Agentic AI in Healthcare Market (2024)</w:t>
      </w:r>
    </w:p>
    <w:p>
      <w:pPr>
        <w:spacing w:after="80" w:before="0"/>
      </w:pPr>
    </w:p>
    <w:p>
      <w:pPr>
        <w:spacing w:after="120" w:before="400"/>
      </w:pPr>
      <w:r>
        <w:rPr>
          <w:rFonts w:ascii="Arial" w:cs="Arial" w:eastAsia="Arial" w:hAnsi="Arial"/>
          <w:b/>
          <w:bCs/>
          <w:color w:val="1A1A2E"/>
          <w:sz w:val="26"/>
          <w:szCs w:val="26"/>
        </w:rPr>
        <w:t xml:space="preserve">Part 3 — LLMs in Personalised Nutrition</w:t>
      </w:r>
    </w:p>
    <w:p>
      <w:pPr>
        <w:spacing w:after="200" w:before="0"/>
      </w:pPr>
      <w:r>
        <w:rPr>
          <w:rFonts w:ascii="Arial" w:cs="Arial" w:eastAsia="Arial" w:hAnsi="Arial"/>
          <w:color w:val="4A4A6A"/>
          <w:sz w:val="24"/>
          <w:szCs w:val="24"/>
        </w:rPr>
        <w:t xml:space="preserve">The research on large language models in nutrition applications is converging on a specific architecture — one that FuelSync's design directly implements:</w:t>
      </w:r>
    </w:p>
    <w:p>
      <w:pPr>
        <w:pStyle w:val="ListParagraph"/>
        <w:numPr>
          <w:ilvl w:val="0"/>
          <w:numId w:val="2"/>
        </w:numPr>
        <w:spacing w:after="160" w:before="0"/>
      </w:pPr>
      <w:r>
        <w:rPr>
          <w:rFonts w:ascii="Arial" w:cs="Arial" w:eastAsia="Arial" w:hAnsi="Arial"/>
          <w:color w:val="4A4A6A"/>
          <w:sz w:val="24"/>
          <w:szCs w:val="24"/>
        </w:rPr>
        <w:t xml:space="preserve">Multimodal input — text, images, voice — converted into structured nutritional and behavioural data</w:t>
      </w:r>
    </w:p>
    <w:p>
      <w:pPr>
        <w:pStyle w:val="ListParagraph"/>
        <w:numPr>
          <w:ilvl w:val="0"/>
          <w:numId w:val="2"/>
        </w:numPr>
        <w:spacing w:after="160" w:before="0"/>
      </w:pPr>
      <w:r>
        <w:rPr>
          <w:rFonts w:ascii="Arial" w:cs="Arial" w:eastAsia="Arial" w:hAnsi="Arial"/>
          <w:color w:val="4A4A6A"/>
          <w:sz w:val="24"/>
          <w:szCs w:val="24"/>
        </w:rPr>
        <w:t xml:space="preserve">LLM reasoning over that structured data to generate personalised meal suggestions and behaviour nudges</w:t>
      </w:r>
    </w:p>
    <w:p>
      <w:pPr>
        <w:pStyle w:val="ListParagraph"/>
        <w:numPr>
          <w:ilvl w:val="0"/>
          <w:numId w:val="2"/>
        </w:numPr>
        <w:spacing w:after="160" w:before="0"/>
      </w:pPr>
      <w:r>
        <w:rPr>
          <w:rFonts w:ascii="Arial" w:cs="Arial" w:eastAsia="Arial" w:hAnsi="Arial"/>
          <w:color w:val="4A4A6A"/>
          <w:sz w:val="24"/>
          <w:szCs w:val="24"/>
        </w:rPr>
        <w:t xml:space="preserve">Retrieval-augmented generation pulling from curated food databases, community meal cards, and user history</w:t>
      </w:r>
    </w:p>
    <w:p>
      <w:pPr>
        <w:pStyle w:val="ListParagraph"/>
        <w:numPr>
          <w:ilvl w:val="0"/>
          <w:numId w:val="2"/>
        </w:numPr>
        <w:spacing w:after="160" w:before="0"/>
      </w:pPr>
      <w:r>
        <w:rPr>
          <w:rFonts w:ascii="Arial" w:cs="Arial" w:eastAsia="Arial" w:hAnsi="Arial"/>
          <w:color w:val="4A4A6A"/>
          <w:sz w:val="24"/>
          <w:szCs w:val="24"/>
        </w:rPr>
        <w:t xml:space="preserve">Rule layers and safety guardrails constraining LLM output to safe, appropriate suggestions</w:t>
      </w:r>
    </w:p>
    <w:p>
      <w:pPr>
        <w:spacing w:after="200" w:before="0"/>
      </w:pPr>
      <w:r>
        <w:rPr>
          <w:rFonts w:ascii="Arial" w:cs="Arial" w:eastAsia="Arial" w:hAnsi="Arial"/>
          <w:color w:val="4A4A6A"/>
          <w:sz w:val="24"/>
          <w:szCs w:val="24"/>
        </w:rPr>
        <w:t xml:space="preserve">A 2025 study evaluating LLMs for personalised meal planning (PMC) found that Llama-3 70B achieved an F1 score of approximately 0.89 in decomposing compound ingredients into precise quantities — demonstrating that modern LLMs can reliably structure nutrition data for precise planning when properly constrained. The NutriGen architecture (2025, arXiv) proposes an LLM-based meal plan generator integrating user preferences, constraints, and USDA nutrition databases via prompt engineering and multimodal input, validating the technical approach FuelSync is implementing.</w:t>
      </w:r>
    </w:p>
    <w:p>
      <w:pPr>
        <w:spacing w:after="200" w:before="0"/>
      </w:pPr>
      <w:r>
        <w:rPr>
          <w:rFonts w:ascii="Arial" w:cs="Arial" w:eastAsia="Arial" w:hAnsi="Arial"/>
          <w:color w:val="4A4A6A"/>
          <w:sz w:val="24"/>
          <w:szCs w:val="24"/>
        </w:rPr>
        <w:t xml:space="preserve">FuelSync's reasoning layer extends this architecture with two capabilities that nutrition-focused LLM systems have not yet implemented: emotional state reasoning and community-sourced meal discovery. The agent does not just know what the user can eat — it reasons over how the user is feeling, what has triggered lapses before, and what meals from similar users have driven the highest return rates.</w:t>
      </w:r>
    </w:p>
    <w:p>
      <w:pPr>
        <w:spacing w:after="200" w:before="0"/>
      </w:pPr>
      <w:r>
        <w:rPr>
          <w:rFonts w:ascii="Arial" w:cs="Arial" w:eastAsia="Arial" w:hAnsi="Arial"/>
          <w:i/>
          <w:iCs/>
          <w:color w:val="888888"/>
          <w:sz w:val="22"/>
          <w:szCs w:val="22"/>
        </w:rPr>
        <w:t xml:space="preserve">Sources: PMC — Improving Personalised Meal Planning with LLMs (Apr 2025); arXiv — NutriGen (Feb 2025); Frontiers in Nutrition — LLMs in clinical nutrition (Jul 2025)</w:t>
      </w:r>
    </w:p>
    <w:p>
      <w:pPr>
        <w:spacing w:after="80" w:before="0"/>
      </w:pPr>
    </w:p>
    <w:p>
      <w:pPr>
        <w:spacing w:after="120" w:before="400"/>
      </w:pPr>
      <w:r>
        <w:rPr>
          <w:rFonts w:ascii="Arial" w:cs="Arial" w:eastAsia="Arial" w:hAnsi="Arial"/>
          <w:b/>
          <w:bCs/>
          <w:color w:val="1A1A2E"/>
          <w:sz w:val="26"/>
          <w:szCs w:val="26"/>
        </w:rPr>
        <w:t xml:space="preserve">Part 4 — Memory Architecture</w:t>
      </w:r>
    </w:p>
    <w:p>
      <w:pPr>
        <w:spacing w:after="200" w:before="0"/>
      </w:pPr>
      <w:r>
        <w:rPr>
          <w:rFonts w:ascii="Arial" w:cs="Arial" w:eastAsia="Arial" w:hAnsi="Arial"/>
          <w:color w:val="4A4A6A"/>
          <w:sz w:val="24"/>
          <w:szCs w:val="24"/>
        </w:rPr>
        <w:t xml:space="preserve">The core technical innovation in FuelSync's architecture is the memory layer — a longitudinal user state model that persists across sessions and builds an increasingly accurate picture of the user's food behaviour over time.</w:t>
      </w:r>
    </w:p>
    <w:p>
      <w:pPr>
        <w:spacing w:after="200" w:before="0"/>
      </w:pPr>
      <w:r>
        <w:rPr>
          <w:rFonts w:ascii="Arial" w:cs="Arial" w:eastAsia="Arial" w:hAnsi="Arial"/>
          <w:color w:val="4A4A6A"/>
          <w:sz w:val="24"/>
          <w:szCs w:val="24"/>
        </w:rPr>
        <w:t xml:space="preserve">Current technical architecture for LLM memory systems uses a three-tier model, documented across multiple 2025 engineering analyses: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Memory tier</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What it stores</w:t>
            </w:r>
          </w:p>
        </w:tc>
        <w:tc>
          <w:tcPr>
            <w:tcW w:type="dxa" w:w="3120"/>
            <w:tcBorders>
              <w:top w:val="single" w:color="E8E8F0" w:sz="1"/>
              <w:left w:val="single" w:color="E8E8F0" w:sz="1"/>
              <w:bottom w:val="single" w:color="E8E8F0" w:sz="1"/>
              <w:right w:val="single" w:color="E8E8F0" w:sz="1"/>
            </w:tcBorders>
            <w:shd w:fill="EDE9FF" w:val="clear"/>
            <w:tcMar>
              <w:top w:type="dxa" w:w="120"/>
              <w:left w:type="dxa" w:w="160"/>
              <w:bottom w:type="dxa" w:w="120"/>
              <w:right w:type="dxa" w:w="160"/>
            </w:tcMar>
          </w:tcPr>
          <w:p>
            <w:r>
              <w:rPr>
                <w:rFonts w:ascii="Arial" w:cs="Arial" w:eastAsia="Arial" w:hAnsi="Arial"/>
                <w:b/>
                <w:bCs/>
                <w:color w:val="7B5FFF"/>
                <w:sz w:val="20"/>
                <w:szCs w:val="20"/>
              </w:rPr>
              <w:t xml:space="preserve">FuelSync application</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Short-term / session</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Current conversation history and immediate context</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Current emotional state, today's meals, active spiral detection</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Long-term curated</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Structured notes on preferences, behaviours, and history across sessions</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Anchor meal identity, trigger patterns, lapse history, budget constraints</w:t>
            </w:r>
          </w:p>
        </w:tc>
      </w:tr>
      <w:tr>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Operational state</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Counters, timestamps, flags, and structured JSON state</w:t>
            </w:r>
          </w:p>
        </w:tc>
        <w:tc>
          <w:tcPr>
            <w:tcW w:type="dxa" w:w="3120"/>
            <w:tcBorders>
              <w:top w:val="single" w:color="E8E8F0" w:sz="1"/>
              <w:left w:val="single" w:color="E8E8F0" w:sz="1"/>
              <w:bottom w:val="single" w:color="E8E8F0" w:sz="1"/>
              <w:right w:val="single" w:color="E8E8F0" w:sz="1"/>
            </w:tcBorders>
            <w:shd w:fill="FFFFFF" w:val="clear"/>
            <w:tcMar>
              <w:top w:type="dxa" w:w="120"/>
              <w:left w:type="dxa" w:w="160"/>
              <w:bottom w:type="dxa" w:w="120"/>
              <w:right w:type="dxa" w:w="160"/>
            </w:tcMar>
          </w:tcPr>
          <w:p>
            <w:r>
              <w:rPr>
                <w:rFonts w:ascii="Arial" w:cs="Arial" w:eastAsia="Arial" w:hAnsi="Arial"/>
                <w:b w:val="false"/>
                <w:bCs w:val="false"/>
                <w:color w:val="4A4A6A"/>
                <w:sz w:val="22"/>
                <w:szCs w:val="22"/>
              </w:rPr>
              <w:t xml:space="preserve">Streak data, return rates on specific meals, NDIS profile flags, sensory preferences</w:t>
            </w:r>
          </w:p>
        </w:tc>
      </w:tr>
    </w:tbl>
    <w:p>
      <w:pPr>
        <w:spacing w:after="200" w:before="0"/>
      </w:pPr>
    </w:p>
    <w:p>
      <w:pPr>
        <w:spacing w:after="200" w:before="0"/>
      </w:pPr>
      <w:r>
        <w:rPr>
          <w:rFonts w:ascii="Arial" w:cs="Arial" w:eastAsia="Arial" w:hAnsi="Arial"/>
          <w:color w:val="4A4A6A"/>
          <w:sz w:val="24"/>
          <w:szCs w:val="24"/>
        </w:rPr>
        <w:t xml:space="preserve">This three-tier memory architecture enables FuelSync to deliver what no calorie tracker can: a product that gets genuinely smarter the longer a user engages with it. A new user gets good suggestions. A user after 30 days gets suggestions that account for their specific emotional triggers, their favourite meal variations, and the exact times of day they are most vulnerable to a spiral. A user after 90 days has an anchor meal that belongs to them — discovered through their own interaction history rather than assigned by a generic algorithm.</w:t>
      </w:r>
    </w:p>
    <w:p>
      <w:pPr>
        <w:spacing w:after="200" w:before="0"/>
      </w:pPr>
      <w:r>
        <w:rPr>
          <w:rFonts w:ascii="Arial" w:cs="Arial" w:eastAsia="Arial" w:hAnsi="Arial"/>
          <w:color w:val="4A4A6A"/>
          <w:sz w:val="24"/>
          <w:szCs w:val="24"/>
        </w:rPr>
        <w:t xml:space="preserve">The data moat this creates is the most defensible competitive advantage in FuelSync's architecture. Every session builds longitudinal behavioural data — emotional patterns, craving cycles, spiral recovery trajectories, anchor meal attachment strength — that cannot be replicated by a competitor who enters the market later. The longer FuelSync runs, the harder it becomes to displace.</w:t>
      </w:r>
    </w:p>
    <w:p>
      <w:pPr>
        <w:spacing w:after="200" w:before="0"/>
      </w:pPr>
      <w:r>
        <w:rPr>
          <w:rFonts w:ascii="Arial" w:cs="Arial" w:eastAsia="Arial" w:hAnsi="Arial"/>
          <w:i/>
          <w:iCs/>
          <w:color w:val="888888"/>
          <w:sz w:val="22"/>
          <w:szCs w:val="22"/>
        </w:rPr>
        <w:t xml:space="preserve">Sources: Uplatz — Multi-Turn Conversation State Management and Memory Architectures (Nov 2025); Jenova — AI with Long-Term Memory (Jan 2026)</w:t>
      </w:r>
    </w:p>
    <w:p>
      <w:pPr>
        <w:spacing w:after="80" w:before="0"/>
      </w:pPr>
    </w:p>
    <w:p>
      <w:pPr>
        <w:spacing w:after="120" w:before="400"/>
      </w:pPr>
      <w:r>
        <w:rPr>
          <w:rFonts w:ascii="Arial" w:cs="Arial" w:eastAsia="Arial" w:hAnsi="Arial"/>
          <w:b/>
          <w:bCs/>
          <w:color w:val="1A1A2E"/>
          <w:sz w:val="26"/>
          <w:szCs w:val="26"/>
        </w:rPr>
        <w:t xml:space="preserve">Part 5 — The Five Agent Layers</w:t>
      </w:r>
    </w:p>
    <w:p>
      <w:pPr>
        <w:spacing w:after="200" w:before="0"/>
      </w:pPr>
      <w:r>
        <w:rPr>
          <w:rFonts w:ascii="Arial" w:cs="Arial" w:eastAsia="Arial" w:hAnsi="Arial"/>
          <w:color w:val="4A4A6A"/>
          <w:sz w:val="24"/>
          <w:szCs w:val="24"/>
        </w:rPr>
        <w:t xml:space="preserve">FuelSync's agentic architecture is structured across five functional layers, each feeding into the next:</w:t>
      </w:r>
    </w:p>
    <w:p>
      <w:pPr>
        <w:spacing w:after="200" w:before="0"/>
      </w:pPr>
      <w:r>
        <w:rPr>
          <w:rFonts w:ascii="Arial" w:cs="Arial" w:eastAsia="Arial" w:hAnsi="Arial"/>
          <w:b/>
          <w:bCs/>
          <w:color w:val="1A1A2E"/>
          <w:sz w:val="24"/>
          <w:szCs w:val="24"/>
        </w:rPr>
        <w:t xml:space="preserve">Layer 1 — Perception</w:t>
      </w:r>
    </w:p>
    <w:p>
      <w:pPr>
        <w:spacing w:after="200" w:before="0"/>
      </w:pPr>
      <w:r>
        <w:rPr>
          <w:rFonts w:ascii="Arial" w:cs="Arial" w:eastAsia="Arial" w:hAnsi="Arial"/>
          <w:color w:val="4A4A6A"/>
          <w:sz w:val="24"/>
          <w:szCs w:val="24"/>
        </w:rPr>
        <w:t xml:space="preserve">Input signals: text input, meal photo analysis, voice, behavioural signals (time of day, location context, app interaction patterns), and explicit user state declarations. All inputs are processed into structured data before reaching the reasoning layer.</w:t>
      </w:r>
    </w:p>
    <w:p>
      <w:pPr>
        <w:spacing w:after="200" w:before="0"/>
      </w:pPr>
      <w:r>
        <w:rPr>
          <w:rFonts w:ascii="Arial" w:cs="Arial" w:eastAsia="Arial" w:hAnsi="Arial"/>
          <w:b/>
          <w:bCs/>
          <w:color w:val="1A1A2E"/>
          <w:sz w:val="24"/>
          <w:szCs w:val="24"/>
        </w:rPr>
        <w:t xml:space="preserve">Layer 2 — User State Model</w:t>
      </w:r>
    </w:p>
    <w:p>
      <w:pPr>
        <w:spacing w:after="200" w:before="0"/>
      </w:pPr>
      <w:r>
        <w:rPr>
          <w:rFonts w:ascii="Arial" w:cs="Arial" w:eastAsia="Arial" w:hAnsi="Arial"/>
          <w:color w:val="4A4A6A"/>
          <w:sz w:val="24"/>
          <w:szCs w:val="24"/>
        </w:rPr>
        <w:t xml:space="preserve">Real-time inference of the user's current state: hunger level, emotional state, budget constraint, available prep time, craving direction, and risk of spiral. The state model combines short-term session data with long-term memory to produce a rich contextual picture of this specific user at this specific moment.</w:t>
      </w:r>
    </w:p>
    <w:p>
      <w:pPr>
        <w:spacing w:after="200" w:before="0"/>
      </w:pPr>
      <w:r>
        <w:rPr>
          <w:rFonts w:ascii="Arial" w:cs="Arial" w:eastAsia="Arial" w:hAnsi="Arial"/>
          <w:b/>
          <w:bCs/>
          <w:color w:val="1A1A2E"/>
          <w:sz w:val="24"/>
          <w:szCs w:val="24"/>
        </w:rPr>
        <w:t xml:space="preserve">Layer 3 — Memory</w:t>
      </w:r>
    </w:p>
    <w:p>
      <w:pPr>
        <w:spacing w:after="200" w:before="0"/>
      </w:pPr>
      <w:r>
        <w:rPr>
          <w:rFonts w:ascii="Arial" w:cs="Arial" w:eastAsia="Arial" w:hAnsi="Arial"/>
          <w:color w:val="4A4A6A"/>
          <w:sz w:val="24"/>
          <w:szCs w:val="24"/>
        </w:rPr>
        <w:t xml:space="preserve">Three-tier memory as described above. Short-term holds the current session. Long-term stores the anchor meal identity, trigger patterns, and lapse history. Operational state tracks quantitative signals — return rates, streak data, engagement patterns — that the reasoning layer uses for decision-making.</w:t>
      </w:r>
    </w:p>
    <w:p>
      <w:pPr>
        <w:spacing w:after="200" w:before="0"/>
      </w:pPr>
      <w:r>
        <w:rPr>
          <w:rFonts w:ascii="Arial" w:cs="Arial" w:eastAsia="Arial" w:hAnsi="Arial"/>
          <w:b/>
          <w:bCs/>
          <w:color w:val="1A1A2E"/>
          <w:sz w:val="24"/>
          <w:szCs w:val="24"/>
        </w:rPr>
        <w:t xml:space="preserve">Layer 4 — Reasoning Engine</w:t>
      </w:r>
    </w:p>
    <w:p>
      <w:pPr>
        <w:spacing w:after="200" w:before="0"/>
      </w:pPr>
      <w:r>
        <w:rPr>
          <w:rFonts w:ascii="Arial" w:cs="Arial" w:eastAsia="Arial" w:hAnsi="Arial"/>
          <w:color w:val="4A4A6A"/>
          <w:sz w:val="24"/>
          <w:szCs w:val="24"/>
        </w:rPr>
        <w:t xml:space="preserve">The core LLM reasoning layer. Takes user state and memory as input. Performs: spiral detection (is this user at risk of a what-the-hell cascade?), meal ranking (which 6 options are most likely to be returned to?), tone selection (what emotional register does this user need right now?), and nudge timing (when is the right moment to surface the next suggestion?).</w:t>
      </w:r>
    </w:p>
    <w:p>
      <w:pPr>
        <w:spacing w:after="200" w:before="0"/>
      </w:pPr>
      <w:r>
        <w:rPr>
          <w:rFonts w:ascii="Arial" w:cs="Arial" w:eastAsia="Arial" w:hAnsi="Arial"/>
          <w:b/>
          <w:bCs/>
          <w:color w:val="1A1A2E"/>
          <w:sz w:val="24"/>
          <w:szCs w:val="24"/>
        </w:rPr>
        <w:t xml:space="preserve">Layer 5 — Action</w:t>
      </w:r>
    </w:p>
    <w:p>
      <w:pPr>
        <w:spacing w:after="200" w:before="0"/>
      </w:pPr>
      <w:r>
        <w:rPr>
          <w:rFonts w:ascii="Arial" w:cs="Arial" w:eastAsia="Arial" w:hAnsi="Arial"/>
          <w:color w:val="4A4A6A"/>
          <w:sz w:val="24"/>
          <w:szCs w:val="24"/>
        </w:rPr>
        <w:t xml:space="preserve">Output layer: the chat coach response, the 6-meal feed composition, the why-this-fits explanations on each meal card, the spiral breaker activation, and the progressive profile update after each session.</w:t>
      </w:r>
    </w:p>
    <w:p>
      <w:pPr>
        <w:spacing w:after="80" w:before="0"/>
      </w:pPr>
    </w:p>
    <w:p>
      <w:pPr>
        <w:spacing w:after="120" w:before="400"/>
      </w:pPr>
      <w:r>
        <w:rPr>
          <w:rFonts w:ascii="Arial" w:cs="Arial" w:eastAsia="Arial" w:hAnsi="Arial"/>
          <w:b/>
          <w:bCs/>
          <w:color w:val="1A1A2E"/>
          <w:sz w:val="26"/>
          <w:szCs w:val="26"/>
        </w:rPr>
        <w:t xml:space="preserve">Part 6 — Behaviour Change and Safety Framework</w:t>
      </w:r>
    </w:p>
    <w:p>
      <w:pPr>
        <w:spacing w:after="200" w:before="0"/>
      </w:pPr>
      <w:r>
        <w:rPr>
          <w:rFonts w:ascii="Arial" w:cs="Arial" w:eastAsia="Arial" w:hAnsi="Arial"/>
          <w:color w:val="4A4A6A"/>
          <w:sz w:val="24"/>
          <w:szCs w:val="24"/>
        </w:rPr>
        <w:t xml:space="preserve">A 2026 Nature Digital Medicine paper on AI-powered health behaviour change emphasises that effective AI behaviour change systems require governance and safety frameworks alongside the technical architecture — specifically: user autonomy, data transparency, explainability, and avoidance of exploitative incentive structures.</w:t>
      </w:r>
    </w:p>
    <w:p>
      <w:pPr>
        <w:spacing w:after="200" w:before="0"/>
      </w:pPr>
      <w:r>
        <w:rPr>
          <w:rFonts w:ascii="Arial" w:cs="Arial" w:eastAsia="Arial" w:hAnsi="Arial"/>
          <w:color w:val="4A4A6A"/>
          <w:sz w:val="24"/>
          <w:szCs w:val="24"/>
        </w:rPr>
        <w:t xml:space="preserve">FuelSync's behaviour change framework is aligned with these principles:</w:t>
      </w:r>
    </w:p>
    <w:p>
      <w:pPr>
        <w:pStyle w:val="ListParagraph"/>
        <w:numPr>
          <w:ilvl w:val="0"/>
          <w:numId w:val="2"/>
        </w:numPr>
        <w:spacing w:after="160" w:before="0"/>
      </w:pPr>
      <w:r>
        <w:rPr>
          <w:rFonts w:ascii="Arial" w:cs="Arial" w:eastAsia="Arial" w:hAnsi="Arial"/>
          <w:color w:val="4A4A6A"/>
          <w:sz w:val="24"/>
          <w:szCs w:val="24"/>
        </w:rPr>
        <w:t xml:space="preserve">User autonomy — no meal is mandatory. The agent suggests; the user chooses. Spiral breaker activates only when the user signals a lapse.</w:t>
      </w:r>
    </w:p>
    <w:p>
      <w:pPr>
        <w:pStyle w:val="ListParagraph"/>
        <w:numPr>
          <w:ilvl w:val="0"/>
          <w:numId w:val="2"/>
        </w:numPr>
        <w:spacing w:after="160" w:before="0"/>
      </w:pPr>
      <w:r>
        <w:rPr>
          <w:rFonts w:ascii="Arial" w:cs="Arial" w:eastAsia="Arial" w:hAnsi="Arial"/>
          <w:color w:val="4A4A6A"/>
          <w:sz w:val="24"/>
          <w:szCs w:val="24"/>
        </w:rPr>
        <w:t xml:space="preserve">Data transparency — users can see and delete their stored preferences and history. Memory is explained as 'helping us find your meals', not positioned as surveillance.</w:t>
      </w:r>
    </w:p>
    <w:p>
      <w:pPr>
        <w:pStyle w:val="ListParagraph"/>
        <w:numPr>
          <w:ilvl w:val="0"/>
          <w:numId w:val="2"/>
        </w:numPr>
        <w:spacing w:after="160" w:before="0"/>
      </w:pPr>
      <w:r>
        <w:rPr>
          <w:rFonts w:ascii="Arial" w:cs="Arial" w:eastAsia="Arial" w:hAnsi="Arial"/>
          <w:color w:val="4A4A6A"/>
          <w:sz w:val="24"/>
          <w:szCs w:val="24"/>
        </w:rPr>
        <w:t xml:space="preserve">Explainability — every meal card includes a 'why this fits' explanation drawn from the user's stated profile and history. The reasoning is visible.</w:t>
      </w:r>
    </w:p>
    <w:p>
      <w:pPr>
        <w:pStyle w:val="ListParagraph"/>
        <w:numPr>
          <w:ilvl w:val="0"/>
          <w:numId w:val="2"/>
        </w:numPr>
        <w:spacing w:after="160" w:before="0"/>
      </w:pPr>
      <w:r>
        <w:rPr>
          <w:rFonts w:ascii="Arial" w:cs="Arial" w:eastAsia="Arial" w:hAnsi="Arial"/>
          <w:color w:val="4A4A6A"/>
          <w:sz w:val="24"/>
          <w:szCs w:val="24"/>
        </w:rPr>
        <w:t xml:space="preserve">Non-exploitative nudging — no streaks that punish absence, no guilt mechanics, no premium walls placed at moments of emotional vulnerability.</w:t>
      </w:r>
    </w:p>
    <w:p>
      <w:pPr>
        <w:spacing w:after="200" w:before="0"/>
      </w:pPr>
      <w:r>
        <w:rPr>
          <w:rFonts w:ascii="Arial" w:cs="Arial" w:eastAsia="Arial" w:hAnsi="Arial"/>
          <w:i/>
          <w:iCs/>
          <w:color w:val="888888"/>
          <w:sz w:val="22"/>
          <w:szCs w:val="22"/>
        </w:rPr>
        <w:t xml:space="preserve">Source: Nature Digital Medicine — Can AI help with the hardest thing: pro health behaviour change (Feb 2026), PMC12912331</w:t>
      </w:r>
    </w:p>
    <w:p>
      <w:pPr>
        <w:spacing w:after="240" w:before="0"/>
      </w:pPr>
    </w:p>
    <w:p>
      <w:pPr>
        <w:spacing w:after="120" w:before="400"/>
      </w:pPr>
      <w:r>
        <w:rPr>
          <w:rFonts w:ascii="Arial" w:cs="Arial" w:eastAsia="Arial" w:hAnsi="Arial"/>
          <w:b/>
          <w:bCs/>
          <w:color w:val="1A1A2E"/>
          <w:sz w:val="26"/>
          <w:szCs w:val="26"/>
        </w:rPr>
        <w:t xml:space="preserve">References</w:t>
      </w:r>
    </w:p>
    <w:p>
      <w:pPr>
        <w:spacing w:after="200" w:before="0"/>
      </w:pPr>
      <w:r>
        <w:rPr>
          <w:rFonts w:ascii="Arial" w:cs="Arial" w:eastAsia="Arial" w:hAnsi="Arial"/>
          <w:color w:val="4A4A6A"/>
          <w:sz w:val="24"/>
          <w:szCs w:val="24"/>
        </w:rPr>
        <w:t xml:space="preserve">Deloitte Insights. (2026). Health care leans into agentic AI.</w:t>
      </w:r>
    </w:p>
    <w:p>
      <w:pPr>
        <w:spacing w:after="200" w:before="0"/>
      </w:pPr>
      <w:r>
        <w:rPr>
          <w:rFonts w:ascii="Arial" w:cs="Arial" w:eastAsia="Arial" w:hAnsi="Arial"/>
          <w:color w:val="4A4A6A"/>
          <w:sz w:val="24"/>
          <w:szCs w:val="24"/>
        </w:rPr>
        <w:t xml:space="preserve">https://www.deloitte.com/us/en/insights/industry/health-care/agentic-ai-health-care-operating-model-change.html</w:t>
      </w:r>
    </w:p>
    <w:p>
      <w:pPr>
        <w:spacing w:after="80" w:before="0"/>
      </w:pPr>
    </w:p>
    <w:p>
      <w:pPr>
        <w:spacing w:after="200" w:before="0"/>
      </w:pPr>
      <w:r>
        <w:rPr>
          <w:rFonts w:ascii="Arial" w:cs="Arial" w:eastAsia="Arial" w:hAnsi="Arial"/>
          <w:color w:val="4A4A6A"/>
          <w:sz w:val="24"/>
          <w:szCs w:val="24"/>
        </w:rPr>
        <w:t xml:space="preserve">IQVIA. (2026). An Agentic AI-Powered Consumer Health Revolution.</w:t>
      </w:r>
    </w:p>
    <w:p>
      <w:pPr>
        <w:spacing w:after="200" w:before="0"/>
      </w:pPr>
      <w:r>
        <w:rPr>
          <w:rFonts w:ascii="Arial" w:cs="Arial" w:eastAsia="Arial" w:hAnsi="Arial"/>
          <w:color w:val="4A4A6A"/>
          <w:sz w:val="24"/>
          <w:szCs w:val="24"/>
        </w:rPr>
        <w:t xml:space="preserve">https://www.iqvia.com/library/white-papers/an-agentic-ai-powered-consumer-health-revolution</w:t>
      </w:r>
    </w:p>
    <w:p>
      <w:pPr>
        <w:spacing w:after="80" w:before="0"/>
      </w:pPr>
    </w:p>
    <w:p>
      <w:pPr>
        <w:spacing w:after="200" w:before="0"/>
      </w:pPr>
      <w:r>
        <w:rPr>
          <w:rFonts w:ascii="Arial" w:cs="Arial" w:eastAsia="Arial" w:hAnsi="Arial"/>
          <w:color w:val="4A4A6A"/>
          <w:sz w:val="24"/>
          <w:szCs w:val="24"/>
        </w:rPr>
        <w:t xml:space="preserve">PMC. (2025). Improving Personalized Meal Planning with Large Language Models.</w:t>
      </w:r>
    </w:p>
    <w:p>
      <w:pPr>
        <w:spacing w:after="200" w:before="0"/>
      </w:pPr>
      <w:r>
        <w:rPr>
          <w:rFonts w:ascii="Arial" w:cs="Arial" w:eastAsia="Arial" w:hAnsi="Arial"/>
          <w:color w:val="4A4A6A"/>
          <w:sz w:val="24"/>
          <w:szCs w:val="24"/>
        </w:rPr>
        <w:t xml:space="preserve">https://pmc.ncbi.nlm.nih.gov/articles/PMC12073434/</w:t>
      </w:r>
    </w:p>
    <w:p>
      <w:pPr>
        <w:spacing w:after="80" w:before="0"/>
      </w:pPr>
    </w:p>
    <w:p>
      <w:pPr>
        <w:spacing w:after="200" w:before="0"/>
      </w:pPr>
      <w:r>
        <w:rPr>
          <w:rFonts w:ascii="Arial" w:cs="Arial" w:eastAsia="Arial" w:hAnsi="Arial"/>
          <w:color w:val="4A4A6A"/>
          <w:sz w:val="24"/>
          <w:szCs w:val="24"/>
        </w:rPr>
        <w:t xml:space="preserve">arXiv. (2025). NutriGen: Personalized Meal Plan Generator Leveraging Large Language Models.</w:t>
      </w:r>
    </w:p>
    <w:p>
      <w:pPr>
        <w:spacing w:after="200" w:before="0"/>
      </w:pPr>
      <w:r>
        <w:rPr>
          <w:rFonts w:ascii="Arial" w:cs="Arial" w:eastAsia="Arial" w:hAnsi="Arial"/>
          <w:color w:val="4A4A6A"/>
          <w:sz w:val="24"/>
          <w:szCs w:val="24"/>
        </w:rPr>
        <w:t xml:space="preserve">https://arxiv.org/html/2502.20601v1</w:t>
      </w:r>
    </w:p>
    <w:p>
      <w:pPr>
        <w:spacing w:after="80" w:before="0"/>
      </w:pPr>
    </w:p>
    <w:p>
      <w:pPr>
        <w:spacing w:after="200" w:before="0"/>
      </w:pPr>
      <w:r>
        <w:rPr>
          <w:rFonts w:ascii="Arial" w:cs="Arial" w:eastAsia="Arial" w:hAnsi="Arial"/>
          <w:color w:val="4A4A6A"/>
          <w:sz w:val="24"/>
          <w:szCs w:val="24"/>
        </w:rPr>
        <w:t xml:space="preserve">Uplatz. (2025). Multi-Turn Conversation State Management and Memory Architectures.</w:t>
      </w:r>
    </w:p>
    <w:p>
      <w:pPr>
        <w:spacing w:after="200" w:before="0"/>
      </w:pPr>
      <w:r>
        <w:rPr>
          <w:rFonts w:ascii="Arial" w:cs="Arial" w:eastAsia="Arial" w:hAnsi="Arial"/>
          <w:color w:val="4A4A6A"/>
          <w:sz w:val="24"/>
          <w:szCs w:val="24"/>
        </w:rPr>
        <w:t xml:space="preserve">https://uplatz.com/blog/multi-turn-conversation-state-management-and-memory-architectures-an-analytical-report/</w:t>
      </w:r>
    </w:p>
    <w:p>
      <w:pPr>
        <w:spacing w:after="80" w:before="0"/>
      </w:pPr>
    </w:p>
    <w:p>
      <w:pPr>
        <w:spacing w:after="200" w:before="0"/>
      </w:pPr>
      <w:r>
        <w:rPr>
          <w:rFonts w:ascii="Arial" w:cs="Arial" w:eastAsia="Arial" w:hAnsi="Arial"/>
          <w:color w:val="4A4A6A"/>
          <w:sz w:val="24"/>
          <w:szCs w:val="24"/>
        </w:rPr>
        <w:t xml:space="preserve">Nature Digital Medicine. (2026). Can AI help with the hardest thing: pro health behaviour change.</w:t>
      </w:r>
    </w:p>
    <w:p>
      <w:pPr>
        <w:spacing w:after="200" w:before="0"/>
      </w:pPr>
      <w:r>
        <w:rPr>
          <w:rFonts w:ascii="Arial" w:cs="Arial" w:eastAsia="Arial" w:hAnsi="Arial"/>
          <w:color w:val="4A4A6A"/>
          <w:sz w:val="24"/>
          <w:szCs w:val="24"/>
        </w:rPr>
        <w:t xml:space="preserve">https://pmc.ncbi.nlm.nih.gov/articles/PMC12912331/</w:t>
      </w:r>
    </w:p>
    <w:p>
      <w:pPr>
        <w:spacing w:after="80" w:before="0"/>
      </w:pPr>
    </w:p>
    <w:p>
      <w:pPr>
        <w:spacing w:after="200" w:before="0"/>
      </w:pPr>
      <w:r>
        <w:rPr>
          <w:rFonts w:ascii="Arial" w:cs="Arial" w:eastAsia="Arial" w:hAnsi="Arial"/>
          <w:color w:val="4A4A6A"/>
          <w:sz w:val="24"/>
          <w:szCs w:val="24"/>
        </w:rPr>
        <w:t xml:space="preserve">Grand View Research. (2024). Agentic AI in Healthcare Market Report.</w:t>
      </w:r>
    </w:p>
    <w:p>
      <w:pPr>
        <w:spacing w:after="200" w:before="0"/>
      </w:pPr>
      <w:r>
        <w:rPr>
          <w:rFonts w:ascii="Arial" w:cs="Arial" w:eastAsia="Arial" w:hAnsi="Arial"/>
          <w:color w:val="4A4A6A"/>
          <w:sz w:val="24"/>
          <w:szCs w:val="24"/>
        </w:rPr>
        <w:t xml:space="preserve">https://www.grandviewresearch.com/industry-analysis/agentic-ai-healthcare-market-report</w:t>
      </w:r>
    </w:p>
    <w:p>
      <w:pPr>
        <w:spacing w:after="480" w:before="0"/>
      </w:pPr>
    </w:p>
    <w:p>
      <w:pPr>
        <w:spacing w:after="0" w:before="0"/>
      </w:pPr>
      <w:r>
        <w:rPr>
          <w:rFonts w:ascii="Arial" w:cs="Arial" w:eastAsia="Arial" w:hAnsi="Arial"/>
          <w:color w:val="AAAAAA"/>
          <w:sz w:val="18"/>
          <w:szCs w:val="18"/>
        </w:rPr>
        <w:t xml:space="preserve">FuelSync  |  Brisbane, Australia  |  Document 07 of 10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2026-04-16T12:38:03.146Z</dcterms:created>
  <dcterms:modified xsi:type="dcterms:W3CDTF">2026-04-16T12:38:03.147Z</dcterms:modified>
</cp:coreProperties>
</file>

<file path=docProps/custom.xml><?xml version="1.0" encoding="utf-8"?>
<Properties xmlns="http://schemas.openxmlformats.org/officeDocument/2006/custom-properties" xmlns:vt="http://schemas.openxmlformats.org/officeDocument/2006/docPropsVTypes"/>
</file>