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7B5FFF"/>
          <w:spacing w:val="60"/>
          <w:sz w:val="18"/>
          <w:szCs w:val="18"/>
        </w:rPr>
        <w:t xml:space="preserve">FUELSYNC — DOCUMENT 08</w:t>
      </w:r>
    </w:p>
    <w:p>
      <w:pPr>
        <w:pBdr>
          <w:bottom w:val="single" w:color="7B5FFF" w:sz="6" w:space="1"/>
        </w:pBdr>
        <w:spacing w:after="240" w:before="0"/>
      </w:pPr>
    </w:p>
    <w:p>
      <w:pPr>
        <w:spacing w:after="80" w:before="0"/>
      </w:pPr>
    </w:p>
    <w:p>
      <w:pPr>
        <w:spacing w:after="160" w:before="0"/>
      </w:pPr>
      <w:r>
        <w:rPr>
          <w:rFonts w:ascii="Arial" w:cs="Arial" w:eastAsia="Arial" w:hAnsi="Arial"/>
          <w:b/>
          <w:bCs/>
          <w:color w:val="1A1A2E"/>
          <w:sz w:val="36"/>
          <w:szCs w:val="36"/>
        </w:rPr>
        <w:t xml:space="preserve">FuelSync Neuro</w:t>
      </w:r>
    </w:p>
    <w:p>
      <w:pPr>
        <w:spacing w:after="200" w:before="0"/>
      </w:pPr>
      <w:r>
        <w:rPr>
          <w:rFonts w:ascii="Arial" w:cs="Arial" w:eastAsia="Arial" w:hAnsi="Arial"/>
          <w:color w:val="4A4A6A"/>
          <w:sz w:val="24"/>
          <w:szCs w:val="24"/>
        </w:rPr>
        <w:t xml:space="preserve">The research case for FuelSync's neurodivergent extension — the scale of the food-related challenges faced by autistic individuals and families, the gap in existing digital tools, the ADHD food behaviour patterns FuelSync Neuro addresses, and the NDIS funding pathway that makes this a funded, defensible revenue stream.</w:t>
      </w:r>
    </w:p>
    <w:p>
      <w:pPr>
        <w:spacing w:after="240" w:before="0"/>
      </w:pPr>
    </w:p>
    <w:p>
      <w:pPr>
        <w:spacing w:after="120" w:before="400"/>
      </w:pPr>
      <w:r>
        <w:rPr>
          <w:rFonts w:ascii="Arial" w:cs="Arial" w:eastAsia="Arial" w:hAnsi="Arial"/>
          <w:b/>
          <w:bCs/>
          <w:color w:val="1A1A2E"/>
          <w:sz w:val="26"/>
          <w:szCs w:val="26"/>
        </w:rPr>
        <w:t xml:space="preserve">Part 1 — The Origin</w:t>
      </w:r>
    </w:p>
    <w:p>
      <w:pPr>
        <w:spacing w:after="200" w:before="0"/>
      </w:pPr>
      <w:r>
        <w:rPr>
          <w:rFonts w:ascii="Arial" w:cs="Arial" w:eastAsia="Arial" w:hAnsi="Arial"/>
          <w:color w:val="4A4A6A"/>
          <w:sz w:val="24"/>
          <w:szCs w:val="24"/>
        </w:rPr>
        <w:t xml:space="preserve">FuelSync Neuro was not a market opportunity identified through research. It was a personal observation that preceded the research.</w:t>
      </w:r>
    </w:p>
    <w:p>
      <w:pPr>
        <w:spacing w:after="200" w:before="0"/>
      </w:pPr>
      <w:r>
        <w:rPr>
          <w:rFonts w:ascii="Arial" w:cs="Arial" w:eastAsia="Arial" w:hAnsi="Arial"/>
          <w:color w:val="4A4A6A"/>
          <w:sz w:val="24"/>
          <w:szCs w:val="24"/>
        </w:rPr>
        <w:t xml:space="preserve">The founder's sister has children who are autistic. Finding food they would actually eat — safely, without meltdowns, without the daily battle over texture and smell and colour — was not a nutrition challenge. It was a quality-of-life challenge for the entire family. The same insight that drove FuelSync's core thesis — find the one meal that works and build from there — turned out to be exactly what families of neurodivergent children needed most. Not a broader diet. Not exposure therapy. Just: find the safe meals, know what they are, be able to access them reliably.</w:t>
      </w:r>
    </w:p>
    <w:p>
      <w:pPr>
        <w:spacing w:after="200" w:before="0"/>
      </w:pPr>
      <w:r>
        <w:rPr>
          <w:rFonts w:ascii="Arial" w:cs="Arial" w:eastAsia="Arial" w:hAnsi="Arial"/>
          <w:color w:val="4A4A6A"/>
          <w:sz w:val="24"/>
          <w:szCs w:val="24"/>
        </w:rPr>
        <w:t xml:space="preserve">The research confirms what the founder observed at close range.</w:t>
      </w:r>
    </w:p>
    <w:p>
      <w:pPr>
        <w:spacing w:after="80" w:before="0"/>
      </w:pPr>
    </w:p>
    <w:p>
      <w:pPr>
        <w:spacing w:after="120" w:before="400"/>
      </w:pPr>
      <w:r>
        <w:rPr>
          <w:rFonts w:ascii="Arial" w:cs="Arial" w:eastAsia="Arial" w:hAnsi="Arial"/>
          <w:b/>
          <w:bCs/>
          <w:color w:val="1A1A2E"/>
          <w:sz w:val="26"/>
          <w:szCs w:val="26"/>
        </w:rPr>
        <w:t xml:space="preserve">Part 2 — Food Challenges in Autistic Individuals</w:t>
      </w:r>
    </w:p>
    <w:p>
      <w:pPr>
        <w:spacing w:after="200" w:before="0"/>
      </w:pPr>
      <w:r>
        <w:rPr>
          <w:rFonts w:ascii="Arial" w:cs="Arial" w:eastAsia="Arial" w:hAnsi="Arial"/>
          <w:color w:val="4A4A6A"/>
          <w:sz w:val="24"/>
          <w:szCs w:val="24"/>
        </w:rPr>
        <w:t xml:space="preserve">Sensory-driven food selectivity is not a fringe experience for autistic individuals — it is the dominant pattern. Multiple research reviews establish the prevalence clearly:</w:t>
      </w:r>
    </w:p>
    <w:p>
      <w:pPr>
        <w:pStyle w:val="ListParagraph"/>
        <w:numPr>
          <w:ilvl w:val="0"/>
          <w:numId w:val="2"/>
        </w:numPr>
        <w:spacing w:after="160" w:before="0"/>
      </w:pPr>
      <w:r>
        <w:rPr>
          <w:rFonts w:ascii="Arial" w:cs="Arial" w:eastAsia="Arial" w:hAnsi="Arial"/>
          <w:color w:val="4A4A6A"/>
          <w:sz w:val="24"/>
          <w:szCs w:val="24"/>
        </w:rPr>
        <w:t xml:space="preserve">A large review of food selectivity in autistic children (Bandini et al., 2013) found that sensory sensitivity and restricted food repertoires were very common, with parents frequently reporting food selectivity, reluctance to try new foods, and rituals around eating.</w:t>
      </w:r>
    </w:p>
    <w:p>
      <w:pPr>
        <w:pStyle w:val="ListParagraph"/>
        <w:numPr>
          <w:ilvl w:val="0"/>
          <w:numId w:val="2"/>
        </w:numPr>
        <w:spacing w:after="160" w:before="0"/>
      </w:pPr>
      <w:r>
        <w:rPr>
          <w:rFonts w:ascii="Arial" w:cs="Arial" w:eastAsia="Arial" w:hAnsi="Arial"/>
          <w:color w:val="4A4A6A"/>
          <w:sz w:val="24"/>
          <w:szCs w:val="24"/>
        </w:rPr>
        <w:t xml:space="preserve">In one study within this review, 69% of carers reported that texture influenced food selectivity, 58% appearance, 45% taste, 36% smell, and 22% temperature — confirming that the sensory dimensions of food are the primary barriers, not preference or stubbornness.</w:t>
      </w:r>
    </w:p>
    <w:p>
      <w:pPr>
        <w:pStyle w:val="ListParagraph"/>
        <w:numPr>
          <w:ilvl w:val="0"/>
          <w:numId w:val="2"/>
        </w:numPr>
        <w:spacing w:after="160" w:before="0"/>
      </w:pPr>
      <w:r>
        <w:rPr>
          <w:rFonts w:ascii="Arial" w:cs="Arial" w:eastAsia="Arial" w:hAnsi="Arial"/>
          <w:color w:val="4A4A6A"/>
          <w:sz w:val="24"/>
          <w:szCs w:val="24"/>
        </w:rPr>
        <w:t xml:space="preserve">A 2022 review on sensory processing and eating behaviours in autism (Cermak et al.) noted frequent food selectivity, disruptive mealtime behaviours, food neophobia, and aversions based on texture, colour, and specific brands.</w:t>
      </w:r>
    </w:p>
    <w:p>
      <w:pPr>
        <w:pStyle w:val="ListParagraph"/>
        <w:numPr>
          <w:ilvl w:val="0"/>
          <w:numId w:val="2"/>
        </w:numPr>
        <w:spacing w:after="160" w:before="0"/>
      </w:pPr>
      <w:r>
        <w:rPr>
          <w:rFonts w:ascii="Arial" w:cs="Arial" w:eastAsia="Arial" w:hAnsi="Arial"/>
          <w:color w:val="4A4A6A"/>
          <w:sz w:val="24"/>
          <w:szCs w:val="24"/>
        </w:rPr>
        <w:t xml:space="preserve">A 2024 qualitative study on children with sensory processing challenges identified five core sensory factors affecting eating: texture, taste, smell, visual aspects, and temperature — all contributing to restricted repertoires and mealtime conflict.</w:t>
      </w:r>
    </w:p>
    <w:p>
      <w:pPr>
        <w:pStyle w:val="ListParagraph"/>
        <w:numPr>
          <w:ilvl w:val="0"/>
          <w:numId w:val="2"/>
        </w:numPr>
        <w:spacing w:after="160" w:before="0"/>
      </w:pPr>
      <w:r>
        <w:rPr>
          <w:rFonts w:ascii="Arial" w:cs="Arial" w:eastAsia="Arial" w:hAnsi="Arial"/>
          <w:color w:val="4A4A6A"/>
          <w:sz w:val="24"/>
          <w:szCs w:val="24"/>
        </w:rPr>
        <w:t xml:space="preserve">Autism Spectrum Australia estimates that sensory processing difficulties affect 45–96% of autistic people, including over-responsiveness to the taste and texture of foods, smells, and other stimuli.</w:t>
      </w:r>
    </w:p>
    <w:p>
      <w:pPr>
        <w:pBdr>
          <w:left w:val="single" w:color="7B5FFF" w:sz="16" w:space="20"/>
        </w:pBdr>
        <w:spacing w:after="320" w:before="320"/>
        <w:ind w:left="720"/>
      </w:pPr>
      <w:r>
        <w:rPr>
          <w:rFonts w:ascii="Arial" w:cs="Arial" w:eastAsia="Arial" w:hAnsi="Arial"/>
          <w:b/>
          <w:bCs/>
          <w:i/>
          <w:iCs/>
          <w:color w:val="7B5FFF"/>
          <w:sz w:val="26"/>
          <w:szCs w:val="26"/>
        </w:rPr>
        <w:t xml:space="preserve">For most autistic individuals, food is not primarily about nutrition. It is primarily about safety. The safe foods must be found, known, and reliably available.</w:t>
      </w:r>
    </w:p>
    <w:p>
      <w:pPr>
        <w:spacing w:after="200" w:before="0"/>
      </w:pPr>
      <w:r>
        <w:rPr>
          <w:rFonts w:ascii="Arial" w:cs="Arial" w:eastAsia="Arial" w:hAnsi="Arial"/>
          <w:color w:val="4A4A6A"/>
          <w:sz w:val="24"/>
          <w:szCs w:val="24"/>
        </w:rPr>
        <w:t xml:space="preserve">This is precisely the problem FuelSync's core mechanic — find the anchor meal, know it, return to it — is designed to solve. FuelSync Neuro extends this mechanic with the additional dimensions that neurodivergent food safety requires: sensory profiling, brand-specific filtering, texture categorisation, and gradual expansion planning rather than forced variety.</w:t>
      </w:r>
    </w:p>
    <w:p>
      <w:pPr>
        <w:spacing w:after="200" w:before="0"/>
      </w:pPr>
      <w:r>
        <w:rPr>
          <w:rFonts w:ascii="Arial" w:cs="Arial" w:eastAsia="Arial" w:hAnsi="Arial"/>
          <w:i/>
          <w:iCs/>
          <w:color w:val="888888"/>
          <w:sz w:val="22"/>
          <w:szCs w:val="22"/>
        </w:rPr>
        <w:t xml:space="preserve">Sources: Bandini et al. (2013), PMC3601920; Cermak et al. (2022), PMC9545673; Autism Spectrum Australia (2025); Sensory Integration Education Research Digest (2024)</w:t>
      </w:r>
    </w:p>
    <w:p>
      <w:pPr>
        <w:spacing w:after="80" w:before="0"/>
      </w:pPr>
    </w:p>
    <w:p>
      <w:pPr>
        <w:spacing w:after="120" w:before="400"/>
      </w:pPr>
      <w:r>
        <w:rPr>
          <w:rFonts w:ascii="Arial" w:cs="Arial" w:eastAsia="Arial" w:hAnsi="Arial"/>
          <w:b/>
          <w:bCs/>
          <w:color w:val="1A1A2E"/>
          <w:sz w:val="26"/>
          <w:szCs w:val="26"/>
        </w:rPr>
        <w:t xml:space="preserve">Part 3 — Family Impact</w:t>
      </w:r>
    </w:p>
    <w:p>
      <w:pPr>
        <w:spacing w:after="200" w:before="0"/>
      </w:pPr>
      <w:r>
        <w:rPr>
          <w:rFonts w:ascii="Arial" w:cs="Arial" w:eastAsia="Arial" w:hAnsi="Arial"/>
          <w:color w:val="4A4A6A"/>
          <w:sz w:val="24"/>
          <w:szCs w:val="24"/>
        </w:rPr>
        <w:t xml:space="preserve">The food challenges faced by autistic children do not stay contained to the child. They radiate outward and affect the entire family system — daily functioning, relationship stress, social participation, and parental mental health.</w:t>
      </w:r>
    </w:p>
    <w:p>
      <w:pPr>
        <w:pStyle w:val="ListParagraph"/>
        <w:numPr>
          <w:ilvl w:val="0"/>
          <w:numId w:val="2"/>
        </w:numPr>
        <w:spacing w:after="160" w:before="0"/>
      </w:pPr>
      <w:r>
        <w:rPr>
          <w:rFonts w:ascii="Arial" w:cs="Arial" w:eastAsia="Arial" w:hAnsi="Arial"/>
          <w:color w:val="4A4A6A"/>
          <w:sz w:val="24"/>
          <w:szCs w:val="24"/>
        </w:rPr>
        <w:t xml:space="preserve">A 2013 study on autism, eating challenges, and family mealtimes (Marquenie et al.) found that children's feeding challenges led to disruptive mealtime behaviours, rigid routines, and substantial extra work for caregivers.</w:t>
      </w:r>
    </w:p>
    <w:p>
      <w:pPr>
        <w:pStyle w:val="ListParagraph"/>
        <w:numPr>
          <w:ilvl w:val="0"/>
          <w:numId w:val="2"/>
        </w:numPr>
        <w:spacing w:after="160" w:before="0"/>
      </w:pPr>
      <w:r>
        <w:rPr>
          <w:rFonts w:ascii="Arial" w:cs="Arial" w:eastAsia="Arial" w:hAnsi="Arial"/>
          <w:color w:val="4A4A6A"/>
          <w:sz w:val="24"/>
          <w:szCs w:val="24"/>
        </w:rPr>
        <w:t xml:space="preserve">In one family-routines study cited, 92% of parents of autistic children reported dinnertime as the most stressful part of their day.</w:t>
      </w:r>
    </w:p>
    <w:p>
      <w:pPr>
        <w:pStyle w:val="ListParagraph"/>
        <w:numPr>
          <w:ilvl w:val="0"/>
          <w:numId w:val="2"/>
        </w:numPr>
        <w:spacing w:after="160" w:before="0"/>
      </w:pPr>
      <w:r>
        <w:rPr>
          <w:rFonts w:ascii="Arial" w:cs="Arial" w:eastAsia="Arial" w:hAnsi="Arial"/>
          <w:color w:val="4A4A6A"/>
          <w:sz w:val="24"/>
          <w:szCs w:val="24"/>
        </w:rPr>
        <w:t xml:space="preserve">A 2008 study (Curtin et al.) found that families of autistic children experienced significantly higher mealtime behaviour problems and higher spousal stress compared with families of typically developing children, and that higher food selectivity directly correlated with higher parental stress.</w:t>
      </w:r>
    </w:p>
    <w:p>
      <w:pPr>
        <w:pStyle w:val="ListParagraph"/>
        <w:numPr>
          <w:ilvl w:val="0"/>
          <w:numId w:val="2"/>
        </w:numPr>
        <w:spacing w:after="160" w:before="0"/>
      </w:pPr>
      <w:r>
        <w:rPr>
          <w:rFonts w:ascii="Arial" w:cs="Arial" w:eastAsia="Arial" w:hAnsi="Arial"/>
          <w:color w:val="4A4A6A"/>
          <w:sz w:val="24"/>
          <w:szCs w:val="24"/>
        </w:rPr>
        <w:t xml:space="preserve">A 2025 study found that as eating problems increase in autistic children, perceived maternal quality of life decreases — with measurable increases in stress and disruption to family functioning.</w:t>
      </w:r>
    </w:p>
    <w:p>
      <w:pPr>
        <w:spacing w:after="200" w:before="0"/>
      </w:pPr>
      <w:r>
        <w:rPr>
          <w:rFonts w:ascii="Arial" w:cs="Arial" w:eastAsia="Arial" w:hAnsi="Arial"/>
          <w:color w:val="4A4A6A"/>
          <w:sz w:val="24"/>
          <w:szCs w:val="24"/>
        </w:rPr>
        <w:t xml:space="preserve">FuelSync Neuro is designed for the entire family unit, not just the autistic child. The platform helps families build and maintain a library of safe meals — organised by sensory profile, brand, texture, and preparation method — that can be relied upon to reduce mealtime conflict and restore predictability to one of the most stressful parts of daily life.</w:t>
      </w:r>
    </w:p>
    <w:p>
      <w:pPr>
        <w:spacing w:after="200" w:before="0"/>
      </w:pPr>
      <w:r>
        <w:rPr>
          <w:rFonts w:ascii="Arial" w:cs="Arial" w:eastAsia="Arial" w:hAnsi="Arial"/>
          <w:i/>
          <w:iCs/>
          <w:color w:val="888888"/>
          <w:sz w:val="22"/>
          <w:szCs w:val="22"/>
        </w:rPr>
        <w:t xml:space="preserve">Sources: Marquenie et al. (2013), SAGE; Curtin et al. (2008), PMC4573255; Eating behaviours and maternal quality of life (2025), ScienceDirect</w:t>
      </w:r>
    </w:p>
    <w:p>
      <w:pPr>
        <w:spacing w:after="80" w:before="0"/>
      </w:pPr>
    </w:p>
    <w:p>
      <w:pPr>
        <w:spacing w:after="120" w:before="400"/>
      </w:pPr>
      <w:r>
        <w:rPr>
          <w:rFonts w:ascii="Arial" w:cs="Arial" w:eastAsia="Arial" w:hAnsi="Arial"/>
          <w:b/>
          <w:bCs/>
          <w:color w:val="1A1A2E"/>
          <w:sz w:val="26"/>
          <w:szCs w:val="26"/>
        </w:rPr>
        <w:t xml:space="preserve">Part 4 — The Gap in Existing Tools</w:t>
      </w:r>
    </w:p>
    <w:p>
      <w:pPr>
        <w:spacing w:after="200" w:before="0"/>
      </w:pPr>
      <w:r>
        <w:rPr>
          <w:rFonts w:ascii="Arial" w:cs="Arial" w:eastAsia="Arial" w:hAnsi="Arial"/>
          <w:color w:val="4A4A6A"/>
          <w:sz w:val="24"/>
          <w:szCs w:val="24"/>
        </w:rPr>
        <w:t xml:space="preserve">No existing digital tool comprehensively addresses the food challenges of autistic individuals and their families. The current landscape is a fragmented collection of partial solutions:</w:t>
      </w:r>
    </w:p>
    <w:p>
      <w:pPr>
        <w:pStyle w:val="ListParagraph"/>
        <w:numPr>
          <w:ilvl w:val="0"/>
          <w:numId w:val="2"/>
        </w:numPr>
        <w:spacing w:after="160" w:before="0"/>
      </w:pPr>
      <w:r>
        <w:rPr>
          <w:rFonts w:ascii="Arial" w:cs="Arial" w:eastAsia="Arial" w:hAnsi="Arial"/>
          <w:color w:val="4A4A6A"/>
          <w:sz w:val="24"/>
          <w:szCs w:val="24"/>
        </w:rPr>
        <w:t xml:space="preserve">AnyList — shared lists and recipe organisation, used by some neurodivergent users for externalising planning and reducing executive load. Not autism-specific.</w:t>
      </w:r>
    </w:p>
    <w:p>
      <w:pPr>
        <w:pStyle w:val="ListParagraph"/>
        <w:numPr>
          <w:ilvl w:val="0"/>
          <w:numId w:val="2"/>
        </w:numPr>
        <w:spacing w:after="160" w:before="0"/>
      </w:pPr>
      <w:r>
        <w:rPr>
          <w:rFonts w:ascii="Arial" w:cs="Arial" w:eastAsia="Arial" w:hAnsi="Arial"/>
          <w:color w:val="4A4A6A"/>
          <w:sz w:val="24"/>
          <w:szCs w:val="24"/>
        </w:rPr>
        <w:t xml:space="preserve">Fig (Food is Good) — barcode-based ingredient checking with customisable allergen and diet tags. Addresses dietary restrictions but not sensory profiles.</w:t>
      </w:r>
    </w:p>
    <w:p>
      <w:pPr>
        <w:pStyle w:val="ListParagraph"/>
        <w:numPr>
          <w:ilvl w:val="0"/>
          <w:numId w:val="2"/>
        </w:numPr>
        <w:spacing w:after="160" w:before="0"/>
      </w:pPr>
      <w:r>
        <w:rPr>
          <w:rFonts w:ascii="Arial" w:cs="Arial" w:eastAsia="Arial" w:hAnsi="Arial"/>
          <w:color w:val="4A4A6A"/>
          <w:sz w:val="24"/>
          <w:szCs w:val="24"/>
        </w:rPr>
        <w:t xml:space="preserve">Goblin Tools 'Chef' — AI-based recipe generation from available ingredients and dietary constraints, explicitly marketed as neurodivergent-friendly. No safe-food library or sensory profiling.</w:t>
      </w:r>
    </w:p>
    <w:p>
      <w:pPr>
        <w:pStyle w:val="ListParagraph"/>
        <w:numPr>
          <w:ilvl w:val="0"/>
          <w:numId w:val="2"/>
        </w:numPr>
        <w:spacing w:after="160" w:before="0"/>
      </w:pPr>
      <w:r>
        <w:rPr>
          <w:rFonts w:ascii="Arial" w:cs="Arial" w:eastAsia="Arial" w:hAnsi="Arial"/>
          <w:color w:val="4A4A6A"/>
          <w:sz w:val="24"/>
          <w:szCs w:val="24"/>
        </w:rPr>
        <w:t xml:space="preserve">What the Bleep Can I Eat — web tool filtering foods by user-entered dietary restrictions. Helpful for complex intolerance profiles but not autism-specific sensory dimensions.</w:t>
      </w:r>
    </w:p>
    <w:p>
      <w:pPr>
        <w:spacing w:after="200" w:before="0"/>
      </w:pPr>
      <w:r>
        <w:rPr>
          <w:rFonts w:ascii="Arial" w:cs="Arial" w:eastAsia="Arial" w:hAnsi="Arial"/>
          <w:color w:val="4A4A6A"/>
          <w:sz w:val="24"/>
          <w:szCs w:val="24"/>
        </w:rPr>
        <w:t xml:space="preserve">The gap is consistent across all existing tools: they address allergy and intolerance filtering or general executive function support, but none build an autism-specific sensory profile, maintain a safe-food library organised by texture and brand, support gradual exposure planning, or serve the family unit as a whole.</w:t>
      </w:r>
    </w:p>
    <w:p>
      <w:pPr>
        <w:spacing w:after="200" w:before="0"/>
      </w:pPr>
      <w:r>
        <w:rPr>
          <w:rFonts w:ascii="Arial" w:cs="Arial" w:eastAsia="Arial" w:hAnsi="Arial"/>
          <w:color w:val="4A4A6A"/>
          <w:sz w:val="24"/>
          <w:szCs w:val="24"/>
        </w:rPr>
        <w:t xml:space="preserve">There is no dominant, validated digital solution for autism food challenges. The market is entirely uncontested by purpose-built tools — and FuelSync Neuro is positioned to be the first.</w:t>
      </w:r>
    </w:p>
    <w:p>
      <w:pPr>
        <w:spacing w:after="200" w:before="0"/>
      </w:pPr>
      <w:r>
        <w:rPr>
          <w:rFonts w:ascii="Arial" w:cs="Arial" w:eastAsia="Arial" w:hAnsi="Arial"/>
          <w:i/>
          <w:iCs/>
          <w:color w:val="888888"/>
          <w:sz w:val="22"/>
          <w:szCs w:val="22"/>
        </w:rPr>
        <w:t xml:space="preserve">Source: Embrace the Muchness — Neurodivergent Friendly Apps &amp; Tech Tools (2024–2025); Lee et al. (2024) — FoodCensor, KAIST</w:t>
      </w:r>
    </w:p>
    <w:p>
      <w:pPr>
        <w:spacing w:after="80" w:before="0"/>
      </w:pPr>
    </w:p>
    <w:p>
      <w:pPr>
        <w:spacing w:after="120" w:before="400"/>
      </w:pPr>
      <w:r>
        <w:rPr>
          <w:rFonts w:ascii="Arial" w:cs="Arial" w:eastAsia="Arial" w:hAnsi="Arial"/>
          <w:b/>
          <w:bCs/>
          <w:color w:val="1A1A2E"/>
          <w:sz w:val="26"/>
          <w:szCs w:val="26"/>
        </w:rPr>
        <w:t xml:space="preserve">Part 5 — ADHD Food Behaviour</w:t>
      </w:r>
    </w:p>
    <w:p>
      <w:pPr>
        <w:spacing w:after="200" w:before="0"/>
      </w:pPr>
      <w:r>
        <w:rPr>
          <w:rFonts w:ascii="Arial" w:cs="Arial" w:eastAsia="Arial" w:hAnsi="Arial"/>
          <w:color w:val="4A4A6A"/>
          <w:sz w:val="24"/>
          <w:szCs w:val="24"/>
        </w:rPr>
        <w:t xml:space="preserve">FuelSync Neuro addresses not only autism but the broader neurodivergent population — including the estimated 6–10% of Australians with ADHD, for whom food behaviour presents a distinct but related set of challenges:</w:t>
      </w:r>
    </w:p>
    <w:p>
      <w:pPr>
        <w:pStyle w:val="ListParagraph"/>
        <w:numPr>
          <w:ilvl w:val="0"/>
          <w:numId w:val="2"/>
        </w:numPr>
        <w:spacing w:after="160" w:before="0"/>
      </w:pPr>
      <w:r>
        <w:rPr>
          <w:rFonts w:ascii="Arial" w:cs="Arial" w:eastAsia="Arial" w:hAnsi="Arial"/>
          <w:color w:val="4A4A6A"/>
          <w:sz w:val="24"/>
          <w:szCs w:val="24"/>
        </w:rPr>
        <w:t xml:space="preserve">Impulsivity drives spur-of-the-moment eating, especially highly palatable energy-dense foods, sometimes leading to loss-of-control episodes.</w:t>
      </w:r>
    </w:p>
    <w:p>
      <w:pPr>
        <w:pStyle w:val="ListParagraph"/>
        <w:numPr>
          <w:ilvl w:val="0"/>
          <w:numId w:val="2"/>
        </w:numPr>
        <w:spacing w:after="160" w:before="0"/>
      </w:pPr>
      <w:r>
        <w:rPr>
          <w:rFonts w:ascii="Arial" w:cs="Arial" w:eastAsia="Arial" w:hAnsi="Arial"/>
          <w:color w:val="4A4A6A"/>
          <w:sz w:val="24"/>
          <w:szCs w:val="24"/>
        </w:rPr>
        <w:t xml:space="preserve">Executive dysfunction — difficulty with planning, time management, and working memory — makes meal planning, shopping, and cooking routines hard to maintain, leading to skipped meals and last-minute, often less nutritious choices.</w:t>
      </w:r>
    </w:p>
    <w:p>
      <w:pPr>
        <w:pStyle w:val="ListParagraph"/>
        <w:numPr>
          <w:ilvl w:val="0"/>
          <w:numId w:val="2"/>
        </w:numPr>
        <w:spacing w:after="160" w:before="0"/>
      </w:pPr>
      <w:r>
        <w:rPr>
          <w:rFonts w:ascii="Arial" w:cs="Arial" w:eastAsia="Arial" w:hAnsi="Arial"/>
          <w:color w:val="4A4A6A"/>
          <w:sz w:val="24"/>
          <w:szCs w:val="24"/>
        </w:rPr>
        <w:t xml:space="preserve">Dopamine dysregulation promotes preferences for high-sugar, high-fat foods that deliver quick reward, especially when bored, stressed, or understimulated.</w:t>
      </w:r>
    </w:p>
    <w:p>
      <w:pPr>
        <w:pStyle w:val="ListParagraph"/>
        <w:numPr>
          <w:ilvl w:val="0"/>
          <w:numId w:val="2"/>
        </w:numPr>
        <w:spacing w:after="160" w:before="0"/>
      </w:pPr>
      <w:r>
        <w:rPr>
          <w:rFonts w:ascii="Arial" w:cs="Arial" w:eastAsia="Arial" w:hAnsi="Arial"/>
          <w:color w:val="4A4A6A"/>
          <w:sz w:val="24"/>
          <w:szCs w:val="24"/>
        </w:rPr>
        <w:t xml:space="preserve">Poor interoception — weaker awareness of hunger and fullness cues — contributes to irregular eating patterns and difficulty matching intake to actual needs.</w:t>
      </w:r>
    </w:p>
    <w:p>
      <w:pPr>
        <w:spacing w:after="200" w:before="0"/>
      </w:pPr>
      <w:r>
        <w:rPr>
          <w:rFonts w:ascii="Arial" w:cs="Arial" w:eastAsia="Arial" w:hAnsi="Arial"/>
          <w:color w:val="4A4A6A"/>
          <w:sz w:val="24"/>
          <w:szCs w:val="24"/>
        </w:rPr>
        <w:t xml:space="preserve">Neurodiversity-informed nutrition practitioners note that strategies like rigid mindful-eating protocols are often inaccessible for neurodivergent people. Instead, they emphasise flexible 'any hunger counts' approaches and practical accommodations — safe foods, structured external cues, reduced decision load. FuelSync Neuro's anchor meal mechanic is precisely this: a structured external cue that removes food decision load for a population for whom decision fatigue is a genuine neurological reality, not a metaphor.</w:t>
      </w:r>
    </w:p>
    <w:p>
      <w:pPr>
        <w:spacing w:after="200" w:before="0"/>
      </w:pPr>
      <w:r>
        <w:rPr>
          <w:rFonts w:ascii="Arial" w:cs="Arial" w:eastAsia="Arial" w:hAnsi="Arial"/>
          <w:i/>
          <w:iCs/>
          <w:color w:val="888888"/>
          <w:sz w:val="22"/>
          <w:szCs w:val="22"/>
        </w:rPr>
        <w:t xml:space="preserve">Sources: Dietetically Speaking — How ADHD Can Impact Your Relationship With Food (2025); RDs for Neurodiversity — Adapting Intuitive Eating for Neurodivergent People (2021)</w:t>
      </w:r>
    </w:p>
    <w:p>
      <w:pPr>
        <w:spacing w:after="80" w:before="0"/>
      </w:pPr>
    </w:p>
    <w:p>
      <w:pPr>
        <w:spacing w:after="120" w:before="400"/>
      </w:pPr>
      <w:r>
        <w:rPr>
          <w:rFonts w:ascii="Arial" w:cs="Arial" w:eastAsia="Arial" w:hAnsi="Arial"/>
          <w:b/>
          <w:bCs/>
          <w:color w:val="1A1A2E"/>
          <w:sz w:val="26"/>
          <w:szCs w:val="26"/>
        </w:rPr>
        <w:t xml:space="preserve">Part 6 — The NDIS Pathway</w:t>
      </w:r>
    </w:p>
    <w:p>
      <w:pPr>
        <w:spacing w:after="200" w:before="0"/>
      </w:pPr>
      <w:r>
        <w:rPr>
          <w:rFonts w:ascii="Arial" w:cs="Arial" w:eastAsia="Arial" w:hAnsi="Arial"/>
          <w:color w:val="4A4A6A"/>
          <w:sz w:val="24"/>
          <w:szCs w:val="24"/>
        </w:rPr>
        <w:t xml:space="preserve">The National Disability Insurance Scheme is the mechanism that transforms FuelSync Neuro from a specialised consumer product into a funded, defensible revenue stream. Understanding the funding pathway is essential to understanding why this market opportunity is both real and currently uncontested.</w:t>
      </w:r>
    </w:p>
    <w:p>
      <w:pPr>
        <w:spacing w:after="200" w:before="0"/>
      </w:pPr>
      <w:r>
        <w:rPr>
          <w:rFonts w:ascii="Arial" w:cs="Arial" w:eastAsia="Arial" w:hAnsi="Arial"/>
          <w:color w:val="4A4A6A"/>
          <w:sz w:val="24"/>
          <w:szCs w:val="24"/>
        </w:rPr>
        <w:t xml:space="preserve">Updated NDIS support guidance (from October 2024 onwards) confirms that the scheme can fund digital tools and apps for accessibility and daily living support when they meet 'reasonable and necessary' criteria and align with the participant's plan. Relevant NDIS support categories that can encompass FuelSync Neuro include:</w:t>
      </w:r>
    </w:p>
    <w:p>
      <w:pPr>
        <w:pStyle w:val="ListParagraph"/>
        <w:numPr>
          <w:ilvl w:val="0"/>
          <w:numId w:val="2"/>
        </w:numPr>
        <w:spacing w:after="160" w:before="0"/>
      </w:pPr>
      <w:r>
        <w:rPr>
          <w:rFonts w:ascii="Arial" w:cs="Arial" w:eastAsia="Arial" w:hAnsi="Arial"/>
          <w:color w:val="4A4A6A"/>
          <w:sz w:val="24"/>
          <w:szCs w:val="24"/>
        </w:rPr>
        <w:t xml:space="preserve">Daily personal activities — supporting meal preparation and food-related daily living skills</w:t>
      </w:r>
    </w:p>
    <w:p>
      <w:pPr>
        <w:pStyle w:val="ListParagraph"/>
        <w:numPr>
          <w:ilvl w:val="0"/>
          <w:numId w:val="2"/>
        </w:numPr>
        <w:spacing w:after="160" w:before="0"/>
      </w:pPr>
      <w:r>
        <w:rPr>
          <w:rFonts w:ascii="Arial" w:cs="Arial" w:eastAsia="Arial" w:hAnsi="Arial"/>
          <w:color w:val="4A4A6A"/>
          <w:sz w:val="24"/>
          <w:szCs w:val="24"/>
        </w:rPr>
        <w:t xml:space="preserve">Capacity building — developing skills and independence in food decision-making and routine management</w:t>
      </w:r>
    </w:p>
    <w:p>
      <w:pPr>
        <w:pStyle w:val="ListParagraph"/>
        <w:numPr>
          <w:ilvl w:val="0"/>
          <w:numId w:val="2"/>
        </w:numPr>
        <w:spacing w:after="160" w:before="0"/>
      </w:pPr>
      <w:r>
        <w:rPr>
          <w:rFonts w:ascii="Arial" w:cs="Arial" w:eastAsia="Arial" w:hAnsi="Arial"/>
          <w:color w:val="4A4A6A"/>
          <w:sz w:val="24"/>
          <w:szCs w:val="24"/>
        </w:rPr>
        <w:t xml:space="preserve">Assistive technology — apps and digital supports that assist with communication, planning, or sensory regulation</w:t>
      </w:r>
    </w:p>
    <w:p>
      <w:pPr>
        <w:pStyle w:val="ListParagraph"/>
        <w:numPr>
          <w:ilvl w:val="0"/>
          <w:numId w:val="2"/>
        </w:numPr>
        <w:spacing w:after="160" w:before="0"/>
      </w:pPr>
      <w:r>
        <w:rPr>
          <w:rFonts w:ascii="Arial" w:cs="Arial" w:eastAsia="Arial" w:hAnsi="Arial"/>
          <w:color w:val="4A4A6A"/>
          <w:sz w:val="24"/>
          <w:szCs w:val="24"/>
        </w:rPr>
        <w:t xml:space="preserve">Low-cost AT (under $1,500) — includes apps explicitly mentioned in guidance from My Plan Manager and Leap In</w:t>
      </w:r>
    </w:p>
    <w:p>
      <w:pPr>
        <w:spacing w:after="200" w:before="0"/>
      </w:pPr>
      <w:r>
        <w:rPr>
          <w:rFonts w:ascii="Arial" w:cs="Arial" w:eastAsia="Arial" w:hAnsi="Arial"/>
          <w:color w:val="4A4A6A"/>
          <w:sz w:val="24"/>
          <w:szCs w:val="24"/>
        </w:rPr>
        <w:t xml:space="preserve">The approval pathway for FuelSync Neuro as an NDIS-funded support requires:</w:t>
      </w:r>
    </w:p>
    <w:p>
      <w:pPr>
        <w:pStyle w:val="ListParagraph"/>
        <w:numPr>
          <w:ilvl w:val="0"/>
          <w:numId w:val="2"/>
        </w:numPr>
        <w:spacing w:after="160" w:before="0"/>
      </w:pPr>
      <w:r>
        <w:rPr>
          <w:rFonts w:ascii="Arial" w:cs="Arial" w:eastAsia="Arial" w:hAnsi="Arial"/>
          <w:color w:val="4A4A6A"/>
          <w:sz w:val="24"/>
          <w:szCs w:val="24"/>
        </w:rPr>
        <w:t xml:space="preserve">Evidence that the app is a disability-related support, not a general lifestyle product — FuelSync Neuro's sensory profiling, safe-food tracking, and autism-specific architecture satisfies this directly</w:t>
      </w:r>
    </w:p>
    <w:p>
      <w:pPr>
        <w:pStyle w:val="ListParagraph"/>
        <w:numPr>
          <w:ilvl w:val="0"/>
          <w:numId w:val="2"/>
        </w:numPr>
        <w:spacing w:after="160" w:before="0"/>
      </w:pPr>
      <w:r>
        <w:rPr>
          <w:rFonts w:ascii="Arial" w:cs="Arial" w:eastAsia="Arial" w:hAnsi="Arial"/>
          <w:color w:val="4A4A6A"/>
          <w:sz w:val="24"/>
          <w:szCs w:val="24"/>
        </w:rPr>
        <w:t xml:space="preserve">Alignment with NDIS reasonable and necessary criteria, and confirmation it does not duplicate mainstream health services</w:t>
      </w:r>
    </w:p>
    <w:p>
      <w:pPr>
        <w:pStyle w:val="ListParagraph"/>
        <w:numPr>
          <w:ilvl w:val="0"/>
          <w:numId w:val="2"/>
        </w:numPr>
        <w:spacing w:after="160" w:before="0"/>
      </w:pPr>
      <w:r>
        <w:rPr>
          <w:rFonts w:ascii="Arial" w:cs="Arial" w:eastAsia="Arial" w:hAnsi="Arial"/>
          <w:color w:val="4A4A6A"/>
          <w:sz w:val="24"/>
          <w:szCs w:val="24"/>
        </w:rPr>
        <w:t xml:space="preserve">Allied health professional support — a letter from an occupational therapist or dietitian supporting its use as assistive technology or a capacity-building tool</w:t>
      </w:r>
    </w:p>
    <w:p>
      <w:pPr>
        <w:spacing w:after="200" w:before="0"/>
      </w:pPr>
      <w:r>
        <w:rPr>
          <w:rFonts w:ascii="Arial" w:cs="Arial" w:eastAsia="Arial" w:hAnsi="Arial"/>
          <w:color w:val="4A4A6A"/>
          <w:sz w:val="24"/>
          <w:szCs w:val="24"/>
        </w:rPr>
        <w:t xml:space="preserve">The NDIS does not yet have a dedicated 'digital health apps' funding line. The pathway is currently manual and evidence-driven, requiring a clear case for each participant. FuelSync's strategy is to build the evidence base — working with early NDIS participants, documenting outcomes, and developing a standard allied health recommendation template — that makes the approval process repeatable and scalable.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Active NDIS participants</w:t>
            </w:r>
          </w:p>
        </w:tc>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Monthly recurring revenue</w:t>
            </w:r>
          </w:p>
        </w:tc>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Annual recurring revenue</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100 participants</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$7,900/month</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$94,800/year</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200 participants</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$15,800/month</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$189,600/year</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500 participants</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$39,500/month</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$474,000/year</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2,000 participants</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$158,000/month</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$1,896,000/year</w:t>
            </w:r>
          </w:p>
        </w:tc>
      </w:tr>
    </w:tbl>
    <w:p>
      <w:pPr>
        <w:spacing w:after="240" w:before="0"/>
      </w:pPr>
    </w:p>
    <w:p>
      <w:pPr>
        <w:spacing w:after="200" w:before="0"/>
      </w:pPr>
      <w:r>
        <w:rPr>
          <w:rFonts w:ascii="Arial" w:cs="Arial" w:eastAsia="Arial" w:hAnsi="Arial"/>
          <w:i/>
          <w:iCs/>
          <w:color w:val="4A4A6A"/>
          <w:sz w:val="24"/>
          <w:szCs w:val="24"/>
        </w:rPr>
        <w:t xml:space="preserve">At $79/month per NDIS participant, the revenue model removes consumer price sensitivity entirely. NDIS participants fund their subscription through their plan rather than out of pocket. The competitive dynamic shifts from 'is this worth paying for?' to 'does this tool help achieve my NDIS goals?' — a question FuelSync Neuro is specifically architected to answer yes.</w:t>
      </w:r>
    </w:p>
    <w:p>
      <w:pPr>
        <w:spacing w:after="200" w:before="0"/>
      </w:pPr>
      <w:r>
        <w:rPr>
          <w:rFonts w:ascii="Arial" w:cs="Arial" w:eastAsia="Arial" w:hAnsi="Arial"/>
          <w:i/>
          <w:iCs/>
          <w:color w:val="888888"/>
          <w:sz w:val="22"/>
          <w:szCs w:val="22"/>
        </w:rPr>
        <w:t xml:space="preserve">Sources: PWDA — New NDIS support lists (2024); Leap In — Claiming for Consumables and Low Cost AT (2025); My Plan Manager — NDIS consumables explained (2024); AIDH — Australian Health Apps Assessment Framework (2025)</w:t>
      </w:r>
    </w:p>
    <w:p>
      <w:pPr>
        <w:spacing w:after="240" w:before="0"/>
      </w:pPr>
    </w:p>
    <w:p>
      <w:pPr>
        <w:spacing w:after="120" w:before="400"/>
      </w:pPr>
      <w:r>
        <w:rPr>
          <w:rFonts w:ascii="Arial" w:cs="Arial" w:eastAsia="Arial" w:hAnsi="Arial"/>
          <w:b/>
          <w:bCs/>
          <w:color w:val="1A1A2E"/>
          <w:sz w:val="26"/>
          <w:szCs w:val="26"/>
        </w:rPr>
        <w:t xml:space="preserve">References</w:t>
      </w:r>
    </w:p>
    <w:p>
      <w:pPr>
        <w:spacing w:after="200" w:before="0"/>
      </w:pPr>
      <w:r>
        <w:rPr>
          <w:rFonts w:ascii="Arial" w:cs="Arial" w:eastAsia="Arial" w:hAnsi="Arial"/>
          <w:color w:val="4A4A6A"/>
          <w:sz w:val="24"/>
          <w:szCs w:val="24"/>
        </w:rPr>
        <w:t xml:space="preserve">Bandini, L.G., et al. (2013). Food selectivity and sensory sensitivity in children with ASD. PMC.</w:t>
      </w:r>
    </w:p>
    <w:p>
      <w:pPr>
        <w:spacing w:after="200" w:before="0"/>
      </w:pPr>
      <w:r>
        <w:rPr>
          <w:rFonts w:ascii="Arial" w:cs="Arial" w:eastAsia="Arial" w:hAnsi="Arial"/>
          <w:color w:val="4A4A6A"/>
          <w:sz w:val="24"/>
          <w:szCs w:val="24"/>
        </w:rPr>
        <w:t xml:space="preserve">https://pmc.ncbi.nlm.nih.gov/articles/PMC3601920/</w:t>
      </w:r>
    </w:p>
    <w:p>
      <w:pPr>
        <w:spacing w:after="80" w:before="0"/>
      </w:pPr>
    </w:p>
    <w:p>
      <w:pPr>
        <w:spacing w:after="200" w:before="0"/>
      </w:pPr>
      <w:r>
        <w:rPr>
          <w:rFonts w:ascii="Arial" w:cs="Arial" w:eastAsia="Arial" w:hAnsi="Arial"/>
          <w:color w:val="4A4A6A"/>
          <w:sz w:val="24"/>
          <w:szCs w:val="24"/>
        </w:rPr>
        <w:t xml:space="preserve">Cermak, S.A., et al. (2022). Sensory processing and eating behaviours in autism. PMC.</w:t>
      </w:r>
    </w:p>
    <w:p>
      <w:pPr>
        <w:spacing w:after="200" w:before="0"/>
      </w:pPr>
      <w:r>
        <w:rPr>
          <w:rFonts w:ascii="Arial" w:cs="Arial" w:eastAsia="Arial" w:hAnsi="Arial"/>
          <w:color w:val="4A4A6A"/>
          <w:sz w:val="24"/>
          <w:szCs w:val="24"/>
        </w:rPr>
        <w:t xml:space="preserve">https://pmc.ncbi.nlm.nih.gov/articles/PMC9545673/</w:t>
      </w:r>
    </w:p>
    <w:p>
      <w:pPr>
        <w:spacing w:after="80" w:before="0"/>
      </w:pPr>
    </w:p>
    <w:p>
      <w:pPr>
        <w:spacing w:after="200" w:before="0"/>
      </w:pPr>
      <w:r>
        <w:rPr>
          <w:rFonts w:ascii="Arial" w:cs="Arial" w:eastAsia="Arial" w:hAnsi="Arial"/>
          <w:color w:val="4A4A6A"/>
          <w:sz w:val="24"/>
          <w:szCs w:val="24"/>
        </w:rPr>
        <w:t xml:space="preserve">Autism Spectrum Australia. (2025). Sensory Processing Difficulties.</w:t>
      </w:r>
    </w:p>
    <w:p>
      <w:pPr>
        <w:spacing w:after="200" w:before="0"/>
      </w:pPr>
      <w:r>
        <w:rPr>
          <w:rFonts w:ascii="Arial" w:cs="Arial" w:eastAsia="Arial" w:hAnsi="Arial"/>
          <w:color w:val="4A4A6A"/>
          <w:sz w:val="24"/>
          <w:szCs w:val="24"/>
        </w:rPr>
        <w:t xml:space="preserve">https://www.aspect.org.au/deprecated-pages/sensory-processing-difficulties</w:t>
      </w:r>
    </w:p>
    <w:p>
      <w:pPr>
        <w:spacing w:after="80" w:before="0"/>
      </w:pPr>
    </w:p>
    <w:p>
      <w:pPr>
        <w:spacing w:after="200" w:before="0"/>
      </w:pPr>
      <w:r>
        <w:rPr>
          <w:rFonts w:ascii="Arial" w:cs="Arial" w:eastAsia="Arial" w:hAnsi="Arial"/>
          <w:color w:val="4A4A6A"/>
          <w:sz w:val="24"/>
          <w:szCs w:val="24"/>
        </w:rPr>
        <w:t xml:space="preserve">Marquenie, K., et al. (2013). The Impact of Autism Spectrum Disorders and Eating Challenges on Family Mealtimes. SAGE.</w:t>
      </w:r>
    </w:p>
    <w:p>
      <w:pPr>
        <w:spacing w:after="200" w:before="0"/>
      </w:pPr>
      <w:r>
        <w:rPr>
          <w:rFonts w:ascii="Arial" w:cs="Arial" w:eastAsia="Arial" w:hAnsi="Arial"/>
          <w:color w:val="4A4A6A"/>
          <w:sz w:val="24"/>
          <w:szCs w:val="24"/>
        </w:rPr>
        <w:t xml:space="preserve">https://journals.sagepub.com/doi/10.1177/1941406413502808</w:t>
      </w:r>
    </w:p>
    <w:p>
      <w:pPr>
        <w:spacing w:after="80" w:before="0"/>
      </w:pPr>
    </w:p>
    <w:p>
      <w:pPr>
        <w:spacing w:after="200" w:before="0"/>
      </w:pPr>
      <w:r>
        <w:rPr>
          <w:rFonts w:ascii="Arial" w:cs="Arial" w:eastAsia="Arial" w:hAnsi="Arial"/>
          <w:color w:val="4A4A6A"/>
          <w:sz w:val="24"/>
          <w:szCs w:val="24"/>
        </w:rPr>
        <w:t xml:space="preserve">Curtin, C., et al. (2008). Food Selectivity, Mealtime Behaviour Problems, Spousal Stress, and Family Food Choices. PMC.</w:t>
      </w:r>
    </w:p>
    <w:p>
      <w:pPr>
        <w:spacing w:after="200" w:before="0"/>
      </w:pPr>
      <w:r>
        <w:rPr>
          <w:rFonts w:ascii="Arial" w:cs="Arial" w:eastAsia="Arial" w:hAnsi="Arial"/>
          <w:color w:val="4A4A6A"/>
          <w:sz w:val="24"/>
          <w:szCs w:val="24"/>
        </w:rPr>
        <w:t xml:space="preserve">https://pmc.ncbi.nlm.nih.gov/articles/PMC4573255/</w:t>
      </w:r>
    </w:p>
    <w:p>
      <w:pPr>
        <w:spacing w:after="80" w:before="0"/>
      </w:pPr>
    </w:p>
    <w:p>
      <w:pPr>
        <w:spacing w:after="200" w:before="0"/>
      </w:pPr>
      <w:r>
        <w:rPr>
          <w:rFonts w:ascii="Arial" w:cs="Arial" w:eastAsia="Arial" w:hAnsi="Arial"/>
          <w:color w:val="4A4A6A"/>
          <w:sz w:val="24"/>
          <w:szCs w:val="24"/>
        </w:rPr>
        <w:t xml:space="preserve">PWDA. (2024). New NDIS support lists have started.</w:t>
      </w:r>
    </w:p>
    <w:p>
      <w:pPr>
        <w:spacing w:after="200" w:before="0"/>
      </w:pPr>
      <w:r>
        <w:rPr>
          <w:rFonts w:ascii="Arial" w:cs="Arial" w:eastAsia="Arial" w:hAnsi="Arial"/>
          <w:color w:val="4A4A6A"/>
          <w:sz w:val="24"/>
          <w:szCs w:val="24"/>
        </w:rPr>
        <w:t xml:space="preserve">https://pwd.org.au/new-ndis-support-lists-have-started-this-is-what-we-know-so-far/</w:t>
      </w:r>
    </w:p>
    <w:p>
      <w:pPr>
        <w:spacing w:after="80" w:before="0"/>
      </w:pPr>
    </w:p>
    <w:p>
      <w:pPr>
        <w:spacing w:after="200" w:before="0"/>
      </w:pPr>
      <w:r>
        <w:rPr>
          <w:rFonts w:ascii="Arial" w:cs="Arial" w:eastAsia="Arial" w:hAnsi="Arial"/>
          <w:color w:val="4A4A6A"/>
          <w:sz w:val="24"/>
          <w:szCs w:val="24"/>
        </w:rPr>
        <w:t xml:space="preserve">Leap In. (2025). Claiming for Consumables and Low Cost AT Under the New NDIS Rules.</w:t>
      </w:r>
    </w:p>
    <w:p>
      <w:pPr>
        <w:spacing w:after="200" w:before="0"/>
      </w:pPr>
      <w:r>
        <w:rPr>
          <w:rFonts w:ascii="Arial" w:cs="Arial" w:eastAsia="Arial" w:hAnsi="Arial"/>
          <w:color w:val="4A4A6A"/>
          <w:sz w:val="24"/>
          <w:szCs w:val="24"/>
        </w:rPr>
        <w:t xml:space="preserve">https://www.leapin.com.au/news/claiming-for-consumables-and-low-cost-at/</w:t>
      </w:r>
    </w:p>
    <w:p>
      <w:pPr>
        <w:spacing w:after="480" w:before="0"/>
      </w:pPr>
    </w:p>
    <w:p>
      <w:pPr>
        <w:spacing w:after="0" w:before="0"/>
      </w:pPr>
      <w:r>
        <w:rPr>
          <w:rFonts w:ascii="Arial" w:cs="Arial" w:eastAsia="Arial" w:hAnsi="Arial"/>
          <w:color w:val="AAAAAA"/>
          <w:sz w:val="18"/>
          <w:szCs w:val="18"/>
        </w:rPr>
        <w:t xml:space="preserve">FuelSync  |  Brisbane, Australia  |  Document 08 of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2026-04-16T12:38:03.534Z</dcterms:created>
  <dcterms:modified xsi:type="dcterms:W3CDTF">2026-04-16T12:38:03.535Z</dcterms:modified>
</cp:coreProperties>
</file>

<file path=docProps/custom.xml><?xml version="1.0" encoding="utf-8"?>
<Properties xmlns="http://schemas.openxmlformats.org/officeDocument/2006/custom-properties" xmlns:vt="http://schemas.openxmlformats.org/officeDocument/2006/docPropsVTypes"/>
</file>