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09</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Platform Systems</w:t>
      </w:r>
    </w:p>
    <w:p>
      <w:pPr>
        <w:spacing w:after="200" w:before="0"/>
      </w:pPr>
      <w:r>
        <w:rPr>
          <w:rFonts w:ascii="Arial" w:cs="Arial" w:eastAsia="Arial" w:hAnsi="Arial"/>
          <w:color w:val="4A4A6A"/>
          <w:sz w:val="24"/>
          <w:szCs w:val="24"/>
        </w:rPr>
        <w:t xml:space="preserve">The operational infrastructure underpinning FuelSync's community — content moderation architecture, feedback systems, safety standards, and the research evidence showing that well-moderated community features drive retention rather than undermining it.</w:t>
      </w:r>
    </w:p>
    <w:p>
      <w:pPr>
        <w:spacing w:after="240" w:before="0"/>
      </w:pPr>
    </w:p>
    <w:p>
      <w:pPr>
        <w:spacing w:after="120" w:before="400"/>
      </w:pPr>
      <w:r>
        <w:rPr>
          <w:rFonts w:ascii="Arial" w:cs="Arial" w:eastAsia="Arial" w:hAnsi="Arial"/>
          <w:b/>
          <w:bCs/>
          <w:color w:val="1A1A2E"/>
          <w:sz w:val="26"/>
          <w:szCs w:val="26"/>
        </w:rPr>
        <w:t xml:space="preserve">Part 1 — Why Platform Safety Is a Product Decision</w:t>
      </w:r>
    </w:p>
    <w:p>
      <w:pPr>
        <w:spacing w:after="200" w:before="0"/>
      </w:pPr>
      <w:r>
        <w:rPr>
          <w:rFonts w:ascii="Arial" w:cs="Arial" w:eastAsia="Arial" w:hAnsi="Arial"/>
          <w:color w:val="4A4A6A"/>
          <w:sz w:val="24"/>
          <w:szCs w:val="24"/>
        </w:rPr>
        <w:t xml:space="preserve">Food and nutrition content carries specific risks that general consumer apps do not face. Eating disorder triggers, dangerous calorie thresholds, harmful supplement advice, and nutrition misinformation can cause serious physical harm to vulnerable users. For FuelSync — a platform serving people with complicated emotional relationships with food — content safety is not a compliance checkbox. It is a core product requirement.</w:t>
      </w:r>
    </w:p>
    <w:p>
      <w:pPr>
        <w:spacing w:after="200" w:before="0"/>
      </w:pPr>
      <w:r>
        <w:rPr>
          <w:rFonts w:ascii="Arial" w:cs="Arial" w:eastAsia="Arial" w:hAnsi="Arial"/>
          <w:color w:val="4A4A6A"/>
          <w:sz w:val="24"/>
          <w:szCs w:val="24"/>
        </w:rPr>
        <w:t xml:space="preserve">The evidence on what happens when health platforms get moderation wrong is stark. A 2025 cross-platform study (Lerman et al., PMC/EPJ Data Science) analysed 2.6 million tweets, 178,000 Reddit submissions, and 14,000 TikTok videos from eating disorder communities between 2019 and 2023. The findings demonstrated directly that platform moderation approach determines whether communities become safe or toxic: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Platform</w:t>
            </w:r>
          </w:p>
        </w:tc>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Moderation approach</w:t>
            </w:r>
          </w:p>
        </w:tc>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Community character</w:t>
            </w:r>
          </w:p>
        </w:tc>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Outcome</w:t>
            </w:r>
          </w:p>
        </w:tc>
      </w:tr>
      <w:tr>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TikTok</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Strict, centralised — blocks harmful hashtags, redirects to help resources</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Recovery-oriented; body positivity dominant</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Lowest harm; pro-eating disorder content suppressed without losing peer support</w:t>
            </w:r>
          </w:p>
        </w:tc>
      </w:tr>
      <w:tr>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Reddit</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Decentralised community moderation; r/ProED banned 2018</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ED communities integrated with mental health and fitness topics</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Moderate harm; recovery-focused communities remain</w:t>
            </w:r>
          </w:p>
        </w:tc>
      </w:tr>
      <w:tr>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Twitter/X</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Laissez-faire; user-report only</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Pro-anorexia echo chambers; coded language unflagged</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Highest harm; 500% rise in self-harm posts 2021–2022</w:t>
            </w:r>
          </w:p>
        </w:tc>
      </w:tr>
    </w:tbl>
    <w:p>
      <w:pPr>
        <w:spacing w:after="200" w:before="0"/>
      </w:pPr>
    </w:p>
    <w:p>
      <w:pPr>
        <w:pBdr>
          <w:left w:val="single" w:color="7B5FFF" w:sz="16" w:space="20"/>
        </w:pBdr>
        <w:spacing w:after="320" w:before="320"/>
        <w:ind w:left="720"/>
      </w:pPr>
      <w:r>
        <w:rPr>
          <w:rFonts w:ascii="Arial" w:cs="Arial" w:eastAsia="Arial" w:hAnsi="Arial"/>
          <w:b/>
          <w:bCs/>
          <w:i/>
          <w:iCs/>
          <w:color w:val="7B5FFF"/>
          <w:sz w:val="26"/>
          <w:szCs w:val="26"/>
        </w:rPr>
        <w:t xml:space="preserve">Platforms can reduce harm without destroying peer community value. The choice is not 'moderate OR support' — it is both.</w:t>
      </w:r>
    </w:p>
    <w:p>
      <w:pPr>
        <w:spacing w:after="200" w:before="0"/>
      </w:pPr>
      <w:r>
        <w:rPr>
          <w:rFonts w:ascii="Arial" w:cs="Arial" w:eastAsia="Arial" w:hAnsi="Arial"/>
          <w:color w:val="4A4A6A"/>
          <w:sz w:val="24"/>
          <w:szCs w:val="24"/>
        </w:rPr>
        <w:t xml:space="preserve">The critical finding from this research is that emotional support persists on all platforms regardless of moderation strictness. Removing harmful content does not remove community value — it concentrates the community value by eliminating the toxic content that would otherwise drive vulnerable users away.</w:t>
      </w:r>
    </w:p>
    <w:p>
      <w:pPr>
        <w:spacing w:after="200" w:before="0"/>
      </w:pPr>
      <w:r>
        <w:rPr>
          <w:rFonts w:ascii="Arial" w:cs="Arial" w:eastAsia="Arial" w:hAnsi="Arial"/>
          <w:i/>
          <w:iCs/>
          <w:color w:val="888888"/>
          <w:sz w:val="22"/>
          <w:szCs w:val="22"/>
        </w:rPr>
        <w:t xml:space="preserve">Source: Lerman, Chu, Bickham, Luceri, Ferrara (2025). Safe Spaces or Toxic Places? Content Moderation and Social Dynamics in Eating Disorder Communities. PMC/EPJ Data Science. PMC12296748</w:t>
      </w:r>
    </w:p>
    <w:p>
      <w:pPr>
        <w:spacing w:after="80" w:before="0"/>
      </w:pPr>
    </w:p>
    <w:p>
      <w:pPr>
        <w:spacing w:after="120" w:before="400"/>
      </w:pPr>
      <w:r>
        <w:rPr>
          <w:rFonts w:ascii="Arial" w:cs="Arial" w:eastAsia="Arial" w:hAnsi="Arial"/>
          <w:b/>
          <w:bCs/>
          <w:color w:val="1A1A2E"/>
          <w:sz w:val="26"/>
          <w:szCs w:val="26"/>
        </w:rPr>
        <w:t xml:space="preserve">Part 2 — Content Moderation Architecture</w:t>
      </w:r>
    </w:p>
    <w:p>
      <w:pPr>
        <w:spacing w:after="200" w:before="0"/>
      </w:pPr>
      <w:r>
        <w:rPr>
          <w:rFonts w:ascii="Arial" w:cs="Arial" w:eastAsia="Arial" w:hAnsi="Arial"/>
          <w:color w:val="4A4A6A"/>
          <w:sz w:val="24"/>
          <w:szCs w:val="24"/>
        </w:rPr>
        <w:t xml:space="preserve">The industry has converged on hybrid moderation as the standard for health content — combining AI pre-screening with human judgment for edge cases. AI-only moderation is insufficient for health and nutrition contexts because automated systems cannot detect nuanced misinformation, emotional register, or the contextual meaning of health content. Human-only moderation is not scalable.</w:t>
      </w:r>
    </w:p>
    <w:p>
      <w:pPr>
        <w:spacing w:after="200" w:before="0"/>
      </w:pPr>
      <w:r>
        <w:rPr>
          <w:rFonts w:ascii="Arial" w:cs="Arial" w:eastAsia="Arial" w:hAnsi="Arial"/>
          <w:color w:val="4A4A6A"/>
          <w:sz w:val="24"/>
          <w:szCs w:val="24"/>
        </w:rPr>
        <w:t xml:space="preserve">AI content moderation achieves approximately 94% accuracy in English for pattern-based violations, but falls short for health content nuance (Conectys, 2025). 92% of consumers say it is important or very important to have humans reviewing health content online rather than AI alone (Telus International Future of Content Moderation Report, 2024).</w:t>
      </w:r>
    </w:p>
    <w:p>
      <w:pPr>
        <w:spacing w:after="200" w:before="0"/>
      </w:pPr>
      <w:r>
        <w:rPr>
          <w:rFonts w:ascii="Arial" w:cs="Arial" w:eastAsia="Arial" w:hAnsi="Arial"/>
          <w:color w:val="4A4A6A"/>
          <w:sz w:val="24"/>
          <w:szCs w:val="24"/>
        </w:rPr>
        <w:t xml:space="preserve">FuelSync's four-layer moderation system:</w:t>
      </w:r>
    </w:p>
    <w:p>
      <w:pPr>
        <w:spacing w:after="200" w:before="0"/>
      </w:pPr>
      <w:r>
        <w:rPr>
          <w:rFonts w:ascii="Arial" w:cs="Arial" w:eastAsia="Arial" w:hAnsi="Arial"/>
          <w:b/>
          <w:bCs/>
          <w:color w:val="1A1A2E"/>
          <w:sz w:val="24"/>
          <w:szCs w:val="24"/>
        </w:rPr>
        <w:t xml:space="preserve">Layer 1 — AI pre-screening</w:t>
      </w:r>
    </w:p>
    <w:p>
      <w:pPr>
        <w:spacing w:after="200" w:before="0"/>
      </w:pPr>
      <w:r>
        <w:rPr>
          <w:rFonts w:ascii="Arial" w:cs="Arial" w:eastAsia="Arial" w:hAnsi="Arial"/>
          <w:color w:val="4A4A6A"/>
          <w:sz w:val="24"/>
          <w:szCs w:val="24"/>
        </w:rPr>
        <w:t xml:space="preserve">NLP, keyword flagging, sentiment detection, and image classifiers scan all incoming meal card content. Pattern-based violations — dangerous calorie claims, explicit restriction language, harmful supplement advice — are flagged automatically before publication.</w:t>
      </w:r>
    </w:p>
    <w:p>
      <w:pPr>
        <w:spacing w:after="200" w:before="0"/>
      </w:pPr>
      <w:r>
        <w:rPr>
          <w:rFonts w:ascii="Arial" w:cs="Arial" w:eastAsia="Arial" w:hAnsi="Arial"/>
          <w:b/>
          <w:bCs/>
          <w:color w:val="1A1A2E"/>
          <w:sz w:val="24"/>
          <w:szCs w:val="24"/>
        </w:rPr>
        <w:t xml:space="preserve">Layer 2 — Risk tiering</w:t>
      </w:r>
    </w:p>
    <w:p>
      <w:pPr>
        <w:spacing w:after="200" w:before="0"/>
      </w:pPr>
      <w:r>
        <w:rPr>
          <w:rFonts w:ascii="Arial" w:cs="Arial" w:eastAsia="Arial" w:hAnsi="Arial"/>
          <w:color w:val="4A4A6A"/>
          <w:sz w:val="24"/>
          <w:szCs w:val="24"/>
        </w:rPr>
        <w:t xml:space="preserve">High-risk content (eating disorder triggers, extreme weight claims, supplement overdose advice) is escalated immediately to human review. Low-risk content is auto-approved. The system uses semantic detection, not just keyword matching, to catch coded language variants.</w:t>
      </w:r>
    </w:p>
    <w:p>
      <w:pPr>
        <w:spacing w:after="200" w:before="0"/>
      </w:pPr>
      <w:r>
        <w:rPr>
          <w:rFonts w:ascii="Arial" w:cs="Arial" w:eastAsia="Arial" w:hAnsi="Arial"/>
          <w:b/>
          <w:bCs/>
          <w:color w:val="1A1A2E"/>
          <w:sz w:val="24"/>
          <w:szCs w:val="24"/>
        </w:rPr>
        <w:t xml:space="preserve">Layer 3 — Human review queue</w:t>
      </w:r>
    </w:p>
    <w:p>
      <w:pPr>
        <w:spacing w:after="200" w:before="0"/>
      </w:pPr>
      <w:r>
        <w:rPr>
          <w:rFonts w:ascii="Arial" w:cs="Arial" w:eastAsia="Arial" w:hAnsi="Arial"/>
          <w:color w:val="4A4A6A"/>
          <w:sz w:val="24"/>
          <w:szCs w:val="24"/>
        </w:rPr>
        <w:t xml:space="preserve">Trained moderators assess context, cultural meaning, and nuance for flagged content. QA teams review 5–10% of all AI decisions to maintain consistency and catch systematic errors. Clinical or compliance-relevant content always requires human judgment — never AI alone (WG Content, 2026).</w:t>
      </w:r>
    </w:p>
    <w:p>
      <w:pPr>
        <w:spacing w:after="200" w:before="0"/>
      </w:pPr>
      <w:r>
        <w:rPr>
          <w:rFonts w:ascii="Arial" w:cs="Arial" w:eastAsia="Arial" w:hAnsi="Arial"/>
          <w:b/>
          <w:bCs/>
          <w:color w:val="1A1A2E"/>
          <w:sz w:val="24"/>
          <w:szCs w:val="24"/>
        </w:rPr>
        <w:t xml:space="preserve">Layer 4 — Community reporting</w:t>
      </w:r>
    </w:p>
    <w:p>
      <w:pPr>
        <w:spacing w:after="200" w:before="0"/>
      </w:pPr>
      <w:r>
        <w:rPr>
          <w:rFonts w:ascii="Arial" w:cs="Arial" w:eastAsia="Arial" w:hAnsi="Arial"/>
          <w:color w:val="4A4A6A"/>
          <w:sz w:val="24"/>
          <w:szCs w:val="24"/>
        </w:rPr>
        <w:t xml:space="preserve">Users can flag content directly. Flagged items route to human moderators when they reach risk thresholds. A transparent appeals process is available for content removal decisions.</w:t>
      </w:r>
    </w:p>
    <w:p>
      <w:pPr>
        <w:spacing w:after="200" w:before="0"/>
      </w:pPr>
      <w:r>
        <w:rPr>
          <w:rFonts w:ascii="Arial" w:cs="Arial" w:eastAsia="Arial" w:hAnsi="Arial"/>
          <w:i/>
          <w:iCs/>
          <w:color w:val="888888"/>
          <w:sz w:val="22"/>
          <w:szCs w:val="22"/>
        </w:rPr>
        <w:t xml:space="preserve">Sources: Conectys (Nov 2025); WG Content (Mar 2026); Telus International Future of Content Moderation Report (2024)</w:t>
      </w:r>
    </w:p>
    <w:p>
      <w:pPr>
        <w:spacing w:after="80" w:before="0"/>
      </w:pPr>
    </w:p>
    <w:p>
      <w:pPr>
        <w:spacing w:after="120" w:before="400"/>
      </w:pPr>
      <w:r>
        <w:rPr>
          <w:rFonts w:ascii="Arial" w:cs="Arial" w:eastAsia="Arial" w:hAnsi="Arial"/>
          <w:b/>
          <w:bCs/>
          <w:color w:val="1A1A2E"/>
          <w:sz w:val="26"/>
          <w:szCs w:val="26"/>
        </w:rPr>
        <w:t xml:space="preserve">Part 3 — Feedback Systems and Content Quality</w:t>
      </w:r>
    </w:p>
    <w:p>
      <w:pPr>
        <w:spacing w:after="200" w:before="0"/>
      </w:pPr>
      <w:r>
        <w:rPr>
          <w:rFonts w:ascii="Arial" w:cs="Arial" w:eastAsia="Arial" w:hAnsi="Arial"/>
          <w:color w:val="4A4A6A"/>
          <w:sz w:val="24"/>
          <w:szCs w:val="24"/>
        </w:rPr>
        <w:t xml:space="preserve">FuelSync's meal card rating system is designed around the research on what upvoting and feedback mechanisms actually do in health contexts — and what they can do wrong.</w:t>
      </w:r>
    </w:p>
    <w:p>
      <w:pPr>
        <w:spacing w:after="200" w:before="0"/>
      </w:pPr>
      <w:r>
        <w:rPr>
          <w:rFonts w:ascii="Arial" w:cs="Arial" w:eastAsia="Arial" w:hAnsi="Arial"/>
          <w:color w:val="4A4A6A"/>
          <w:sz w:val="24"/>
          <w:szCs w:val="24"/>
        </w:rPr>
        <w:t xml:space="preserve">In health communities, upvotes function as social proof signals. Users interpret high vote counts as community-vetted truth — a cognitive shortcut that bypasses critical evaluation. Research from The Health Communication Unit (2026) documented how supplement companies spend approximately $2,000/month manipulating Reddit upvotes to generate $15,000+ in revenue from health misinformation. A JMIR Dermatology study (2021) found that even when correct information was provided, upvoted misinformation remained more visible, undermining corrections.</w:t>
      </w:r>
    </w:p>
    <w:p>
      <w:pPr>
        <w:spacing w:after="200" w:before="0"/>
      </w:pPr>
      <w:r>
        <w:rPr>
          <w:rFonts w:ascii="Arial" w:cs="Arial" w:eastAsia="Arial" w:hAnsi="Arial"/>
          <w:color w:val="4A4A6A"/>
          <w:sz w:val="24"/>
          <w:szCs w:val="24"/>
        </w:rPr>
        <w:t xml:space="preserve">FuelSync's feedback architecture is designed to capture genuine behavioural signal while preventing manipulation:</w:t>
      </w:r>
    </w:p>
    <w:p>
      <w:pPr>
        <w:pStyle w:val="ListParagraph"/>
        <w:numPr>
          <w:ilvl w:val="0"/>
          <w:numId w:val="2"/>
        </w:numPr>
        <w:spacing w:after="160" w:before="0"/>
      </w:pPr>
      <w:r>
        <w:rPr>
          <w:rFonts w:ascii="Arial" w:cs="Arial" w:eastAsia="Arial" w:hAnsi="Arial"/>
          <w:color w:val="4A4A6A"/>
          <w:sz w:val="24"/>
          <w:szCs w:val="24"/>
        </w:rPr>
        <w:t xml:space="preserve">Return rate tracking — the most reliable signal. Did the user come back to this meal? This cannot be manipulated and directly measures what FuelSync is optimising for.</w:t>
      </w:r>
    </w:p>
    <w:p>
      <w:pPr>
        <w:pStyle w:val="ListParagraph"/>
        <w:numPr>
          <w:ilvl w:val="0"/>
          <w:numId w:val="2"/>
        </w:numPr>
        <w:spacing w:after="160" w:before="0"/>
      </w:pPr>
      <w:r>
        <w:rPr>
          <w:rFonts w:ascii="Arial" w:cs="Arial" w:eastAsia="Arial" w:hAnsi="Arial"/>
          <w:color w:val="4A4A6A"/>
          <w:sz w:val="24"/>
          <w:szCs w:val="24"/>
        </w:rPr>
        <w:t xml:space="preserve">Upvotes with reason selection — users who upvote a meal card select from 10 signal categories (budget-friendly, easy to make, family approved, etc.) providing structured qualitative data alongside the vote.</w:t>
      </w:r>
    </w:p>
    <w:p>
      <w:pPr>
        <w:pStyle w:val="ListParagraph"/>
        <w:numPr>
          <w:ilvl w:val="0"/>
          <w:numId w:val="2"/>
        </w:numPr>
        <w:spacing w:after="160" w:before="0"/>
      </w:pPr>
      <w:r>
        <w:rPr>
          <w:rFonts w:ascii="Arial" w:cs="Arial" w:eastAsia="Arial" w:hAnsi="Arial"/>
          <w:color w:val="4A4A6A"/>
          <w:sz w:val="24"/>
          <w:szCs w:val="24"/>
        </w:rPr>
        <w:t xml:space="preserve">Downvotes with reason selection — 10 corresponding downvote categories that feed into the agent's reasoning about which meals to surface for which users.</w:t>
      </w:r>
    </w:p>
    <w:p>
      <w:pPr>
        <w:pStyle w:val="ListParagraph"/>
        <w:numPr>
          <w:ilvl w:val="0"/>
          <w:numId w:val="2"/>
        </w:numPr>
        <w:spacing w:after="160" w:before="0"/>
      </w:pPr>
      <w:r>
        <w:rPr>
          <w:rFonts w:ascii="Arial" w:cs="Arial" w:eastAsia="Arial" w:hAnsi="Arial"/>
          <w:color w:val="4A4A6A"/>
          <w:sz w:val="24"/>
          <w:szCs w:val="24"/>
        </w:rPr>
        <w:t xml:space="preserve">Optional intensity rating — a 1–5 star slider after upvoting for users who want to express stronger signal.</w:t>
      </w:r>
    </w:p>
    <w:p>
      <w:pPr>
        <w:pStyle w:val="ListParagraph"/>
        <w:numPr>
          <w:ilvl w:val="0"/>
          <w:numId w:val="2"/>
        </w:numPr>
        <w:spacing w:after="160" w:before="0"/>
      </w:pPr>
      <w:r>
        <w:rPr>
          <w:rFonts w:ascii="Arial" w:cs="Arial" w:eastAsia="Arial" w:hAnsi="Arial"/>
          <w:color w:val="4A4A6A"/>
          <w:sz w:val="24"/>
          <w:szCs w:val="24"/>
        </w:rPr>
        <w:t xml:space="preserve">Credentialled contributor badges — meal cards from verified nutritionists and dietitians are badged visibly, providing a trust signal at point of consumption.</w:t>
      </w:r>
    </w:p>
    <w:p>
      <w:pPr>
        <w:spacing w:after="200" w:before="0"/>
      </w:pPr>
      <w:r>
        <w:rPr>
          <w:rFonts w:ascii="Arial" w:cs="Arial" w:eastAsia="Arial" w:hAnsi="Arial"/>
          <w:color w:val="4A4A6A"/>
          <w:sz w:val="24"/>
          <w:szCs w:val="24"/>
        </w:rPr>
        <w:t xml:space="preserve">Research from a large Dutch study (n=1,420, JMIR mHealth, 2023) found that social competition features can trigger negative emotions and cause disengagement in health contexts. FuelSync's feedback system is explicitly non-competitive — no leaderboards, no rankings, no public score comparisons. The signal is used internally by the agent to improve recommendations, not displayed as a public ranking that could trigger shame or comparison.</w:t>
      </w:r>
    </w:p>
    <w:p>
      <w:pPr>
        <w:spacing w:after="200" w:before="0"/>
      </w:pPr>
      <w:r>
        <w:rPr>
          <w:rFonts w:ascii="Arial" w:cs="Arial" w:eastAsia="Arial" w:hAnsi="Arial"/>
          <w:i/>
          <w:iCs/>
          <w:color w:val="888888"/>
          <w:sz w:val="22"/>
          <w:szCs w:val="22"/>
        </w:rPr>
        <w:t xml:space="preserve">Sources: The Health Communication Unit (Feb 2026); JMIR Dermatology (2021); JMIR mHealth Dutch study n=1,420 (Jun 2023); National Academy of Medicine (Nov 2024)</w:t>
      </w:r>
    </w:p>
    <w:p>
      <w:pPr>
        <w:spacing w:after="80" w:before="0"/>
      </w:pPr>
    </w:p>
    <w:p>
      <w:pPr>
        <w:spacing w:after="120" w:before="400"/>
      </w:pPr>
      <w:r>
        <w:rPr>
          <w:rFonts w:ascii="Arial" w:cs="Arial" w:eastAsia="Arial" w:hAnsi="Arial"/>
          <w:b/>
          <w:bCs/>
          <w:color w:val="1A1A2E"/>
          <w:sz w:val="26"/>
          <w:szCs w:val="26"/>
        </w:rPr>
        <w:t xml:space="preserve">Part 4 — Eating Disorder Safety Standards</w:t>
      </w:r>
    </w:p>
    <w:p>
      <w:pPr>
        <w:spacing w:after="200" w:before="0"/>
      </w:pPr>
      <w:r>
        <w:rPr>
          <w:rFonts w:ascii="Arial" w:cs="Arial" w:eastAsia="Arial" w:hAnsi="Arial"/>
          <w:color w:val="4A4A6A"/>
          <w:sz w:val="24"/>
          <w:szCs w:val="24"/>
        </w:rPr>
        <w:t xml:space="preserve">Food and nutrition platforms have a specific responsibility to prevent content that could trigger or reinforce eating disorders. FuelSync's safety standards are aligned with Australia's National Eating Disorders Collaboration (NEDC) guidelines and the ED Safe principles from the National Eating Disorders Strategy 2023–33.</w:t>
      </w:r>
    </w:p>
    <w:p>
      <w:pPr>
        <w:spacing w:after="200" w:before="0"/>
      </w:pPr>
      <w:r>
        <w:rPr>
          <w:rFonts w:ascii="Arial" w:cs="Arial" w:eastAsia="Arial" w:hAnsi="Arial"/>
          <w:color w:val="4A4A6A"/>
          <w:sz w:val="24"/>
          <w:szCs w:val="24"/>
        </w:rPr>
        <w:t xml:space="preserve">FuelSync's eating disorder safety rules — applied to all user-generated content:</w:t>
      </w:r>
    </w:p>
    <w:p>
      <w:pPr>
        <w:pStyle w:val="ListParagraph"/>
        <w:numPr>
          <w:ilvl w:val="0"/>
          <w:numId w:val="2"/>
        </w:numPr>
        <w:spacing w:after="160" w:before="0"/>
      </w:pPr>
      <w:r>
        <w:rPr>
          <w:rFonts w:ascii="Arial" w:cs="Arial" w:eastAsia="Arial" w:hAnsi="Arial"/>
          <w:color w:val="4A4A6A"/>
          <w:sz w:val="24"/>
          <w:szCs w:val="24"/>
        </w:rPr>
        <w:t xml:space="preserve">No content specifying extreme calorie limits, detailed restriction techniques, or harmful weight goals</w:t>
      </w:r>
    </w:p>
    <w:p>
      <w:pPr>
        <w:pStyle w:val="ListParagraph"/>
        <w:numPr>
          <w:ilvl w:val="0"/>
          <w:numId w:val="2"/>
        </w:numPr>
        <w:spacing w:after="160" w:before="0"/>
      </w:pPr>
      <w:r>
        <w:rPr>
          <w:rFonts w:ascii="Arial" w:cs="Arial" w:eastAsia="Arial" w:hAnsi="Arial"/>
          <w:color w:val="4A4A6A"/>
          <w:sz w:val="24"/>
          <w:szCs w:val="24"/>
        </w:rPr>
        <w:t xml:space="preserve">No images with explicit 'body check' or 'thinspo' framing</w:t>
      </w:r>
    </w:p>
    <w:p>
      <w:pPr>
        <w:pStyle w:val="ListParagraph"/>
        <w:numPr>
          <w:ilvl w:val="0"/>
          <w:numId w:val="2"/>
        </w:numPr>
        <w:spacing w:after="160" w:before="0"/>
      </w:pPr>
      <w:r>
        <w:rPr>
          <w:rFonts w:ascii="Arial" w:cs="Arial" w:eastAsia="Arial" w:hAnsi="Arial"/>
          <w:color w:val="4A4A6A"/>
          <w:sz w:val="24"/>
          <w:szCs w:val="24"/>
        </w:rPr>
        <w:t xml:space="preserve">No content portraying eating disorders as a lifestyle choice or weight loss method</w:t>
      </w:r>
    </w:p>
    <w:p>
      <w:pPr>
        <w:pStyle w:val="ListParagraph"/>
        <w:numPr>
          <w:ilvl w:val="0"/>
          <w:numId w:val="2"/>
        </w:numPr>
        <w:spacing w:after="160" w:before="0"/>
      </w:pPr>
      <w:r>
        <w:rPr>
          <w:rFonts w:ascii="Arial" w:cs="Arial" w:eastAsia="Arial" w:hAnsi="Arial"/>
          <w:color w:val="4A4A6A"/>
          <w:sz w:val="24"/>
          <w:szCs w:val="24"/>
        </w:rPr>
        <w:t xml:space="preserve">No before/after imagery that could serve as triggering comparison content</w:t>
      </w:r>
    </w:p>
    <w:p>
      <w:pPr>
        <w:pStyle w:val="ListParagraph"/>
        <w:numPr>
          <w:ilvl w:val="0"/>
          <w:numId w:val="2"/>
        </w:numPr>
        <w:spacing w:after="160" w:before="0"/>
      </w:pPr>
      <w:r>
        <w:rPr>
          <w:rFonts w:ascii="Arial" w:cs="Arial" w:eastAsia="Arial" w:hAnsi="Arial"/>
          <w:color w:val="4A4A6A"/>
          <w:sz w:val="24"/>
          <w:szCs w:val="24"/>
        </w:rPr>
        <w:t xml:space="preserve">Crisis resource links automatically included when users engage with high-risk terms</w:t>
      </w:r>
    </w:p>
    <w:p>
      <w:pPr>
        <w:pStyle w:val="ListParagraph"/>
        <w:numPr>
          <w:ilvl w:val="0"/>
          <w:numId w:val="2"/>
        </w:numPr>
        <w:spacing w:after="160" w:before="0"/>
      </w:pPr>
      <w:r>
        <w:rPr>
          <w:rFonts w:ascii="Arial" w:cs="Arial" w:eastAsia="Arial" w:hAnsi="Arial"/>
          <w:color w:val="4A4A6A"/>
          <w:sz w:val="24"/>
          <w:szCs w:val="24"/>
        </w:rPr>
        <w:t xml:space="preserve">Semantic detection for coded language variants — not just exact keyword matching</w:t>
      </w:r>
    </w:p>
    <w:p>
      <w:pPr>
        <w:spacing w:after="200" w:before="0"/>
      </w:pPr>
      <w:r>
        <w:rPr>
          <w:rFonts w:ascii="Arial" w:cs="Arial" w:eastAsia="Arial" w:hAnsi="Arial"/>
          <w:color w:val="4A4A6A"/>
          <w:sz w:val="24"/>
          <w:szCs w:val="24"/>
        </w:rPr>
        <w:t xml:space="preserve">UCL researchers developed the Diet-Nutrition Misinformation Risk Assessment Tool (Diet-MisRAT) in 2026 — the first tool to assess not just truth/false but risk level of nutrition content across four dimensions: inaccuracy, incompleteness, deceptiveness, and health harm. Calibrated by 60+ specialists in dietetics and public health, this framework aligns with FuelSync's risk-tiering approach to content moderation.</w:t>
      </w:r>
    </w:p>
    <w:p>
      <w:pPr>
        <w:spacing w:after="200" w:before="0"/>
      </w:pPr>
      <w:r>
        <w:rPr>
          <w:rFonts w:ascii="Arial" w:cs="Arial" w:eastAsia="Arial" w:hAnsi="Arial"/>
          <w:color w:val="4A4A6A"/>
          <w:sz w:val="24"/>
          <w:szCs w:val="24"/>
        </w:rPr>
        <w:t xml:space="preserve">The safe messaging principle that underpins all of FuelSync's content decisions is borrowed from the Mindframe/NEDC guidelines: never portray restriction or food avoidance as aspirational; always frame food as fuel, pleasure, and connection rather than as a behaviour to be controlled or punished.</w:t>
      </w:r>
    </w:p>
    <w:p>
      <w:pPr>
        <w:spacing w:after="200" w:before="0"/>
      </w:pPr>
      <w:r>
        <w:rPr>
          <w:rFonts w:ascii="Arial" w:cs="Arial" w:eastAsia="Arial" w:hAnsi="Arial"/>
          <w:i/>
          <w:iCs/>
          <w:color w:val="888888"/>
          <w:sz w:val="22"/>
          <w:szCs w:val="22"/>
        </w:rPr>
        <w:t xml:space="preserve">Sources: NEDC ED Safe Principles (Oct 2025); Mindframe Media Safe Messaging Guidelines (2021 updated); UCL Diet-MisRAT (Scientific Reports, Mar 2026)</w:t>
      </w:r>
    </w:p>
    <w:p>
      <w:pPr>
        <w:spacing w:after="80" w:before="0"/>
      </w:pPr>
    </w:p>
    <w:p>
      <w:pPr>
        <w:spacing w:after="120" w:before="400"/>
      </w:pPr>
      <w:r>
        <w:rPr>
          <w:rFonts w:ascii="Arial" w:cs="Arial" w:eastAsia="Arial" w:hAnsi="Arial"/>
          <w:b/>
          <w:bCs/>
          <w:color w:val="1A1A2E"/>
          <w:sz w:val="26"/>
          <w:szCs w:val="26"/>
        </w:rPr>
        <w:t xml:space="preserve">Part 5 — Trust, Safety, and Retention</w:t>
      </w:r>
    </w:p>
    <w:p>
      <w:pPr>
        <w:spacing w:after="200" w:before="0"/>
      </w:pPr>
      <w:r>
        <w:rPr>
          <w:rFonts w:ascii="Arial" w:cs="Arial" w:eastAsia="Arial" w:hAnsi="Arial"/>
          <w:color w:val="4A4A6A"/>
          <w:sz w:val="24"/>
          <w:szCs w:val="24"/>
        </w:rPr>
        <w:t xml:space="preserve">The research on platform trust is unambiguous: moderated community features drive retention, while unmoderated or poorly moderated communities destroy it.</w:t>
      </w:r>
    </w:p>
    <w:p>
      <w:pPr>
        <w:pStyle w:val="ListParagraph"/>
        <w:numPr>
          <w:ilvl w:val="0"/>
          <w:numId w:val="2"/>
        </w:numPr>
        <w:spacing w:after="160" w:before="0"/>
      </w:pPr>
      <w:r>
        <w:rPr>
          <w:rFonts w:ascii="Arial" w:cs="Arial" w:eastAsia="Arial" w:hAnsi="Arial"/>
          <w:color w:val="4A4A6A"/>
          <w:sz w:val="24"/>
          <w:szCs w:val="24"/>
        </w:rPr>
        <w:t xml:space="preserve">Average health app retention drops below 25% after 30 days (Accelabrand, 2025). Platforms with clear moderation policies and transparent enforcement retain users significantly longer.</w:t>
      </w:r>
    </w:p>
    <w:p>
      <w:pPr>
        <w:pStyle w:val="ListParagraph"/>
        <w:numPr>
          <w:ilvl w:val="0"/>
          <w:numId w:val="2"/>
        </w:numPr>
        <w:spacing w:after="160" w:before="0"/>
      </w:pPr>
      <w:r>
        <w:rPr>
          <w:rFonts w:ascii="Arial" w:cs="Arial" w:eastAsia="Arial" w:hAnsi="Arial"/>
          <w:color w:val="4A4A6A"/>
          <w:sz w:val="24"/>
          <w:szCs w:val="24"/>
        </w:rPr>
        <w:t xml:space="preserve">41% of US adults have experienced online harassment, but this rate drops significantly in moderated environments (Pew Research via FusionCX, 2024).</w:t>
      </w:r>
    </w:p>
    <w:p>
      <w:pPr>
        <w:pStyle w:val="ListParagraph"/>
        <w:numPr>
          <w:ilvl w:val="0"/>
          <w:numId w:val="2"/>
        </w:numPr>
        <w:spacing w:after="160" w:before="0"/>
      </w:pPr>
      <w:r>
        <w:rPr>
          <w:rFonts w:ascii="Arial" w:cs="Arial" w:eastAsia="Arial" w:hAnsi="Arial"/>
          <w:color w:val="4A4A6A"/>
          <w:sz w:val="24"/>
          <w:szCs w:val="24"/>
        </w:rPr>
        <w:t xml:space="preserve">A JMIR review of 62 mHealth studies (Amagai et al., 2022) found that peer support — in-app support from peers or coaches — is one of the most reliable factors in health app retention. Community works. It just has to be safe.</w:t>
      </w:r>
    </w:p>
    <w:p>
      <w:pPr>
        <w:pStyle w:val="ListParagraph"/>
        <w:numPr>
          <w:ilvl w:val="0"/>
          <w:numId w:val="2"/>
        </w:numPr>
        <w:spacing w:after="160" w:before="0"/>
      </w:pPr>
      <w:r>
        <w:rPr>
          <w:rFonts w:ascii="Arial" w:cs="Arial" w:eastAsia="Arial" w:hAnsi="Arial"/>
          <w:color w:val="4A4A6A"/>
          <w:sz w:val="24"/>
          <w:szCs w:val="24"/>
        </w:rPr>
        <w:t xml:space="preserve">86.3% of European health app users support government or independent review/rating of health apps (JMIR mHealth, April 2026), indicating that users actively value safety oversight rather than resenting it.</w:t>
      </w:r>
    </w:p>
    <w:p>
      <w:pPr>
        <w:spacing w:after="200" w:before="0"/>
      </w:pPr>
      <w:r>
        <w:rPr>
          <w:rFonts w:ascii="Arial" w:cs="Arial" w:eastAsia="Arial" w:hAnsi="Arial"/>
          <w:color w:val="4A4A6A"/>
          <w:sz w:val="24"/>
          <w:szCs w:val="24"/>
        </w:rPr>
        <w:t xml:space="preserve">FuelSync's moderation transparency commitments — published community guidelines, visible enforcement statistics, clear appeals process — are designed to build the kind of institutional trust that converts first-time users into long-term community members.</w:t>
      </w:r>
    </w:p>
    <w:p>
      <w:pPr>
        <w:pBdr>
          <w:left w:val="single" w:color="7B5FFF" w:sz="16" w:space="20"/>
        </w:pBdr>
        <w:spacing w:after="320" w:before="320"/>
        <w:ind w:left="720"/>
      </w:pPr>
      <w:r>
        <w:rPr>
          <w:rFonts w:ascii="Arial" w:cs="Arial" w:eastAsia="Arial" w:hAnsi="Arial"/>
          <w:b/>
          <w:bCs/>
          <w:i/>
          <w:iCs/>
          <w:color w:val="7B5FFF"/>
          <w:sz w:val="26"/>
          <w:szCs w:val="26"/>
        </w:rPr>
        <w:t xml:space="preserve">Users want to know both what is removed and why. Transparency about moderation is a direct trust builder — not just a legal requirement.</w:t>
      </w:r>
    </w:p>
    <w:p>
      <w:pPr>
        <w:spacing w:after="200" w:before="0"/>
      </w:pPr>
      <w:r>
        <w:rPr>
          <w:rFonts w:ascii="Arial" w:cs="Arial" w:eastAsia="Arial" w:hAnsi="Arial"/>
          <w:i/>
          <w:iCs/>
          <w:color w:val="888888"/>
          <w:sz w:val="22"/>
          <w:szCs w:val="22"/>
        </w:rPr>
        <w:t xml:space="preserve">Sources: Accelabrand (Nov 2025); FusionCX (Dec 2024); Amagai et al. (2022), PMC9092233; JMIR mHealth (Apr 2026)</w:t>
      </w:r>
    </w:p>
    <w:p>
      <w:pPr>
        <w:spacing w:after="80" w:before="0"/>
      </w:pPr>
    </w:p>
    <w:p>
      <w:pPr>
        <w:spacing w:after="120" w:before="400"/>
      </w:pPr>
      <w:r>
        <w:rPr>
          <w:rFonts w:ascii="Arial" w:cs="Arial" w:eastAsia="Arial" w:hAnsi="Arial"/>
          <w:b/>
          <w:bCs/>
          <w:color w:val="1A1A2E"/>
          <w:sz w:val="26"/>
          <w:szCs w:val="26"/>
        </w:rPr>
        <w:t xml:space="preserve">Part 6 — The Nutrition Misinformation Problem</w:t>
      </w:r>
    </w:p>
    <w:p>
      <w:pPr>
        <w:spacing w:after="200" w:before="0"/>
      </w:pPr>
      <w:r>
        <w:rPr>
          <w:rFonts w:ascii="Arial" w:cs="Arial" w:eastAsia="Arial" w:hAnsi="Arial"/>
          <w:color w:val="4A4A6A"/>
          <w:sz w:val="24"/>
          <w:szCs w:val="24"/>
        </w:rPr>
        <w:t xml:space="preserve">FuelSync operates in a market with a documented misinformation crisis. An Academy of Nutrition and Dietetics survey (January 2026) found that 80% of Americans say it is difficult to distinguish nutrition fact from fiction online. 56% rely primarily on their own online research for nutrition decisions. 46% act on advice from social media influencers. One in three has used ChatGPT or an AI tool to generate weight-loss plans without consulting a health professional.</w:t>
      </w:r>
    </w:p>
    <w:p>
      <w:pPr>
        <w:spacing w:after="200" w:before="0"/>
      </w:pPr>
      <w:r>
        <w:rPr>
          <w:rFonts w:ascii="Arial" w:cs="Arial" w:eastAsia="Arial" w:hAnsi="Arial"/>
          <w:color w:val="4A4A6A"/>
          <w:sz w:val="24"/>
          <w:szCs w:val="24"/>
        </w:rPr>
        <w:t xml:space="preserve">UCL research identified 53 social media 'super-spreader' accounts with the potential to put up to 24 million people at risk of serious health consequences through nutrition misinformation. The problem is not fringe — it is mainstream.</w:t>
      </w:r>
    </w:p>
    <w:p>
      <w:pPr>
        <w:spacing w:after="200" w:before="0"/>
      </w:pPr>
      <w:r>
        <w:rPr>
          <w:rFonts w:ascii="Arial" w:cs="Arial" w:eastAsia="Arial" w:hAnsi="Arial"/>
          <w:color w:val="4A4A6A"/>
          <w:sz w:val="24"/>
          <w:szCs w:val="24"/>
        </w:rPr>
        <w:t xml:space="preserve">FuelSync's community meal cards are not a vector for this problem. They are a structured, moderated alternative to it. Every card is subject to the four-layer moderation pipeline. Every card includes verifiable information — actual ingredients, actual preparation method, actual local grocery prices. The platform is designed around specific, concrete meals rather than generalised dietary advice — which dramatically reduces the surface area for dangerous misinformation.</w:t>
      </w:r>
    </w:p>
    <w:p>
      <w:pPr>
        <w:spacing w:after="200" w:before="0"/>
      </w:pPr>
      <w:r>
        <w:rPr>
          <w:rFonts w:ascii="Arial" w:cs="Arial" w:eastAsia="Arial" w:hAnsi="Arial"/>
          <w:i/>
          <w:iCs/>
          <w:color w:val="888888"/>
          <w:sz w:val="22"/>
          <w:szCs w:val="22"/>
        </w:rPr>
        <w:t xml:space="preserve">Source: Academy of Nutrition and Dietetics (Jan 2026); UCL Diet-MisRAT research (Mar 2026)</w:t>
      </w:r>
    </w:p>
    <w:p>
      <w:pPr>
        <w:spacing w:after="240" w:before="0"/>
      </w:pPr>
    </w:p>
    <w:p>
      <w:pPr>
        <w:spacing w:after="120" w:before="400"/>
      </w:pPr>
      <w:r>
        <w:rPr>
          <w:rFonts w:ascii="Arial" w:cs="Arial" w:eastAsia="Arial" w:hAnsi="Arial"/>
          <w:b/>
          <w:bCs/>
          <w:color w:val="1A1A2E"/>
          <w:sz w:val="26"/>
          <w:szCs w:val="26"/>
        </w:rPr>
        <w:t xml:space="preserve">References</w:t>
      </w:r>
    </w:p>
    <w:p>
      <w:pPr>
        <w:spacing w:after="200" w:before="0"/>
      </w:pPr>
      <w:r>
        <w:rPr>
          <w:rFonts w:ascii="Arial" w:cs="Arial" w:eastAsia="Arial" w:hAnsi="Arial"/>
          <w:color w:val="4A4A6A"/>
          <w:sz w:val="24"/>
          <w:szCs w:val="24"/>
        </w:rPr>
        <w:t xml:space="preserve">Lerman et al. (2025). Safe Spaces or Toxic Places? Content Moderation and Social Dynamics in Eating Disorder Communities. PMC/EPJ Data Science.</w:t>
      </w:r>
    </w:p>
    <w:p>
      <w:pPr>
        <w:spacing w:after="200" w:before="0"/>
      </w:pPr>
      <w:r>
        <w:rPr>
          <w:rFonts w:ascii="Arial" w:cs="Arial" w:eastAsia="Arial" w:hAnsi="Arial"/>
          <w:color w:val="4A4A6A"/>
          <w:sz w:val="24"/>
          <w:szCs w:val="24"/>
        </w:rPr>
        <w:t xml:space="preserve">https://pmc.ncbi.nlm.nih.gov/articles/PMC12296748/</w:t>
      </w:r>
    </w:p>
    <w:p>
      <w:pPr>
        <w:spacing w:after="80" w:before="0"/>
      </w:pPr>
    </w:p>
    <w:p>
      <w:pPr>
        <w:spacing w:after="200" w:before="0"/>
      </w:pPr>
      <w:r>
        <w:rPr>
          <w:rFonts w:ascii="Arial" w:cs="Arial" w:eastAsia="Arial" w:hAnsi="Arial"/>
          <w:color w:val="4A4A6A"/>
          <w:sz w:val="24"/>
          <w:szCs w:val="24"/>
        </w:rPr>
        <w:t xml:space="preserve">Conectys. (2025). How AI is Transforming Social Media Content Moderation.</w:t>
      </w:r>
    </w:p>
    <w:p>
      <w:pPr>
        <w:spacing w:after="200" w:before="0"/>
      </w:pPr>
      <w:r>
        <w:rPr>
          <w:rFonts w:ascii="Arial" w:cs="Arial" w:eastAsia="Arial" w:hAnsi="Arial"/>
          <w:color w:val="4A4A6A"/>
          <w:sz w:val="24"/>
          <w:szCs w:val="24"/>
        </w:rPr>
        <w:t xml:space="preserve">https://www.conectys.com/blog/posts/how-ai-is-transforming-social-media-content-moderation-the-future-of-platform-safety/</w:t>
      </w:r>
    </w:p>
    <w:p>
      <w:pPr>
        <w:spacing w:after="80" w:before="0"/>
      </w:pPr>
    </w:p>
    <w:p>
      <w:pPr>
        <w:spacing w:after="200" w:before="0"/>
      </w:pPr>
      <w:r>
        <w:rPr>
          <w:rFonts w:ascii="Arial" w:cs="Arial" w:eastAsia="Arial" w:hAnsi="Arial"/>
          <w:color w:val="4A4A6A"/>
          <w:sz w:val="24"/>
          <w:szCs w:val="24"/>
        </w:rPr>
        <w:t xml:space="preserve">Telus International. (2024). The Future of Content Moderation: Strategies for 2024 and Beyond.</w:t>
      </w:r>
    </w:p>
    <w:p>
      <w:pPr>
        <w:spacing w:after="200" w:before="0"/>
      </w:pPr>
      <w:r>
        <w:rPr>
          <w:rFonts w:ascii="Arial" w:cs="Arial" w:eastAsia="Arial" w:hAnsi="Arial"/>
          <w:color w:val="4A4A6A"/>
          <w:sz w:val="24"/>
          <w:szCs w:val="24"/>
        </w:rPr>
        <w:t xml:space="preserve">https://assets.ctfassets.net/3viuren4us1n/6X6gFzMGsnbw6ig07JrC5l/a8ad62e575c70c502f0a07dc8a485032/The-future-of-content-moderation-strategies-for-2024-and-beyond.pdf</w:t>
      </w:r>
    </w:p>
    <w:p>
      <w:pPr>
        <w:spacing w:after="80" w:before="0"/>
      </w:pPr>
    </w:p>
    <w:p>
      <w:pPr>
        <w:spacing w:after="200" w:before="0"/>
      </w:pPr>
      <w:r>
        <w:rPr>
          <w:rFonts w:ascii="Arial" w:cs="Arial" w:eastAsia="Arial" w:hAnsi="Arial"/>
          <w:color w:val="4A4A6A"/>
          <w:sz w:val="24"/>
          <w:szCs w:val="24"/>
        </w:rPr>
        <w:t xml:space="preserve">NEDC. (2025). Eating Disorder Safe (ED Safe) Principles — National Eating Disorders Strategy 2023–33.</w:t>
      </w:r>
    </w:p>
    <w:p>
      <w:pPr>
        <w:spacing w:after="200" w:before="0"/>
      </w:pPr>
      <w:r>
        <w:rPr>
          <w:rFonts w:ascii="Arial" w:cs="Arial" w:eastAsia="Arial" w:hAnsi="Arial"/>
          <w:color w:val="4A4A6A"/>
          <w:sz w:val="24"/>
          <w:szCs w:val="24"/>
        </w:rPr>
        <w:t xml:space="preserve">https://nedc.com.au/eating-disorder-resources/ed-safe</w:t>
      </w:r>
    </w:p>
    <w:p>
      <w:pPr>
        <w:spacing w:after="80" w:before="0"/>
      </w:pPr>
    </w:p>
    <w:p>
      <w:pPr>
        <w:spacing w:after="200" w:before="0"/>
      </w:pPr>
      <w:r>
        <w:rPr>
          <w:rFonts w:ascii="Arial" w:cs="Arial" w:eastAsia="Arial" w:hAnsi="Arial"/>
          <w:color w:val="4A4A6A"/>
          <w:sz w:val="24"/>
          <w:szCs w:val="24"/>
        </w:rPr>
        <w:t xml:space="preserve">UCL. (2026). Diet-Nutrition Misinformation Risk Assessment Tool (Diet-MisRAT). Scientific Reports.</w:t>
      </w:r>
    </w:p>
    <w:p>
      <w:pPr>
        <w:spacing w:after="200" w:before="0"/>
      </w:pPr>
      <w:r>
        <w:rPr>
          <w:rFonts w:ascii="Arial" w:cs="Arial" w:eastAsia="Arial" w:hAnsi="Arial"/>
          <w:color w:val="4A4A6A"/>
          <w:sz w:val="24"/>
          <w:szCs w:val="24"/>
        </w:rPr>
        <w:t xml:space="preserve">https://www.ucl.ac.uk/news/2026/mar/new-tool-spots-and-evaluates-nutrition-misinformations-potential-harm</w:t>
      </w:r>
    </w:p>
    <w:p>
      <w:pPr>
        <w:spacing w:after="80" w:before="0"/>
      </w:pPr>
    </w:p>
    <w:p>
      <w:pPr>
        <w:spacing w:after="200" w:before="0"/>
      </w:pPr>
      <w:r>
        <w:rPr>
          <w:rFonts w:ascii="Arial" w:cs="Arial" w:eastAsia="Arial" w:hAnsi="Arial"/>
          <w:color w:val="4A4A6A"/>
          <w:sz w:val="24"/>
          <w:szCs w:val="24"/>
        </w:rPr>
        <w:t xml:space="preserve">Amagai, S., et al. (2022). Challenges in Participant Engagement and Retention Using Mobile Health Apps. PMC.</w:t>
      </w:r>
    </w:p>
    <w:p>
      <w:pPr>
        <w:spacing w:after="200" w:before="0"/>
      </w:pPr>
      <w:r>
        <w:rPr>
          <w:rFonts w:ascii="Arial" w:cs="Arial" w:eastAsia="Arial" w:hAnsi="Arial"/>
          <w:color w:val="4A4A6A"/>
          <w:sz w:val="24"/>
          <w:szCs w:val="24"/>
        </w:rPr>
        <w:t xml:space="preserve">https://pmc.ncbi.nlm.nih.gov/articles/PMC9092233/</w:t>
      </w:r>
    </w:p>
    <w:p>
      <w:pPr>
        <w:spacing w:after="80" w:before="0"/>
      </w:pPr>
    </w:p>
    <w:p>
      <w:pPr>
        <w:spacing w:after="200" w:before="0"/>
      </w:pPr>
      <w:r>
        <w:rPr>
          <w:rFonts w:ascii="Arial" w:cs="Arial" w:eastAsia="Arial" w:hAnsi="Arial"/>
          <w:color w:val="4A4A6A"/>
          <w:sz w:val="24"/>
          <w:szCs w:val="24"/>
        </w:rPr>
        <w:t xml:space="preserve">Academy of Nutrition and Dietetics. (2026). New Survey Signals National Nutrition Crisis.</w:t>
      </w:r>
    </w:p>
    <w:p>
      <w:pPr>
        <w:spacing w:after="200" w:before="0"/>
      </w:pPr>
      <w:r>
        <w:rPr>
          <w:rFonts w:ascii="Arial" w:cs="Arial" w:eastAsia="Arial" w:hAnsi="Arial"/>
          <w:color w:val="4A4A6A"/>
          <w:sz w:val="24"/>
          <w:szCs w:val="24"/>
        </w:rPr>
        <w:t xml:space="preserve">https://www.eatrightpro.org/about-us/for-media/press-releases/new-survey-signals-national-nutrition-crisis-as-misinformation-outpaces-evidence-based-care</w:t>
      </w:r>
    </w:p>
    <w:p>
      <w:pPr>
        <w:spacing w:after="80" w:before="0"/>
      </w:pPr>
    </w:p>
    <w:p>
      <w:pPr>
        <w:spacing w:after="200" w:before="0"/>
      </w:pPr>
      <w:r>
        <w:rPr>
          <w:rFonts w:ascii="Arial" w:cs="Arial" w:eastAsia="Arial" w:hAnsi="Arial"/>
          <w:color w:val="4A4A6A"/>
          <w:sz w:val="24"/>
          <w:szCs w:val="24"/>
        </w:rPr>
        <w:t xml:space="preserve">JMIR mHealth. (2026). Trust and Use of Recommendations for Health Apps Among European Residents.</w:t>
      </w:r>
    </w:p>
    <w:p>
      <w:pPr>
        <w:spacing w:after="200" w:before="0"/>
      </w:pPr>
      <w:r>
        <w:rPr>
          <w:rFonts w:ascii="Arial" w:cs="Arial" w:eastAsia="Arial" w:hAnsi="Arial"/>
          <w:color w:val="4A4A6A"/>
          <w:sz w:val="24"/>
          <w:szCs w:val="24"/>
        </w:rPr>
        <w:t xml:space="preserve">https://mhealth.jmir.org/2026/1/e64468</w:t>
      </w:r>
    </w:p>
    <w:p>
      <w:pPr>
        <w:spacing w:after="480" w:before="0"/>
      </w:pPr>
    </w:p>
    <w:p>
      <w:pPr>
        <w:spacing w:after="0" w:before="0"/>
      </w:pPr>
      <w:r>
        <w:rPr>
          <w:rFonts w:ascii="Arial" w:cs="Arial" w:eastAsia="Arial" w:hAnsi="Arial"/>
          <w:color w:val="AAAAAA"/>
          <w:sz w:val="18"/>
          <w:szCs w:val="18"/>
        </w:rPr>
        <w:t xml:space="preserve">FuelSync  |  Brisbane, Australia  |  Document 09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2026-04-16T12:41:18.737Z</dcterms:created>
  <dcterms:modified xsi:type="dcterms:W3CDTF">2026-04-16T12:41:18.739Z</dcterms:modified>
</cp:coreProperties>
</file>

<file path=docProps/custom.xml><?xml version="1.0" encoding="utf-8"?>
<Properties xmlns="http://schemas.openxmlformats.org/officeDocument/2006/custom-properties" xmlns:vt="http://schemas.openxmlformats.org/officeDocument/2006/docPropsVTypes"/>
</file>