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color w:val="7B5FFF"/>
          <w:spacing w:val="60"/>
          <w:sz w:val="18"/>
          <w:szCs w:val="18"/>
        </w:rPr>
        <w:t xml:space="preserve">FUELSYNC — DOCUMENT 03</w:t>
      </w:r>
    </w:p>
    <w:p>
      <w:pPr>
        <w:pBdr>
          <w:bottom w:val="single" w:color="7B5FFF" w:sz="6" w:space="1"/>
        </w:pBdr>
        <w:spacing w:after="240" w:before="0"/>
      </w:pPr>
    </w:p>
    <w:p>
      <w:pPr>
        <w:spacing w:after="80" w:before="0"/>
      </w:pPr>
    </w:p>
    <w:p>
      <w:pPr>
        <w:spacing w:after="160" w:before="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Market Opportunity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addressable market, the immediate segments FuelSync enters first, the Australian-specific data that validates the opportunity, and the expansion pathway that makes this a platform play rather than a single-product startup.</w:t>
      </w:r>
    </w:p>
    <w:p>
      <w:pPr>
        <w:spacing w:after="24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1 — The Australian Market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Australian diet and nutrition app market is a fast-growing, underserved segment within the broader digital health landscape. Two independent research houses quantify the 2024 market size differently, but both agree on the trajectory: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2024 value (USD)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2024 value (AUD est.)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Projected CAGR</w:t>
            </w:r>
          </w:p>
        </w:tc>
      </w:tr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Grand View Research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USD 43.6M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AUD ~63M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15.1% (2025–2030)</w:t>
            </w:r>
          </w:p>
        </w:tc>
      </w:tr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Data Bridge Market Research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USD 128.84M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AUD ~187M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41.26% (2025–2032)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Sources: Grand View Research Australia Diet &amp; Nutrition Apps Outlook 2024; Data Bridge Market Research Australia Diet and Nutrition Apps Market 2032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Both projections indicate a market growing at double-digit compound annual rates through the late 2020s. The range between estimates reflects different definitions of the category — Grand View focuses narrowly on diet and nutrition apps while Data Bridge includes broader wellness functionality. FuelSync's product sits across both definitions.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broader digital health context reinforces the opportunity. A 2025 Healthylife/Woolworths Living Healthy Report found that more than half of Australians already use digital tools for health tracking, including food intake, steps, and sleep. This indicates a population already habituated to digital health engagement — FuelSync's challenge is not to create the behaviour, but to capture users currently underserved by existing products.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Source: Healthylife/Woolworths Living Healthy Report 2025, ami.org.au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2 — Active Users &amp; Competitor Presence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Sensor Tower's quarterly analysis of Australia's top food and diet tracking apps provides the most granular public data on active user behaviour in this market: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App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Weekly active users (Q1 2024)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Weekly active users (Q2 2024)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MyFitnessPal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279,000–367,000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295,000–320,000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Evolt Active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14,000–15,000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18,600–20,000+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YAZIO Calorie Counter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~9,800–10,500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~9,800–10,500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Source: Sensor Tower Q1 2024 and Q2 2024 Top Food &amp; Diet Tracking Apps — Australia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MyFitnessPal's dominance — approximately 300,000 weekly active Australian users — represents both the scale of the opportunity and the size of the incumbent to displace. Critically, MyFitnessPal's 70%+ abandonment rate within 100 days means the market is continuously cycling through users who tried calorie tracking and gave up. These are FuelSync's primary acquisition targets: people who already know they need help, have tried the dominant solution, and left.</w:t>
      </w:r>
    </w:p>
    <w:p>
      <w:pPr>
        <w:pBdr>
          <w:left w:val="single" w:color="7B5FFF" w:sz="16" w:space="20"/>
        </w:pBdr>
        <w:spacing w:after="320" w:before="320"/>
        <w:ind w:left="720"/>
      </w:pPr>
      <w:r>
        <w:rPr>
          <w:rFonts w:ascii="Arial" w:cs="Arial" w:eastAsia="Arial" w:hAnsi="Arial"/>
          <w:b/>
          <w:bCs/>
          <w:i/>
          <w:iCs/>
          <w:color w:val="7B5FFF"/>
          <w:sz w:val="26"/>
          <w:szCs w:val="26"/>
        </w:rPr>
        <w:t xml:space="preserve">The best FuelSync user is someone who downloaded MyFitnessPal, used it for a month, felt guilty, deleted it, and has been searching for something different ever since.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3 — Primary Market Segment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primary market is Australians who want to lose weight or eat healthier but have failed to sustain any approach for longer than a few months. This is not a niche. It is the majority of people who have ever downloaded a health app.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scale of this segment in Australia is significant: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Approximately 63% of Australian adults are classified as overweight or obese, representing over 12 million people actively experiencing the core problem FuelSync addresses (Australian Institute of Health and Welfare).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MyFitnessPal's 300,000+ weekly active Australian users represent only the people currently using a calorie tracker — not the much larger population who have tried and quit, or who have never started because existing products do not appeal to them.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own primary survey research found that 75% of targeted respondents struggle with food decisions almost every day or a few times a week — and 91.7% have never found their one reliable go-to meal.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immediate Brisbane launch market — population approximately 2.5 million, growing faster than any other Australian capital — provides a precision test environment before national expansion. Brisbane's demographic profile (young, health-conscious, cost-aware) and its cultural diversity (Pacific Island, Southeast Asian, and multicultural communities under-represented by existing apps) make it an ideal first market.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4 — Secondary Market: FuelSync Neuro &amp; NDIS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neurodivergent market represents FuelSync's most defensible revenue opportunity and its most underserved user population. For autistic individuals and their families, finding safe, predictable food is not a preference question — it is a daily necessity shaped by sensory sensitivities, texture aversions, restricted food repertoires, and the significant stress that comes when safe foods are unavailable.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No existing nutrition app addresses this population. The market is entirely uncontested.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scale of the opportunity in Australia: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Approximately 1 in 40 Australians has been diagnosed with autism spectrum disorder — around 650,000 people nationally, with the number growing as diagnostic access improves.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National Disability Insurance Scheme currently supports over 814,000 participants nationally, with total annual funding exceeding AUD $35 billion.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NDIS participants receive individualised funding plans that can be allocated to registered supports — including digital tools that demonstrably improve daily living, independence, and quality of life.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As a registered NDIS support, FuelSync Neuro would enable participants to fund their subscription through their NDIS plan rather than out of pocket. This fundamentally changes the pricing dynamic: instead of competing on consumer willingness to pay, FuelSync Neuro competes on clinical and support value within a funded ecosystem.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Revenue projection for FuelSync Neuro at $79/month per participant: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Active NDIS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Monthly recurring revenue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Annual recurring revenue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$15,800/month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$189,600/year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500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$39,500/month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$474,000/year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2,000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$158,000/month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$1,896,000/year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NDIS pricing benchmark aligned with One Medical Health Australian subscription model ($79–$99/month for higher-touch health services)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5 — Pricing Context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pricing is calibrated to the existing Australian market while differentiating on value. Sensor Tower and consumer health app benchmarks establish the following pricing norms in Australia: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General consumer health and nutrition apps: AUD $10–25/month for premium tiers, or AUD $80–200/year for annual plans.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Higher-touch Australian health subscription services (telehealth, medical): AUD $79–99/month.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 Premium: approximately AUD $19.99/month in Australia.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 Premium at $14.99/month sits below the market leader on price while delivering a qualitatively different product. FuelSync Neuro at $79/month aligns with the higher-touch tier and is funded externally through NDIS plans, eliminating consumer price sensitivity for that segment entirely.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6 — The Expansion Pathway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market expansion follows a deliberate sequence, proving the core mechanic at each stage before extending it: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1 — Brisbane general population. Prove that users find their anchor meal and return. Build the behavioural dataset. Establish community flywheel.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2 — National Australian rollout. Expand grocery price integration to Sydney, Melbourne, Perth. Scale community content. Enter FuelSync Neuro with NDIS registration.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3 — ADHD and neurodivergent expansion. Extend the Neuro architecture to ADHD food behaviour patterns. Deepen NDIS partnerships. Build dietitian collaboration tools.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4 — Performance and body composition market. Same platform, different goal state. Muscle gain, energy optimisation, sport-specific nutrition — served through the same behavioural intelligence engine.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5 — Chronic condition management. Diabetes, gut health, food intolerances. FuelSync's longitudinal behavioural dataset becomes clinically valuable. Partnerships with healthcare providers become viable.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Each stage compounds the platform's value. The data collected in Stage 1 improves recommendations in Stage 2. The community built in Stage 2 powers content in Stages 3 and 4. The behavioural intelligence refined across all stages becomes the foundation for clinical partnerships in Stage 5.</w:t>
      </w:r>
    </w:p>
    <w:p>
      <w:pPr>
        <w:spacing w:after="240" w:before="0"/>
      </w:pPr>
    </w:p>
    <w:p>
      <w:pPr>
        <w:pBdr>
          <w:top w:val="single" w:color="2EC4B6" w:sz="8" w:space="8"/>
        </w:pBdr>
        <w:spacing w:after="8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The market case in one paragraph</w:t>
      </w:r>
    </w:p>
    <w:p>
      <w:pPr>
        <w:spacing w:after="12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 enters an Australian diet and nutrition app market valued at AUD $63–200 million in 2024, growing at 15–41% annually, through the most credible entry point available — a founder who personally proved the thesis, targeting the 12+ million Australians who have tried and failed at conventional approaches. MyFitnessPal's 300,000 weekly active Australian users and documented 70% abandonment rate represent a continuously replenishing pool of frustrated users ready for something different. FuelSync Neuro immediately extends into the NDIS ecosystem — 814,000 participants, $35B in annual funding — accessing a revenue stream no competitor is positioned to capture. And it is built on an architecture that compounds across every new population it serves.</w:t>
      </w:r>
    </w:p>
    <w:p>
      <w:pPr>
        <w:spacing w:after="480" w:before="0"/>
      </w:pPr>
    </w:p>
    <w:p>
      <w:pPr>
        <w:spacing w:after="0" w:before="0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FuelSync  |  Brisbane, Australia  |  Document 03 of 10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2026-04-15T02:32:47.291Z</dcterms:created>
  <dcterms:modified xsi:type="dcterms:W3CDTF">2026-04-15T02:32:47.291Z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