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7B5FFF"/>
          <w:spacing w:val="60"/>
          <w:sz w:val="18"/>
          <w:szCs w:val="18"/>
        </w:rPr>
        <w:t xml:space="preserve">FUELSYNC — DOCUMENT 04</w:t>
      </w:r>
    </w:p>
    <w:p>
      <w:pPr>
        <w:pBdr>
          <w:bottom w:val="single" w:color="7B5FFF" w:sz="6" w:space="1"/>
        </w:pBdr>
        <w:spacing w:after="240" w:before="0"/>
      </w:pPr>
    </w:p>
    <w:p>
      <w:pPr>
        <w:spacing w:after="80" w:before="0"/>
      </w:pPr>
    </w:p>
    <w:p>
      <w:pPr>
        <w:spacing w:after="160" w:before="0"/>
      </w:pPr>
      <w:r>
        <w:rPr>
          <w:rFonts w:ascii="Arial" w:cs="Arial" w:eastAsia="Arial" w:hAnsi="Arial"/>
          <w:b/>
          <w:bCs/>
          <w:color w:val="1A1A2E"/>
          <w:sz w:val="36"/>
          <w:szCs w:val="36"/>
        </w:rPr>
        <w:t xml:space="preserve">Business Strategy</w:t>
      </w:r>
    </w:p>
    <w:p>
      <w:pPr>
        <w:spacing w:after="200" w:before="0"/>
      </w:pPr>
      <w:r>
        <w:rPr>
          <w:rFonts w:ascii="Arial" w:cs="Arial" w:eastAsia="Arial" w:hAnsi="Arial"/>
          <w:color w:val="4A4A6A"/>
          <w:sz w:val="24"/>
          <w:szCs w:val="24"/>
        </w:rPr>
        <w:t xml:space="preserve">The strategic case for FuelSync — market opportunity, competitive positioning, revenue model, phased execution plan, and the unfair advantages that make this the right product at the right time.</w:t>
      </w:r>
    </w:p>
    <w:p>
      <w:pPr>
        <w:spacing w:after="240" w:before="0"/>
      </w:pPr>
    </w:p>
    <w:p>
      <w:pPr>
        <w:spacing w:after="120" w:before="400"/>
      </w:pPr>
      <w:r>
        <w:rPr>
          <w:rFonts w:ascii="Arial" w:cs="Arial" w:eastAsia="Arial" w:hAnsi="Arial"/>
          <w:b/>
          <w:bCs/>
          <w:color w:val="1A1A2E"/>
          <w:sz w:val="26"/>
          <w:szCs w:val="26"/>
        </w:rPr>
        <w:t xml:space="preserve">Part 1 — Strategic Position</w:t>
      </w:r>
    </w:p>
    <w:p>
      <w:pPr>
        <w:spacing w:after="200" w:before="0"/>
      </w:pPr>
      <w:r>
        <w:rPr>
          <w:rFonts w:ascii="Arial" w:cs="Arial" w:eastAsia="Arial" w:hAnsi="Arial"/>
          <w:color w:val="4A4A6A"/>
          <w:sz w:val="24"/>
          <w:szCs w:val="24"/>
        </w:rPr>
        <w:t xml:space="preserve">FuelSync enters the Australian health and nutrition app market not as a better version of what already exists, but as a fundamentally different product category. Where every major competitor is built around tracking, restriction, and information delivery, FuelSync is built around behavioural intelligence, emotional attachment, and community discovery.</w:t>
      </w:r>
    </w:p>
    <w:p>
      <w:pPr>
        <w:spacing w:after="200" w:before="0"/>
      </w:pPr>
      <w:r>
        <w:rPr>
          <w:rFonts w:ascii="Arial" w:cs="Arial" w:eastAsia="Arial" w:hAnsi="Arial"/>
          <w:color w:val="4A4A6A"/>
          <w:sz w:val="24"/>
          <w:szCs w:val="24"/>
        </w:rPr>
        <w:t xml:space="preserve">This distinction is not aesthetic. It is structural. The existing market has a documented, severe retention problem — approximately 53% of health apps are uninstalled within 30 days (Riaz et al., 2022), and around 70% of lifestyle app users discontinue within 100 days (Kidman et al., 2024). The research is clear on why: shame-based design, poor personalisation, and the absence of emotional connection to the food itself. FuelSync is the first product designed explicitly around these failure mechanisms rather than despite them.</w:t>
      </w:r>
    </w:p>
    <w:p>
      <w:pPr>
        <w:pBdr>
          <w:left w:val="single" w:color="7B5FFF" w:sz="16" w:space="20"/>
        </w:pBdr>
        <w:spacing w:after="320" w:before="320"/>
        <w:ind w:left="720"/>
      </w:pPr>
      <w:r>
        <w:rPr>
          <w:rFonts w:ascii="Arial" w:cs="Arial" w:eastAsia="Arial" w:hAnsi="Arial"/>
          <w:b/>
          <w:bCs/>
          <w:i/>
          <w:iCs/>
          <w:color w:val="7B5FFF"/>
          <w:sz w:val="26"/>
          <w:szCs w:val="26"/>
        </w:rPr>
        <w:t xml:space="preserve">The market is not waiting for a better calorie tracker. It is waiting for the first product that understands why people quit.</w:t>
      </w:r>
    </w:p>
    <w:p>
      <w:pPr>
        <w:spacing w:after="80" w:before="0"/>
      </w:pPr>
    </w:p>
    <w:p>
      <w:pPr>
        <w:spacing w:after="120" w:before="400"/>
      </w:pPr>
      <w:r>
        <w:rPr>
          <w:rFonts w:ascii="Arial" w:cs="Arial" w:eastAsia="Arial" w:hAnsi="Arial"/>
          <w:b/>
          <w:bCs/>
          <w:color w:val="1A1A2E"/>
          <w:sz w:val="26"/>
          <w:szCs w:val="26"/>
        </w:rPr>
        <w:t xml:space="preserve">Part 2 — Market Opportunity</w:t>
      </w:r>
    </w:p>
    <w:p>
      <w:pPr>
        <w:spacing w:after="200" w:before="0"/>
      </w:pPr>
      <w:r>
        <w:rPr>
          <w:rFonts w:ascii="Arial" w:cs="Arial" w:eastAsia="Arial" w:hAnsi="Arial"/>
          <w:color w:val="4A4A6A"/>
          <w:sz w:val="24"/>
          <w:szCs w:val="24"/>
        </w:rPr>
        <w:t xml:space="preserve">The Australian diet and nutrition app market was valued between USD 43.6 million and USD 128.84 million in 2024 (Grand View Research; Data Bridge Market Research), representing approximately AUD 63–200 million at current exchange rates. Both research houses project strong double-digit compound annual growth through 2030–2032, driven by rising smartphone penetration, increasing health awareness, and growing consumer willingness to pay for digital wellness tools.</w:t>
      </w:r>
    </w:p>
    <w:p>
      <w:pPr>
        <w:spacing w:after="200" w:before="0"/>
      </w:pPr>
      <w:r>
        <w:rPr>
          <w:rFonts w:ascii="Arial" w:cs="Arial" w:eastAsia="Arial" w:hAnsi="Arial"/>
          <w:color w:val="4A4A6A"/>
          <w:sz w:val="24"/>
          <w:szCs w:val="24"/>
        </w:rPr>
        <w:t xml:space="preserve">More than half of Australians already use digital tools for health tracking, including food intake, steps, and sleep (Healthylife/Woolworths, 2025). MyFitnessPal alone had approximately 279,000–367,000 weekly active Australian users in Q1 2024 (Sensor Tower). The addressable user base — Australians actively seeking to improve their eating behaviour — is measured in the millions.</w:t>
      </w:r>
    </w:p>
    <w:p>
      <w:pPr>
        <w:spacing w:after="200" w:before="0"/>
      </w:pPr>
      <w:r>
        <w:rPr>
          <w:rFonts w:ascii="Arial" w:cs="Arial" w:eastAsia="Arial" w:hAnsi="Arial"/>
          <w:color w:val="4A4A6A"/>
          <w:sz w:val="24"/>
          <w:szCs w:val="24"/>
        </w:rPr>
        <w:t xml:space="preserve">FuelSync's pricing strategy is calibrated to the existing market while differentiating on value: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Tier</w:t>
            </w:r>
          </w:p>
        </w:tc>
        <w:tc>
          <w:tcPr>
            <w:tcW w:type="dxa" w:w="234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Price</w:t>
            </w:r>
          </w:p>
        </w:tc>
        <w:tc>
          <w:tcPr>
            <w:tcW w:type="dxa" w:w="234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Target</w:t>
            </w:r>
          </w:p>
        </w:tc>
        <w:tc>
          <w:tcPr>
            <w:tcW w:type="dxa" w:w="234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Key features</w:t>
            </w:r>
          </w:p>
        </w:tc>
      </w:tr>
      <w:tr>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Free</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$0/month</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General population</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Basic meal feed, community cards, limited AI suggestions</w:t>
            </w:r>
          </w:p>
        </w:tc>
      </w:tr>
      <w:tr>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Premium</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$14.99/month</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Active weight loss users</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Full AI matching, spiral breaker, emotional tracking, budget mechanic</w:t>
            </w:r>
          </w:p>
        </w:tc>
      </w:tr>
      <w:tr>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FuelSync Neuro</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$79/month</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NDIS participants</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Sensory profiling, safe-food tracking, dietitian integration, NDIS-funded</w:t>
            </w:r>
          </w:p>
        </w:tc>
      </w:tr>
      <w:tr>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Annual Premium</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$119.99/year</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Committed users</w:t>
            </w:r>
          </w:p>
        </w:tc>
        <w:tc>
          <w:tcPr>
            <w:tcW w:type="dxa" w:w="234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Full premium at ~$10/month equivalent — 33% saving</w:t>
            </w:r>
          </w:p>
        </w:tc>
      </w:tr>
    </w:tbl>
    <w:p>
      <w:pPr>
        <w:spacing w:after="240" w:before="0"/>
      </w:pPr>
    </w:p>
    <w:p>
      <w:pPr>
        <w:spacing w:after="200" w:before="0"/>
      </w:pPr>
      <w:r>
        <w:rPr>
          <w:rFonts w:ascii="Arial" w:cs="Arial" w:eastAsia="Arial" w:hAnsi="Arial"/>
          <w:i/>
          <w:iCs/>
          <w:color w:val="4A4A6A"/>
          <w:sz w:val="24"/>
          <w:szCs w:val="24"/>
        </w:rPr>
        <w:t xml:space="preserve">These price points are consistent with the Australian market benchmark of AUD $10–25/month for consumer health apps, while the Neuro tier aligns with the AUD $79–99/month range established by higher-touch Australian health subscription services.</w:t>
      </w:r>
    </w:p>
    <w:p>
      <w:pPr>
        <w:spacing w:after="80" w:before="0"/>
      </w:pPr>
    </w:p>
    <w:p>
      <w:pPr>
        <w:spacing w:after="120" w:before="400"/>
      </w:pPr>
      <w:r>
        <w:rPr>
          <w:rFonts w:ascii="Arial" w:cs="Arial" w:eastAsia="Arial" w:hAnsi="Arial"/>
          <w:b/>
          <w:bCs/>
          <w:color w:val="1A1A2E"/>
          <w:sz w:val="26"/>
          <w:szCs w:val="26"/>
        </w:rPr>
        <w:t xml:space="preserve">Part 3 — Revenue Model &amp; Projections</w:t>
      </w:r>
    </w:p>
    <w:p>
      <w:pPr>
        <w:spacing w:after="200" w:before="0"/>
      </w:pPr>
      <w:r>
        <w:rPr>
          <w:rFonts w:ascii="Arial" w:cs="Arial" w:eastAsia="Arial" w:hAnsi="Arial"/>
          <w:color w:val="4A4A6A"/>
          <w:sz w:val="24"/>
          <w:szCs w:val="24"/>
        </w:rPr>
        <w:t xml:space="preserve">FuelSync operates a freemium model with three distinct revenue streams, each compounding on the others as the platform grows.</w:t>
      </w:r>
    </w:p>
    <w:p>
      <w:pPr>
        <w:spacing w:after="200" w:before="0"/>
      </w:pPr>
      <w:r>
        <w:rPr>
          <w:rFonts w:ascii="Arial" w:cs="Arial" w:eastAsia="Arial" w:hAnsi="Arial"/>
          <w:color w:val="4A4A6A"/>
          <w:sz w:val="24"/>
          <w:szCs w:val="24"/>
        </w:rPr>
        <w:t xml:space="preserve">Stream 1 — Consumer subscriptions. The primary revenue stream from the general population market. At 500 premium subscribers at $14.99/month, monthly recurring revenue is $7,495. At 2,000 subscribers — a realistic 12-month target with strong community growth — MRR reaches $29,980, representing $359,760 annual recurring revenue.</w:t>
      </w:r>
    </w:p>
    <w:p>
      <w:pPr>
        <w:spacing w:after="200" w:before="0"/>
      </w:pPr>
      <w:r>
        <w:rPr>
          <w:rFonts w:ascii="Arial" w:cs="Arial" w:eastAsia="Arial" w:hAnsi="Arial"/>
          <w:color w:val="4A4A6A"/>
          <w:sz w:val="24"/>
          <w:szCs w:val="24"/>
        </w:rPr>
        <w:t xml:space="preserve">Stream 2 — NDIS-funded FuelSync Neuro subscriptions. The highest-value revenue stream and the most defensible. NDIS participants fund their subscription through their plan rather than out of pocket, eliminating price sensitivity. At 200 active NDIS participants at $79/month, annual recurring revenue from this segment alone is $189,600. At 500 participants — a medium-term target — ARR reaches $474,000.</w:t>
      </w:r>
    </w:p>
    <w:p>
      <w:pPr>
        <w:spacing w:after="200" w:before="0"/>
      </w:pPr>
      <w:r>
        <w:rPr>
          <w:rFonts w:ascii="Arial" w:cs="Arial" w:eastAsia="Arial" w:hAnsi="Arial"/>
          <w:color w:val="4A4A6A"/>
          <w:sz w:val="24"/>
          <w:szCs w:val="24"/>
        </w:rPr>
        <w:t xml:space="preserve">Stream 3 — Creator marketplace (Year 2+). Meal card creators earn revenue share on premium content. FuelSync takes a platform percentage. This stream activates once the community reaches sufficient scale to support a creator economy.</w:t>
      </w:r>
    </w:p>
    <w:p>
      <w:pPr>
        <w:spacing w:after="200" w:before="0"/>
      </w:pPr>
      <w:r>
        <w:rPr>
          <w:rFonts w:ascii="Arial" w:cs="Arial" w:eastAsia="Arial" w:hAnsi="Arial"/>
          <w:color w:val="4A4A6A"/>
          <w:sz w:val="24"/>
          <w:szCs w:val="24"/>
        </w:rPr>
        <w:t xml:space="preserve">Combined 12-month revenue target: $150,000–$250,000 ARR from consumer subscriptions and early NDIS participants, scaling to $500,000+ ARR in year two as the NDIS pathway matures and community flywheel accelerates.</w:t>
      </w:r>
    </w:p>
    <w:p>
      <w:pPr>
        <w:spacing w:after="80" w:before="0"/>
      </w:pPr>
    </w:p>
    <w:p>
      <w:pPr>
        <w:spacing w:after="120" w:before="400"/>
      </w:pPr>
      <w:r>
        <w:rPr>
          <w:rFonts w:ascii="Arial" w:cs="Arial" w:eastAsia="Arial" w:hAnsi="Arial"/>
          <w:b/>
          <w:bCs/>
          <w:color w:val="1A1A2E"/>
          <w:sz w:val="26"/>
          <w:szCs w:val="26"/>
        </w:rPr>
        <w:t xml:space="preserve">Part 4 — Competitive Positioning</w:t>
      </w:r>
    </w:p>
    <w:p>
      <w:pPr>
        <w:spacing w:after="200" w:before="0"/>
      </w:pPr>
      <w:r>
        <w:rPr>
          <w:rFonts w:ascii="Arial" w:cs="Arial" w:eastAsia="Arial" w:hAnsi="Arial"/>
          <w:color w:val="4A4A6A"/>
          <w:sz w:val="24"/>
          <w:szCs w:val="24"/>
        </w:rPr>
        <w:t xml:space="preserve">The Australian nutrition app landscape is dominated by a small number of large incumbents, all of which share the same fundamental design flaw: they treat food as data to be tracked rather than behaviour to be understood.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
            </w:r>
          </w:p>
        </w:tc>
        <w:tc>
          <w:tcPr>
            <w:tcW w:type="dxa" w:w="1872"/>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MyFitnessPal</w:t>
            </w:r>
          </w:p>
        </w:tc>
        <w:tc>
          <w:tcPr>
            <w:tcW w:type="dxa" w:w="1872"/>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Noom</w:t>
            </w:r>
          </w:p>
        </w:tc>
        <w:tc>
          <w:tcPr>
            <w:tcW w:type="dxa" w:w="1872"/>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Cronometer</w:t>
            </w:r>
          </w:p>
        </w:tc>
        <w:tc>
          <w:tcPr>
            <w:tcW w:type="dxa" w:w="1872"/>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FuelSync</w:t>
            </w:r>
          </w:p>
        </w:tc>
      </w:tr>
      <w:tr>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Core mechanic</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Calorie tracking</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Psychology + tracking</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Nutrient tracking</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Emotional attachment</w:t>
            </w:r>
          </w:p>
        </w:tc>
      </w:tr>
      <w:tr>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Retention design</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Shame-based</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Partially shame-free</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Data-focused</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Spiral breaker</w:t>
            </w:r>
          </w:p>
        </w:tc>
      </w:tr>
      <w:tr>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Personalisation</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Generic</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Generic coaching</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None</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Behavioural AI</w:t>
            </w:r>
          </w:p>
        </w:tc>
      </w:tr>
      <w:tr>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Community</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None</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Group chats</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None</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Community meal cards</w:t>
            </w:r>
          </w:p>
        </w:tc>
      </w:tr>
      <w:tr>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Neurodivergent mode</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Yes (NDIS)</w:t>
            </w:r>
          </w:p>
        </w:tc>
      </w:tr>
      <w:tr>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Budget mechanic</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Yes (local prices)</w:t>
            </w:r>
          </w:p>
        </w:tc>
      </w:tr>
      <w:tr>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Price AUD/month</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~$19.99</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~$70+</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~$10.99</w:t>
            </w:r>
          </w:p>
        </w:tc>
        <w:tc>
          <w:tcPr>
            <w:tcW w:type="dxa" w:w="1872"/>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$14.99 / $79 Neuro</w:t>
            </w:r>
          </w:p>
        </w:tc>
      </w:tr>
    </w:tbl>
    <w:p>
      <w:pPr>
        <w:spacing w:after="240" w:before="0"/>
      </w:pPr>
    </w:p>
    <w:p>
      <w:pPr>
        <w:spacing w:after="200" w:before="0"/>
      </w:pPr>
      <w:r>
        <w:rPr>
          <w:rFonts w:ascii="Arial" w:cs="Arial" w:eastAsia="Arial" w:hAnsi="Arial"/>
          <w:i/>
          <w:iCs/>
          <w:color w:val="4A4A6A"/>
          <w:sz w:val="24"/>
          <w:szCs w:val="24"/>
        </w:rPr>
        <w:t xml:space="preserve">The competitive moat is not a single feature — it is the combination. No competitor tracks emotional eating patterns. No competitor has a neurodivergent mode with an NDIS funding pathway. No competitor shows real local grocery prices on meal cards. And no competitor has built its architecture around the research finding that guilt, not lack of information, is the primary cause of dietary failure.</w:t>
      </w:r>
    </w:p>
    <w:p>
      <w:pPr>
        <w:spacing w:after="80" w:before="0"/>
      </w:pPr>
    </w:p>
    <w:p>
      <w:pPr>
        <w:spacing w:after="120" w:before="400"/>
      </w:pPr>
      <w:r>
        <w:rPr>
          <w:rFonts w:ascii="Arial" w:cs="Arial" w:eastAsia="Arial" w:hAnsi="Arial"/>
          <w:b/>
          <w:bCs/>
          <w:color w:val="1A1A2E"/>
          <w:sz w:val="26"/>
          <w:szCs w:val="26"/>
        </w:rPr>
        <w:t xml:space="preserve">Part 5 — Unfair Advantages</w:t>
      </w:r>
    </w:p>
    <w:p>
      <w:pPr>
        <w:pStyle w:val="ListParagraph"/>
        <w:numPr>
          <w:ilvl w:val="0"/>
          <w:numId w:val="2"/>
        </w:numPr>
        <w:spacing w:after="160" w:before="0"/>
      </w:pPr>
      <w:r>
        <w:rPr>
          <w:rFonts w:ascii="Arial" w:cs="Arial" w:eastAsia="Arial" w:hAnsi="Arial"/>
          <w:color w:val="4A4A6A"/>
          <w:sz w:val="24"/>
          <w:szCs w:val="24"/>
        </w:rPr>
        <w:t xml:space="preserve">Founder-market fit. The founder personally validated the core thesis — losing 30kg through a single anchor meal without calorie tracking or structured exercise. This is not a hypothetical product insight. It is lived evidence that the mechanism works.</w:t>
      </w:r>
    </w:p>
    <w:p>
      <w:pPr>
        <w:pStyle w:val="ListParagraph"/>
        <w:numPr>
          <w:ilvl w:val="0"/>
          <w:numId w:val="2"/>
        </w:numPr>
        <w:spacing w:after="160" w:before="0"/>
      </w:pPr>
      <w:r>
        <w:rPr>
          <w:rFonts w:ascii="Arial" w:cs="Arial" w:eastAsia="Arial" w:hAnsi="Arial"/>
          <w:color w:val="4A4A6A"/>
          <w:sz w:val="24"/>
          <w:szCs w:val="24"/>
        </w:rPr>
        <w:t xml:space="preserve">Agent-native architecture. FuelSync is built with agentic AI as the foundation, not bolted on as a feature. Incumbents like MyFitnessPal cannot replicate this without a full architectural rebuild — they are structurally constrained by legacy calorie-tracking databases and monolithic codebases.</w:t>
      </w:r>
    </w:p>
    <w:p>
      <w:pPr>
        <w:pStyle w:val="ListParagraph"/>
        <w:numPr>
          <w:ilvl w:val="0"/>
          <w:numId w:val="2"/>
        </w:numPr>
        <w:spacing w:after="160" w:before="0"/>
      </w:pPr>
      <w:r>
        <w:rPr>
          <w:rFonts w:ascii="Arial" w:cs="Arial" w:eastAsia="Arial" w:hAnsi="Arial"/>
          <w:color w:val="4A4A6A"/>
          <w:sz w:val="24"/>
          <w:szCs w:val="24"/>
        </w:rPr>
        <w:t xml:space="preserve">Neurodivergent market access. The NDIS pathway gives FuelSync access to a funded revenue stream that no competitor is positioned to capture. This requires product design decisions (sensory profiling, safe-food tracking, dietitian integration) that cannot be added retroactively to a calorie tracker.</w:t>
      </w:r>
    </w:p>
    <w:p>
      <w:pPr>
        <w:pStyle w:val="ListParagraph"/>
        <w:numPr>
          <w:ilvl w:val="0"/>
          <w:numId w:val="2"/>
        </w:numPr>
        <w:spacing w:after="160" w:before="0"/>
      </w:pPr>
      <w:r>
        <w:rPr>
          <w:rFonts w:ascii="Arial" w:cs="Arial" w:eastAsia="Arial" w:hAnsi="Arial"/>
          <w:color w:val="4A4A6A"/>
          <w:sz w:val="24"/>
          <w:szCs w:val="24"/>
        </w:rPr>
        <w:t xml:space="preserve">Behavioural data moat. Every interaction on FuelSync — every emotional tag, every meal return, every spiral recovery — builds a longitudinal dataset of food behaviour that no competitor has. This dataset improves the recommendation engine over time, creating a compounding advantage.</w:t>
      </w:r>
    </w:p>
    <w:p>
      <w:pPr>
        <w:pStyle w:val="ListParagraph"/>
        <w:numPr>
          <w:ilvl w:val="0"/>
          <w:numId w:val="2"/>
        </w:numPr>
        <w:spacing w:after="160" w:before="0"/>
      </w:pPr>
      <w:r>
        <w:rPr>
          <w:rFonts w:ascii="Arial" w:cs="Arial" w:eastAsia="Arial" w:hAnsi="Arial"/>
          <w:color w:val="4A4A6A"/>
          <w:sz w:val="24"/>
          <w:szCs w:val="24"/>
        </w:rPr>
        <w:t xml:space="preserve">Brisbane launch precision. Launching in a single market with real grocery price integration (Coles, Woolworths, local markets) creates a hyper-relevant experience that national or global apps cannot replicate. Community trust builds faster when the app knows your postcode.</w:t>
      </w:r>
    </w:p>
    <w:p>
      <w:pPr>
        <w:spacing w:after="80" w:before="0"/>
      </w:pPr>
    </w:p>
    <w:p>
      <w:pPr>
        <w:spacing w:after="120" w:before="400"/>
      </w:pPr>
      <w:r>
        <w:rPr>
          <w:rFonts w:ascii="Arial" w:cs="Arial" w:eastAsia="Arial" w:hAnsi="Arial"/>
          <w:b/>
          <w:bCs/>
          <w:color w:val="1A1A2E"/>
          <w:sz w:val="26"/>
          <w:szCs w:val="26"/>
        </w:rPr>
        <w:t xml:space="preserve">Part 6 — Phased Execution Plan</w:t>
      </w:r>
    </w:p>
    <w:p>
      <w:pPr>
        <w:spacing w:after="200" w:before="0"/>
      </w:pPr>
      <w:r>
        <w:rPr>
          <w:rFonts w:ascii="Arial" w:cs="Arial" w:eastAsia="Arial" w:hAnsi="Arial"/>
          <w:color w:val="4A4A6A"/>
          <w:sz w:val="24"/>
          <w:szCs w:val="24"/>
        </w:rPr>
        <w:t xml:space="preserve">Phase 1 — Foundation (Months 1–3)</w:t>
      </w:r>
    </w:p>
    <w:p>
      <w:pPr>
        <w:pStyle w:val="ListParagraph"/>
        <w:numPr>
          <w:ilvl w:val="0"/>
          <w:numId w:val="2"/>
        </w:numPr>
        <w:spacing w:after="160" w:before="0"/>
      </w:pPr>
      <w:r>
        <w:rPr>
          <w:rFonts w:ascii="Arial" w:cs="Arial" w:eastAsia="Arial" w:hAnsi="Arial"/>
          <w:color w:val="4A4A6A"/>
          <w:sz w:val="24"/>
          <w:szCs w:val="24"/>
        </w:rPr>
        <w:t xml:space="preserve">Complete 10-document knowledge base and investor-ready documentation</w:t>
      </w:r>
    </w:p>
    <w:p>
      <w:pPr>
        <w:pStyle w:val="ListParagraph"/>
        <w:numPr>
          <w:ilvl w:val="0"/>
          <w:numId w:val="2"/>
        </w:numPr>
        <w:spacing w:after="160" w:before="0"/>
      </w:pPr>
      <w:r>
        <w:rPr>
          <w:rFonts w:ascii="Arial" w:cs="Arial" w:eastAsia="Arial" w:hAnsi="Arial"/>
          <w:color w:val="4A4A6A"/>
          <w:sz w:val="24"/>
          <w:szCs w:val="24"/>
        </w:rPr>
        <w:t xml:space="preserve">Deploy live website and interactive document map (fuelsync-web.vercel.app)</w:t>
      </w:r>
    </w:p>
    <w:p>
      <w:pPr>
        <w:pStyle w:val="ListParagraph"/>
        <w:numPr>
          <w:ilvl w:val="0"/>
          <w:numId w:val="2"/>
        </w:numPr>
        <w:spacing w:after="160" w:before="0"/>
      </w:pPr>
      <w:r>
        <w:rPr>
          <w:rFonts w:ascii="Arial" w:cs="Arial" w:eastAsia="Arial" w:hAnsi="Arial"/>
          <w:color w:val="4A4A6A"/>
          <w:sz w:val="24"/>
          <w:szCs w:val="24"/>
        </w:rPr>
        <w:t xml:space="preserve">Reach 50 real users through targeted survey outreach and prototype sharing</w:t>
      </w:r>
    </w:p>
    <w:p>
      <w:pPr>
        <w:pStyle w:val="ListParagraph"/>
        <w:numPr>
          <w:ilvl w:val="0"/>
          <w:numId w:val="2"/>
        </w:numPr>
        <w:spacing w:after="160" w:before="0"/>
      </w:pPr>
      <w:r>
        <w:rPr>
          <w:rFonts w:ascii="Arial" w:cs="Arial" w:eastAsia="Arial" w:hAnsi="Arial"/>
          <w:color w:val="4A4A6A"/>
          <w:sz w:val="24"/>
          <w:szCs w:val="24"/>
        </w:rPr>
        <w:t xml:space="preserve">Build and test 3-agent core loop: spiral breaker, 6-meal feed, attachment loop</w:t>
      </w:r>
    </w:p>
    <w:p>
      <w:pPr>
        <w:pStyle w:val="ListParagraph"/>
        <w:numPr>
          <w:ilvl w:val="0"/>
          <w:numId w:val="2"/>
        </w:numPr>
        <w:spacing w:after="160" w:before="0"/>
      </w:pPr>
      <w:r>
        <w:rPr>
          <w:rFonts w:ascii="Arial" w:cs="Arial" w:eastAsia="Arial" w:hAnsi="Arial"/>
          <w:color w:val="4A4A6A"/>
          <w:sz w:val="24"/>
          <w:szCs w:val="24"/>
        </w:rPr>
        <w:t xml:space="preserve">Begin NDIS provider registration research and pathway mapping</w:t>
      </w:r>
    </w:p>
    <w:p>
      <w:pPr>
        <w:spacing w:after="80" w:before="0"/>
      </w:pPr>
    </w:p>
    <w:p>
      <w:pPr>
        <w:spacing w:after="200" w:before="0"/>
      </w:pPr>
      <w:r>
        <w:rPr>
          <w:rFonts w:ascii="Arial" w:cs="Arial" w:eastAsia="Arial" w:hAnsi="Arial"/>
          <w:color w:val="4A4A6A"/>
          <w:sz w:val="24"/>
          <w:szCs w:val="24"/>
        </w:rPr>
        <w:t xml:space="preserve">Phase 2 — Validation (Months 3–6)</w:t>
      </w:r>
    </w:p>
    <w:p>
      <w:pPr>
        <w:pStyle w:val="ListParagraph"/>
        <w:numPr>
          <w:ilvl w:val="0"/>
          <w:numId w:val="2"/>
        </w:numPr>
        <w:spacing w:after="160" w:before="0"/>
      </w:pPr>
      <w:r>
        <w:rPr>
          <w:rFonts w:ascii="Arial" w:cs="Arial" w:eastAsia="Arial" w:hAnsi="Arial"/>
          <w:color w:val="4A4A6A"/>
          <w:sz w:val="24"/>
          <w:szCs w:val="24"/>
        </w:rPr>
        <w:t xml:space="preserve">Launch MVP with full agent loop to first 50 users</w:t>
      </w:r>
    </w:p>
    <w:p>
      <w:pPr>
        <w:pStyle w:val="ListParagraph"/>
        <w:numPr>
          <w:ilvl w:val="0"/>
          <w:numId w:val="2"/>
        </w:numPr>
        <w:spacing w:after="160" w:before="0"/>
      </w:pPr>
      <w:r>
        <w:rPr>
          <w:rFonts w:ascii="Arial" w:cs="Arial" w:eastAsia="Arial" w:hAnsi="Arial"/>
          <w:color w:val="4A4A6A"/>
          <w:sz w:val="24"/>
          <w:szCs w:val="24"/>
        </w:rPr>
        <w:t xml:space="preserve">Measure day-3 and day-7 retention as primary success metric</w:t>
      </w:r>
    </w:p>
    <w:p>
      <w:pPr>
        <w:pStyle w:val="ListParagraph"/>
        <w:numPr>
          <w:ilvl w:val="0"/>
          <w:numId w:val="2"/>
        </w:numPr>
        <w:spacing w:after="160" w:before="0"/>
      </w:pPr>
      <w:r>
        <w:rPr>
          <w:rFonts w:ascii="Arial" w:cs="Arial" w:eastAsia="Arial" w:hAnsi="Arial"/>
          <w:color w:val="4A4A6A"/>
          <w:sz w:val="24"/>
          <w:szCs w:val="24"/>
        </w:rPr>
        <w:t xml:space="preserve">Target first user to find their anchor meal — document and share the story</w:t>
      </w:r>
    </w:p>
    <w:p>
      <w:pPr>
        <w:pStyle w:val="ListParagraph"/>
        <w:numPr>
          <w:ilvl w:val="0"/>
          <w:numId w:val="2"/>
        </w:numPr>
        <w:spacing w:after="160" w:before="0"/>
      </w:pPr>
      <w:r>
        <w:rPr>
          <w:rFonts w:ascii="Arial" w:cs="Arial" w:eastAsia="Arial" w:hAnsi="Arial"/>
          <w:color w:val="4A4A6A"/>
          <w:sz w:val="24"/>
          <w:szCs w:val="24"/>
        </w:rPr>
        <w:t xml:space="preserve">Apply for Advance Queensland Ignite Ideas Fund ($50k–$150k)</w:t>
      </w:r>
    </w:p>
    <w:p>
      <w:pPr>
        <w:pStyle w:val="ListParagraph"/>
        <w:numPr>
          <w:ilvl w:val="0"/>
          <w:numId w:val="2"/>
        </w:numPr>
        <w:spacing w:after="160" w:before="0"/>
      </w:pPr>
      <w:r>
        <w:rPr>
          <w:rFonts w:ascii="Arial" w:cs="Arial" w:eastAsia="Arial" w:hAnsi="Arial"/>
          <w:color w:val="4A4A6A"/>
          <w:sz w:val="24"/>
          <w:szCs w:val="24"/>
        </w:rPr>
        <w:t xml:space="preserve">Secure first advisor with health tech or NDIS sector experience</w:t>
      </w:r>
    </w:p>
    <w:p>
      <w:pPr>
        <w:pStyle w:val="ListParagraph"/>
        <w:numPr>
          <w:ilvl w:val="0"/>
          <w:numId w:val="2"/>
        </w:numPr>
        <w:spacing w:after="160" w:before="0"/>
      </w:pPr>
      <w:r>
        <w:rPr>
          <w:rFonts w:ascii="Arial" w:cs="Arial" w:eastAsia="Arial" w:hAnsi="Arial"/>
          <w:color w:val="4A4A6A"/>
          <w:sz w:val="24"/>
          <w:szCs w:val="24"/>
        </w:rPr>
        <w:t xml:space="preserve">Integrate Coles/Woolworths price data for Brisbane suburb meal cards</w:t>
      </w:r>
    </w:p>
    <w:p>
      <w:pPr>
        <w:spacing w:after="80" w:before="0"/>
      </w:pPr>
    </w:p>
    <w:p>
      <w:pPr>
        <w:spacing w:after="200" w:before="0"/>
      </w:pPr>
      <w:r>
        <w:rPr>
          <w:rFonts w:ascii="Arial" w:cs="Arial" w:eastAsia="Arial" w:hAnsi="Arial"/>
          <w:color w:val="4A4A6A"/>
          <w:sz w:val="24"/>
          <w:szCs w:val="24"/>
        </w:rPr>
        <w:t xml:space="preserve">Phase 3 — Growth (Months 6–12)</w:t>
      </w:r>
    </w:p>
    <w:p>
      <w:pPr>
        <w:pStyle w:val="ListParagraph"/>
        <w:numPr>
          <w:ilvl w:val="0"/>
          <w:numId w:val="2"/>
        </w:numPr>
        <w:spacing w:after="160" w:before="0"/>
      </w:pPr>
      <w:r>
        <w:rPr>
          <w:rFonts w:ascii="Arial" w:cs="Arial" w:eastAsia="Arial" w:hAnsi="Arial"/>
          <w:color w:val="4A4A6A"/>
          <w:sz w:val="24"/>
          <w:szCs w:val="24"/>
        </w:rPr>
        <w:t xml:space="preserve">Scale to 500 active users with measurable retention data</w:t>
      </w:r>
    </w:p>
    <w:p>
      <w:pPr>
        <w:pStyle w:val="ListParagraph"/>
        <w:numPr>
          <w:ilvl w:val="0"/>
          <w:numId w:val="2"/>
        </w:numPr>
        <w:spacing w:after="160" w:before="0"/>
      </w:pPr>
      <w:r>
        <w:rPr>
          <w:rFonts w:ascii="Arial" w:cs="Arial" w:eastAsia="Arial" w:hAnsi="Arial"/>
          <w:color w:val="4A4A6A"/>
          <w:sz w:val="24"/>
          <w:szCs w:val="24"/>
        </w:rPr>
        <w:t xml:space="preserve">Launch FuelSync Neuro beta with 20 neurodivergent families</w:t>
      </w:r>
    </w:p>
    <w:p>
      <w:pPr>
        <w:pStyle w:val="ListParagraph"/>
        <w:numPr>
          <w:ilvl w:val="0"/>
          <w:numId w:val="2"/>
        </w:numPr>
        <w:spacing w:after="160" w:before="0"/>
      </w:pPr>
      <w:r>
        <w:rPr>
          <w:rFonts w:ascii="Arial" w:cs="Arial" w:eastAsia="Arial" w:hAnsi="Arial"/>
          <w:color w:val="4A4A6A"/>
          <w:sz w:val="24"/>
          <w:szCs w:val="24"/>
        </w:rPr>
        <w:t xml:space="preserve">Submit NDIS provider registration application</w:t>
      </w:r>
    </w:p>
    <w:p>
      <w:pPr>
        <w:pStyle w:val="ListParagraph"/>
        <w:numPr>
          <w:ilvl w:val="0"/>
          <w:numId w:val="2"/>
        </w:numPr>
        <w:spacing w:after="160" w:before="0"/>
      </w:pPr>
      <w:r>
        <w:rPr>
          <w:rFonts w:ascii="Arial" w:cs="Arial" w:eastAsia="Arial" w:hAnsi="Arial"/>
          <w:color w:val="4A4A6A"/>
          <w:sz w:val="24"/>
          <w:szCs w:val="24"/>
        </w:rPr>
        <w:t xml:space="preserve">Begin pre-seed investor conversations with validated retention metrics</w:t>
      </w:r>
    </w:p>
    <w:p>
      <w:pPr>
        <w:pStyle w:val="ListParagraph"/>
        <w:numPr>
          <w:ilvl w:val="0"/>
          <w:numId w:val="2"/>
        </w:numPr>
        <w:spacing w:after="160" w:before="0"/>
      </w:pPr>
      <w:r>
        <w:rPr>
          <w:rFonts w:ascii="Arial" w:cs="Arial" w:eastAsia="Arial" w:hAnsi="Arial"/>
          <w:color w:val="4A4A6A"/>
          <w:sz w:val="24"/>
          <w:szCs w:val="24"/>
        </w:rPr>
        <w:t xml:space="preserve">Expand community meal cards to multicultural content (Pacific Island, Asian, Middle Eastern cuisines)</w:t>
      </w:r>
    </w:p>
    <w:p>
      <w:pPr>
        <w:pStyle w:val="ListParagraph"/>
        <w:numPr>
          <w:ilvl w:val="0"/>
          <w:numId w:val="2"/>
        </w:numPr>
        <w:spacing w:after="160" w:before="0"/>
      </w:pPr>
      <w:r>
        <w:rPr>
          <w:rFonts w:ascii="Arial" w:cs="Arial" w:eastAsia="Arial" w:hAnsi="Arial"/>
          <w:color w:val="4A4A6A"/>
          <w:sz w:val="24"/>
          <w:szCs w:val="24"/>
        </w:rPr>
        <w:t xml:space="preserve">TikTok micro-content strategy: meal card reveals, community stories, founder journey</w:t>
      </w:r>
    </w:p>
    <w:p>
      <w:pPr>
        <w:spacing w:after="80" w:before="0"/>
      </w:pPr>
    </w:p>
    <w:p>
      <w:pPr>
        <w:spacing w:after="200" w:before="0"/>
      </w:pPr>
      <w:r>
        <w:rPr>
          <w:rFonts w:ascii="Arial" w:cs="Arial" w:eastAsia="Arial" w:hAnsi="Arial"/>
          <w:color w:val="4A4A6A"/>
          <w:sz w:val="24"/>
          <w:szCs w:val="24"/>
        </w:rPr>
        <w:t xml:space="preserve">Phase 4 — Scale (Year 2)</w:t>
      </w:r>
    </w:p>
    <w:p>
      <w:pPr>
        <w:pStyle w:val="ListParagraph"/>
        <w:numPr>
          <w:ilvl w:val="0"/>
          <w:numId w:val="2"/>
        </w:numPr>
        <w:spacing w:after="160" w:before="0"/>
      </w:pPr>
      <w:r>
        <w:rPr>
          <w:rFonts w:ascii="Arial" w:cs="Arial" w:eastAsia="Arial" w:hAnsi="Arial"/>
          <w:color w:val="4A4A6A"/>
          <w:sz w:val="24"/>
          <w:szCs w:val="24"/>
        </w:rPr>
        <w:t xml:space="preserve">National Australian rollout with expanded grocery price integration</w:t>
      </w:r>
    </w:p>
    <w:p>
      <w:pPr>
        <w:pStyle w:val="ListParagraph"/>
        <w:numPr>
          <w:ilvl w:val="0"/>
          <w:numId w:val="2"/>
        </w:numPr>
        <w:spacing w:after="160" w:before="0"/>
      </w:pPr>
      <w:r>
        <w:rPr>
          <w:rFonts w:ascii="Arial" w:cs="Arial" w:eastAsia="Arial" w:hAnsi="Arial"/>
          <w:color w:val="4A4A6A"/>
          <w:sz w:val="24"/>
          <w:szCs w:val="24"/>
        </w:rPr>
        <w:t xml:space="preserve">NDIS registration complete — activate funded subscription pathway</w:t>
      </w:r>
    </w:p>
    <w:p>
      <w:pPr>
        <w:pStyle w:val="ListParagraph"/>
        <w:numPr>
          <w:ilvl w:val="0"/>
          <w:numId w:val="2"/>
        </w:numPr>
        <w:spacing w:after="160" w:before="0"/>
      </w:pPr>
      <w:r>
        <w:rPr>
          <w:rFonts w:ascii="Arial" w:cs="Arial" w:eastAsia="Arial" w:hAnsi="Arial"/>
          <w:color w:val="4A4A6A"/>
          <w:sz w:val="24"/>
          <w:szCs w:val="24"/>
        </w:rPr>
        <w:t xml:space="preserve">Seed round fundraising: $300k–$500k targeting $2–3M pre-money valuation</w:t>
      </w:r>
    </w:p>
    <w:p>
      <w:pPr>
        <w:pStyle w:val="ListParagraph"/>
        <w:numPr>
          <w:ilvl w:val="0"/>
          <w:numId w:val="2"/>
        </w:numPr>
        <w:spacing w:after="160" w:before="0"/>
      </w:pPr>
      <w:r>
        <w:rPr>
          <w:rFonts w:ascii="Arial" w:cs="Arial" w:eastAsia="Arial" w:hAnsi="Arial"/>
          <w:color w:val="4A4A6A"/>
          <w:sz w:val="24"/>
          <w:szCs w:val="24"/>
        </w:rPr>
        <w:t xml:space="preserve">Creator marketplace launch — revenue share for top meal card creators</w:t>
      </w:r>
    </w:p>
    <w:p>
      <w:pPr>
        <w:pStyle w:val="ListParagraph"/>
        <w:numPr>
          <w:ilvl w:val="0"/>
          <w:numId w:val="2"/>
        </w:numPr>
        <w:spacing w:after="160" w:before="0"/>
      </w:pPr>
      <w:r>
        <w:rPr>
          <w:rFonts w:ascii="Arial" w:cs="Arial" w:eastAsia="Arial" w:hAnsi="Arial"/>
          <w:color w:val="4A4A6A"/>
          <w:sz w:val="24"/>
          <w:szCs w:val="24"/>
        </w:rPr>
        <w:t xml:space="preserve">ADHD food routine module development (Neuro expansion)</w:t>
      </w:r>
    </w:p>
    <w:p>
      <w:pPr>
        <w:pStyle w:val="ListParagraph"/>
        <w:numPr>
          <w:ilvl w:val="0"/>
          <w:numId w:val="2"/>
        </w:numPr>
        <w:spacing w:after="160" w:before="0"/>
      </w:pPr>
      <w:r>
        <w:rPr>
          <w:rFonts w:ascii="Arial" w:cs="Arial" w:eastAsia="Arial" w:hAnsi="Arial"/>
          <w:color w:val="4A4A6A"/>
          <w:sz w:val="24"/>
          <w:szCs w:val="24"/>
        </w:rPr>
        <w:t xml:space="preserve">Explore New Zealand market entry as first international expansion</w:t>
      </w:r>
    </w:p>
    <w:p>
      <w:pPr>
        <w:spacing w:after="80" w:before="0"/>
      </w:pPr>
    </w:p>
    <w:p>
      <w:pPr>
        <w:spacing w:after="120" w:before="400"/>
      </w:pPr>
      <w:r>
        <w:rPr>
          <w:rFonts w:ascii="Arial" w:cs="Arial" w:eastAsia="Arial" w:hAnsi="Arial"/>
          <w:b/>
          <w:bCs/>
          <w:color w:val="1A1A2E"/>
          <w:sz w:val="26"/>
          <w:szCs w:val="26"/>
        </w:rPr>
        <w:t xml:space="preserve">Part 7 — Key Performance Indicators</w:t>
      </w:r>
    </w:p>
    <w:p>
      <w:pPr>
        <w:spacing w:after="200" w:before="0"/>
      </w:pPr>
      <w:r>
        <w:rPr>
          <w:rFonts w:ascii="Arial" w:cs="Arial" w:eastAsia="Arial" w:hAnsi="Arial"/>
          <w:color w:val="4A4A6A"/>
          <w:sz w:val="24"/>
          <w:szCs w:val="24"/>
        </w:rPr>
        <w:t xml:space="preserve">The metrics that matter most are not downloads or sign-ups — they are the indicators that show the core thesis is working.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Metric</w:t>
            </w:r>
          </w:p>
        </w:tc>
        <w:tc>
          <w:tcPr>
            <w:tcW w:type="dxa" w:w="312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Why it matters</w:t>
            </w:r>
          </w:p>
        </w:tc>
        <w:tc>
          <w:tcPr>
            <w:tcW w:type="dxa" w:w="312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Target (Month 6)</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Day-7 retention rate</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Primary indicator of product-market fit</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40%+</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 users finding anchor meal</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Proves the core thesis works</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15%+ of active users</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Spiral recovery rate</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Validates the guilt-reduction mechanic</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60%+ return after lapse</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Free to premium conversion</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Revenue health indicator</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8–12%</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NDIS enquiries</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Neuro pipeline signal</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20+ by month 6</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NPS score</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Overall product satisfaction</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40+</w:t>
            </w:r>
          </w:p>
        </w:tc>
      </w:tr>
    </w:tbl>
    <w:p>
      <w:pPr>
        <w:spacing w:after="240" w:before="0"/>
      </w:pPr>
    </w:p>
    <w:p>
      <w:pPr>
        <w:pBdr>
          <w:top w:val="single" w:color="2EC4B6" w:sz="8" w:space="8"/>
        </w:pBdr>
        <w:spacing w:after="80" w:before="240"/>
      </w:pPr>
      <w:r>
        <w:rPr>
          <w:rFonts w:ascii="Arial" w:cs="Arial" w:eastAsia="Arial" w:hAnsi="Arial"/>
          <w:b/>
          <w:bCs/>
          <w:color w:val="1A1A2E"/>
          <w:sz w:val="24"/>
          <w:szCs w:val="24"/>
        </w:rPr>
        <w:t xml:space="preserve">The strategic argument in one paragraph</w:t>
      </w:r>
    </w:p>
    <w:p>
      <w:pPr>
        <w:spacing w:after="120" w:before="0"/>
      </w:pPr>
      <w:r>
        <w:rPr>
          <w:rFonts w:ascii="Arial" w:cs="Arial" w:eastAsia="Arial" w:hAnsi="Arial"/>
          <w:color w:val="4A4A6A"/>
          <w:sz w:val="24"/>
          <w:szCs w:val="24"/>
        </w:rPr>
        <w:t xml:space="preserve">FuelSync enters a fast-growing Australian market — valued at AUD $63–200M in 2024 with strong double-digit growth — through a positioning that no incumbent can easily replicate: behaviour-first, shame-free, community-powered, and architecturally designed around the emotional mechanics of lasting food habits. The NDIS pathway provides a funded, defensible revenue stream unique to this product. The founder's personal proof of concept, combined with an agent-native architecture and a proprietary behavioural data moat, creates a compounding competitive advantage that strengthens with every user who finds their anchor meal.</w:t>
      </w:r>
    </w:p>
    <w:p>
      <w:pPr>
        <w:spacing w:after="480" w:before="0"/>
      </w:pPr>
    </w:p>
    <w:p>
      <w:pPr>
        <w:spacing w:after="0" w:before="0"/>
      </w:pPr>
      <w:r>
        <w:rPr>
          <w:rFonts w:ascii="Arial" w:cs="Arial" w:eastAsia="Arial" w:hAnsi="Arial"/>
          <w:color w:val="AAAAAA"/>
          <w:sz w:val="18"/>
          <w:szCs w:val="18"/>
        </w:rPr>
        <w:t xml:space="preserve">FuelSync  |  Brisbane, Australia  |  Document 04 of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2026-04-15T02:16:58.732Z</dcterms:created>
  <dcterms:modified xsi:type="dcterms:W3CDTF">2026-04-15T02:16:58.733Z</dcterms:modified>
</cp:coreProperties>
</file>

<file path=docProps/custom.xml><?xml version="1.0" encoding="utf-8"?>
<Properties xmlns="http://schemas.openxmlformats.org/officeDocument/2006/custom-properties" xmlns:vt="http://schemas.openxmlformats.org/officeDocument/2006/docPropsVTypes"/>
</file>