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7B5FFF"/>
          <w:spacing w:val="60"/>
          <w:sz w:val="18"/>
          <w:szCs w:val="18"/>
        </w:rPr>
        <w:t xml:space="preserve">FUELSYNC — DOCUMENT 03</w:t>
      </w:r>
    </w:p>
    <w:p>
      <w:pPr>
        <w:pBdr>
          <w:bottom w:val="single" w:color="7B5FFF" w:sz="6" w:space="1"/>
        </w:pBdr>
        <w:spacing w:after="240" w:before="0"/>
      </w:pPr>
    </w:p>
    <w:p>
      <w:pPr>
        <w:spacing w:after="80" w:before="0"/>
      </w:pPr>
    </w:p>
    <w:p>
      <w:pPr>
        <w:spacing w:after="160" w:before="0"/>
      </w:pPr>
      <w:r>
        <w:rPr>
          <w:rFonts w:ascii="Arial" w:cs="Arial" w:eastAsia="Arial" w:hAnsi="Arial"/>
          <w:b/>
          <w:bCs/>
          <w:color w:val="1A1A2E"/>
          <w:sz w:val="36"/>
          <w:szCs w:val="36"/>
        </w:rPr>
        <w:t xml:space="preserve">Market Opportunity</w:t>
      </w:r>
    </w:p>
    <w:p>
      <w:pPr>
        <w:spacing w:after="200" w:before="0"/>
      </w:pPr>
      <w:r>
        <w:rPr>
          <w:rFonts w:ascii="Arial" w:cs="Arial" w:eastAsia="Arial" w:hAnsi="Arial"/>
          <w:color w:val="4A4A6A"/>
          <w:sz w:val="24"/>
          <w:szCs w:val="24"/>
        </w:rPr>
        <w:t xml:space="preserve">The total addressable market, the immediate segments FuelSync enters first, and the expansion pathway that makes this a platform play rather than a single-product startup.</w:t>
      </w:r>
    </w:p>
    <w:p>
      <w:pPr>
        <w:spacing w:after="240" w:before="0"/>
      </w:pPr>
    </w:p>
    <w:p>
      <w:pPr>
        <w:spacing w:after="120" w:before="400"/>
      </w:pPr>
      <w:r>
        <w:rPr>
          <w:rFonts w:ascii="Arial" w:cs="Arial" w:eastAsia="Arial" w:hAnsi="Arial"/>
          <w:b/>
          <w:bCs/>
          <w:color w:val="1A1A2E"/>
          <w:sz w:val="26"/>
          <w:szCs w:val="26"/>
        </w:rPr>
        <w:t xml:space="preserve">The Five-Year Vision</w:t>
      </w:r>
    </w:p>
    <w:p>
      <w:pPr>
        <w:spacing w:after="200" w:before="0"/>
      </w:pPr>
      <w:r>
        <w:rPr>
          <w:rFonts w:ascii="Arial" w:cs="Arial" w:eastAsia="Arial" w:hAnsi="Arial"/>
          <w:color w:val="4A4A6A"/>
          <w:sz w:val="24"/>
          <w:szCs w:val="24"/>
        </w:rPr>
        <w:t xml:space="preserve">FuelSync is not being built as a weight loss app. It is being built as a behavioural food intelligence platform — one that starts with the largest, most urgent entry point and systematically expands into underserved communities where the need for personalised food guidance is even more acute.</w:t>
      </w:r>
    </w:p>
    <w:p>
      <w:pPr>
        <w:spacing w:after="200" w:before="0"/>
      </w:pPr>
      <w:r>
        <w:rPr>
          <w:rFonts w:ascii="Arial" w:cs="Arial" w:eastAsia="Arial" w:hAnsi="Arial"/>
          <w:color w:val="4A4A6A"/>
          <w:sz w:val="24"/>
          <w:szCs w:val="24"/>
        </w:rPr>
        <w:t xml:space="preserve">In five years, FuelSync operates as a fully functioning system serving multiple distinct populations: the general market of people struggling with food decisions, weight, and eating habits; neurodivergent individuals and families navigating sensory-complex food needs; people with ADHD managing routine and impulsivity around food; and progressively, other communities where food behaviour is deeply personal, poorly served, and consequential to daily quality of life.</w:t>
      </w:r>
    </w:p>
    <w:p>
      <w:pPr>
        <w:spacing w:after="200" w:before="0"/>
      </w:pPr>
      <w:r>
        <w:rPr>
          <w:rFonts w:ascii="Arial" w:cs="Arial" w:eastAsia="Arial" w:hAnsi="Arial"/>
          <w:color w:val="4A4A6A"/>
          <w:sz w:val="24"/>
          <w:szCs w:val="24"/>
        </w:rPr>
        <w:t xml:space="preserve">Each population shares the same core architecture — behavioural intelligence, emotional state modelling, community-powered meal discovery — but operates within different constraints and is served through different modes of the same platform. This is infrastructure that compounds, not a series of separate products.</w:t>
      </w:r>
    </w:p>
    <w:p>
      <w:pPr>
        <w:pBdr>
          <w:left w:val="single" w:color="7B5FFF" w:sz="16" w:space="20"/>
        </w:pBdr>
        <w:spacing w:after="320" w:before="320"/>
        <w:ind w:left="720"/>
      </w:pPr>
      <w:r>
        <w:rPr>
          <w:rFonts w:ascii="Arial" w:cs="Arial" w:eastAsia="Arial" w:hAnsi="Arial"/>
          <w:b/>
          <w:bCs/>
          <w:i/>
          <w:iCs/>
          <w:color w:val="7B5FFF"/>
          <w:sz w:val="26"/>
          <w:szCs w:val="26"/>
        </w:rPr>
        <w:t xml:space="preserve">Weight loss is the entry point. Behavioural food intelligence for every body is the destination.</w:t>
      </w:r>
    </w:p>
    <w:p>
      <w:pPr>
        <w:spacing w:after="80" w:before="0"/>
      </w:pPr>
    </w:p>
    <w:p>
      <w:pPr>
        <w:spacing w:after="120" w:before="400"/>
      </w:pPr>
      <w:r>
        <w:rPr>
          <w:rFonts w:ascii="Arial" w:cs="Arial" w:eastAsia="Arial" w:hAnsi="Arial"/>
          <w:b/>
          <w:bCs/>
          <w:color w:val="1A1A2E"/>
          <w:sz w:val="26"/>
          <w:szCs w:val="26"/>
        </w:rPr>
        <w:t xml:space="preserve">Total Addressable Market</w:t>
      </w:r>
    </w:p>
    <w:p>
      <w:pPr>
        <w:spacing w:after="200" w:before="0"/>
      </w:pPr>
      <w:r>
        <w:rPr>
          <w:rFonts w:ascii="Arial" w:cs="Arial" w:eastAsia="Arial" w:hAnsi="Arial"/>
          <w:color w:val="4A4A6A"/>
          <w:sz w:val="24"/>
          <w:szCs w:val="24"/>
        </w:rPr>
        <w:t xml:space="preserve">The global health and wellness app market was valued at approximately USD $6.1 billion in 2023 and is projected to reach USD $13.2 billion by 2030, growing at a compound annual rate of approximately 11.6%. Within this, nutrition and diet apps represent one of the largest and fastest-growing subcategories.</w:t>
      </w:r>
    </w:p>
    <w:p>
      <w:pPr>
        <w:spacing w:after="200" w:before="0"/>
      </w:pPr>
      <w:r>
        <w:rPr>
          <w:rFonts w:ascii="Arial" w:cs="Arial" w:eastAsia="Arial" w:hAnsi="Arial"/>
          <w:color w:val="4A4A6A"/>
          <w:sz w:val="24"/>
          <w:szCs w:val="24"/>
        </w:rPr>
        <w:t xml:space="preserve">In Australia specifically, the health and wellness industry is valued at over AUD $10 billion annually. Approximately 63% of Australian adults are classified as overweight or obese — representing a population of over 12 million people actively experiencing the core problem FuelSync addresses. Nationally, weight management and healthy eating are consistently ranked among the top health concerns across all age groups.</w:t>
      </w:r>
    </w:p>
    <w:p>
      <w:pPr>
        <w:spacing w:after="200" w:before="0"/>
      </w:pPr>
      <w:r>
        <w:rPr>
          <w:rFonts w:ascii="Arial" w:cs="Arial" w:eastAsia="Arial" w:hAnsi="Arial"/>
          <w:color w:val="4A4A6A"/>
          <w:sz w:val="24"/>
          <w:szCs w:val="24"/>
        </w:rPr>
        <w:t xml:space="preserve">FuelSync's addressable market is not the entire wellness industry. It is the specific intersection of people who have tried and failed at traditional nutrition approaches — calorie tracking, meal plans, restrictive diets — and who would respond to a behaviour-first, community-powered alternative. Based on app abandonment data and the founder's own primary research, this population represents a significant majority of people who have ever downloaded a health app.</w:t>
      </w:r>
    </w:p>
    <w:p>
      <w:pPr>
        <w:spacing w:after="80" w:before="0"/>
      </w:pPr>
    </w:p>
    <w:p>
      <w:pPr>
        <w:spacing w:after="120" w:before="400"/>
      </w:pPr>
      <w:r>
        <w:rPr>
          <w:rFonts w:ascii="Arial" w:cs="Arial" w:eastAsia="Arial" w:hAnsi="Arial"/>
          <w:b/>
          <w:bCs/>
          <w:color w:val="1A1A2E"/>
          <w:sz w:val="26"/>
          <w:szCs w:val="26"/>
        </w:rPr>
        <w:t xml:space="preserve">Market Segments</w:t>
      </w:r>
    </w:p>
    <w:p>
      <w:pPr>
        <w:spacing w:after="200" w:before="0"/>
      </w:pPr>
      <w:r>
        <w:rPr>
          <w:rFonts w:ascii="Arial" w:cs="Arial" w:eastAsia="Arial" w:hAnsi="Arial"/>
          <w:color w:val="4A4A6A"/>
          <w:sz w:val="24"/>
          <w:szCs w:val="24"/>
        </w:rPr>
        <w:t xml:space="preserve">FuelSync enters and expands across four distinct segments, each building on the same core platform infrastructure: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E8E8F0" w:sz="1"/>
              <w:left w:val="single" w:color="E8E8F0" w:sz="1"/>
              <w:bottom w:val="single" w:color="E8E8F0" w:sz="1"/>
              <w:right w:val="single" w:color="E8E8F0" w:sz="1"/>
            </w:tcBorders>
            <w:shd w:fill="EDE9FF" w:val="clear"/>
            <w:tcMar>
              <w:top w:type="dxa" w:w="120"/>
              <w:left w:type="dxa" w:w="160"/>
              <w:bottom w:type="dxa" w:w="120"/>
              <w:right w:type="dxa" w:w="160"/>
            </w:tcMar>
          </w:tcPr>
          <w:p>
            <w:r>
              <w:rPr>
                <w:rFonts w:ascii="Arial" w:cs="Arial" w:eastAsia="Arial" w:hAnsi="Arial"/>
                <w:b/>
                <w:bCs/>
                <w:color w:val="7B5FFF"/>
                <w:sz w:val="20"/>
                <w:szCs w:val="20"/>
              </w:rPr>
              <w:t xml:space="preserve">Segment</w:t>
            </w:r>
          </w:p>
        </w:tc>
        <w:tc>
          <w:tcPr>
            <w:tcW w:type="dxa" w:w="3080"/>
            <w:tcBorders>
              <w:top w:val="single" w:color="E8E8F0" w:sz="1"/>
              <w:left w:val="single" w:color="E8E8F0" w:sz="1"/>
              <w:bottom w:val="single" w:color="E8E8F0" w:sz="1"/>
              <w:right w:val="single" w:color="E8E8F0" w:sz="1"/>
            </w:tcBorders>
            <w:shd w:fill="EDE9FF" w:val="clear"/>
            <w:tcMar>
              <w:top w:type="dxa" w:w="120"/>
              <w:left w:type="dxa" w:w="160"/>
              <w:bottom w:type="dxa" w:w="120"/>
              <w:right w:type="dxa" w:w="160"/>
            </w:tcMar>
          </w:tcPr>
          <w:p>
            <w:r>
              <w:rPr>
                <w:rFonts w:ascii="Arial" w:cs="Arial" w:eastAsia="Arial" w:hAnsi="Arial"/>
                <w:b/>
                <w:bCs/>
                <w:color w:val="7B5FFF"/>
                <w:sz w:val="20"/>
                <w:szCs w:val="20"/>
              </w:rPr>
              <w:t xml:space="preserve">Market size</w:t>
            </w:r>
          </w:p>
        </w:tc>
        <w:tc>
          <w:tcPr>
            <w:tcW w:type="dxa" w:w="3080"/>
            <w:tcBorders>
              <w:top w:val="single" w:color="E8E8F0" w:sz="1"/>
              <w:left w:val="single" w:color="E8E8F0" w:sz="1"/>
              <w:bottom w:val="single" w:color="E8E8F0" w:sz="1"/>
              <w:right w:val="single" w:color="E8E8F0" w:sz="1"/>
            </w:tcBorders>
            <w:shd w:fill="EDE9FF" w:val="clear"/>
            <w:tcMar>
              <w:top w:type="dxa" w:w="120"/>
              <w:left w:type="dxa" w:w="160"/>
              <w:bottom w:type="dxa" w:w="120"/>
              <w:right w:type="dxa" w:w="160"/>
            </w:tcMar>
          </w:tcPr>
          <w:p>
            <w:r>
              <w:rPr>
                <w:rFonts w:ascii="Arial" w:cs="Arial" w:eastAsia="Arial" w:hAnsi="Arial"/>
                <w:b/>
                <w:bCs/>
                <w:color w:val="7B5FFF"/>
                <w:sz w:val="20"/>
                <w:szCs w:val="20"/>
              </w:rPr>
              <w:t xml:space="preserve">FuelSync entry point</w:t>
            </w:r>
          </w:p>
        </w:tc>
      </w:tr>
      <w:tr>
        <w:tc>
          <w:tcPr>
            <w:tcW w:type="dxa" w:w="320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1A1A2E"/>
                <w:sz w:val="22"/>
                <w:szCs w:val="22"/>
              </w:rPr>
              <w:t xml:space="preserve">Primary — General population weight loss and healthy eating</w:t>
            </w:r>
          </w:p>
        </w:tc>
        <w:tc>
          <w:tcPr>
            <w:tcW w:type="dxa" w:w="308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sz w:val="22"/>
                <w:szCs w:val="22"/>
              </w:rPr>
              <w:t xml:space="preserve">12M+ Australians overweight or obese. $4B+ annual spend on weight management.</w:t>
            </w:r>
          </w:p>
        </w:tc>
        <w:tc>
          <w:tcPr>
            <w:tcW w:type="dxa" w:w="308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Launch market. Brisbane-first, expand nationally. Freemium model.</w:t>
            </w:r>
          </w:p>
        </w:tc>
      </w:tr>
      <w:tr>
        <w:tc>
          <w:tcPr>
            <w:tcW w:type="dxa" w:w="320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1A1A2E"/>
                <w:sz w:val="22"/>
                <w:szCs w:val="22"/>
              </w:rPr>
              <w:t xml:space="preserve">Secondary — Neurodivergent individuals and families (FuelSync Neuro)</w:t>
            </w:r>
          </w:p>
        </w:tc>
        <w:tc>
          <w:tcPr>
            <w:tcW w:type="dxa" w:w="308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sz w:val="22"/>
                <w:szCs w:val="22"/>
              </w:rPr>
              <w:t xml:space="preserve">1 in 40 Australians diagnosed autistic. 814,000+ NDIS participants nationally.</w:t>
            </w:r>
          </w:p>
        </w:tc>
        <w:tc>
          <w:tcPr>
            <w:tcW w:type="dxa" w:w="308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Months 6–12. NDIS funding pathway. Dietitian partnerships.</w:t>
            </w:r>
          </w:p>
        </w:tc>
      </w:tr>
      <w:tr>
        <w:tc>
          <w:tcPr>
            <w:tcW w:type="dxa" w:w="320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1A1A2E"/>
                <w:sz w:val="22"/>
                <w:szCs w:val="22"/>
              </w:rPr>
              <w:t xml:space="preserve">Tertiary — ADHD food behaviour and routine management</w:t>
            </w:r>
          </w:p>
        </w:tc>
        <w:tc>
          <w:tcPr>
            <w:tcW w:type="dxa" w:w="308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sz w:val="22"/>
                <w:szCs w:val="22"/>
              </w:rPr>
              <w:t xml:space="preserve">Approx. 1.2M Australians with ADHD. Significant overlap with impulsive eating patterns.</w:t>
            </w:r>
          </w:p>
        </w:tc>
        <w:tc>
          <w:tcPr>
            <w:tcW w:type="dxa" w:w="308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Year 2 expansion. Same Neuro architecture, different constraints.</w:t>
            </w:r>
          </w:p>
        </w:tc>
      </w:tr>
      <w:tr>
        <w:tc>
          <w:tcPr>
            <w:tcW w:type="dxa" w:w="320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1A1A2E"/>
                <w:sz w:val="22"/>
                <w:szCs w:val="22"/>
              </w:rPr>
              <w:t xml:space="preserve">Quaternary — Performance, muscle gain, and body composition</w:t>
            </w:r>
          </w:p>
        </w:tc>
        <w:tc>
          <w:tcPr>
            <w:tcW w:type="dxa" w:w="308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sz w:val="22"/>
                <w:szCs w:val="22"/>
              </w:rPr>
              <w:t xml:space="preserve">Australian fitness industry valued at $3.4B. 4.8M gym members nationally.</w:t>
            </w:r>
          </w:p>
        </w:tc>
        <w:tc>
          <w:tcPr>
            <w:tcW w:type="dxa" w:w="308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Year 2–3. Same core mechanic, different goal state and community.</w:t>
            </w:r>
          </w:p>
        </w:tc>
      </w:tr>
    </w:tbl>
    <w:p>
      <w:pPr>
        <w:spacing w:after="240" w:before="0"/>
      </w:pPr>
    </w:p>
    <w:p>
      <w:pPr>
        <w:spacing w:after="120" w:before="400"/>
      </w:pPr>
      <w:r>
        <w:rPr>
          <w:rFonts w:ascii="Arial" w:cs="Arial" w:eastAsia="Arial" w:hAnsi="Arial"/>
          <w:b/>
          <w:bCs/>
          <w:color w:val="1A1A2E"/>
          <w:sz w:val="26"/>
          <w:szCs w:val="26"/>
        </w:rPr>
        <w:t xml:space="preserve">Why Brisbane First</w:t>
      </w:r>
    </w:p>
    <w:p>
      <w:pPr>
        <w:spacing w:after="200" w:before="0"/>
      </w:pPr>
      <w:r>
        <w:rPr>
          <w:rFonts w:ascii="Arial" w:cs="Arial" w:eastAsia="Arial" w:hAnsi="Arial"/>
          <w:color w:val="4A4A6A"/>
          <w:sz w:val="24"/>
          <w:szCs w:val="24"/>
        </w:rPr>
        <w:t xml:space="preserve">FuelSync launches in Brisbane for specific strategic reasons, not simply because it is where the founder is based.</w:t>
      </w:r>
    </w:p>
    <w:p>
      <w:pPr>
        <w:spacing w:after="200" w:before="0"/>
      </w:pPr>
      <w:r>
        <w:rPr>
          <w:rFonts w:ascii="Arial" w:cs="Arial" w:eastAsia="Arial" w:hAnsi="Arial"/>
          <w:color w:val="4A4A6A"/>
          <w:sz w:val="24"/>
          <w:szCs w:val="24"/>
        </w:rPr>
        <w:t xml:space="preserve">Brisbane is Australia's third-largest city with a population of approximately 2.5 million, growing faster than any other Australian capital. It has a young demographic skew, a strong community culture around health and outdoor living, and a cost-of-living profile that makes the budget meal mechanic — showing real prices from real local stores — immediately relevant and differentiated.</w:t>
      </w:r>
    </w:p>
    <w:p>
      <w:pPr>
        <w:spacing w:after="200" w:before="0"/>
      </w:pPr>
      <w:r>
        <w:rPr>
          <w:rFonts w:ascii="Arial" w:cs="Arial" w:eastAsia="Arial" w:hAnsi="Arial"/>
          <w:color w:val="4A4A6A"/>
          <w:sz w:val="24"/>
          <w:szCs w:val="24"/>
        </w:rPr>
        <w:t xml:space="preserve">The Brisbane market also provides direct access to Queensland-specific resources: the Advance Queensland Ignite Ideas Fund for early-stage funding, River City Labs as a startup ecosystem hub, and a tight-knit health and wellness community that enables early word-of-mouth distribution without the noise of Sydney or Melbourne.</w:t>
      </w:r>
    </w:p>
    <w:p>
      <w:pPr>
        <w:spacing w:after="200" w:before="0"/>
      </w:pPr>
      <w:r>
        <w:rPr>
          <w:rFonts w:ascii="Arial" w:cs="Arial" w:eastAsia="Arial" w:hAnsi="Arial"/>
          <w:color w:val="4A4A6A"/>
          <w:sz w:val="24"/>
          <w:szCs w:val="24"/>
        </w:rPr>
        <w:t xml:space="preserve">Critically, a Brisbane launch allows the grocery price integration mechanic — showing real Coles and Woolworths prices nearby — to be built, tested, and validated locally before national expansion. This mechanic is one of FuelSync's most tangible differentiators and requires localised data to function correctly.</w:t>
      </w:r>
    </w:p>
    <w:p>
      <w:pPr>
        <w:pBdr>
          <w:left w:val="single" w:color="7B5FFF" w:sz="16" w:space="20"/>
        </w:pBdr>
        <w:spacing w:after="320" w:before="320"/>
        <w:ind w:left="720"/>
      </w:pPr>
      <w:r>
        <w:rPr>
          <w:rFonts w:ascii="Arial" w:cs="Arial" w:eastAsia="Arial" w:hAnsi="Arial"/>
          <w:b/>
          <w:bCs/>
          <w:i/>
          <w:iCs/>
          <w:color w:val="7B5FFF"/>
          <w:sz w:val="26"/>
          <w:szCs w:val="26"/>
        </w:rPr>
        <w:t xml:space="preserve">Brisbane is not a limitation. It is a precision launch market with clear expansion pathways to the national audience.</w:t>
      </w:r>
    </w:p>
    <w:p>
      <w:pPr>
        <w:spacing w:after="80" w:before="0"/>
      </w:pPr>
    </w:p>
    <w:p>
      <w:pPr>
        <w:spacing w:after="120" w:before="400"/>
      </w:pPr>
      <w:r>
        <w:rPr>
          <w:rFonts w:ascii="Arial" w:cs="Arial" w:eastAsia="Arial" w:hAnsi="Arial"/>
          <w:b/>
          <w:bCs/>
          <w:color w:val="1A1A2E"/>
          <w:sz w:val="26"/>
          <w:szCs w:val="26"/>
        </w:rPr>
        <w:t xml:space="preserve">The NDIS Revenue Pathway</w:t>
      </w:r>
    </w:p>
    <w:p>
      <w:pPr>
        <w:spacing w:after="200" w:before="0"/>
      </w:pPr>
      <w:r>
        <w:rPr>
          <w:rFonts w:ascii="Arial" w:cs="Arial" w:eastAsia="Arial" w:hAnsi="Arial"/>
          <w:color w:val="4A4A6A"/>
          <w:sz w:val="24"/>
          <w:szCs w:val="24"/>
        </w:rPr>
        <w:t xml:space="preserve">The National Disability Insurance Scheme represents a unique and significant revenue opportunity for FuelSync that no competitor in the nutrition app space is positioned to access.</w:t>
      </w:r>
    </w:p>
    <w:p>
      <w:pPr>
        <w:spacing w:after="200" w:before="0"/>
      </w:pPr>
      <w:r>
        <w:rPr>
          <w:rFonts w:ascii="Arial" w:cs="Arial" w:eastAsia="Arial" w:hAnsi="Arial"/>
          <w:color w:val="4A4A6A"/>
          <w:sz w:val="24"/>
          <w:szCs w:val="24"/>
        </w:rPr>
        <w:t xml:space="preserve">The NDIS currently supports over 814,000 Australians with permanent and significant disability, with total annual funding exceeding AUD $35 billion. Participants receive individualised funding plans that can be allocated to registered supports — including digital tools that demonstrably improve daily living, independence, and quality of life.</w:t>
      </w:r>
    </w:p>
    <w:p>
      <w:pPr>
        <w:spacing w:after="200" w:before="0"/>
      </w:pPr>
      <w:r>
        <w:rPr>
          <w:rFonts w:ascii="Arial" w:cs="Arial" w:eastAsia="Arial" w:hAnsi="Arial"/>
          <w:color w:val="4A4A6A"/>
          <w:sz w:val="24"/>
          <w:szCs w:val="24"/>
        </w:rPr>
        <w:t xml:space="preserve">FuelSync Neuro — the dedicated neurodivergent mode — is being designed from the ground up to meet NDIS practice standards. As a registered NDIS support, FuelSync Neuro would enable participants to fund their subscription through their NDIS plan rather than out of pocket. This transforms the pricing dynamic entirely: instead of competing on consumer willingness to pay, FuelSync Neuro competes on clinical and support value within a funded ecosystem.</w:t>
      </w:r>
    </w:p>
    <w:p>
      <w:pPr>
        <w:spacing w:after="200" w:before="0"/>
      </w:pPr>
      <w:r>
        <w:rPr>
          <w:rFonts w:ascii="Arial" w:cs="Arial" w:eastAsia="Arial" w:hAnsi="Arial"/>
          <w:color w:val="4A4A6A"/>
          <w:sz w:val="24"/>
          <w:szCs w:val="24"/>
        </w:rPr>
        <w:t xml:space="preserve">At a conservative subscription price of AUD $79 per month per participant, 500 active NDIS participants generates AUD $474,000 in annual recurring revenue. At 2,000 participants — a realistic medium-term target given the scale of the NDIS and the absence of competing registered digital food support tools — annual recurring revenue from this segment alone reaches approximately AUD $1.9 million.</w:t>
      </w:r>
    </w:p>
    <w:p>
      <w:pPr>
        <w:spacing w:after="200" w:before="0"/>
      </w:pPr>
      <w:r>
        <w:rPr>
          <w:rFonts w:ascii="Arial" w:cs="Arial" w:eastAsia="Arial" w:hAnsi="Arial"/>
          <w:color w:val="4A4A6A"/>
          <w:sz w:val="24"/>
          <w:szCs w:val="24"/>
        </w:rPr>
        <w:t xml:space="preserve">This revenue stream is not speculative. It is a structured pathway that requires NDIS provider registration — a process with clear requirements and a defined timeline — and a product that demonstrably improves mealtime outcomes for participants. Both are achievable within FuelSync's 12-month roadmap.</w:t>
      </w:r>
    </w:p>
    <w:p>
      <w:pPr>
        <w:spacing w:after="80" w:before="0"/>
      </w:pPr>
    </w:p>
    <w:p>
      <w:pPr>
        <w:spacing w:after="120" w:before="400"/>
      </w:pPr>
      <w:r>
        <w:rPr>
          <w:rFonts w:ascii="Arial" w:cs="Arial" w:eastAsia="Arial" w:hAnsi="Arial"/>
          <w:b/>
          <w:bCs/>
          <w:color w:val="1A1A2E"/>
          <w:sz w:val="26"/>
          <w:szCs w:val="26"/>
        </w:rPr>
        <w:t xml:space="preserve">Why Now</w:t>
      </w:r>
    </w:p>
    <w:p>
      <w:pPr>
        <w:spacing w:after="200" w:before="0"/>
      </w:pPr>
      <w:r>
        <w:rPr>
          <w:rFonts w:ascii="Arial" w:cs="Arial" w:eastAsia="Arial" w:hAnsi="Arial"/>
          <w:color w:val="4A4A6A"/>
          <w:sz w:val="24"/>
          <w:szCs w:val="24"/>
        </w:rPr>
        <w:t xml:space="preserve">Three conditions have converged in 2025 that make FuelSync's approach viable in a way it was not two or three years ago:</w:t>
      </w:r>
    </w:p>
    <w:p>
      <w:pPr>
        <w:pStyle w:val="ListParagraph"/>
        <w:numPr>
          <w:ilvl w:val="0"/>
          <w:numId w:val="2"/>
        </w:numPr>
        <w:spacing w:after="160" w:before="0"/>
      </w:pPr>
      <w:r>
        <w:rPr>
          <w:rFonts w:ascii="Arial" w:cs="Arial" w:eastAsia="Arial" w:hAnsi="Arial"/>
          <w:color w:val="4A4A6A"/>
          <w:sz w:val="24"/>
          <w:szCs w:val="24"/>
        </w:rPr>
        <w:t xml:space="preserve">Agentic AI infrastructure has matured. The capability to build reasoning loops that observe user state, plan across multiple data points, and act with personalised outputs — previously requiring significant engineering teams and custom model training — is now accessible to a solo founder through API-level tools. FuelSync's three-agent core loop is buildable today at a fraction of the cost it would have required in 2022.</w:t>
      </w:r>
    </w:p>
    <w:p>
      <w:pPr>
        <w:pStyle w:val="ListParagraph"/>
        <w:numPr>
          <w:ilvl w:val="0"/>
          <w:numId w:val="2"/>
        </w:numPr>
        <w:spacing w:after="160" w:before="0"/>
      </w:pPr>
      <w:r>
        <w:rPr>
          <w:rFonts w:ascii="Arial" w:cs="Arial" w:eastAsia="Arial" w:hAnsi="Arial"/>
          <w:color w:val="4A4A6A"/>
          <w:sz w:val="24"/>
          <w:szCs w:val="24"/>
        </w:rPr>
        <w:t xml:space="preserve">Behavioural data as a moat is newly understood. The investment community has shifted its view on what constitutes defensibility in consumer apps. A proprietary dataset of emotional eating patterns, craving cycles, sensory preferences, and longitudinal food behaviour — built through genuine user engagement — is now recognised as a genuine competitive moat in a way that feature lists are not.</w:t>
      </w:r>
    </w:p>
    <w:p>
      <w:pPr>
        <w:pStyle w:val="ListParagraph"/>
        <w:numPr>
          <w:ilvl w:val="0"/>
          <w:numId w:val="2"/>
        </w:numPr>
        <w:spacing w:after="160" w:before="0"/>
      </w:pPr>
      <w:r>
        <w:rPr>
          <w:rFonts w:ascii="Arial" w:cs="Arial" w:eastAsia="Arial" w:hAnsi="Arial"/>
          <w:color w:val="4A4A6A"/>
          <w:sz w:val="24"/>
          <w:szCs w:val="24"/>
        </w:rPr>
        <w:t xml:space="preserve">The creator economy has proven community-as-content. Platforms built on user-generated content with social mechanics — voting, remixing, community validation — have demonstrated sustainable engagement in ways that purely algorithmic feeds have not. FuelSync's community meal card mechanic sits directly in this proven model.</w:t>
      </w:r>
    </w:p>
    <w:p>
      <w:pPr>
        <w:spacing w:after="80" w:before="0"/>
      </w:pPr>
    </w:p>
    <w:p>
      <w:pPr>
        <w:spacing w:after="120" w:before="400"/>
      </w:pPr>
      <w:r>
        <w:rPr>
          <w:rFonts w:ascii="Arial" w:cs="Arial" w:eastAsia="Arial" w:hAnsi="Arial"/>
          <w:b/>
          <w:bCs/>
          <w:color w:val="1A1A2E"/>
          <w:sz w:val="26"/>
          <w:szCs w:val="26"/>
        </w:rPr>
        <w:t xml:space="preserve">The Expansion Pathway</w:t>
      </w:r>
    </w:p>
    <w:p>
      <w:pPr>
        <w:spacing w:after="200" w:before="0"/>
      </w:pPr>
      <w:r>
        <w:rPr>
          <w:rFonts w:ascii="Arial" w:cs="Arial" w:eastAsia="Arial" w:hAnsi="Arial"/>
          <w:color w:val="4A4A6A"/>
          <w:sz w:val="24"/>
          <w:szCs w:val="24"/>
        </w:rPr>
        <w:t xml:space="preserve">FuelSync's market expansion follows a deliberate sequence designed to prove the core mechanic at each stage before extending it:</w:t>
      </w:r>
    </w:p>
    <w:p>
      <w:pPr>
        <w:pStyle w:val="ListParagraph"/>
        <w:numPr>
          <w:ilvl w:val="0"/>
          <w:numId w:val="2"/>
        </w:numPr>
        <w:spacing w:after="160" w:before="0"/>
      </w:pPr>
      <w:r>
        <w:rPr>
          <w:rFonts w:ascii="Arial" w:cs="Arial" w:eastAsia="Arial" w:hAnsi="Arial"/>
          <w:color w:val="4A4A6A"/>
          <w:sz w:val="24"/>
          <w:szCs w:val="24"/>
        </w:rPr>
        <w:t xml:space="preserve">Stage 1 — Brisbane general population. Prove that users find their anchor meal and return to the app. Build the behavioural dataset. Establish community flywheel.</w:t>
      </w:r>
    </w:p>
    <w:p>
      <w:pPr>
        <w:pStyle w:val="ListParagraph"/>
        <w:numPr>
          <w:ilvl w:val="0"/>
          <w:numId w:val="2"/>
        </w:numPr>
        <w:spacing w:after="160" w:before="0"/>
      </w:pPr>
      <w:r>
        <w:rPr>
          <w:rFonts w:ascii="Arial" w:cs="Arial" w:eastAsia="Arial" w:hAnsi="Arial"/>
          <w:color w:val="4A4A6A"/>
          <w:sz w:val="24"/>
          <w:szCs w:val="24"/>
        </w:rPr>
        <w:t xml:space="preserve">Stage 2 — National Australian rollout. Expand grocery price integration to all major cities. Scale community content. Enter FuelSync Neuro with NDIS registration.</w:t>
      </w:r>
    </w:p>
    <w:p>
      <w:pPr>
        <w:pStyle w:val="ListParagraph"/>
        <w:numPr>
          <w:ilvl w:val="0"/>
          <w:numId w:val="2"/>
        </w:numPr>
        <w:spacing w:after="160" w:before="0"/>
      </w:pPr>
      <w:r>
        <w:rPr>
          <w:rFonts w:ascii="Arial" w:cs="Arial" w:eastAsia="Arial" w:hAnsi="Arial"/>
          <w:color w:val="4A4A6A"/>
          <w:sz w:val="24"/>
          <w:szCs w:val="24"/>
        </w:rPr>
        <w:t xml:space="preserve">Stage 3 — ADHD and neurodivergent expansion. Extend the Neuro architecture to ADHD food behaviour patterns. Deepen NDIS partnerships. Build dietitian collaboration tools.</w:t>
      </w:r>
    </w:p>
    <w:p>
      <w:pPr>
        <w:pStyle w:val="ListParagraph"/>
        <w:numPr>
          <w:ilvl w:val="0"/>
          <w:numId w:val="2"/>
        </w:numPr>
        <w:spacing w:after="160" w:before="0"/>
      </w:pPr>
      <w:r>
        <w:rPr>
          <w:rFonts w:ascii="Arial" w:cs="Arial" w:eastAsia="Arial" w:hAnsi="Arial"/>
          <w:color w:val="4A4A6A"/>
          <w:sz w:val="24"/>
          <w:szCs w:val="24"/>
        </w:rPr>
        <w:t xml:space="preserve">Stage 4 — Performance and body composition market. Same platform, different goal state. Muscle gain, energy optimisation, sport-specific nutrition — all served through the same behavioural intelligence engine.</w:t>
      </w:r>
    </w:p>
    <w:p>
      <w:pPr>
        <w:pStyle w:val="ListParagraph"/>
        <w:numPr>
          <w:ilvl w:val="0"/>
          <w:numId w:val="2"/>
        </w:numPr>
        <w:spacing w:after="160" w:before="0"/>
      </w:pPr>
      <w:r>
        <w:rPr>
          <w:rFonts w:ascii="Arial" w:cs="Arial" w:eastAsia="Arial" w:hAnsi="Arial"/>
          <w:color w:val="4A4A6A"/>
          <w:sz w:val="24"/>
          <w:szCs w:val="24"/>
        </w:rPr>
        <w:t xml:space="preserve">Stage 5 — Chronic condition management. Diabetes, gut health, food intolerances. This is where FuelSync's longitudinal behavioural dataset becomes genuinely clinically valuable and where partnerships with healthcare providers become viable.</w:t>
      </w:r>
    </w:p>
    <w:p>
      <w:pPr>
        <w:spacing w:after="200" w:before="0"/>
      </w:pPr>
      <w:r>
        <w:rPr>
          <w:rFonts w:ascii="Arial" w:cs="Arial" w:eastAsia="Arial" w:hAnsi="Arial"/>
          <w:color w:val="4A4A6A"/>
          <w:sz w:val="24"/>
          <w:szCs w:val="24"/>
        </w:rPr>
        <w:t xml:space="preserve">Each stage compounds the platform's value. The data collected in Stage 1 improves the recommendations in Stage 2. The community built in Stage 2 powers the content in Stages 3 and 4. The behavioural intelligence refined across all stages becomes the foundation for clinical partnerships in Stage 5.</w:t>
      </w:r>
    </w:p>
    <w:p>
      <w:pPr>
        <w:spacing w:after="240" w:before="0"/>
      </w:pPr>
    </w:p>
    <w:p>
      <w:pPr>
        <w:pBdr>
          <w:top w:val="single" w:color="2EC4B6" w:sz="8" w:space="8"/>
        </w:pBdr>
        <w:spacing w:after="80" w:before="240"/>
      </w:pPr>
      <w:r>
        <w:rPr>
          <w:rFonts w:ascii="Arial" w:cs="Arial" w:eastAsia="Arial" w:hAnsi="Arial"/>
          <w:b/>
          <w:bCs/>
          <w:color w:val="1A1A2E"/>
          <w:sz w:val="24"/>
          <w:szCs w:val="24"/>
        </w:rPr>
        <w:t xml:space="preserve">The market case in one paragraph</w:t>
      </w:r>
    </w:p>
    <w:p>
      <w:pPr>
        <w:spacing w:after="120" w:before="0"/>
      </w:pPr>
      <w:r>
        <w:rPr>
          <w:rFonts w:ascii="Arial" w:cs="Arial" w:eastAsia="Arial" w:hAnsi="Arial"/>
          <w:color w:val="4A4A6A"/>
          <w:sz w:val="24"/>
          <w:szCs w:val="24"/>
        </w:rPr>
        <w:t xml:space="preserve">FuelSync enters a $10B+ Australian wellness market through the most credible entry point available — a founder who personally proved the thesis, targeting the 12 million Australians who have tried and failed at conventional approaches. It immediately extends into the NDIS ecosystem through FuelSync Neuro, accessing a funded revenue stream no competitor is positioned to capture. And it is built on an architecture that compounds across every new population it serves — not a series of separate products, but a single intelligent platform that gets smarter, more defensible, and more valuable with every user who finds their meal.</w:t>
      </w:r>
    </w:p>
    <w:p>
      <w:pPr>
        <w:spacing w:after="480" w:before="0"/>
      </w:pPr>
    </w:p>
    <w:p>
      <w:pPr>
        <w:spacing w:after="0" w:before="0"/>
      </w:pPr>
      <w:r>
        <w:rPr>
          <w:rFonts w:ascii="Arial" w:cs="Arial" w:eastAsia="Arial" w:hAnsi="Arial"/>
          <w:color w:val="AAAAAA"/>
          <w:sz w:val="18"/>
          <w:szCs w:val="18"/>
        </w:rPr>
        <w:t xml:space="preserve">FuelSync  |  Brisbane, Australia  |  Document 03 of 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2026-04-14T01:38:22.624Z</dcterms:created>
  <dcterms:modified xsi:type="dcterms:W3CDTF">2026-04-14T01:38:22.626Z</dcterms:modified>
</cp:coreProperties>
</file>

<file path=docProps/custom.xml><?xml version="1.0" encoding="utf-8"?>
<Properties xmlns="http://schemas.openxmlformats.org/officeDocument/2006/custom-properties" xmlns:vt="http://schemas.openxmlformats.org/officeDocument/2006/docPropsVTypes"/>
</file>