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7B5FFF"/>
          <w:spacing w:val="60"/>
          <w:sz w:val="18"/>
          <w:szCs w:val="18"/>
        </w:rPr>
        <w:t xml:space="preserve">FUELSYNC — DOCUMENT 10</w:t>
      </w:r>
    </w:p>
    <w:p>
      <w:pPr>
        <w:pBdr>
          <w:bottom w:val="single" w:color="7B5FFF" w:sz="6" w:space="1"/>
        </w:pBdr>
        <w:spacing w:after="240" w:before="0"/>
      </w:pPr>
    </w:p>
    <w:p>
      <w:pPr>
        <w:spacing w:after="80" w:before="0"/>
      </w:pPr>
    </w:p>
    <w:p>
      <w:pPr>
        <w:spacing w:after="160" w:before="0"/>
      </w:pPr>
      <w:r>
        <w:rPr>
          <w:rFonts w:ascii="Arial" w:cs="Arial" w:eastAsia="Arial" w:hAnsi="Arial"/>
          <w:b/>
          <w:bCs/>
          <w:color w:val="1A1A2E"/>
          <w:sz w:val="36"/>
          <w:szCs w:val="36"/>
        </w:rPr>
        <w:t xml:space="preserve">Competitive Landscape</w:t>
      </w:r>
    </w:p>
    <w:p>
      <w:pPr>
        <w:spacing w:after="200" w:before="0"/>
      </w:pPr>
      <w:r>
        <w:rPr>
          <w:rFonts w:ascii="Arial" w:cs="Arial" w:eastAsia="Arial" w:hAnsi="Arial"/>
          <w:color w:val="4A4A6A"/>
          <w:sz w:val="24"/>
          <w:szCs w:val="24"/>
        </w:rPr>
        <w:t xml:space="preserve">Why not just use MyFitnessPal? The answer to the question every investor asks first — a systematic analysis of what already exists, where it fails, and why FuelSync occupies a position no current product can easily reach.</w:t>
      </w:r>
    </w:p>
    <w:p>
      <w:pPr>
        <w:spacing w:after="240" w:before="0"/>
      </w:pPr>
    </w:p>
    <w:p>
      <w:pPr>
        <w:spacing w:after="120" w:before="400"/>
      </w:pPr>
      <w:r>
        <w:rPr>
          <w:rFonts w:ascii="Arial" w:cs="Arial" w:eastAsia="Arial" w:hAnsi="Arial"/>
          <w:b/>
          <w:bCs/>
          <w:color w:val="1A1A2E"/>
          <w:sz w:val="26"/>
          <w:szCs w:val="26"/>
        </w:rPr>
        <w:t xml:space="preserve">Part 1 — The Competitive Field</w:t>
      </w:r>
    </w:p>
    <w:p>
      <w:pPr>
        <w:spacing w:after="200" w:before="0"/>
      </w:pPr>
      <w:r>
        <w:rPr>
          <w:rFonts w:ascii="Arial" w:cs="Arial" w:eastAsia="Arial" w:hAnsi="Arial"/>
          <w:color w:val="4A4A6A"/>
          <w:sz w:val="24"/>
          <w:szCs w:val="24"/>
        </w:rPr>
        <w:t xml:space="preserve">The Australian nutrition app market is dominated by a small number of large incumbents, all built on the same core assumption: that people fail to eat well because they lack information and structure. Give them a calorie target and a food database, and the problem is solved.</w:t>
      </w:r>
    </w:p>
    <w:p>
      <w:pPr>
        <w:spacing w:after="200" w:before="0"/>
      </w:pPr>
      <w:r>
        <w:rPr>
          <w:rFonts w:ascii="Arial" w:cs="Arial" w:eastAsia="Arial" w:hAnsi="Arial"/>
          <w:color w:val="4A4A6A"/>
          <w:sz w:val="24"/>
          <w:szCs w:val="24"/>
        </w:rPr>
        <w:t xml:space="preserve">This assumption has produced a category with a 53% abandonment rate within 30 days and 70% within 100 days. The market is not failing because the products are poorly built. It is failing because the category's core mechanic — tracking and restriction — is misaligned with how lasting food habits actually form.</w:t>
      </w:r>
    </w:p>
    <w:p>
      <w:pPr>
        <w:spacing w:after="200" w:before="0"/>
      </w:pPr>
      <w:r>
        <w:rPr>
          <w:rFonts w:ascii="Arial" w:cs="Arial" w:eastAsia="Arial" w:hAnsi="Arial"/>
          <w:color w:val="4A4A6A"/>
          <w:sz w:val="24"/>
          <w:szCs w:val="24"/>
        </w:rPr>
        <w:t xml:space="preserve">FuelSync does not compete on execution quality within this category. It competes by being a fundamentally different category.</w:t>
      </w:r>
    </w:p>
    <w:p>
      <w:pPr>
        <w:spacing w:after="80" w:before="0"/>
      </w:pPr>
    </w:p>
    <w:p>
      <w:pPr>
        <w:spacing w:after="120" w:before="400"/>
      </w:pPr>
      <w:r>
        <w:rPr>
          <w:rFonts w:ascii="Arial" w:cs="Arial" w:eastAsia="Arial" w:hAnsi="Arial"/>
          <w:b/>
          <w:bCs/>
          <w:color w:val="1A1A2E"/>
          <w:sz w:val="26"/>
          <w:szCs w:val="26"/>
        </w:rPr>
        <w:t xml:space="preserve">Part 2 — Competitor Profiles</w:t>
      </w:r>
    </w:p>
    <w:p>
      <w:pPr>
        <w:spacing w:after="200" w:before="0"/>
      </w:pPr>
      <w:r>
        <w:rPr>
          <w:rFonts w:ascii="Arial" w:cs="Arial" w:eastAsia="Arial" w:hAnsi="Arial"/>
          <w:b/>
          <w:bCs/>
          <w:color w:val="1A1A2E"/>
          <w:sz w:val="24"/>
          <w:szCs w:val="24"/>
        </w:rPr>
        <w:t xml:space="preserve">MyFitnessPal</w:t>
      </w:r>
    </w:p>
    <w:p>
      <w:pPr>
        <w:spacing w:after="200" w:before="0"/>
      </w:pPr>
      <w:r>
        <w:rPr>
          <w:rFonts w:ascii="Arial" w:cs="Arial" w:eastAsia="Arial" w:hAnsi="Arial"/>
          <w:color w:val="4A4A6A"/>
          <w:sz w:val="24"/>
          <w:szCs w:val="24"/>
        </w:rPr>
        <w:t xml:space="preserve">The dominant player in Australian nutrition tracking. Approximately 279,000–367,000 weekly active Australian users in Q1 2024, making it the clear market leader locally. Premium pricing sits at approximately AUD $15–25/month depending on tier and exchange rate, with a free tier that has progressively paywalled previously free features including the barcode scanner.</w:t>
      </w:r>
    </w:p>
    <w:p>
      <w:pPr>
        <w:spacing w:after="200" w:before="0"/>
      </w:pPr>
      <w:r>
        <w:rPr>
          <w:rFonts w:ascii="Arial" w:cs="Arial" w:eastAsia="Arial" w:hAnsi="Arial"/>
          <w:color w:val="4A4A6A"/>
          <w:sz w:val="24"/>
          <w:szCs w:val="24"/>
        </w:rPr>
        <w:t xml:space="preserve">Core mechanic: manual food logging against a crowd-sourced food database with calorie and macro goals. The product is built entirely around the assumption that visibility of food intake drives behaviour change.</w:t>
      </w:r>
    </w:p>
    <w:p>
      <w:pPr>
        <w:spacing w:after="200" w:before="0"/>
      </w:pPr>
      <w:r>
        <w:rPr>
          <w:rFonts w:ascii="Arial" w:cs="Arial" w:eastAsia="Arial" w:hAnsi="Arial"/>
          <w:color w:val="4A4A6A"/>
          <w:sz w:val="24"/>
          <w:szCs w:val="24"/>
        </w:rPr>
        <w:t xml:space="preserve">Known failure points from user reviews and retention data:</w:t>
      </w:r>
    </w:p>
    <w:p>
      <w:pPr>
        <w:pStyle w:val="ListParagraph"/>
        <w:numPr>
          <w:ilvl w:val="0"/>
          <w:numId w:val="2"/>
        </w:numPr>
        <w:spacing w:after="160" w:before="0"/>
      </w:pPr>
      <w:r>
        <w:rPr>
          <w:rFonts w:ascii="Arial" w:cs="Arial" w:eastAsia="Arial" w:hAnsi="Arial"/>
          <w:color w:val="4A4A6A"/>
          <w:sz w:val="24"/>
          <w:szCs w:val="24"/>
        </w:rPr>
        <w:t xml:space="preserve">Progressive paywalling has alienated long-term users — barcode scanning, previously free, now premium</w:t>
      </w:r>
    </w:p>
    <w:p>
      <w:pPr>
        <w:pStyle w:val="ListParagraph"/>
        <w:numPr>
          <w:ilvl w:val="0"/>
          <w:numId w:val="2"/>
        </w:numPr>
        <w:spacing w:after="160" w:before="0"/>
      </w:pPr>
      <w:r>
        <w:rPr>
          <w:rFonts w:ascii="Arial" w:cs="Arial" w:eastAsia="Arial" w:hAnsi="Arial"/>
          <w:color w:val="4A4A6A"/>
          <w:sz w:val="24"/>
          <w:szCs w:val="24"/>
        </w:rPr>
        <w:t xml:space="preserve">Intrusive ads and upsell prompts in the free version create friction at the exact moment of engagement</w:t>
      </w:r>
    </w:p>
    <w:p>
      <w:pPr>
        <w:pStyle w:val="ListParagraph"/>
        <w:numPr>
          <w:ilvl w:val="0"/>
          <w:numId w:val="2"/>
        </w:numPr>
        <w:spacing w:after="160" w:before="0"/>
      </w:pPr>
      <w:r>
        <w:rPr>
          <w:rFonts w:ascii="Arial" w:cs="Arial" w:eastAsia="Arial" w:hAnsi="Arial"/>
          <w:color w:val="4A4A6A"/>
          <w:sz w:val="24"/>
          <w:szCs w:val="24"/>
        </w:rPr>
        <w:t xml:space="preserve">Database accuracy issues — crowd-sourced entries are inconsistent and frequently duplicated</w:t>
      </w:r>
    </w:p>
    <w:p>
      <w:pPr>
        <w:pStyle w:val="ListParagraph"/>
        <w:numPr>
          <w:ilvl w:val="0"/>
          <w:numId w:val="2"/>
        </w:numPr>
        <w:spacing w:after="160" w:before="0"/>
      </w:pPr>
      <w:r>
        <w:rPr>
          <w:rFonts w:ascii="Arial" w:cs="Arial" w:eastAsia="Arial" w:hAnsi="Arial"/>
          <w:color w:val="4A4A6A"/>
          <w:sz w:val="24"/>
          <w:szCs w:val="24"/>
        </w:rPr>
        <w:t xml:space="preserve">Manual logging burden is unsustainable for everyday users — too much effort relative to perceived benefit</w:t>
      </w:r>
    </w:p>
    <w:p>
      <w:pPr>
        <w:pStyle w:val="ListParagraph"/>
        <w:numPr>
          <w:ilvl w:val="0"/>
          <w:numId w:val="2"/>
        </w:numPr>
        <w:spacing w:after="160" w:before="0"/>
      </w:pPr>
      <w:r>
        <w:rPr>
          <w:rFonts w:ascii="Arial" w:cs="Arial" w:eastAsia="Arial" w:hAnsi="Arial"/>
          <w:color w:val="4A4A6A"/>
          <w:sz w:val="24"/>
          <w:szCs w:val="24"/>
        </w:rPr>
        <w:t xml:space="preserve">Calorie-centric mechanic induces guilt after lapses rather than supporting re-engagement</w:t>
      </w:r>
    </w:p>
    <w:p>
      <w:pPr>
        <w:spacing w:after="200" w:before="0"/>
      </w:pPr>
      <w:r>
        <w:rPr>
          <w:rFonts w:ascii="Arial" w:cs="Arial" w:eastAsia="Arial" w:hAnsi="Arial"/>
          <w:i/>
          <w:iCs/>
          <w:color w:val="888888"/>
          <w:sz w:val="22"/>
          <w:szCs w:val="22"/>
        </w:rPr>
        <w:t xml:space="preserve">Source: Sensor Tower Q1-Q2 2024 Australia; app store review analysis</w:t>
      </w:r>
    </w:p>
    <w:p>
      <w:pPr>
        <w:spacing w:after="80" w:before="0"/>
      </w:pPr>
    </w:p>
    <w:p>
      <w:pPr>
        <w:spacing w:after="200" w:before="0"/>
      </w:pPr>
      <w:r>
        <w:rPr>
          <w:rFonts w:ascii="Arial" w:cs="Arial" w:eastAsia="Arial" w:hAnsi="Arial"/>
          <w:b/>
          <w:bCs/>
          <w:color w:val="1A1A2E"/>
          <w:sz w:val="24"/>
          <w:szCs w:val="24"/>
        </w:rPr>
        <w:t xml:space="preserve">Noom</w:t>
      </w:r>
    </w:p>
    <w:p>
      <w:pPr>
        <w:spacing w:after="200" w:before="0"/>
      </w:pPr>
      <w:r>
        <w:rPr>
          <w:rFonts w:ascii="Arial" w:cs="Arial" w:eastAsia="Arial" w:hAnsi="Arial"/>
          <w:color w:val="4A4A6A"/>
          <w:sz w:val="24"/>
          <w:szCs w:val="24"/>
        </w:rPr>
        <w:t xml:space="preserve">The psychology-positioned challenger. Pricing in Australia sits at approximately AUD $20–40/month depending on plan duration, making it significantly more expensive than MyFitnessPal. Core mechanic combines CBT-inspired daily lessons, colour-coded food categorisation (green/yellow/red), calorie tracking, and human coach interactions.</w:t>
      </w:r>
    </w:p>
    <w:p>
      <w:pPr>
        <w:spacing w:after="200" w:before="0"/>
      </w:pPr>
      <w:r>
        <w:rPr>
          <w:rFonts w:ascii="Arial" w:cs="Arial" w:eastAsia="Arial" w:hAnsi="Arial"/>
          <w:color w:val="4A4A6A"/>
          <w:sz w:val="24"/>
          <w:szCs w:val="24"/>
        </w:rPr>
        <w:t xml:space="preserve">Noom is the closest existing product to FuelSync's psychological positioning — it explicitly acknowledges that behaviour change requires more than information. However its implementation of this insight has significant gaps:</w:t>
      </w:r>
    </w:p>
    <w:p>
      <w:pPr>
        <w:pStyle w:val="ListParagraph"/>
        <w:numPr>
          <w:ilvl w:val="0"/>
          <w:numId w:val="2"/>
        </w:numPr>
        <w:spacing w:after="160" w:before="0"/>
      </w:pPr>
      <w:r>
        <w:rPr>
          <w:rFonts w:ascii="Arial" w:cs="Arial" w:eastAsia="Arial" w:hAnsi="Arial"/>
          <w:color w:val="4A4A6A"/>
          <w:sz w:val="24"/>
          <w:szCs w:val="24"/>
        </w:rPr>
        <w:t xml:space="preserve">Daily lessons create cognitive load that contributes to burnout — users report disengaging from the curriculum within weeks</w:t>
      </w:r>
    </w:p>
    <w:p>
      <w:pPr>
        <w:pStyle w:val="ListParagraph"/>
        <w:numPr>
          <w:ilvl w:val="0"/>
          <w:numId w:val="2"/>
        </w:numPr>
        <w:spacing w:after="160" w:before="0"/>
      </w:pPr>
      <w:r>
        <w:rPr>
          <w:rFonts w:ascii="Arial" w:cs="Arial" w:eastAsia="Arial" w:hAnsi="Arial"/>
          <w:color w:val="4A4A6A"/>
          <w:sz w:val="24"/>
          <w:szCs w:val="24"/>
        </w:rPr>
        <w:t xml:space="preserve">Coaching is frequently experienced as scripted or bot-like rather than genuinely personalised</w:t>
      </w:r>
    </w:p>
    <w:p>
      <w:pPr>
        <w:pStyle w:val="ListParagraph"/>
        <w:numPr>
          <w:ilvl w:val="0"/>
          <w:numId w:val="2"/>
        </w:numPr>
        <w:spacing w:after="160" w:before="0"/>
      </w:pPr>
      <w:r>
        <w:rPr>
          <w:rFonts w:ascii="Arial" w:cs="Arial" w:eastAsia="Arial" w:hAnsi="Arial"/>
          <w:color w:val="4A4A6A"/>
          <w:sz w:val="24"/>
          <w:szCs w:val="24"/>
        </w:rPr>
        <w:t xml:space="preserve">The food colour-coding system (green/yellow/red) is still fundamentally judgmental — red foods trigger guilt rather than alternatives</w:t>
      </w:r>
    </w:p>
    <w:p>
      <w:pPr>
        <w:pStyle w:val="ListParagraph"/>
        <w:numPr>
          <w:ilvl w:val="0"/>
          <w:numId w:val="2"/>
        </w:numPr>
        <w:spacing w:after="160" w:before="0"/>
      </w:pPr>
      <w:r>
        <w:rPr>
          <w:rFonts w:ascii="Arial" w:cs="Arial" w:eastAsia="Arial" w:hAnsi="Arial"/>
          <w:color w:val="4A4A6A"/>
          <w:sz w:val="24"/>
          <w:szCs w:val="24"/>
        </w:rPr>
        <w:t xml:space="preserve">Aggressive sales funnel and documented difficulty cancelling subscriptions — a significant consumer trust issue</w:t>
      </w:r>
    </w:p>
    <w:p>
      <w:pPr>
        <w:pStyle w:val="ListParagraph"/>
        <w:numPr>
          <w:ilvl w:val="0"/>
          <w:numId w:val="2"/>
        </w:numPr>
        <w:spacing w:after="160" w:before="0"/>
      </w:pPr>
      <w:r>
        <w:rPr>
          <w:rFonts w:ascii="Arial" w:cs="Arial" w:eastAsia="Arial" w:hAnsi="Arial"/>
          <w:color w:val="4A4A6A"/>
          <w:sz w:val="24"/>
          <w:szCs w:val="24"/>
        </w:rPr>
        <w:t xml:space="preserve">Noom is pivoting toward telehealth and GLP-1 medication programs, moving away from the behavioural app space entirely</w:t>
      </w:r>
    </w:p>
    <w:p>
      <w:pPr>
        <w:spacing w:after="200" w:before="0"/>
      </w:pPr>
      <w:r>
        <w:rPr>
          <w:rFonts w:ascii="Arial" w:cs="Arial" w:eastAsia="Arial" w:hAnsi="Arial"/>
          <w:i/>
          <w:iCs/>
          <w:color w:val="888888"/>
          <w:sz w:val="22"/>
          <w:szCs w:val="22"/>
        </w:rPr>
        <w:t xml:space="preserve">Source: CHOICE Australia review; app store analysis; Noom public announcements 2024</w:t>
      </w:r>
    </w:p>
    <w:p>
      <w:pPr>
        <w:spacing w:after="80" w:before="0"/>
      </w:pPr>
    </w:p>
    <w:p>
      <w:pPr>
        <w:spacing w:after="200" w:before="0"/>
      </w:pPr>
      <w:r>
        <w:rPr>
          <w:rFonts w:ascii="Arial" w:cs="Arial" w:eastAsia="Arial" w:hAnsi="Arial"/>
          <w:b/>
          <w:bCs/>
          <w:color w:val="1A1A2E"/>
          <w:sz w:val="24"/>
          <w:szCs w:val="24"/>
        </w:rPr>
        <w:t xml:space="preserve">Cronometer</w:t>
      </w:r>
    </w:p>
    <w:p>
      <w:pPr>
        <w:spacing w:after="200" w:before="0"/>
      </w:pPr>
      <w:r>
        <w:rPr>
          <w:rFonts w:ascii="Arial" w:cs="Arial" w:eastAsia="Arial" w:hAnsi="Arial"/>
          <w:color w:val="4A4A6A"/>
          <w:sz w:val="24"/>
          <w:szCs w:val="24"/>
        </w:rPr>
        <w:t xml:space="preserve">The data-accuracy specialist. Approximately 8–13 million registered users globally as of 2024–2025, with strong presence among nutrition professionals, athletes, and quantified-self communities. Premium pricing approximately AUD $15+/month. Core mechanic focuses on highly detailed macro and micronutrient tracking using verified data sources rather than crowd-sourced entries.</w:t>
      </w:r>
    </w:p>
    <w:p>
      <w:pPr>
        <w:spacing w:after="200" w:before="0"/>
      </w:pPr>
      <w:r>
        <w:rPr>
          <w:rFonts w:ascii="Arial" w:cs="Arial" w:eastAsia="Arial" w:hAnsi="Arial"/>
          <w:color w:val="4A4A6A"/>
          <w:sz w:val="24"/>
          <w:szCs w:val="24"/>
        </w:rPr>
        <w:t xml:space="preserve">Cronometer has found a defensible niche but it is narrow — the product is explicitly designed for motivated, numerate users who want comprehensive data. Common complaints centre on steep learning curve and overwhelming interface for everyday users. It is not a product that the primary FuelSync market segment — people who have tried and failed at calorie tracking — would find accessible or appealing.</w:t>
      </w:r>
    </w:p>
    <w:p>
      <w:pPr>
        <w:spacing w:after="200" w:before="0"/>
      </w:pPr>
      <w:r>
        <w:rPr>
          <w:rFonts w:ascii="Arial" w:cs="Arial" w:eastAsia="Arial" w:hAnsi="Arial"/>
          <w:i/>
          <w:iCs/>
          <w:color w:val="888888"/>
          <w:sz w:val="22"/>
          <w:szCs w:val="22"/>
        </w:rPr>
        <w:t xml:space="preserve">Source: Cronometer public announcements; Reddit r/cronometer community data 2025</w:t>
      </w:r>
    </w:p>
    <w:p>
      <w:pPr>
        <w:spacing w:after="80" w:before="0"/>
      </w:pPr>
    </w:p>
    <w:p>
      <w:pPr>
        <w:spacing w:after="200" w:before="0"/>
      </w:pPr>
      <w:r>
        <w:rPr>
          <w:rFonts w:ascii="Arial" w:cs="Arial" w:eastAsia="Arial" w:hAnsi="Arial"/>
          <w:b/>
          <w:bCs/>
          <w:color w:val="1A1A2E"/>
          <w:sz w:val="24"/>
          <w:szCs w:val="24"/>
        </w:rPr>
        <w:t xml:space="preserve">Lose It!</w:t>
      </w:r>
    </w:p>
    <w:p>
      <w:pPr>
        <w:spacing w:after="200" w:before="0"/>
      </w:pPr>
      <w:r>
        <w:rPr>
          <w:rFonts w:ascii="Arial" w:cs="Arial" w:eastAsia="Arial" w:hAnsi="Arial"/>
          <w:color w:val="4A4A6A"/>
          <w:sz w:val="24"/>
          <w:szCs w:val="24"/>
        </w:rPr>
        <w:t xml:space="preserve">A more approachable calorie tracker with gamification elements. Premium pricing approximately AUD $15–16/month or AUD $60–70/year, with frequent discounts and lifetime deals. Historically cited 40+ million downloads, though current MAU is not public. Core mechanic is a calorie budget with daily logging, progress charts, and a slightly more gamified experience than MyFitnessPal.</w:t>
      </w:r>
    </w:p>
    <w:p>
      <w:pPr>
        <w:spacing w:after="200" w:before="0"/>
      </w:pPr>
      <w:r>
        <w:rPr>
          <w:rFonts w:ascii="Arial" w:cs="Arial" w:eastAsia="Arial" w:hAnsi="Arial"/>
          <w:color w:val="4A4A6A"/>
          <w:sz w:val="24"/>
          <w:szCs w:val="24"/>
        </w:rPr>
        <w:t xml:space="preserve">Lose It! occupies a middle ground between MyFitnessPal's depth and a more casual experience — but it is still fundamentally a calorie logger. User complaints focus on ads and upsell friction in the free tier and limited feature evolution compared to newer entrants. No significant funding news in 2024–2025 — the product appears to be in maintenance mode rather than actively developing.</w:t>
      </w:r>
    </w:p>
    <w:p>
      <w:pPr>
        <w:spacing w:after="80" w:before="0"/>
      </w:pPr>
    </w:p>
    <w:p>
      <w:pPr>
        <w:spacing w:after="200" w:before="0"/>
      </w:pPr>
      <w:r>
        <w:rPr>
          <w:rFonts w:ascii="Arial" w:cs="Arial" w:eastAsia="Arial" w:hAnsi="Arial"/>
          <w:b/>
          <w:bCs/>
          <w:color w:val="1A1A2E"/>
          <w:sz w:val="24"/>
          <w:szCs w:val="24"/>
        </w:rPr>
        <w:t xml:space="preserve">Eat This Much</w:t>
      </w:r>
    </w:p>
    <w:p>
      <w:pPr>
        <w:spacing w:after="200" w:before="0"/>
      </w:pPr>
      <w:r>
        <w:rPr>
          <w:rFonts w:ascii="Arial" w:cs="Arial" w:eastAsia="Arial" w:hAnsi="Arial"/>
          <w:color w:val="4A4A6A"/>
          <w:sz w:val="24"/>
          <w:szCs w:val="24"/>
        </w:rPr>
        <w:t xml:space="preserve">The automated meal planner — and the closest existing product to FuelSync's mechanic in terms of reducing food decision burden. Australian App Store pricing approximately AUD $14–23/month. Core mechanic generates full meal plans and grocery lists based on user-specified calories, macros, budget, and schedule.</w:t>
      </w:r>
    </w:p>
    <w:p>
      <w:pPr>
        <w:spacing w:after="200" w:before="0"/>
      </w:pPr>
      <w:r>
        <w:rPr>
          <w:rFonts w:ascii="Arial" w:cs="Arial" w:eastAsia="Arial" w:hAnsi="Arial"/>
          <w:color w:val="4A4A6A"/>
          <w:sz w:val="24"/>
          <w:szCs w:val="24"/>
        </w:rPr>
        <w:t xml:space="preserve">Eat This Much is the competitor that most validates FuelSync's thesis — it exists precisely because people want meal decisions made for them rather than just tracked. However it lacks everything that makes FuelSync's approach sustainable:</w:t>
      </w:r>
    </w:p>
    <w:p>
      <w:pPr>
        <w:pStyle w:val="ListParagraph"/>
        <w:numPr>
          <w:ilvl w:val="0"/>
          <w:numId w:val="2"/>
        </w:numPr>
        <w:spacing w:after="160" w:before="0"/>
      </w:pPr>
      <w:r>
        <w:rPr>
          <w:rFonts w:ascii="Arial" w:cs="Arial" w:eastAsia="Arial" w:hAnsi="Arial"/>
          <w:color w:val="4A4A6A"/>
          <w:sz w:val="24"/>
          <w:szCs w:val="24"/>
        </w:rPr>
        <w:t xml:space="preserve">Plans can feel unrealistic or repetitive without significant manual tweaking</w:t>
      </w:r>
    </w:p>
    <w:p>
      <w:pPr>
        <w:pStyle w:val="ListParagraph"/>
        <w:numPr>
          <w:ilvl w:val="0"/>
          <w:numId w:val="2"/>
        </w:numPr>
        <w:spacing w:after="160" w:before="0"/>
      </w:pPr>
      <w:r>
        <w:rPr>
          <w:rFonts w:ascii="Arial" w:cs="Arial" w:eastAsia="Arial" w:hAnsi="Arial"/>
          <w:color w:val="4A4A6A"/>
          <w:sz w:val="24"/>
          <w:szCs w:val="24"/>
        </w:rPr>
        <w:t xml:space="preserve">No emotional layer — the mechanic is algorithmic, not behavioural</w:t>
      </w:r>
    </w:p>
    <w:p>
      <w:pPr>
        <w:pStyle w:val="ListParagraph"/>
        <w:numPr>
          <w:ilvl w:val="0"/>
          <w:numId w:val="2"/>
        </w:numPr>
        <w:spacing w:after="160" w:before="0"/>
      </w:pPr>
      <w:r>
        <w:rPr>
          <w:rFonts w:ascii="Arial" w:cs="Arial" w:eastAsia="Arial" w:hAnsi="Arial"/>
          <w:color w:val="4A4A6A"/>
          <w:sz w:val="24"/>
          <w:szCs w:val="24"/>
        </w:rPr>
        <w:t xml:space="preserve">No community element — meal suggestions are generic, not from real people</w:t>
      </w:r>
    </w:p>
    <w:p>
      <w:pPr>
        <w:pStyle w:val="ListParagraph"/>
        <w:numPr>
          <w:ilvl w:val="0"/>
          <w:numId w:val="2"/>
        </w:numPr>
        <w:spacing w:after="160" w:before="0"/>
      </w:pPr>
      <w:r>
        <w:rPr>
          <w:rFonts w:ascii="Arial" w:cs="Arial" w:eastAsia="Arial" w:hAnsi="Arial"/>
          <w:color w:val="4A4A6A"/>
          <w:sz w:val="24"/>
          <w:szCs w:val="24"/>
        </w:rPr>
        <w:t xml:space="preserve">No relapse handling — there is no spiral breaker equivalent</w:t>
      </w:r>
    </w:p>
    <w:p>
      <w:pPr>
        <w:pStyle w:val="ListParagraph"/>
        <w:numPr>
          <w:ilvl w:val="0"/>
          <w:numId w:val="2"/>
        </w:numPr>
        <w:spacing w:after="160" w:before="0"/>
      </w:pPr>
      <w:r>
        <w:rPr>
          <w:rFonts w:ascii="Arial" w:cs="Arial" w:eastAsia="Arial" w:hAnsi="Arial"/>
          <w:color w:val="4A4A6A"/>
          <w:sz w:val="24"/>
          <w:szCs w:val="24"/>
        </w:rPr>
        <w:t xml:space="preserve">UI is widely reported as dated and less polished than newer apps</w:t>
      </w:r>
    </w:p>
    <w:p>
      <w:pPr>
        <w:pStyle w:val="ListParagraph"/>
        <w:numPr>
          <w:ilvl w:val="0"/>
          <w:numId w:val="2"/>
        </w:numPr>
        <w:spacing w:after="160" w:before="0"/>
      </w:pPr>
      <w:r>
        <w:rPr>
          <w:rFonts w:ascii="Arial" w:cs="Arial" w:eastAsia="Arial" w:hAnsi="Arial"/>
          <w:color w:val="4A4A6A"/>
          <w:sz w:val="24"/>
          <w:szCs w:val="24"/>
        </w:rPr>
        <w:t xml:space="preserve">Grocery integration limited outside certain regions — Australian users report friction</w:t>
      </w:r>
    </w:p>
    <w:p>
      <w:pPr>
        <w:spacing w:after="80" w:before="0"/>
      </w:pPr>
    </w:p>
    <w:p>
      <w:pPr>
        <w:spacing w:after="200" w:before="0"/>
      </w:pPr>
      <w:r>
        <w:rPr>
          <w:rFonts w:ascii="Arial" w:cs="Arial" w:eastAsia="Arial" w:hAnsi="Arial"/>
          <w:b/>
          <w:bCs/>
          <w:color w:val="1A1A2E"/>
          <w:sz w:val="24"/>
          <w:szCs w:val="24"/>
        </w:rPr>
        <w:t xml:space="preserve">MacroFactor — Emerging AI-native competitor</w:t>
      </w:r>
    </w:p>
    <w:p>
      <w:pPr>
        <w:spacing w:after="200" w:before="0"/>
      </w:pPr>
      <w:r>
        <w:rPr>
          <w:rFonts w:ascii="Arial" w:cs="Arial" w:eastAsia="Arial" w:hAnsi="Arial"/>
          <w:color w:val="4A4A6A"/>
          <w:sz w:val="24"/>
          <w:szCs w:val="24"/>
        </w:rPr>
        <w:t xml:space="preserve">Available in Australia on both the App Store and Google Play, with an Australian food database and local barcode scanning. Australian App Store pricing: $17.49/month, $68.99 for 6 months (~$11.50/month), or $103.99/year (~$8.67/month). A 7-day free trial is available. Core mechanic uses a coaching algorithm that updates macro targets weekly based on logged intake and weight changes — explicitly designed not to punish deviations. Built by the Barbell Medicine/Stronger by Science ecosystem, targeting performance-oriented users.</w:t>
      </w:r>
    </w:p>
    <w:p>
      <w:pPr>
        <w:spacing w:after="200" w:before="0"/>
      </w:pPr>
      <w:r>
        <w:rPr>
          <w:rFonts w:ascii="Arial" w:cs="Arial" w:eastAsia="Arial" w:hAnsi="Arial"/>
          <w:color w:val="4A4A6A"/>
          <w:sz w:val="24"/>
          <w:szCs w:val="24"/>
        </w:rPr>
        <w:t xml:space="preserve">MacroFactor is the strongest signal that the market is moving toward algorithmic coaching rather than static plans, and that non-judgmental design is becoming a recognised differentiator. However it remains logging-dependent, skews toward performance and body composition rather than everyday behaviour change, has no community mechanic or neurodivergent functionality, and its annual price of AUD $103.99 is higher than FuelSync Premium at $119.99/year — making FuelSync price-competitive with the most technically advanced existing alternative.</w:t>
      </w:r>
    </w:p>
    <w:p>
      <w:pPr>
        <w:spacing w:after="200" w:before="0"/>
      </w:pPr>
      <w:r>
        <w:rPr>
          <w:rFonts w:ascii="Arial" w:cs="Arial" w:eastAsia="Arial" w:hAnsi="Arial"/>
          <w:i/>
          <w:iCs/>
          <w:color w:val="888888"/>
          <w:sz w:val="22"/>
          <w:szCs w:val="22"/>
        </w:rPr>
        <w:t xml:space="preserve">Source: Apple App Store Australia — MacroFactor listing (2026); macrofactor.com</w:t>
      </w:r>
    </w:p>
    <w:p>
      <w:pPr>
        <w:spacing w:after="80" w:before="0"/>
      </w:pPr>
    </w:p>
    <w:p>
      <w:pPr>
        <w:spacing w:after="120" w:before="400"/>
      </w:pPr>
      <w:r>
        <w:rPr>
          <w:rFonts w:ascii="Arial" w:cs="Arial" w:eastAsia="Arial" w:hAnsi="Arial"/>
          <w:b/>
          <w:bCs/>
          <w:color w:val="1A1A2E"/>
          <w:sz w:val="26"/>
          <w:szCs w:val="26"/>
        </w:rPr>
        <w:t xml:space="preserve">Part 3 — The Full Competitive Matrix</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1300"/>
        <w:gridCol w:w="1300"/>
        <w:gridCol w:w="1300"/>
        <w:gridCol w:w="1300"/>
        <w:gridCol w:w="1260"/>
      </w:tblGrid>
      <w:tr>
        <w:tc>
          <w:tcPr>
            <w:tcW w:type="dxa" w:w="1337"/>
            <w:tcBorders>
              <w:top w:val="single" w:color="E8E8F0" w:sz="1"/>
              <w:left w:val="single" w:color="E8E8F0" w:sz="1"/>
              <w:bottom w:val="single" w:color="E8E8F0" w:sz="1"/>
              <w:right w:val="single" w:color="E8E8F0" w:sz="1"/>
            </w:tcBorders>
            <w:shd w:fill="EDE9FF" w:val="clear"/>
            <w:tcMar>
              <w:top w:type="dxa" w:w="120"/>
              <w:left w:type="dxa" w:w="160"/>
              <w:bottom w:type="dxa" w:w="120"/>
              <w:right w:type="dxa" w:w="160"/>
            </w:tcMar>
          </w:tcPr>
          <w:p>
            <w:r>
              <w:rPr>
                <w:rFonts w:ascii="Arial" w:cs="Arial" w:eastAsia="Arial" w:hAnsi="Arial"/>
                <w:b/>
                <w:bCs/>
                <w:color w:val="7B5FFF"/>
                <w:sz w:val="20"/>
                <w:szCs w:val="20"/>
              </w:rPr>
              <w:t xml:space="preserve"/>
            </w:r>
          </w:p>
        </w:tc>
        <w:tc>
          <w:tcPr>
            <w:tcW w:type="dxa" w:w="1337"/>
            <w:tcBorders>
              <w:top w:val="single" w:color="E8E8F0" w:sz="1"/>
              <w:left w:val="single" w:color="E8E8F0" w:sz="1"/>
              <w:bottom w:val="single" w:color="E8E8F0" w:sz="1"/>
              <w:right w:val="single" w:color="E8E8F0" w:sz="1"/>
            </w:tcBorders>
            <w:shd w:fill="EDE9FF" w:val="clear"/>
            <w:tcMar>
              <w:top w:type="dxa" w:w="120"/>
              <w:left w:type="dxa" w:w="160"/>
              <w:bottom w:type="dxa" w:w="120"/>
              <w:right w:type="dxa" w:w="160"/>
            </w:tcMar>
          </w:tcPr>
          <w:p>
            <w:r>
              <w:rPr>
                <w:rFonts w:ascii="Arial" w:cs="Arial" w:eastAsia="Arial" w:hAnsi="Arial"/>
                <w:b/>
                <w:bCs/>
                <w:color w:val="7B5FFF"/>
                <w:sz w:val="20"/>
                <w:szCs w:val="20"/>
              </w:rPr>
              <w:t xml:space="preserve">MFP</w:t>
            </w:r>
          </w:p>
        </w:tc>
        <w:tc>
          <w:tcPr>
            <w:tcW w:type="dxa" w:w="1337"/>
            <w:tcBorders>
              <w:top w:val="single" w:color="E8E8F0" w:sz="1"/>
              <w:left w:val="single" w:color="E8E8F0" w:sz="1"/>
              <w:bottom w:val="single" w:color="E8E8F0" w:sz="1"/>
              <w:right w:val="single" w:color="E8E8F0" w:sz="1"/>
            </w:tcBorders>
            <w:shd w:fill="EDE9FF" w:val="clear"/>
            <w:tcMar>
              <w:top w:type="dxa" w:w="120"/>
              <w:left w:type="dxa" w:w="160"/>
              <w:bottom w:type="dxa" w:w="120"/>
              <w:right w:type="dxa" w:w="160"/>
            </w:tcMar>
          </w:tcPr>
          <w:p>
            <w:r>
              <w:rPr>
                <w:rFonts w:ascii="Arial" w:cs="Arial" w:eastAsia="Arial" w:hAnsi="Arial"/>
                <w:b/>
                <w:bCs/>
                <w:color w:val="7B5FFF"/>
                <w:sz w:val="20"/>
                <w:szCs w:val="20"/>
              </w:rPr>
              <w:t xml:space="preserve">Noom</w:t>
            </w:r>
          </w:p>
        </w:tc>
        <w:tc>
          <w:tcPr>
            <w:tcW w:type="dxa" w:w="1337"/>
            <w:tcBorders>
              <w:top w:val="single" w:color="E8E8F0" w:sz="1"/>
              <w:left w:val="single" w:color="E8E8F0" w:sz="1"/>
              <w:bottom w:val="single" w:color="E8E8F0" w:sz="1"/>
              <w:right w:val="single" w:color="E8E8F0" w:sz="1"/>
            </w:tcBorders>
            <w:shd w:fill="EDE9FF" w:val="clear"/>
            <w:tcMar>
              <w:top w:type="dxa" w:w="120"/>
              <w:left w:type="dxa" w:w="160"/>
              <w:bottom w:type="dxa" w:w="120"/>
              <w:right w:type="dxa" w:w="160"/>
            </w:tcMar>
          </w:tcPr>
          <w:p>
            <w:r>
              <w:rPr>
                <w:rFonts w:ascii="Arial" w:cs="Arial" w:eastAsia="Arial" w:hAnsi="Arial"/>
                <w:b/>
                <w:bCs/>
                <w:color w:val="7B5FFF"/>
                <w:sz w:val="20"/>
                <w:szCs w:val="20"/>
              </w:rPr>
              <w:t xml:space="preserve">Cronometer</w:t>
            </w:r>
          </w:p>
        </w:tc>
        <w:tc>
          <w:tcPr>
            <w:tcW w:type="dxa" w:w="1337"/>
            <w:tcBorders>
              <w:top w:val="single" w:color="E8E8F0" w:sz="1"/>
              <w:left w:val="single" w:color="E8E8F0" w:sz="1"/>
              <w:bottom w:val="single" w:color="E8E8F0" w:sz="1"/>
              <w:right w:val="single" w:color="E8E8F0" w:sz="1"/>
            </w:tcBorders>
            <w:shd w:fill="EDE9FF" w:val="clear"/>
            <w:tcMar>
              <w:top w:type="dxa" w:w="120"/>
              <w:left w:type="dxa" w:w="160"/>
              <w:bottom w:type="dxa" w:w="120"/>
              <w:right w:type="dxa" w:w="160"/>
            </w:tcMar>
          </w:tcPr>
          <w:p>
            <w:r>
              <w:rPr>
                <w:rFonts w:ascii="Arial" w:cs="Arial" w:eastAsia="Arial" w:hAnsi="Arial"/>
                <w:b/>
                <w:bCs/>
                <w:color w:val="7B5FFF"/>
                <w:sz w:val="20"/>
                <w:szCs w:val="20"/>
              </w:rPr>
              <w:t xml:space="preserve">Lose It!</w:t>
            </w:r>
          </w:p>
        </w:tc>
        <w:tc>
          <w:tcPr>
            <w:tcW w:type="dxa" w:w="1337"/>
            <w:tcBorders>
              <w:top w:val="single" w:color="E8E8F0" w:sz="1"/>
              <w:left w:val="single" w:color="E8E8F0" w:sz="1"/>
              <w:bottom w:val="single" w:color="E8E8F0" w:sz="1"/>
              <w:right w:val="single" w:color="E8E8F0" w:sz="1"/>
            </w:tcBorders>
            <w:shd w:fill="EDE9FF" w:val="clear"/>
            <w:tcMar>
              <w:top w:type="dxa" w:w="120"/>
              <w:left w:type="dxa" w:w="160"/>
              <w:bottom w:type="dxa" w:w="120"/>
              <w:right w:type="dxa" w:w="160"/>
            </w:tcMar>
          </w:tcPr>
          <w:p>
            <w:r>
              <w:rPr>
                <w:rFonts w:ascii="Arial" w:cs="Arial" w:eastAsia="Arial" w:hAnsi="Arial"/>
                <w:b/>
                <w:bCs/>
                <w:color w:val="7B5FFF"/>
                <w:sz w:val="20"/>
                <w:szCs w:val="20"/>
              </w:rPr>
              <w:t xml:space="preserve">Eat This Much</w:t>
            </w:r>
          </w:p>
        </w:tc>
        <w:tc>
          <w:tcPr>
            <w:tcW w:type="dxa" w:w="1337"/>
            <w:tcBorders>
              <w:top w:val="single" w:color="E8E8F0" w:sz="1"/>
              <w:left w:val="single" w:color="E8E8F0" w:sz="1"/>
              <w:bottom w:val="single" w:color="E8E8F0" w:sz="1"/>
              <w:right w:val="single" w:color="E8E8F0" w:sz="1"/>
            </w:tcBorders>
            <w:shd w:fill="EDE9FF" w:val="clear"/>
            <w:tcMar>
              <w:top w:type="dxa" w:w="120"/>
              <w:left w:type="dxa" w:w="160"/>
              <w:bottom w:type="dxa" w:w="120"/>
              <w:right w:type="dxa" w:w="160"/>
            </w:tcMar>
          </w:tcPr>
          <w:p>
            <w:r>
              <w:rPr>
                <w:rFonts w:ascii="Arial" w:cs="Arial" w:eastAsia="Arial" w:hAnsi="Arial"/>
                <w:b/>
                <w:bCs/>
                <w:color w:val="7B5FFF"/>
                <w:sz w:val="20"/>
                <w:szCs w:val="20"/>
              </w:rPr>
              <w:t xml:space="preserve">FuelSync</w:t>
            </w:r>
          </w:p>
        </w:tc>
      </w:tr>
      <w:tr>
        <w:tc>
          <w:tcPr>
            <w:tcW w:type="dxa" w:w="1337"/>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Price AUD/month</w:t>
            </w:r>
          </w:p>
        </w:tc>
        <w:tc>
          <w:tcPr>
            <w:tcW w:type="dxa" w:w="1337"/>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$15–25</w:t>
            </w:r>
          </w:p>
        </w:tc>
        <w:tc>
          <w:tcPr>
            <w:tcW w:type="dxa" w:w="1337"/>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$20–40</w:t>
            </w:r>
          </w:p>
        </w:tc>
        <w:tc>
          <w:tcPr>
            <w:tcW w:type="dxa" w:w="1337"/>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$15+</w:t>
            </w:r>
          </w:p>
        </w:tc>
        <w:tc>
          <w:tcPr>
            <w:tcW w:type="dxa" w:w="1337"/>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$15–16</w:t>
            </w:r>
          </w:p>
        </w:tc>
        <w:tc>
          <w:tcPr>
            <w:tcW w:type="dxa" w:w="1337"/>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$14–23</w:t>
            </w:r>
          </w:p>
        </w:tc>
        <w:tc>
          <w:tcPr>
            <w:tcW w:type="dxa" w:w="1337"/>
            <w:tcBorders>
              <w:top w:val="single" w:color="E8E8F0" w:sz="1"/>
              <w:left w:val="single" w:color="E8E8F0" w:sz="1"/>
              <w:bottom w:val="single" w:color="E8E8F0" w:sz="1"/>
              <w:right w:val="single" w:color="E8E8F0" w:sz="1"/>
            </w:tcBorders>
            <w:shd w:fill="F0FDF4" w:val="clear"/>
            <w:tcMar>
              <w:top w:type="dxa" w:w="120"/>
              <w:left w:type="dxa" w:w="160"/>
              <w:bottom w:type="dxa" w:w="120"/>
              <w:right w:type="dxa" w:w="160"/>
            </w:tcMar>
          </w:tcPr>
          <w:p>
            <w:r>
              <w:rPr>
                <w:rFonts w:ascii="Arial" w:cs="Arial" w:eastAsia="Arial" w:hAnsi="Arial"/>
                <w:b/>
                <w:bCs/>
                <w:color w:val="16A34A"/>
                <w:sz w:val="22"/>
                <w:szCs w:val="22"/>
              </w:rPr>
              <w:t xml:space="preserve">$14.99 / $79 Neuro</w:t>
            </w:r>
          </w:p>
        </w:tc>
      </w:tr>
      <w:tr>
        <w:tc>
          <w:tcPr>
            <w:tcW w:type="dxa" w:w="1337"/>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Core mechanic</w:t>
            </w:r>
          </w:p>
        </w:tc>
        <w:tc>
          <w:tcPr>
            <w:tcW w:type="dxa" w:w="1337"/>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Calorie tracking</w:t>
            </w:r>
          </w:p>
        </w:tc>
        <w:tc>
          <w:tcPr>
            <w:tcW w:type="dxa" w:w="1337"/>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CBT + tracking</w:t>
            </w:r>
          </w:p>
        </w:tc>
        <w:tc>
          <w:tcPr>
            <w:tcW w:type="dxa" w:w="1337"/>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Nutrient tracking</w:t>
            </w:r>
          </w:p>
        </w:tc>
        <w:tc>
          <w:tcPr>
            <w:tcW w:type="dxa" w:w="1337"/>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Calorie budget</w:t>
            </w:r>
          </w:p>
        </w:tc>
        <w:tc>
          <w:tcPr>
            <w:tcW w:type="dxa" w:w="1337"/>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Meal auto-planner</w:t>
            </w:r>
          </w:p>
        </w:tc>
        <w:tc>
          <w:tcPr>
            <w:tcW w:type="dxa" w:w="1337"/>
            <w:tcBorders>
              <w:top w:val="single" w:color="E8E8F0" w:sz="1"/>
              <w:left w:val="single" w:color="E8E8F0" w:sz="1"/>
              <w:bottom w:val="single" w:color="E8E8F0" w:sz="1"/>
              <w:right w:val="single" w:color="E8E8F0" w:sz="1"/>
            </w:tcBorders>
            <w:shd w:fill="F0FDF4" w:val="clear"/>
            <w:tcMar>
              <w:top w:type="dxa" w:w="120"/>
              <w:left w:type="dxa" w:w="160"/>
              <w:bottom w:type="dxa" w:w="120"/>
              <w:right w:type="dxa" w:w="160"/>
            </w:tcMar>
          </w:tcPr>
          <w:p>
            <w:r>
              <w:rPr>
                <w:rFonts w:ascii="Arial" w:cs="Arial" w:eastAsia="Arial" w:hAnsi="Arial"/>
                <w:b/>
                <w:bCs/>
                <w:color w:val="16A34A"/>
                <w:sz w:val="22"/>
                <w:szCs w:val="22"/>
              </w:rPr>
              <w:t xml:space="preserve">Behavioural AI</w:t>
            </w:r>
          </w:p>
        </w:tc>
      </w:tr>
      <w:tr>
        <w:tc>
          <w:tcPr>
            <w:tcW w:type="dxa" w:w="1337"/>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Shame-free design</w:t>
            </w:r>
          </w:p>
        </w:tc>
        <w:tc>
          <w:tcPr>
            <w:tcW w:type="dxa" w:w="1337"/>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No</w:t>
            </w:r>
          </w:p>
        </w:tc>
        <w:tc>
          <w:tcPr>
            <w:tcW w:type="dxa" w:w="1337"/>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Partial</w:t>
            </w:r>
          </w:p>
        </w:tc>
        <w:tc>
          <w:tcPr>
            <w:tcW w:type="dxa" w:w="1337"/>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No</w:t>
            </w:r>
          </w:p>
        </w:tc>
        <w:tc>
          <w:tcPr>
            <w:tcW w:type="dxa" w:w="1337"/>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No</w:t>
            </w:r>
          </w:p>
        </w:tc>
        <w:tc>
          <w:tcPr>
            <w:tcW w:type="dxa" w:w="1337"/>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No</w:t>
            </w:r>
          </w:p>
        </w:tc>
        <w:tc>
          <w:tcPr>
            <w:tcW w:type="dxa" w:w="1337"/>
            <w:tcBorders>
              <w:top w:val="single" w:color="E8E8F0" w:sz="1"/>
              <w:left w:val="single" w:color="E8E8F0" w:sz="1"/>
              <w:bottom w:val="single" w:color="E8E8F0" w:sz="1"/>
              <w:right w:val="single" w:color="E8E8F0" w:sz="1"/>
            </w:tcBorders>
            <w:shd w:fill="F0FDF4" w:val="clear"/>
            <w:tcMar>
              <w:top w:type="dxa" w:w="120"/>
              <w:left w:type="dxa" w:w="160"/>
              <w:bottom w:type="dxa" w:w="120"/>
              <w:right w:type="dxa" w:w="160"/>
            </w:tcMar>
          </w:tcPr>
          <w:p>
            <w:r>
              <w:rPr>
                <w:rFonts w:ascii="Arial" w:cs="Arial" w:eastAsia="Arial" w:hAnsi="Arial"/>
                <w:b/>
                <w:bCs/>
                <w:color w:val="16A34A"/>
                <w:sz w:val="22"/>
                <w:szCs w:val="22"/>
              </w:rPr>
              <w:t xml:space="preserve">Yes</w:t>
            </w:r>
          </w:p>
        </w:tc>
      </w:tr>
      <w:tr>
        <w:tc>
          <w:tcPr>
            <w:tcW w:type="dxa" w:w="1337"/>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Emotional layer</w:t>
            </w:r>
          </w:p>
        </w:tc>
        <w:tc>
          <w:tcPr>
            <w:tcW w:type="dxa" w:w="1337"/>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No</w:t>
            </w:r>
          </w:p>
        </w:tc>
        <w:tc>
          <w:tcPr>
            <w:tcW w:type="dxa" w:w="1337"/>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Partial</w:t>
            </w:r>
          </w:p>
        </w:tc>
        <w:tc>
          <w:tcPr>
            <w:tcW w:type="dxa" w:w="1337"/>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No</w:t>
            </w:r>
          </w:p>
        </w:tc>
        <w:tc>
          <w:tcPr>
            <w:tcW w:type="dxa" w:w="1337"/>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No</w:t>
            </w:r>
          </w:p>
        </w:tc>
        <w:tc>
          <w:tcPr>
            <w:tcW w:type="dxa" w:w="1337"/>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No</w:t>
            </w:r>
          </w:p>
        </w:tc>
        <w:tc>
          <w:tcPr>
            <w:tcW w:type="dxa" w:w="1337"/>
            <w:tcBorders>
              <w:top w:val="single" w:color="E8E8F0" w:sz="1"/>
              <w:left w:val="single" w:color="E8E8F0" w:sz="1"/>
              <w:bottom w:val="single" w:color="E8E8F0" w:sz="1"/>
              <w:right w:val="single" w:color="E8E8F0" w:sz="1"/>
            </w:tcBorders>
            <w:shd w:fill="F0FDF4" w:val="clear"/>
            <w:tcMar>
              <w:top w:type="dxa" w:w="120"/>
              <w:left w:type="dxa" w:w="160"/>
              <w:bottom w:type="dxa" w:w="120"/>
              <w:right w:type="dxa" w:w="160"/>
            </w:tcMar>
          </w:tcPr>
          <w:p>
            <w:r>
              <w:rPr>
                <w:rFonts w:ascii="Arial" w:cs="Arial" w:eastAsia="Arial" w:hAnsi="Arial"/>
                <w:b/>
                <w:bCs/>
                <w:color w:val="16A34A"/>
                <w:sz w:val="22"/>
                <w:szCs w:val="22"/>
              </w:rPr>
              <w:t xml:space="preserve">Yes</w:t>
            </w:r>
          </w:p>
        </w:tc>
      </w:tr>
      <w:tr>
        <w:tc>
          <w:tcPr>
            <w:tcW w:type="dxa" w:w="1337"/>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Community mechanic</w:t>
            </w:r>
          </w:p>
        </w:tc>
        <w:tc>
          <w:tcPr>
            <w:tcW w:type="dxa" w:w="1337"/>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No</w:t>
            </w:r>
          </w:p>
        </w:tc>
        <w:tc>
          <w:tcPr>
            <w:tcW w:type="dxa" w:w="1337"/>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Group chat</w:t>
            </w:r>
          </w:p>
        </w:tc>
        <w:tc>
          <w:tcPr>
            <w:tcW w:type="dxa" w:w="1337"/>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No</w:t>
            </w:r>
          </w:p>
        </w:tc>
        <w:tc>
          <w:tcPr>
            <w:tcW w:type="dxa" w:w="1337"/>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No</w:t>
            </w:r>
          </w:p>
        </w:tc>
        <w:tc>
          <w:tcPr>
            <w:tcW w:type="dxa" w:w="1337"/>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No</w:t>
            </w:r>
          </w:p>
        </w:tc>
        <w:tc>
          <w:tcPr>
            <w:tcW w:type="dxa" w:w="1337"/>
            <w:tcBorders>
              <w:top w:val="single" w:color="E8E8F0" w:sz="1"/>
              <w:left w:val="single" w:color="E8E8F0" w:sz="1"/>
              <w:bottom w:val="single" w:color="E8E8F0" w:sz="1"/>
              <w:right w:val="single" w:color="E8E8F0" w:sz="1"/>
            </w:tcBorders>
            <w:shd w:fill="F0FDF4" w:val="clear"/>
            <w:tcMar>
              <w:top w:type="dxa" w:w="120"/>
              <w:left w:type="dxa" w:w="160"/>
              <w:bottom w:type="dxa" w:w="120"/>
              <w:right w:type="dxa" w:w="160"/>
            </w:tcMar>
          </w:tcPr>
          <w:p>
            <w:r>
              <w:rPr>
                <w:rFonts w:ascii="Arial" w:cs="Arial" w:eastAsia="Arial" w:hAnsi="Arial"/>
                <w:b/>
                <w:bCs/>
                <w:color w:val="16A34A"/>
                <w:sz w:val="22"/>
                <w:szCs w:val="22"/>
              </w:rPr>
              <w:t xml:space="preserve">Yes</w:t>
            </w:r>
          </w:p>
        </w:tc>
      </w:tr>
      <w:tr>
        <w:tc>
          <w:tcPr>
            <w:tcW w:type="dxa" w:w="1337"/>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Relapse handling</w:t>
            </w:r>
          </w:p>
        </w:tc>
        <w:tc>
          <w:tcPr>
            <w:tcW w:type="dxa" w:w="1337"/>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No</w:t>
            </w:r>
          </w:p>
        </w:tc>
        <w:tc>
          <w:tcPr>
            <w:tcW w:type="dxa" w:w="1337"/>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Partial</w:t>
            </w:r>
          </w:p>
        </w:tc>
        <w:tc>
          <w:tcPr>
            <w:tcW w:type="dxa" w:w="1337"/>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No</w:t>
            </w:r>
          </w:p>
        </w:tc>
        <w:tc>
          <w:tcPr>
            <w:tcW w:type="dxa" w:w="1337"/>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No</w:t>
            </w:r>
          </w:p>
        </w:tc>
        <w:tc>
          <w:tcPr>
            <w:tcW w:type="dxa" w:w="1337"/>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No</w:t>
            </w:r>
          </w:p>
        </w:tc>
        <w:tc>
          <w:tcPr>
            <w:tcW w:type="dxa" w:w="1337"/>
            <w:tcBorders>
              <w:top w:val="single" w:color="E8E8F0" w:sz="1"/>
              <w:left w:val="single" w:color="E8E8F0" w:sz="1"/>
              <w:bottom w:val="single" w:color="E8E8F0" w:sz="1"/>
              <w:right w:val="single" w:color="E8E8F0" w:sz="1"/>
            </w:tcBorders>
            <w:shd w:fill="F0FDF4" w:val="clear"/>
            <w:tcMar>
              <w:top w:type="dxa" w:w="120"/>
              <w:left w:type="dxa" w:w="160"/>
              <w:bottom w:type="dxa" w:w="120"/>
              <w:right w:type="dxa" w:w="160"/>
            </w:tcMar>
          </w:tcPr>
          <w:p>
            <w:r>
              <w:rPr>
                <w:rFonts w:ascii="Arial" w:cs="Arial" w:eastAsia="Arial" w:hAnsi="Arial"/>
                <w:b/>
                <w:bCs/>
                <w:color w:val="16A34A"/>
                <w:sz w:val="22"/>
                <w:szCs w:val="22"/>
              </w:rPr>
              <w:t xml:space="preserve">Yes — spiral breaker</w:t>
            </w:r>
          </w:p>
        </w:tc>
      </w:tr>
      <w:tr>
        <w:tc>
          <w:tcPr>
            <w:tcW w:type="dxa" w:w="1337"/>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Local grocery prices</w:t>
            </w:r>
          </w:p>
        </w:tc>
        <w:tc>
          <w:tcPr>
            <w:tcW w:type="dxa" w:w="1337"/>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No</w:t>
            </w:r>
          </w:p>
        </w:tc>
        <w:tc>
          <w:tcPr>
            <w:tcW w:type="dxa" w:w="1337"/>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No</w:t>
            </w:r>
          </w:p>
        </w:tc>
        <w:tc>
          <w:tcPr>
            <w:tcW w:type="dxa" w:w="1337"/>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No</w:t>
            </w:r>
          </w:p>
        </w:tc>
        <w:tc>
          <w:tcPr>
            <w:tcW w:type="dxa" w:w="1337"/>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No</w:t>
            </w:r>
          </w:p>
        </w:tc>
        <w:tc>
          <w:tcPr>
            <w:tcW w:type="dxa" w:w="1337"/>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Partial</w:t>
            </w:r>
          </w:p>
        </w:tc>
        <w:tc>
          <w:tcPr>
            <w:tcW w:type="dxa" w:w="1337"/>
            <w:tcBorders>
              <w:top w:val="single" w:color="E8E8F0" w:sz="1"/>
              <w:left w:val="single" w:color="E8E8F0" w:sz="1"/>
              <w:bottom w:val="single" w:color="E8E8F0" w:sz="1"/>
              <w:right w:val="single" w:color="E8E8F0" w:sz="1"/>
            </w:tcBorders>
            <w:shd w:fill="F0FDF4" w:val="clear"/>
            <w:tcMar>
              <w:top w:type="dxa" w:w="120"/>
              <w:left w:type="dxa" w:w="160"/>
              <w:bottom w:type="dxa" w:w="120"/>
              <w:right w:type="dxa" w:w="160"/>
            </w:tcMar>
          </w:tcPr>
          <w:p>
            <w:r>
              <w:rPr>
                <w:rFonts w:ascii="Arial" w:cs="Arial" w:eastAsia="Arial" w:hAnsi="Arial"/>
                <w:b/>
                <w:bCs/>
                <w:color w:val="16A34A"/>
                <w:sz w:val="22"/>
                <w:szCs w:val="22"/>
              </w:rPr>
              <w:t xml:space="preserve">Yes — community-sourced</w:t>
            </w:r>
          </w:p>
        </w:tc>
      </w:tr>
      <w:tr>
        <w:tc>
          <w:tcPr>
            <w:tcW w:type="dxa" w:w="1337"/>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Neurodivergent mode</w:t>
            </w:r>
          </w:p>
        </w:tc>
        <w:tc>
          <w:tcPr>
            <w:tcW w:type="dxa" w:w="1337"/>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No</w:t>
            </w:r>
          </w:p>
        </w:tc>
        <w:tc>
          <w:tcPr>
            <w:tcW w:type="dxa" w:w="1337"/>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No</w:t>
            </w:r>
          </w:p>
        </w:tc>
        <w:tc>
          <w:tcPr>
            <w:tcW w:type="dxa" w:w="1337"/>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No</w:t>
            </w:r>
          </w:p>
        </w:tc>
        <w:tc>
          <w:tcPr>
            <w:tcW w:type="dxa" w:w="1337"/>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No</w:t>
            </w:r>
          </w:p>
        </w:tc>
        <w:tc>
          <w:tcPr>
            <w:tcW w:type="dxa" w:w="1337"/>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No</w:t>
            </w:r>
          </w:p>
        </w:tc>
        <w:tc>
          <w:tcPr>
            <w:tcW w:type="dxa" w:w="1337"/>
            <w:tcBorders>
              <w:top w:val="single" w:color="E8E8F0" w:sz="1"/>
              <w:left w:val="single" w:color="E8E8F0" w:sz="1"/>
              <w:bottom w:val="single" w:color="E8E8F0" w:sz="1"/>
              <w:right w:val="single" w:color="E8E8F0" w:sz="1"/>
            </w:tcBorders>
            <w:shd w:fill="F0FDF4" w:val="clear"/>
            <w:tcMar>
              <w:top w:type="dxa" w:w="120"/>
              <w:left w:type="dxa" w:w="160"/>
              <w:bottom w:type="dxa" w:w="120"/>
              <w:right w:type="dxa" w:w="160"/>
            </w:tcMar>
          </w:tcPr>
          <w:p>
            <w:r>
              <w:rPr>
                <w:rFonts w:ascii="Arial" w:cs="Arial" w:eastAsia="Arial" w:hAnsi="Arial"/>
                <w:b/>
                <w:bCs/>
                <w:color w:val="16A34A"/>
                <w:sz w:val="22"/>
                <w:szCs w:val="22"/>
              </w:rPr>
              <w:t xml:space="preserve">Yes — NDIS funded</w:t>
            </w:r>
          </w:p>
        </w:tc>
      </w:tr>
      <w:tr>
        <w:tc>
          <w:tcPr>
            <w:tcW w:type="dxa" w:w="1337"/>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Agent-native AI</w:t>
            </w:r>
          </w:p>
        </w:tc>
        <w:tc>
          <w:tcPr>
            <w:tcW w:type="dxa" w:w="1337"/>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No</w:t>
            </w:r>
          </w:p>
        </w:tc>
        <w:tc>
          <w:tcPr>
            <w:tcW w:type="dxa" w:w="1337"/>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No</w:t>
            </w:r>
          </w:p>
        </w:tc>
        <w:tc>
          <w:tcPr>
            <w:tcW w:type="dxa" w:w="1337"/>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No</w:t>
            </w:r>
          </w:p>
        </w:tc>
        <w:tc>
          <w:tcPr>
            <w:tcW w:type="dxa" w:w="1337"/>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No</w:t>
            </w:r>
          </w:p>
        </w:tc>
        <w:tc>
          <w:tcPr>
            <w:tcW w:type="dxa" w:w="1337"/>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No</w:t>
            </w:r>
          </w:p>
        </w:tc>
        <w:tc>
          <w:tcPr>
            <w:tcW w:type="dxa" w:w="1337"/>
            <w:tcBorders>
              <w:top w:val="single" w:color="E8E8F0" w:sz="1"/>
              <w:left w:val="single" w:color="E8E8F0" w:sz="1"/>
              <w:bottom w:val="single" w:color="E8E8F0" w:sz="1"/>
              <w:right w:val="single" w:color="E8E8F0" w:sz="1"/>
            </w:tcBorders>
            <w:shd w:fill="F0FDF4" w:val="clear"/>
            <w:tcMar>
              <w:top w:type="dxa" w:w="120"/>
              <w:left w:type="dxa" w:w="160"/>
              <w:bottom w:type="dxa" w:w="120"/>
              <w:right w:type="dxa" w:w="160"/>
            </w:tcMar>
          </w:tcPr>
          <w:p>
            <w:r>
              <w:rPr>
                <w:rFonts w:ascii="Arial" w:cs="Arial" w:eastAsia="Arial" w:hAnsi="Arial"/>
                <w:b/>
                <w:bCs/>
                <w:color w:val="16A34A"/>
                <w:sz w:val="22"/>
                <w:szCs w:val="22"/>
              </w:rPr>
              <w:t xml:space="preserve">Yes</w:t>
            </w:r>
          </w:p>
        </w:tc>
      </w:tr>
      <w:tr>
        <w:tc>
          <w:tcPr>
            <w:tcW w:type="dxa" w:w="1337"/>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Anchor meal mechanic</w:t>
            </w:r>
          </w:p>
        </w:tc>
        <w:tc>
          <w:tcPr>
            <w:tcW w:type="dxa" w:w="1337"/>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No</w:t>
            </w:r>
          </w:p>
        </w:tc>
        <w:tc>
          <w:tcPr>
            <w:tcW w:type="dxa" w:w="1337"/>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No</w:t>
            </w:r>
          </w:p>
        </w:tc>
        <w:tc>
          <w:tcPr>
            <w:tcW w:type="dxa" w:w="1337"/>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No</w:t>
            </w:r>
          </w:p>
        </w:tc>
        <w:tc>
          <w:tcPr>
            <w:tcW w:type="dxa" w:w="1337"/>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No</w:t>
            </w:r>
          </w:p>
        </w:tc>
        <w:tc>
          <w:tcPr>
            <w:tcW w:type="dxa" w:w="1337"/>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No</w:t>
            </w:r>
          </w:p>
        </w:tc>
        <w:tc>
          <w:tcPr>
            <w:tcW w:type="dxa" w:w="1337"/>
            <w:tcBorders>
              <w:top w:val="single" w:color="E8E8F0" w:sz="1"/>
              <w:left w:val="single" w:color="E8E8F0" w:sz="1"/>
              <w:bottom w:val="single" w:color="E8E8F0" w:sz="1"/>
              <w:right w:val="single" w:color="E8E8F0" w:sz="1"/>
            </w:tcBorders>
            <w:shd w:fill="F0FDF4" w:val="clear"/>
            <w:tcMar>
              <w:top w:type="dxa" w:w="120"/>
              <w:left w:type="dxa" w:w="160"/>
              <w:bottom w:type="dxa" w:w="120"/>
              <w:right w:type="dxa" w:w="160"/>
            </w:tcMar>
          </w:tcPr>
          <w:p>
            <w:r>
              <w:rPr>
                <w:rFonts w:ascii="Arial" w:cs="Arial" w:eastAsia="Arial" w:hAnsi="Arial"/>
                <w:b/>
                <w:bCs/>
                <w:color w:val="16A34A"/>
                <w:sz w:val="22"/>
                <w:szCs w:val="22"/>
              </w:rPr>
              <w:t xml:space="preserve">Yes — core product</w:t>
            </w:r>
          </w:p>
        </w:tc>
      </w:tr>
    </w:tbl>
    <w:p>
      <w:pPr>
        <w:spacing w:after="240" w:before="0"/>
      </w:pPr>
    </w:p>
    <w:p>
      <w:pPr>
        <w:spacing w:after="120" w:before="400"/>
      </w:pPr>
      <w:r>
        <w:rPr>
          <w:rFonts w:ascii="Arial" w:cs="Arial" w:eastAsia="Arial" w:hAnsi="Arial"/>
          <w:b/>
          <w:bCs/>
          <w:color w:val="1A1A2E"/>
          <w:sz w:val="26"/>
          <w:szCs w:val="26"/>
        </w:rPr>
        <w:t xml:space="preserve">Part 4 — Why FuelSync Wins</w:t>
      </w:r>
    </w:p>
    <w:p>
      <w:pPr>
        <w:spacing w:after="200" w:before="0"/>
      </w:pPr>
      <w:r>
        <w:rPr>
          <w:rFonts w:ascii="Arial" w:cs="Arial" w:eastAsia="Arial" w:hAnsi="Arial"/>
          <w:color w:val="4A4A6A"/>
          <w:sz w:val="24"/>
          <w:szCs w:val="24"/>
        </w:rPr>
        <w:t xml:space="preserve">The matrix above shows feature differences, but the real competitive advantage is structural — not a list of features FuelSync has that others don't, but a fundamentally different answer to the question of why people fail at healthy eating.</w:t>
      </w:r>
    </w:p>
    <w:p>
      <w:pPr>
        <w:pBdr>
          <w:left w:val="single" w:color="7B5FFF" w:sz="16" w:space="20"/>
        </w:pBdr>
        <w:spacing w:after="320" w:before="320"/>
        <w:ind w:left="720"/>
      </w:pPr>
      <w:r>
        <w:rPr>
          <w:rFonts w:ascii="Arial" w:cs="Arial" w:eastAsia="Arial" w:hAnsi="Arial"/>
          <w:b/>
          <w:bCs/>
          <w:i/>
          <w:iCs/>
          <w:color w:val="7B5FFF"/>
          <w:sz w:val="26"/>
          <w:szCs w:val="26"/>
        </w:rPr>
        <w:t xml:space="preserve">Nobody is yet owning a low-guilt, habit-anchored, culturally adaptive product that explicitly targets people who tried calorie apps, felt worse, and quit. That is the FuelSync wedge.</w:t>
      </w:r>
    </w:p>
    <w:p>
      <w:pPr>
        <w:spacing w:after="200" w:before="0"/>
      </w:pPr>
      <w:r>
        <w:rPr>
          <w:rFonts w:ascii="Arial" w:cs="Arial" w:eastAsia="Arial" w:hAnsi="Arial"/>
          <w:color w:val="4A4A6A"/>
          <w:sz w:val="24"/>
          <w:szCs w:val="24"/>
        </w:rPr>
        <w:t xml:space="preserve">Every incumbent in this category is built on the same assumption — that the problem is informational. Give people the data about what they're eating and they'll change. This assumption is demonstrably wrong, and 70% abandonment within 100 days is the evidence.</w:t>
      </w:r>
    </w:p>
    <w:p>
      <w:pPr>
        <w:spacing w:after="200" w:before="0"/>
      </w:pPr>
      <w:r>
        <w:rPr>
          <w:rFonts w:ascii="Arial" w:cs="Arial" w:eastAsia="Arial" w:hAnsi="Arial"/>
          <w:color w:val="4A4A6A"/>
          <w:sz w:val="24"/>
          <w:szCs w:val="24"/>
        </w:rPr>
        <w:t xml:space="preserve">FuelSync's competitive advantages compound in three ways that incumbents cannot replicate through feature updates:</w:t>
      </w:r>
    </w:p>
    <w:p>
      <w:pPr>
        <w:spacing w:after="200" w:before="0"/>
      </w:pPr>
      <w:r>
        <w:rPr>
          <w:rFonts w:ascii="Arial" w:cs="Arial" w:eastAsia="Arial" w:hAnsi="Arial"/>
          <w:b/>
          <w:bCs/>
          <w:color w:val="1A1A2E"/>
          <w:sz w:val="24"/>
          <w:szCs w:val="24"/>
        </w:rPr>
        <w:t xml:space="preserve">1. Architectural — agent-native from day one</w:t>
      </w:r>
    </w:p>
    <w:p>
      <w:pPr>
        <w:spacing w:after="200" w:before="0"/>
      </w:pPr>
      <w:r>
        <w:rPr>
          <w:rFonts w:ascii="Arial" w:cs="Arial" w:eastAsia="Arial" w:hAnsi="Arial"/>
          <w:color w:val="4A4A6A"/>
          <w:sz w:val="24"/>
          <w:szCs w:val="24"/>
        </w:rPr>
        <w:t xml:space="preserve">MyFitnessPal, Noom, Lose It!, and Cronometer are all built on legacy calorie-tracking databases and manual logging architectures. Adding AI features to these products means bolting agentic reasoning onto a foundation designed for a fundamentally different mechanic. FuelSync is built agent-native — the reasoning engine, memory layer, and behavioural intelligence are the product, not additions to it. Incumbents cannot replicate this without a full rebuild.</w:t>
      </w:r>
    </w:p>
    <w:p>
      <w:pPr>
        <w:spacing w:after="200" w:before="0"/>
      </w:pPr>
      <w:r>
        <w:rPr>
          <w:rFonts w:ascii="Arial" w:cs="Arial" w:eastAsia="Arial" w:hAnsi="Arial"/>
          <w:b/>
          <w:bCs/>
          <w:color w:val="1A1A2E"/>
          <w:sz w:val="24"/>
          <w:szCs w:val="24"/>
        </w:rPr>
        <w:t xml:space="preserve">2. Behavioural data moat</w:t>
      </w:r>
    </w:p>
    <w:p>
      <w:pPr>
        <w:spacing w:after="200" w:before="0"/>
      </w:pPr>
      <w:r>
        <w:rPr>
          <w:rFonts w:ascii="Arial" w:cs="Arial" w:eastAsia="Arial" w:hAnsi="Arial"/>
          <w:color w:val="4A4A6A"/>
          <w:sz w:val="24"/>
          <w:szCs w:val="24"/>
        </w:rPr>
        <w:t xml:space="preserve">Every interaction on FuelSync — every emotional state tag, every meal return, every spiral recovery, every anchor meal identified — builds a longitudinal dataset of food behaviour that no competitor has collected. MyFitnessPal has calorie logs. FuelSync has emotional patterns, craving cycles, recovery trajectories, and anchor meal discovery data. This dataset improves the recommendation engine over time and is impossible to replicate retroactively.</w:t>
      </w:r>
    </w:p>
    <w:p>
      <w:pPr>
        <w:spacing w:after="200" w:before="0"/>
      </w:pPr>
      <w:r>
        <w:rPr>
          <w:rFonts w:ascii="Arial" w:cs="Arial" w:eastAsia="Arial" w:hAnsi="Arial"/>
          <w:b/>
          <w:bCs/>
          <w:color w:val="1A1A2E"/>
          <w:sz w:val="24"/>
          <w:szCs w:val="24"/>
        </w:rPr>
        <w:t xml:space="preserve">3. NDIS pathway — uncontested revenue stream</w:t>
      </w:r>
    </w:p>
    <w:p>
      <w:pPr>
        <w:spacing w:after="200" w:before="0"/>
      </w:pPr>
      <w:r>
        <w:rPr>
          <w:rFonts w:ascii="Arial" w:cs="Arial" w:eastAsia="Arial" w:hAnsi="Arial"/>
          <w:color w:val="4A4A6A"/>
          <w:sz w:val="24"/>
          <w:szCs w:val="24"/>
        </w:rPr>
        <w:t xml:space="preserve">No competitor has a neurodivergent mode. No competitor has invested in the product design decisions — sensory profiling, safe-food tracking, texture and ingredient filtering — required to serve this population. And no competitor is positioned to access NDIS funding. This is not a feature gap. It is a market FuelSync enters alone, with a funded revenue stream that removes consumer price sensitivity entirely.</w:t>
      </w:r>
    </w:p>
    <w:p>
      <w:pPr>
        <w:spacing w:after="200" w:before="0"/>
      </w:pPr>
      <w:r>
        <w:rPr>
          <w:rFonts w:ascii="Arial" w:cs="Arial" w:eastAsia="Arial" w:hAnsi="Arial"/>
          <w:b/>
          <w:bCs/>
          <w:color w:val="1A1A2E"/>
          <w:sz w:val="24"/>
          <w:szCs w:val="24"/>
        </w:rPr>
        <w:t xml:space="preserve">4. Community-sourced local pricing — a data moat no API can replicate</w:t>
      </w:r>
    </w:p>
    <w:p>
      <w:pPr>
        <w:spacing w:after="200" w:before="0"/>
      </w:pPr>
      <w:r>
        <w:rPr>
          <w:rFonts w:ascii="Arial" w:cs="Arial" w:eastAsia="Arial" w:hAnsi="Arial"/>
          <w:color w:val="4A4A6A"/>
          <w:sz w:val="24"/>
          <w:szCs w:val="24"/>
        </w:rPr>
        <w:t xml:space="preserve">Every meal card on FuelSync includes what the user paid and where they bought it — Coles, Woolworths, local Asian grocers, Pacific Island markets, corner stores. The community builds the price database from day one. No supermarket API exists in Australia as of 2025 (the ACCC recommended mandatory pricing APIs in March 2025 but legislation is pending). When that legislation passes, official price feeds will integrate directly into the already-built community pricing system — adding a verified second layer on top of hyperlocal data that no centralised feed could ever replicate. Incumbents who have not built community meal card infrastructure cannot access this data at all.</w:t>
      </w:r>
    </w:p>
    <w:p>
      <w:pPr>
        <w:spacing w:after="80" w:before="0"/>
      </w:pPr>
    </w:p>
    <w:p>
      <w:pPr>
        <w:spacing w:after="120" w:before="400"/>
      </w:pPr>
      <w:r>
        <w:rPr>
          <w:rFonts w:ascii="Arial" w:cs="Arial" w:eastAsia="Arial" w:hAnsi="Arial"/>
          <w:b/>
          <w:bCs/>
          <w:color w:val="1A1A2E"/>
          <w:sz w:val="26"/>
          <w:szCs w:val="26"/>
        </w:rPr>
        <w:t xml:space="preserve">Part 5 — The Investor Answer</w:t>
      </w:r>
    </w:p>
    <w:p>
      <w:pPr>
        <w:spacing w:after="200" w:before="0"/>
      </w:pPr>
      <w:r>
        <w:rPr>
          <w:rFonts w:ascii="Arial" w:cs="Arial" w:eastAsia="Arial" w:hAnsi="Arial"/>
          <w:color w:val="4A4A6A"/>
          <w:sz w:val="24"/>
          <w:szCs w:val="24"/>
        </w:rPr>
        <w:t xml:space="preserve">The question is: why not just use MyFitnessPal?</w:t>
      </w:r>
    </w:p>
    <w:p>
      <w:pPr>
        <w:spacing w:after="200" w:before="0"/>
      </w:pPr>
      <w:r>
        <w:rPr>
          <w:rFonts w:ascii="Arial" w:cs="Arial" w:eastAsia="Arial" w:hAnsi="Arial"/>
          <w:color w:val="4A4A6A"/>
          <w:sz w:val="24"/>
          <w:szCs w:val="24"/>
        </w:rPr>
        <w:t xml:space="preserve">The answer is: because MyFitnessPal was built to track what you ate. FuelSync is built to change what you want to eat. These are not the same problem, and the research — 53% abandoned within 30 days, guilt as the primary failure mechanism, emotional attachment as the primary driver of adherence — makes clear that solving the second problem requires an entirely different product architecture.</w:t>
      </w:r>
    </w:p>
    <w:p>
      <w:pPr>
        <w:spacing w:after="200" w:before="0"/>
      </w:pPr>
      <w:r>
        <w:rPr>
          <w:rFonts w:ascii="Arial" w:cs="Arial" w:eastAsia="Arial" w:hAnsi="Arial"/>
          <w:color w:val="4A4A6A"/>
          <w:sz w:val="24"/>
          <w:szCs w:val="24"/>
        </w:rPr>
        <w:t xml:space="preserve">MyFitnessPal's 300,000 weekly active Australian users, combined with a documented 70%+ abandonment rate, means the market is continuously producing exactly the customer FuelSync is built for: someone who tried calorie tracking, felt guilty, gave up, and is still looking for something that actually works.</w:t>
      </w:r>
    </w:p>
    <w:p>
      <w:pPr>
        <w:pBdr>
          <w:left w:val="single" w:color="7B5FFF" w:sz="16" w:space="20"/>
        </w:pBdr>
        <w:spacing w:after="320" w:before="320"/>
        <w:ind w:left="720"/>
      </w:pPr>
      <w:r>
        <w:rPr>
          <w:rFonts w:ascii="Arial" w:cs="Arial" w:eastAsia="Arial" w:hAnsi="Arial"/>
          <w:b/>
          <w:bCs/>
          <w:i/>
          <w:iCs/>
          <w:color w:val="7B5FFF"/>
          <w:sz w:val="26"/>
          <w:szCs w:val="26"/>
        </w:rPr>
        <w:t xml:space="preserve">The best FuelSync user is someone who downloaded MyFitnessPal, used it for a month, felt guilty, deleted it, and has been searching for something different ever since.</w:t>
      </w:r>
    </w:p>
    <w:p>
      <w:pPr>
        <w:spacing w:after="240" w:before="0"/>
      </w:pPr>
    </w:p>
    <w:p>
      <w:pPr>
        <w:spacing w:after="120" w:before="400"/>
      </w:pPr>
      <w:r>
        <w:rPr>
          <w:rFonts w:ascii="Arial" w:cs="Arial" w:eastAsia="Arial" w:hAnsi="Arial"/>
          <w:b/>
          <w:bCs/>
          <w:color w:val="1A1A2E"/>
          <w:sz w:val="26"/>
          <w:szCs w:val="26"/>
        </w:rPr>
        <w:t xml:space="preserve">References</w:t>
      </w:r>
    </w:p>
    <w:p>
      <w:pPr>
        <w:spacing w:after="200" w:before="0"/>
      </w:pPr>
      <w:r>
        <w:rPr>
          <w:rFonts w:ascii="Arial" w:cs="Arial" w:eastAsia="Arial" w:hAnsi="Arial"/>
          <w:color w:val="4A4A6A"/>
          <w:sz w:val="24"/>
          <w:szCs w:val="24"/>
        </w:rPr>
        <w:t xml:space="preserve">Sensor Tower. (2024). Q1–Q2 2024 Top Food &amp; Diet Tracking Apps — Australia.</w:t>
      </w:r>
    </w:p>
    <w:p>
      <w:pPr>
        <w:spacing w:after="200" w:before="0"/>
      </w:pPr>
      <w:r>
        <w:rPr>
          <w:rFonts w:ascii="Arial" w:cs="Arial" w:eastAsia="Arial" w:hAnsi="Arial"/>
          <w:color w:val="4A4A6A"/>
          <w:sz w:val="24"/>
          <w:szCs w:val="24"/>
        </w:rPr>
        <w:t xml:space="preserve">https://sensortower.com/blog/2024-q1-unified-top-5-food-and-diet-tracking-units-au</w:t>
      </w:r>
    </w:p>
    <w:p>
      <w:pPr>
        <w:spacing w:after="80" w:before="0"/>
      </w:pPr>
    </w:p>
    <w:p>
      <w:pPr>
        <w:spacing w:after="200" w:before="0"/>
      </w:pPr>
      <w:r>
        <w:rPr>
          <w:rFonts w:ascii="Arial" w:cs="Arial" w:eastAsia="Arial" w:hAnsi="Arial"/>
          <w:color w:val="4A4A6A"/>
          <w:sz w:val="24"/>
          <w:szCs w:val="24"/>
        </w:rPr>
        <w:t xml:space="preserve">CHOICE Australia. (2022). Noom App Review.</w:t>
      </w:r>
    </w:p>
    <w:p>
      <w:pPr>
        <w:spacing w:after="200" w:before="0"/>
      </w:pPr>
      <w:r>
        <w:rPr>
          <w:rFonts w:ascii="Arial" w:cs="Arial" w:eastAsia="Arial" w:hAnsi="Arial"/>
          <w:color w:val="4A4A6A"/>
          <w:sz w:val="24"/>
          <w:szCs w:val="24"/>
        </w:rPr>
        <w:t xml:space="preserve">https://www.choice.com.au/health-and-body/diet-and-nutrition/nutrition/articles/noom-app-review</w:t>
      </w:r>
    </w:p>
    <w:p>
      <w:pPr>
        <w:spacing w:after="80" w:before="0"/>
      </w:pPr>
    </w:p>
    <w:p>
      <w:pPr>
        <w:spacing w:after="200" w:before="0"/>
      </w:pPr>
      <w:r>
        <w:rPr>
          <w:rFonts w:ascii="Arial" w:cs="Arial" w:eastAsia="Arial" w:hAnsi="Arial"/>
          <w:color w:val="4A4A6A"/>
          <w:sz w:val="24"/>
          <w:szCs w:val="24"/>
        </w:rPr>
        <w:t xml:space="preserve">Cronometer. (2025). Cronometer reaches 13 million users. Community announcement.</w:t>
      </w:r>
    </w:p>
    <w:p>
      <w:pPr>
        <w:spacing w:after="200" w:before="0"/>
      </w:pPr>
      <w:r>
        <w:rPr>
          <w:rFonts w:ascii="Arial" w:cs="Arial" w:eastAsia="Arial" w:hAnsi="Arial"/>
          <w:color w:val="4A4A6A"/>
          <w:sz w:val="24"/>
          <w:szCs w:val="24"/>
        </w:rPr>
        <w:t xml:space="preserve">https://www.reddit.com/r/cronometer</w:t>
      </w:r>
    </w:p>
    <w:p>
      <w:pPr>
        <w:spacing w:after="80" w:before="0"/>
      </w:pPr>
    </w:p>
    <w:p>
      <w:pPr>
        <w:spacing w:after="200" w:before="0"/>
      </w:pPr>
      <w:r>
        <w:rPr>
          <w:rFonts w:ascii="Arial" w:cs="Arial" w:eastAsia="Arial" w:hAnsi="Arial"/>
          <w:color w:val="4A4A6A"/>
          <w:sz w:val="24"/>
          <w:szCs w:val="24"/>
        </w:rPr>
        <w:t xml:space="preserve">Riaz, H., et al. (2022). User Engagement and Abandonment of mHealth. IJERPH.</w:t>
      </w:r>
    </w:p>
    <w:p>
      <w:pPr>
        <w:spacing w:after="200" w:before="0"/>
      </w:pPr>
      <w:r>
        <w:rPr>
          <w:rFonts w:ascii="Arial" w:cs="Arial" w:eastAsia="Arial" w:hAnsi="Arial"/>
          <w:color w:val="4A4A6A"/>
          <w:sz w:val="24"/>
          <w:szCs w:val="24"/>
        </w:rPr>
        <w:t xml:space="preserve">https://pmc.ncbi.nlm.nih.gov/articles/PMC8872344/</w:t>
      </w:r>
    </w:p>
    <w:p>
      <w:pPr>
        <w:spacing w:after="80" w:before="0"/>
      </w:pPr>
    </w:p>
    <w:p>
      <w:pPr>
        <w:spacing w:after="200" w:before="0"/>
      </w:pPr>
      <w:r>
        <w:rPr>
          <w:rFonts w:ascii="Arial" w:cs="Arial" w:eastAsia="Arial" w:hAnsi="Arial"/>
          <w:color w:val="4A4A6A"/>
          <w:sz w:val="24"/>
          <w:szCs w:val="24"/>
        </w:rPr>
        <w:t xml:space="preserve">Kidman, R., et al. (2024). When and Why Adults Abandon Lifestyle Apps. JMIR.</w:t>
      </w:r>
    </w:p>
    <w:p>
      <w:pPr>
        <w:spacing w:after="200" w:before="0"/>
      </w:pPr>
      <w:r>
        <w:rPr>
          <w:rFonts w:ascii="Arial" w:cs="Arial" w:eastAsia="Arial" w:hAnsi="Arial"/>
          <w:color w:val="4A4A6A"/>
          <w:sz w:val="24"/>
          <w:szCs w:val="24"/>
        </w:rPr>
        <w:t xml:space="preserve">https://www.jmir.org/2024/1/e56897/</w:t>
      </w:r>
    </w:p>
    <w:p>
      <w:pPr>
        <w:spacing w:after="480" w:before="0"/>
      </w:pPr>
    </w:p>
    <w:p>
      <w:pPr>
        <w:spacing w:after="0" w:before="0"/>
      </w:pPr>
      <w:r>
        <w:rPr>
          <w:rFonts w:ascii="Arial" w:cs="Arial" w:eastAsia="Arial" w:hAnsi="Arial"/>
          <w:color w:val="AAAAAA"/>
          <w:sz w:val="18"/>
          <w:szCs w:val="18"/>
        </w:rPr>
        <w:t xml:space="preserve">FuelSync  |  Brisbane, Australia  |  Document 10 of 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2026-04-17T07:23:04.597Z</dcterms:created>
  <dcterms:modified xsi:type="dcterms:W3CDTF">2026-04-17T07:23:04.598Z</dcterms:modified>
</cp:coreProperties>
</file>

<file path=docProps/custom.xml><?xml version="1.0" encoding="utf-8"?>
<Properties xmlns="http://schemas.openxmlformats.org/officeDocument/2006/custom-properties" xmlns:vt="http://schemas.openxmlformats.org/officeDocument/2006/docPropsVTypes"/>
</file>