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7B5FFF"/>
          <w:spacing w:val="60"/>
          <w:sz w:val="18"/>
          <w:szCs w:val="18"/>
        </w:rPr>
        <w:t xml:space="preserve">FUELSYNC — DOCUMENT 03</w:t>
      </w:r>
    </w:p>
    <w:p>
      <w:pPr>
        <w:pBdr>
          <w:bottom w:val="single" w:color="7B5FFF" w:sz="6" w:space="1"/>
        </w:pBdr>
        <w:spacing w:after="240" w:before="0"/>
      </w:pPr>
    </w:p>
    <w:p>
      <w:pPr>
        <w:spacing w:after="80" w:before="0"/>
      </w:pPr>
    </w:p>
    <w:p>
      <w:pPr>
        <w:spacing w:after="160" w:before="0"/>
      </w:pPr>
      <w:r>
        <w:rPr>
          <w:rFonts w:ascii="Arial" w:cs="Arial" w:eastAsia="Arial" w:hAnsi="Arial"/>
          <w:b/>
          <w:bCs/>
          <w:color w:val="1A1A2E"/>
          <w:sz w:val="36"/>
          <w:szCs w:val="36"/>
        </w:rPr>
        <w:t xml:space="preserve">Market Opportunity</w:t>
      </w:r>
    </w:p>
    <w:p>
      <w:pPr>
        <w:spacing w:after="200" w:before="0"/>
      </w:pPr>
      <w:r>
        <w:rPr>
          <w:rFonts w:ascii="Arial" w:cs="Arial" w:eastAsia="Arial" w:hAnsi="Arial"/>
          <w:color w:val="4A4A6A"/>
          <w:sz w:val="24"/>
          <w:szCs w:val="24"/>
        </w:rPr>
        <w:t xml:space="preserve">The addressable market, the immediate segments FuelSync enters first, the Australian-specific data that validates the opportunity, and the expansion pathway that makes this a platform play rather than a single-product startup.</w:t>
      </w:r>
    </w:p>
    <w:p>
      <w:pPr>
        <w:spacing w:after="240" w:before="0"/>
      </w:pPr>
    </w:p>
    <w:p>
      <w:pPr>
        <w:spacing w:after="120" w:before="400"/>
      </w:pPr>
      <w:r>
        <w:rPr>
          <w:rFonts w:ascii="Arial" w:cs="Arial" w:eastAsia="Arial" w:hAnsi="Arial"/>
          <w:b/>
          <w:bCs/>
          <w:color w:val="1A1A2E"/>
          <w:sz w:val="26"/>
          <w:szCs w:val="26"/>
        </w:rPr>
        <w:t xml:space="preserve">Part 1 — The Australian Market</w:t>
      </w:r>
    </w:p>
    <w:p>
      <w:pPr>
        <w:spacing w:after="200" w:before="0"/>
      </w:pPr>
      <w:r>
        <w:rPr>
          <w:rFonts w:ascii="Arial" w:cs="Arial" w:eastAsia="Arial" w:hAnsi="Arial"/>
          <w:color w:val="4A4A6A"/>
          <w:sz w:val="24"/>
          <w:szCs w:val="24"/>
        </w:rPr>
        <w:t xml:space="preserve">The Australian diet and nutrition app market is a fast-growing, underserved segment within the broader digital health landscape. Two independent research houses quantify the 2024 market size differently, but both agree on the trajectory:</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Source</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2024 value (USD)</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2024 value (AUD est.)</w:t>
            </w:r>
          </w:p>
        </w:tc>
        <w:tc>
          <w:tcPr>
            <w:tcW w:type="dxa" w:w="234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Projected CAGR</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Grand View Research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USD 43.6M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AUD ~63M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15.1% (2025–2030)</w:t>
            </w:r>
          </w:p>
        </w:tc>
      </w:tr>
      <w:tr>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Data Bridge Market Research</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USD 128.84M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AUD ~187M</w:t>
            </w:r>
          </w:p>
        </w:tc>
        <w:tc>
          <w:tcPr>
            <w:tcW w:type="dxa" w:w="234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41.26% (2025–2032)</w:t>
            </w:r>
          </w:p>
        </w:tc>
      </w:tr>
    </w:tbl>
    <w:p>
      <w:pPr>
        <w:spacing w:after="200" w:before="0"/>
      </w:pPr>
    </w:p>
    <w:p>
      <w:pPr>
        <w:spacing w:after="200" w:before="0"/>
      </w:pPr>
      <w:r>
        <w:rPr>
          <w:rFonts w:ascii="Arial" w:cs="Arial" w:eastAsia="Arial" w:hAnsi="Arial"/>
          <w:i/>
          <w:iCs/>
          <w:color w:val="888888"/>
          <w:sz w:val="22"/>
          <w:szCs w:val="22"/>
        </w:rPr>
        <w:t xml:space="preserve">Sources: Grand View Research Australia Diet &amp; Nutrition Apps Outlook 2024; Data Bridge Market Research Australia Diet and Nutrition Apps Market 2032</w:t>
      </w:r>
    </w:p>
    <w:p>
      <w:pPr>
        <w:spacing w:after="200" w:before="0"/>
      </w:pPr>
      <w:r>
        <w:rPr>
          <w:rFonts w:ascii="Arial" w:cs="Arial" w:eastAsia="Arial" w:hAnsi="Arial"/>
          <w:color w:val="4A4A6A"/>
          <w:sz w:val="24"/>
          <w:szCs w:val="24"/>
        </w:rPr>
        <w:t xml:space="preserve">Both projections indicate a market growing at double-digit compound annual rates through the late 2020s. The range between estimates reflects different definitions of the category — Grand View focuses narrowly on diet and nutrition apps while Data Bridge includes broader wellness functionality. FuelSync's product sits across both definitions.</w:t>
      </w:r>
    </w:p>
    <w:p>
      <w:pPr>
        <w:spacing w:after="200" w:before="0"/>
      </w:pPr>
      <w:r>
        <w:rPr>
          <w:rFonts w:ascii="Arial" w:cs="Arial" w:eastAsia="Arial" w:hAnsi="Arial"/>
          <w:color w:val="4A4A6A"/>
          <w:sz w:val="24"/>
          <w:szCs w:val="24"/>
        </w:rPr>
        <w:t xml:space="preserve">The broader digital health context reinforces the opportunity. A 2025 Healthylife/Woolworths Living Healthy Report found that more than half of Australians already use digital tools for health tracking, including food intake, steps, and sleep. This indicates a population already habituated to digital health engagement — FuelSync's challenge is not to create the behaviour, but to capture users currently underserved by existing products.</w:t>
      </w:r>
    </w:p>
    <w:p>
      <w:pPr>
        <w:spacing w:after="200" w:before="0"/>
      </w:pPr>
      <w:r>
        <w:rPr>
          <w:rFonts w:ascii="Arial" w:cs="Arial" w:eastAsia="Arial" w:hAnsi="Arial"/>
          <w:i/>
          <w:iCs/>
          <w:color w:val="888888"/>
          <w:sz w:val="22"/>
          <w:szCs w:val="22"/>
        </w:rPr>
        <w:t xml:space="preserve">Source: Healthylife/Woolworths Living Healthy Report 2025, ami.org.au</w:t>
      </w:r>
    </w:p>
    <w:p>
      <w:pPr>
        <w:spacing w:after="80" w:before="0"/>
      </w:pPr>
    </w:p>
    <w:p>
      <w:pPr>
        <w:spacing w:after="120" w:before="400"/>
      </w:pPr>
      <w:r>
        <w:rPr>
          <w:rFonts w:ascii="Arial" w:cs="Arial" w:eastAsia="Arial" w:hAnsi="Arial"/>
          <w:b/>
          <w:bCs/>
          <w:color w:val="1A1A2E"/>
          <w:sz w:val="26"/>
          <w:szCs w:val="26"/>
        </w:rPr>
        <w:t xml:space="preserve">Part 2 — Active Users &amp; Competitor Presence</w:t>
      </w:r>
    </w:p>
    <w:p>
      <w:pPr>
        <w:spacing w:after="200" w:before="0"/>
      </w:pPr>
      <w:r>
        <w:rPr>
          <w:rFonts w:ascii="Arial" w:cs="Arial" w:eastAsia="Arial" w:hAnsi="Arial"/>
          <w:color w:val="4A4A6A"/>
          <w:sz w:val="24"/>
          <w:szCs w:val="24"/>
        </w:rPr>
        <w:t xml:space="preserve">Sensor Tower's quarterly analysis of Australia's top food and diet tracking apps provides the most granular public data on active user behaviour in this market:</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App</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Weekly active users (Q1 2024)</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Weekly active users (Q2 2024)</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MyFitnessPal</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279,000–367,000</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295,000–320,000</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Evolt Active</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14,000–15,000</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18,600–20,000+</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YAZIO Calorie Counter</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~9,800–10,500</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~9,800–10,500</w:t>
            </w:r>
          </w:p>
        </w:tc>
      </w:tr>
    </w:tbl>
    <w:p>
      <w:pPr>
        <w:spacing w:after="200" w:before="0"/>
      </w:pPr>
    </w:p>
    <w:p>
      <w:pPr>
        <w:spacing w:after="200" w:before="0"/>
      </w:pPr>
      <w:r>
        <w:rPr>
          <w:rFonts w:ascii="Arial" w:cs="Arial" w:eastAsia="Arial" w:hAnsi="Arial"/>
          <w:i/>
          <w:iCs/>
          <w:color w:val="888888"/>
          <w:sz w:val="22"/>
          <w:szCs w:val="22"/>
        </w:rPr>
        <w:t xml:space="preserve">Source: Sensor Tower Q1 2024 and Q2 2024 Top Food &amp; Diet Tracking Apps — Australia</w:t>
      </w:r>
    </w:p>
    <w:p>
      <w:pPr>
        <w:spacing w:after="200" w:before="0"/>
      </w:pPr>
      <w:r>
        <w:rPr>
          <w:rFonts w:ascii="Arial" w:cs="Arial" w:eastAsia="Arial" w:hAnsi="Arial"/>
          <w:color w:val="4A4A6A"/>
          <w:sz w:val="24"/>
          <w:szCs w:val="24"/>
        </w:rPr>
        <w:t xml:space="preserve">MyFitnessPal's dominance — approximately 300,000 weekly active Australian users — represents both the scale of the opportunity and the size of the incumbent to displace. Critically, MyFitnessPal's 70%+ abandonment rate within 100 days means the market is continuously cycling through users who tried calorie tracking and gave up. These are FuelSync's primary acquisition targets: people who already know they need help, have tried the dominant solution, and left.</w:t>
      </w:r>
    </w:p>
    <w:p>
      <w:pPr>
        <w:pBdr>
          <w:left w:val="single" w:color="7B5FFF" w:sz="16" w:space="20"/>
        </w:pBdr>
        <w:spacing w:after="320" w:before="320"/>
        <w:ind w:left="720"/>
      </w:pPr>
      <w:r>
        <w:rPr>
          <w:rFonts w:ascii="Arial" w:cs="Arial" w:eastAsia="Arial" w:hAnsi="Arial"/>
          <w:b/>
          <w:bCs/>
          <w:i/>
          <w:iCs/>
          <w:color w:val="7B5FFF"/>
          <w:sz w:val="26"/>
          <w:szCs w:val="26"/>
        </w:rPr>
        <w:t xml:space="preserve">The best FuelSync user is someone who downloaded MyFitnessPal, used it for a month, felt guilty, deleted it, and has been searching for something different ever since.</w:t>
      </w:r>
    </w:p>
    <w:p>
      <w:pPr>
        <w:spacing w:after="80" w:before="0"/>
      </w:pPr>
    </w:p>
    <w:p>
      <w:pPr>
        <w:spacing w:after="120" w:before="400"/>
      </w:pPr>
      <w:r>
        <w:rPr>
          <w:rFonts w:ascii="Arial" w:cs="Arial" w:eastAsia="Arial" w:hAnsi="Arial"/>
          <w:b/>
          <w:bCs/>
          <w:color w:val="1A1A2E"/>
          <w:sz w:val="26"/>
          <w:szCs w:val="26"/>
        </w:rPr>
        <w:t xml:space="preserve">Part 3 — Primary Market Segment</w:t>
      </w:r>
    </w:p>
    <w:p>
      <w:pPr>
        <w:spacing w:after="200" w:before="0"/>
      </w:pPr>
      <w:r>
        <w:rPr>
          <w:rFonts w:ascii="Arial" w:cs="Arial" w:eastAsia="Arial" w:hAnsi="Arial"/>
          <w:color w:val="4A4A6A"/>
          <w:sz w:val="24"/>
          <w:szCs w:val="24"/>
        </w:rPr>
        <w:t xml:space="preserve">FuelSync's primary market is Australians who want to lose weight or eat healthier but have failed to sustain any approach for longer than a few months. This is not a niche. It is the majority of people who have ever downloaded a health app.</w:t>
      </w:r>
    </w:p>
    <w:p>
      <w:pPr>
        <w:spacing w:after="200" w:before="0"/>
      </w:pPr>
      <w:r>
        <w:rPr>
          <w:rFonts w:ascii="Arial" w:cs="Arial" w:eastAsia="Arial" w:hAnsi="Arial"/>
          <w:color w:val="4A4A6A"/>
          <w:sz w:val="24"/>
          <w:szCs w:val="24"/>
        </w:rPr>
        <w:t xml:space="preserve">The scale of this segment in Australia is significant:</w:t>
      </w:r>
    </w:p>
    <w:p>
      <w:pPr>
        <w:pStyle w:val="ListParagraph"/>
        <w:numPr>
          <w:ilvl w:val="0"/>
          <w:numId w:val="2"/>
        </w:numPr>
        <w:spacing w:after="160" w:before="0"/>
      </w:pPr>
      <w:r>
        <w:rPr>
          <w:rFonts w:ascii="Arial" w:cs="Arial" w:eastAsia="Arial" w:hAnsi="Arial"/>
          <w:color w:val="4A4A6A"/>
          <w:sz w:val="24"/>
          <w:szCs w:val="24"/>
        </w:rPr>
        <w:t xml:space="preserve">Approximately 63% of Australian adults are classified as overweight or obese, representing over 12 million people actively experiencing the core problem FuelSync addresses (Australian Institute of Health and Welfare).</w:t>
      </w:r>
    </w:p>
    <w:p>
      <w:pPr>
        <w:pStyle w:val="ListParagraph"/>
        <w:numPr>
          <w:ilvl w:val="0"/>
          <w:numId w:val="2"/>
        </w:numPr>
        <w:spacing w:after="160" w:before="0"/>
      </w:pPr>
      <w:r>
        <w:rPr>
          <w:rFonts w:ascii="Arial" w:cs="Arial" w:eastAsia="Arial" w:hAnsi="Arial"/>
          <w:color w:val="4A4A6A"/>
          <w:sz w:val="24"/>
          <w:szCs w:val="24"/>
        </w:rPr>
        <w:t xml:space="preserve">MyFitnessPal's 300,000+ weekly active Australian users represent only the people currently using a calorie tracker — not the much larger population who have tried and quit, or who have never started because existing products do not appeal to them.</w:t>
      </w:r>
    </w:p>
    <w:p>
      <w:pPr>
        <w:pStyle w:val="ListParagraph"/>
        <w:numPr>
          <w:ilvl w:val="0"/>
          <w:numId w:val="2"/>
        </w:numPr>
        <w:spacing w:after="160" w:before="0"/>
      </w:pPr>
      <w:r>
        <w:rPr>
          <w:rFonts w:ascii="Arial" w:cs="Arial" w:eastAsia="Arial" w:hAnsi="Arial"/>
          <w:color w:val="4A4A6A"/>
          <w:sz w:val="24"/>
          <w:szCs w:val="24"/>
        </w:rPr>
        <w:t xml:space="preserve">FuelSync's own primary survey research found that 75% of targeted respondents struggle with food decisions almost every day or a few times a week — and 91.7% have never found their one reliable go-to meal.</w:t>
      </w:r>
    </w:p>
    <w:p>
      <w:pPr>
        <w:spacing w:after="200" w:before="0"/>
      </w:pPr>
      <w:r>
        <w:rPr>
          <w:rFonts w:ascii="Arial" w:cs="Arial" w:eastAsia="Arial" w:hAnsi="Arial"/>
          <w:color w:val="4A4A6A"/>
          <w:sz w:val="24"/>
          <w:szCs w:val="24"/>
        </w:rPr>
        <w:t xml:space="preserve">The immediate Brisbane launch market — Greater Brisbane population 2.83 million as of June 2025 (ABS Regional Population, 2026), growing at 2.1% annually — the second fastest growing capital city in Australia after Perth. Brisbane's median age is 36.4 years, with 38% of the population aged 20–44 — significantly younger than the Queensland average — making it one of the most concentrated pools of FuelSync's target demographic in the country. Brisbane's cultural diversity (Pacific Island, Southeast Asian, and multicultural communities under-represented by existing apps) and pre-Olympic growth trajectory make it the ideal precision launch market before national expansion.</w:t>
      </w:r>
    </w:p>
    <w:p>
      <w:pPr>
        <w:spacing w:after="200" w:before="0"/>
      </w:pPr>
      <w:r>
        <w:rPr>
          <w:rFonts w:ascii="Arial" w:cs="Arial" w:eastAsia="Arial" w:hAnsi="Arial"/>
          <w:i/>
          <w:iCs/>
          <w:color w:val="888888"/>
          <w:sz w:val="22"/>
          <w:szCs w:val="22"/>
        </w:rPr>
        <w:t xml:space="preserve">Source: ABS Regional Population Statistics, March 2026; Brisbane City Council Key Economic Facts 2025</w:t>
      </w:r>
    </w:p>
    <w:p>
      <w:pPr>
        <w:spacing w:after="80" w:before="0"/>
      </w:pPr>
    </w:p>
    <w:p>
      <w:pPr>
        <w:spacing w:after="120" w:before="400"/>
      </w:pPr>
      <w:r>
        <w:rPr>
          <w:rFonts w:ascii="Arial" w:cs="Arial" w:eastAsia="Arial" w:hAnsi="Arial"/>
          <w:b/>
          <w:bCs/>
          <w:color w:val="1A1A2E"/>
          <w:sz w:val="26"/>
          <w:szCs w:val="26"/>
        </w:rPr>
        <w:t xml:space="preserve">Part 4 — Secondary Market: FuelSync Neuro &amp; NDIS</w:t>
      </w:r>
    </w:p>
    <w:p>
      <w:pPr>
        <w:spacing w:after="200" w:before="0"/>
      </w:pPr>
      <w:r>
        <w:rPr>
          <w:rFonts w:ascii="Arial" w:cs="Arial" w:eastAsia="Arial" w:hAnsi="Arial"/>
          <w:color w:val="4A4A6A"/>
          <w:sz w:val="24"/>
          <w:szCs w:val="24"/>
        </w:rPr>
        <w:t xml:space="preserve">The neurodivergent market represents FuelSync's most defensible revenue opportunity and its most underserved user population. For autistic individuals and their families, finding safe, predictable food is not a preference question — it is a daily necessity shaped by sensory sensitivities, texture aversions, restricted food repertoires, and the significant stress that comes when safe foods are unavailable.</w:t>
      </w:r>
    </w:p>
    <w:p>
      <w:pPr>
        <w:spacing w:after="200" w:before="0"/>
      </w:pPr>
      <w:r>
        <w:rPr>
          <w:rFonts w:ascii="Arial" w:cs="Arial" w:eastAsia="Arial" w:hAnsi="Arial"/>
          <w:color w:val="4A4A6A"/>
          <w:sz w:val="24"/>
          <w:szCs w:val="24"/>
        </w:rPr>
        <w:t xml:space="preserve">No existing nutrition app addresses this population. The market is entirely uncontested.</w:t>
      </w:r>
    </w:p>
    <w:p>
      <w:pPr>
        <w:spacing w:after="200" w:before="0"/>
      </w:pPr>
      <w:r>
        <w:rPr>
          <w:rFonts w:ascii="Arial" w:cs="Arial" w:eastAsia="Arial" w:hAnsi="Arial"/>
          <w:color w:val="4A4A6A"/>
          <w:sz w:val="24"/>
          <w:szCs w:val="24"/>
        </w:rPr>
        <w:t xml:space="preserve">The scale of the opportunity in Australia:</w:t>
      </w:r>
    </w:p>
    <w:p>
      <w:pPr>
        <w:pStyle w:val="ListParagraph"/>
        <w:numPr>
          <w:ilvl w:val="0"/>
          <w:numId w:val="2"/>
        </w:numPr>
        <w:spacing w:after="160" w:before="0"/>
      </w:pPr>
      <w:r>
        <w:rPr>
          <w:rFonts w:ascii="Arial" w:cs="Arial" w:eastAsia="Arial" w:hAnsi="Arial"/>
          <w:color w:val="4A4A6A"/>
          <w:sz w:val="24"/>
          <w:szCs w:val="24"/>
        </w:rPr>
        <w:t xml:space="preserve">Approximately 1 in 40 Australians has been diagnosed with autism spectrum disorder — around 650,000 people nationally, with the number growing as diagnostic access improves.</w:t>
      </w:r>
    </w:p>
    <w:p>
      <w:pPr>
        <w:pStyle w:val="ListParagraph"/>
        <w:numPr>
          <w:ilvl w:val="0"/>
          <w:numId w:val="2"/>
        </w:numPr>
        <w:spacing w:after="160" w:before="0"/>
      </w:pPr>
      <w:r>
        <w:rPr>
          <w:rFonts w:ascii="Arial" w:cs="Arial" w:eastAsia="Arial" w:hAnsi="Arial"/>
          <w:color w:val="4A4A6A"/>
          <w:sz w:val="24"/>
          <w:szCs w:val="24"/>
        </w:rPr>
        <w:t xml:space="preserve">The National Disability Insurance Scheme currently supports over 814,000 participants nationally, with total annual funding exceeding AUD $35 billion.</w:t>
      </w:r>
    </w:p>
    <w:p>
      <w:pPr>
        <w:pStyle w:val="ListParagraph"/>
        <w:numPr>
          <w:ilvl w:val="0"/>
          <w:numId w:val="2"/>
        </w:numPr>
        <w:spacing w:after="160" w:before="0"/>
      </w:pPr>
      <w:r>
        <w:rPr>
          <w:rFonts w:ascii="Arial" w:cs="Arial" w:eastAsia="Arial" w:hAnsi="Arial"/>
          <w:color w:val="4A4A6A"/>
          <w:sz w:val="24"/>
          <w:szCs w:val="24"/>
        </w:rPr>
        <w:t xml:space="preserve">NDIS participants receive individualised funding plans that can be allocated to registered supports — including digital tools that demonstrably improve daily living, independence, and quality of life.</w:t>
      </w:r>
    </w:p>
    <w:p>
      <w:pPr>
        <w:spacing w:after="200" w:before="0"/>
      </w:pPr>
      <w:r>
        <w:rPr>
          <w:rFonts w:ascii="Arial" w:cs="Arial" w:eastAsia="Arial" w:hAnsi="Arial"/>
          <w:color w:val="4A4A6A"/>
          <w:sz w:val="24"/>
          <w:szCs w:val="24"/>
        </w:rPr>
        <w:t xml:space="preserve">As a prescribed NDIS support tool, FuelSync Neuro would be incorporated into a participant's funded program through an allied health professional — most likely via Category 15 (Improved Daily Living) where occupational therapists and dietitians prescribe digital tools as part of structured therapy programs. This is the same pathway used by funded apps like ChoiceWorks, DayCape, and Birdhouse for Autism — all currently funded through NDIS in Australia. An alternative pathway is Core Consumables (low-cost AT under $1,500), which can be used for apps directly tied to a participant's disability-related needs without requiring full AT approval.</w:t>
      </w:r>
    </w:p>
    <w:p>
      <w:pPr>
        <w:spacing w:after="200" w:before="0"/>
      </w:pPr>
      <w:r>
        <w:rPr>
          <w:rFonts w:ascii="Arial" w:cs="Arial" w:eastAsia="Arial" w:hAnsi="Arial"/>
          <w:color w:val="4A4A6A"/>
          <w:sz w:val="24"/>
          <w:szCs w:val="24"/>
        </w:rPr>
        <w:t xml:space="preserve">Revenue projection for FuelSync Neuro at $79/month per participant:</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Active NDIS participants</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Monthly recurring revenue</w:t>
            </w:r>
          </w:p>
        </w:tc>
        <w:tc>
          <w:tcPr>
            <w:tcW w:type="dxa" w:w="312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Annual recurring revenue</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200 participants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$15,800/month</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$189,600/year</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500 participants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$39,500/month</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$474,000/year</w:t>
            </w:r>
          </w:p>
        </w:tc>
      </w:tr>
      <w:tr>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2,000 participants</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$158,000/month</w:t>
            </w:r>
          </w:p>
        </w:tc>
        <w:tc>
          <w:tcPr>
            <w:tcW w:type="dxa" w:w="312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$1,896,000/year</w:t>
            </w:r>
          </w:p>
        </w:tc>
      </w:tr>
    </w:tbl>
    <w:p>
      <w:pPr>
        <w:spacing w:after="200" w:before="0"/>
      </w:pPr>
    </w:p>
    <w:p>
      <w:pPr>
        <w:spacing w:after="200" w:before="0"/>
      </w:pPr>
      <w:r>
        <w:rPr>
          <w:rFonts w:ascii="Arial" w:cs="Arial" w:eastAsia="Arial" w:hAnsi="Arial"/>
          <w:i/>
          <w:iCs/>
          <w:color w:val="888888"/>
          <w:sz w:val="22"/>
          <w:szCs w:val="22"/>
        </w:rPr>
        <w:t xml:space="preserve">NDIS pricing benchmark aligned with One Medical Health Australian subscription model ($79–$99/month for higher-touch health services)</w:t>
      </w:r>
    </w:p>
    <w:p>
      <w:pPr>
        <w:spacing w:after="80" w:before="0"/>
      </w:pPr>
    </w:p>
    <w:p>
      <w:pPr>
        <w:spacing w:after="120" w:before="400"/>
      </w:pPr>
      <w:r>
        <w:rPr>
          <w:rFonts w:ascii="Arial" w:cs="Arial" w:eastAsia="Arial" w:hAnsi="Arial"/>
          <w:b/>
          <w:bCs/>
          <w:color w:val="1A1A2E"/>
          <w:sz w:val="26"/>
          <w:szCs w:val="26"/>
        </w:rPr>
        <w:t xml:space="preserve">Part 5 — Pricing Context</w:t>
      </w:r>
    </w:p>
    <w:p>
      <w:pPr>
        <w:spacing w:after="200" w:before="0"/>
      </w:pPr>
      <w:r>
        <w:rPr>
          <w:rFonts w:ascii="Arial" w:cs="Arial" w:eastAsia="Arial" w:hAnsi="Arial"/>
          <w:color w:val="4A4A6A"/>
          <w:sz w:val="24"/>
          <w:szCs w:val="24"/>
        </w:rPr>
        <w:t xml:space="preserve">FuelSync's pricing is calibrated to the existing Australian market while differentiating on value. Sensor Tower and consumer health app benchmarks establish the following pricing norms in Australia:</w:t>
      </w:r>
    </w:p>
    <w:p>
      <w:pPr>
        <w:pStyle w:val="ListParagraph"/>
        <w:numPr>
          <w:ilvl w:val="0"/>
          <w:numId w:val="2"/>
        </w:numPr>
        <w:spacing w:after="160" w:before="0"/>
      </w:pPr>
      <w:r>
        <w:rPr>
          <w:rFonts w:ascii="Arial" w:cs="Arial" w:eastAsia="Arial" w:hAnsi="Arial"/>
          <w:color w:val="4A4A6A"/>
          <w:sz w:val="24"/>
          <w:szCs w:val="24"/>
        </w:rPr>
        <w:t xml:space="preserve">General consumer health and nutrition apps: AUD $10–25/month for premium tiers, or AUD $80–200/year for annual plans.</w:t>
      </w:r>
    </w:p>
    <w:p>
      <w:pPr>
        <w:pStyle w:val="ListParagraph"/>
        <w:numPr>
          <w:ilvl w:val="0"/>
          <w:numId w:val="2"/>
        </w:numPr>
        <w:spacing w:after="160" w:before="0"/>
      </w:pPr>
      <w:r>
        <w:rPr>
          <w:rFonts w:ascii="Arial" w:cs="Arial" w:eastAsia="Arial" w:hAnsi="Arial"/>
          <w:color w:val="4A4A6A"/>
          <w:sz w:val="24"/>
          <w:szCs w:val="24"/>
        </w:rPr>
        <w:t xml:space="preserve">Higher-touch Australian health subscription services (telehealth, medical): AUD $79–99/month.</w:t>
      </w:r>
    </w:p>
    <w:p>
      <w:pPr>
        <w:pStyle w:val="ListParagraph"/>
        <w:numPr>
          <w:ilvl w:val="0"/>
          <w:numId w:val="2"/>
        </w:numPr>
        <w:spacing w:after="160" w:before="0"/>
      </w:pPr>
      <w:r>
        <w:rPr>
          <w:rFonts w:ascii="Arial" w:cs="Arial" w:eastAsia="Arial" w:hAnsi="Arial"/>
          <w:color w:val="4A4A6A"/>
          <w:sz w:val="24"/>
          <w:szCs w:val="24"/>
        </w:rPr>
        <w:t xml:space="preserve">MyFitnessPal Premium: approximately AUD $19.99/month in Australia.</w:t>
      </w:r>
    </w:p>
    <w:p>
      <w:pPr>
        <w:spacing w:after="200" w:before="0"/>
      </w:pPr>
      <w:r>
        <w:rPr>
          <w:rFonts w:ascii="Arial" w:cs="Arial" w:eastAsia="Arial" w:hAnsi="Arial"/>
          <w:color w:val="4A4A6A"/>
          <w:sz w:val="24"/>
          <w:szCs w:val="24"/>
        </w:rPr>
        <w:t xml:space="preserve">FuelSync Premium at $14.99/month sits below the market leader on price while delivering a qualitatively different product. FuelSync Neuro at $79/month aligns with the higher-touch tier and is funded externally through NDIS plans, eliminating consumer price sensitivity for that segment entirely.</w:t>
      </w:r>
    </w:p>
    <w:p>
      <w:pPr>
        <w:spacing w:after="80" w:before="0"/>
      </w:pPr>
    </w:p>
    <w:p>
      <w:pPr>
        <w:spacing w:after="120" w:before="400"/>
      </w:pPr>
      <w:r>
        <w:rPr>
          <w:rFonts w:ascii="Arial" w:cs="Arial" w:eastAsia="Arial" w:hAnsi="Arial"/>
          <w:b/>
          <w:bCs/>
          <w:color w:val="1A1A2E"/>
          <w:sz w:val="26"/>
          <w:szCs w:val="26"/>
        </w:rPr>
        <w:t xml:space="preserve">Part 6 — The Expansion Pathway</w:t>
      </w:r>
    </w:p>
    <w:p>
      <w:pPr>
        <w:spacing w:after="200" w:before="0"/>
      </w:pPr>
      <w:r>
        <w:rPr>
          <w:rFonts w:ascii="Arial" w:cs="Arial" w:eastAsia="Arial" w:hAnsi="Arial"/>
          <w:color w:val="4A4A6A"/>
          <w:sz w:val="24"/>
          <w:szCs w:val="24"/>
        </w:rPr>
        <w:t xml:space="preserve">FuelSync's market expansion follows a deliberate sequence, proving the core mechanic at each stage before extending it:</w:t>
      </w:r>
    </w:p>
    <w:p>
      <w:pPr>
        <w:pStyle w:val="ListParagraph"/>
        <w:numPr>
          <w:ilvl w:val="0"/>
          <w:numId w:val="2"/>
        </w:numPr>
        <w:spacing w:after="160" w:before="0"/>
      </w:pPr>
      <w:r>
        <w:rPr>
          <w:rFonts w:ascii="Arial" w:cs="Arial" w:eastAsia="Arial" w:hAnsi="Arial"/>
          <w:color w:val="4A4A6A"/>
          <w:sz w:val="24"/>
          <w:szCs w:val="24"/>
        </w:rPr>
        <w:t xml:space="preserve">Stage 1 — Brisbane general population. Prove that users find their anchor meal and return. Build the behavioural dataset. Establish community flywheel.</w:t>
      </w:r>
    </w:p>
    <w:p>
      <w:pPr>
        <w:pStyle w:val="ListParagraph"/>
        <w:numPr>
          <w:ilvl w:val="0"/>
          <w:numId w:val="2"/>
        </w:numPr>
        <w:spacing w:after="160" w:before="0"/>
      </w:pPr>
      <w:r>
        <w:rPr>
          <w:rFonts w:ascii="Arial" w:cs="Arial" w:eastAsia="Arial" w:hAnsi="Arial"/>
          <w:color w:val="4A4A6A"/>
          <w:sz w:val="24"/>
          <w:szCs w:val="24"/>
        </w:rPr>
        <w:t xml:space="preserve">Stage 2 — National Australian rollout. Expand grocery price integration to Sydney, Melbourne, Perth. Scale community content. Enter FuelSync Neuro with NDIS registration.</w:t>
      </w:r>
    </w:p>
    <w:p>
      <w:pPr>
        <w:pStyle w:val="ListParagraph"/>
        <w:numPr>
          <w:ilvl w:val="0"/>
          <w:numId w:val="2"/>
        </w:numPr>
        <w:spacing w:after="160" w:before="0"/>
      </w:pPr>
      <w:r>
        <w:rPr>
          <w:rFonts w:ascii="Arial" w:cs="Arial" w:eastAsia="Arial" w:hAnsi="Arial"/>
          <w:color w:val="4A4A6A"/>
          <w:sz w:val="24"/>
          <w:szCs w:val="24"/>
        </w:rPr>
        <w:t xml:space="preserve">Stage 3 — ADHD and neurodivergent expansion. Extend the Neuro architecture to ADHD food behaviour patterns. Deepen NDIS partnerships. Build dietitian collaboration tools.</w:t>
      </w:r>
    </w:p>
    <w:p>
      <w:pPr>
        <w:pStyle w:val="ListParagraph"/>
        <w:numPr>
          <w:ilvl w:val="0"/>
          <w:numId w:val="2"/>
        </w:numPr>
        <w:spacing w:after="160" w:before="0"/>
      </w:pPr>
      <w:r>
        <w:rPr>
          <w:rFonts w:ascii="Arial" w:cs="Arial" w:eastAsia="Arial" w:hAnsi="Arial"/>
          <w:color w:val="4A4A6A"/>
          <w:sz w:val="24"/>
          <w:szCs w:val="24"/>
        </w:rPr>
        <w:t xml:space="preserve">Stage 4 — Performance and body composition market. Same platform, different goal state. Muscle gain, energy optimisation, sport-specific nutrition — served through the same behavioural intelligence engine.</w:t>
      </w:r>
    </w:p>
    <w:p>
      <w:pPr>
        <w:pStyle w:val="ListParagraph"/>
        <w:numPr>
          <w:ilvl w:val="0"/>
          <w:numId w:val="2"/>
        </w:numPr>
        <w:spacing w:after="160" w:before="0"/>
      </w:pPr>
      <w:r>
        <w:rPr>
          <w:rFonts w:ascii="Arial" w:cs="Arial" w:eastAsia="Arial" w:hAnsi="Arial"/>
          <w:color w:val="4A4A6A"/>
          <w:sz w:val="24"/>
          <w:szCs w:val="24"/>
        </w:rPr>
        <w:t xml:space="preserve">Stage 5 — Chronic condition management. Diabetes, gut health, food intolerances. FuelSync's longitudinal behavioural dataset becomes clinically valuable. Partnerships with healthcare providers become viable.</w:t>
      </w:r>
    </w:p>
    <w:p>
      <w:pPr>
        <w:spacing w:after="200" w:before="0"/>
      </w:pPr>
      <w:r>
        <w:rPr>
          <w:rFonts w:ascii="Arial" w:cs="Arial" w:eastAsia="Arial" w:hAnsi="Arial"/>
          <w:color w:val="4A4A6A"/>
          <w:sz w:val="24"/>
          <w:szCs w:val="24"/>
        </w:rPr>
        <w:t xml:space="preserve">Each stage compounds the platform's value. The data collected in Stage 1 improves recommendations in Stage 2. The community built in Stage 2 powers content in Stages 3 and 4. The behavioural intelligence refined across all stages becomes the foundation for clinical partnerships in Stage 5.</w:t>
      </w:r>
    </w:p>
    <w:p>
      <w:pPr>
        <w:spacing w:after="240" w:before="0"/>
      </w:pPr>
    </w:p>
    <w:p>
      <w:pPr>
        <w:pBdr>
          <w:top w:val="single" w:color="2EC4B6" w:sz="8" w:space="8"/>
        </w:pBdr>
        <w:spacing w:after="80" w:before="240"/>
      </w:pPr>
      <w:r>
        <w:rPr>
          <w:rFonts w:ascii="Arial" w:cs="Arial" w:eastAsia="Arial" w:hAnsi="Arial"/>
          <w:b/>
          <w:bCs/>
          <w:color w:val="1A1A2E"/>
          <w:sz w:val="24"/>
          <w:szCs w:val="24"/>
        </w:rPr>
        <w:t xml:space="preserve">The market case in one paragraph</w:t>
      </w:r>
    </w:p>
    <w:p>
      <w:pPr>
        <w:spacing w:after="120" w:before="0"/>
      </w:pPr>
      <w:r>
        <w:rPr>
          <w:rFonts w:ascii="Arial" w:cs="Arial" w:eastAsia="Arial" w:hAnsi="Arial"/>
          <w:color w:val="4A4A6A"/>
          <w:sz w:val="24"/>
          <w:szCs w:val="24"/>
        </w:rPr>
        <w:t xml:space="preserve">FuelSync enters an Australian diet and nutrition app market valued at AUD $63–200 million in 2024, growing at 15–41% annually, through the most credible entry point available — a founder who personally proved the thesis, targeting the 12+ million Australians who have tried and failed at conventional approaches. MyFitnessPal's 300,000 weekly active Australian users and documented 70% abandonment rate represent a continuously replenishing pool of frustrated users ready for something different. FuelSync Neuro immediately extends into the NDIS ecosystem — 814,000 participants, $35B in annual funding — accessing a revenue stream no competitor is positioned to capture. And it is built on an architecture that compounds across every new population it serves.</w:t>
      </w:r>
    </w:p>
    <w:p>
      <w:pPr>
        <w:spacing w:after="480" w:before="0"/>
      </w:pPr>
    </w:p>
    <w:p>
      <w:pPr>
        <w:spacing w:after="120" w:before="400"/>
      </w:pPr>
      <w:r>
        <w:rPr>
          <w:rFonts w:ascii="Arial" w:cs="Arial" w:eastAsia="Arial" w:hAnsi="Arial"/>
          <w:b/>
          <w:bCs/>
          <w:color w:val="1A1A2E"/>
          <w:sz w:val="26"/>
          <w:szCs w:val="26"/>
        </w:rPr>
        <w:t xml:space="preserve">References</w:t>
      </w:r>
    </w:p>
    <w:p>
      <w:pPr>
        <w:spacing w:after="200" w:before="0"/>
      </w:pPr>
      <w:r>
        <w:rPr>
          <w:rFonts w:ascii="Arial" w:cs="Arial" w:eastAsia="Arial" w:hAnsi="Arial"/>
          <w:color w:val="4A4A6A"/>
          <w:sz w:val="24"/>
          <w:szCs w:val="24"/>
        </w:rPr>
        <w:t xml:space="preserve">Grand View Research. (2024). Australia Diet and Nutrition Apps Market Outlook.</w:t>
      </w:r>
    </w:p>
    <w:p>
      <w:pPr>
        <w:spacing w:after="200" w:before="0"/>
      </w:pPr>
      <w:r>
        <w:rPr>
          <w:rFonts w:ascii="Arial" w:cs="Arial" w:eastAsia="Arial" w:hAnsi="Arial"/>
          <w:color w:val="4A4A6A"/>
          <w:sz w:val="24"/>
          <w:szCs w:val="24"/>
        </w:rPr>
        <w:t xml:space="preserve">https://www.grandviewresearch.com/horizon/outlook/diet-and-nutrition-apps-market/australia</w:t>
      </w:r>
    </w:p>
    <w:p>
      <w:pPr>
        <w:spacing w:after="80" w:before="0"/>
      </w:pPr>
    </w:p>
    <w:p>
      <w:pPr>
        <w:spacing w:after="200" w:before="0"/>
      </w:pPr>
      <w:r>
        <w:rPr>
          <w:rFonts w:ascii="Arial" w:cs="Arial" w:eastAsia="Arial" w:hAnsi="Arial"/>
          <w:color w:val="4A4A6A"/>
          <w:sz w:val="24"/>
          <w:szCs w:val="24"/>
        </w:rPr>
        <w:t xml:space="preserve">Data Bridge Market Research. (2024). Australia Diet and Nutrition Apps Market to 2032.</w:t>
      </w:r>
    </w:p>
    <w:p>
      <w:pPr>
        <w:spacing w:after="200" w:before="0"/>
      </w:pPr>
      <w:r>
        <w:rPr>
          <w:rFonts w:ascii="Arial" w:cs="Arial" w:eastAsia="Arial" w:hAnsi="Arial"/>
          <w:color w:val="4A4A6A"/>
          <w:sz w:val="24"/>
          <w:szCs w:val="24"/>
        </w:rPr>
        <w:t xml:space="preserve">https://www.databridgemarketresearch.com/nucleus/australia-diet-and-nutrition-apps-market</w:t>
      </w:r>
    </w:p>
    <w:p>
      <w:pPr>
        <w:spacing w:after="80" w:before="0"/>
      </w:pPr>
    </w:p>
    <w:p>
      <w:pPr>
        <w:spacing w:after="200" w:before="0"/>
      </w:pPr>
      <w:r>
        <w:rPr>
          <w:rFonts w:ascii="Arial" w:cs="Arial" w:eastAsia="Arial" w:hAnsi="Arial"/>
          <w:color w:val="4A4A6A"/>
          <w:sz w:val="24"/>
          <w:szCs w:val="24"/>
        </w:rPr>
        <w:t xml:space="preserve">Healthylife/Woolworths. (2025). Living Healthy Report 2025.</w:t>
      </w:r>
    </w:p>
    <w:p>
      <w:pPr>
        <w:spacing w:after="200" w:before="0"/>
      </w:pPr>
      <w:r>
        <w:rPr>
          <w:rFonts w:ascii="Arial" w:cs="Arial" w:eastAsia="Arial" w:hAnsi="Arial"/>
          <w:color w:val="4A4A6A"/>
          <w:sz w:val="24"/>
          <w:szCs w:val="24"/>
        </w:rPr>
        <w:t xml:space="preserve">https://assets.healthylife.com.au/files/Healthylife-Living-Healthy-Report-2025.pdf</w:t>
      </w:r>
    </w:p>
    <w:p>
      <w:pPr>
        <w:spacing w:after="80" w:before="0"/>
      </w:pPr>
    </w:p>
    <w:p>
      <w:pPr>
        <w:spacing w:after="200" w:before="0"/>
      </w:pPr>
      <w:r>
        <w:rPr>
          <w:rFonts w:ascii="Arial" w:cs="Arial" w:eastAsia="Arial" w:hAnsi="Arial"/>
          <w:color w:val="4A4A6A"/>
          <w:sz w:val="24"/>
          <w:szCs w:val="24"/>
        </w:rPr>
        <w:t xml:space="preserve">Sensor Tower. (2024). Q1 2024 Top 5 Food and Diet Tracking Apps — Australia.</w:t>
      </w:r>
    </w:p>
    <w:p>
      <w:pPr>
        <w:spacing w:after="200" w:before="0"/>
      </w:pPr>
      <w:r>
        <w:rPr>
          <w:rFonts w:ascii="Arial" w:cs="Arial" w:eastAsia="Arial" w:hAnsi="Arial"/>
          <w:color w:val="4A4A6A"/>
          <w:sz w:val="24"/>
          <w:szCs w:val="24"/>
        </w:rPr>
        <w:t xml:space="preserve">https://sensortower.com/blog/2024-q1-unified-top-5-food-and-diet-tracking-units-au</w:t>
      </w:r>
    </w:p>
    <w:p>
      <w:pPr>
        <w:spacing w:after="80" w:before="0"/>
      </w:pPr>
    </w:p>
    <w:p>
      <w:pPr>
        <w:spacing w:after="200" w:before="0"/>
      </w:pPr>
      <w:r>
        <w:rPr>
          <w:rFonts w:ascii="Arial" w:cs="Arial" w:eastAsia="Arial" w:hAnsi="Arial"/>
          <w:color w:val="4A4A6A"/>
          <w:sz w:val="24"/>
          <w:szCs w:val="24"/>
        </w:rPr>
        <w:t xml:space="preserve">Sensor Tower. (2024). Q2 2024 Top 5 Food and Diet Tracking Apps — Australia.</w:t>
      </w:r>
    </w:p>
    <w:p>
      <w:pPr>
        <w:spacing w:after="200" w:before="0"/>
      </w:pPr>
      <w:r>
        <w:rPr>
          <w:rFonts w:ascii="Arial" w:cs="Arial" w:eastAsia="Arial" w:hAnsi="Arial"/>
          <w:color w:val="4A4A6A"/>
          <w:sz w:val="24"/>
          <w:szCs w:val="24"/>
        </w:rPr>
        <w:t xml:space="preserve">https://sensortower.com/blog/2024-q2-unified-top-5-food-and-diet-tracking-units-au</w:t>
      </w:r>
    </w:p>
    <w:p>
      <w:pPr>
        <w:spacing w:after="80" w:before="0"/>
      </w:pPr>
    </w:p>
    <w:p>
      <w:pPr>
        <w:spacing w:after="200" w:before="0"/>
      </w:pPr>
      <w:r>
        <w:rPr>
          <w:rFonts w:ascii="Arial" w:cs="Arial" w:eastAsia="Arial" w:hAnsi="Arial"/>
          <w:color w:val="4A4A6A"/>
          <w:sz w:val="24"/>
          <w:szCs w:val="24"/>
        </w:rPr>
        <w:t xml:space="preserve">Australian Institute of Health and Welfare. Overweight and Obesity in Australia.</w:t>
      </w:r>
    </w:p>
    <w:p>
      <w:pPr>
        <w:spacing w:after="200" w:before="0"/>
      </w:pPr>
      <w:r>
        <w:rPr>
          <w:rFonts w:ascii="Arial" w:cs="Arial" w:eastAsia="Arial" w:hAnsi="Arial"/>
          <w:color w:val="4A4A6A"/>
          <w:sz w:val="24"/>
          <w:szCs w:val="24"/>
        </w:rPr>
        <w:t xml:space="preserve">https://www.aihw.gov.au/reports/overweight-obesity/overweight-and-obesity</w:t>
      </w:r>
    </w:p>
    <w:p>
      <w:pPr>
        <w:spacing w:after="80" w:before="0"/>
      </w:pPr>
    </w:p>
    <w:p>
      <w:pPr>
        <w:spacing w:after="200" w:before="0"/>
      </w:pPr>
      <w:r>
        <w:rPr>
          <w:rFonts w:ascii="Arial" w:cs="Arial" w:eastAsia="Arial" w:hAnsi="Arial"/>
          <w:color w:val="4A4A6A"/>
          <w:sz w:val="24"/>
          <w:szCs w:val="24"/>
        </w:rPr>
        <w:t xml:space="preserve">National Disability Insurance Agency. (2024). NDIS Participant Numbers and Plan Data.</w:t>
      </w:r>
    </w:p>
    <w:p>
      <w:pPr>
        <w:spacing w:after="200" w:before="0"/>
      </w:pPr>
      <w:r>
        <w:rPr>
          <w:rFonts w:ascii="Arial" w:cs="Arial" w:eastAsia="Arial" w:hAnsi="Arial"/>
          <w:color w:val="4A4A6A"/>
          <w:sz w:val="24"/>
          <w:szCs w:val="24"/>
        </w:rPr>
        <w:t xml:space="preserve">https://www.ndis.gov.au/about-us/data-publications-and-resources</w:t>
      </w:r>
    </w:p>
    <w:p>
      <w:pPr>
        <w:spacing w:after="80" w:before="0"/>
      </w:pPr>
    </w:p>
    <w:p>
      <w:pPr>
        <w:spacing w:after="200" w:before="0"/>
      </w:pPr>
      <w:r>
        <w:rPr>
          <w:rFonts w:ascii="Arial" w:cs="Arial" w:eastAsia="Arial" w:hAnsi="Arial"/>
          <w:color w:val="4A4A6A"/>
          <w:sz w:val="24"/>
          <w:szCs w:val="24"/>
        </w:rPr>
        <w:t xml:space="preserve">One Medical Health Australia. (2024). Subscription Pricing.</w:t>
      </w:r>
    </w:p>
    <w:p>
      <w:pPr>
        <w:spacing w:after="200" w:before="0"/>
      </w:pPr>
      <w:r>
        <w:rPr>
          <w:rFonts w:ascii="Arial" w:cs="Arial" w:eastAsia="Arial" w:hAnsi="Arial"/>
          <w:color w:val="4A4A6A"/>
          <w:sz w:val="24"/>
          <w:szCs w:val="24"/>
        </w:rPr>
        <w:t xml:space="preserve">https://www.one-medical.com.au/fees/subscription</w:t>
      </w:r>
    </w:p>
    <w:p>
      <w:pPr>
        <w:spacing w:after="480" w:before="0"/>
      </w:pPr>
    </w:p>
    <w:p>
      <w:pPr>
        <w:spacing w:after="0" w:before="0"/>
      </w:pPr>
      <w:r>
        <w:rPr>
          <w:rFonts w:ascii="Arial" w:cs="Arial" w:eastAsia="Arial" w:hAnsi="Arial"/>
          <w:color w:val="AAAAAA"/>
          <w:sz w:val="18"/>
          <w:szCs w:val="18"/>
        </w:rPr>
        <w:t xml:space="preserve">FuelSync  |  Brisbane, Australia  |  Document 03 of 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2026-04-16T15:46:44.915Z</dcterms:created>
  <dcterms:modified xsi:type="dcterms:W3CDTF">2026-04-16T15:46:44.916Z</dcterms:modified>
</cp:coreProperties>
</file>

<file path=docProps/custom.xml><?xml version="1.0" encoding="utf-8"?>
<Properties xmlns="http://schemas.openxmlformats.org/officeDocument/2006/custom-properties" xmlns:vt="http://schemas.openxmlformats.org/officeDocument/2006/docPropsVTypes"/>
</file>