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7B5FFF"/>
          <w:spacing w:val="60"/>
          <w:sz w:val="18"/>
          <w:szCs w:val="18"/>
        </w:rPr>
        <w:t xml:space="preserve">FUELSYNC — DOCUMENT 06</w:t>
      </w:r>
    </w:p>
    <w:p>
      <w:pPr>
        <w:pBdr>
          <w:bottom w:val="single" w:color="7B5FFF" w:sz="6" w:space="1"/>
        </w:pBdr>
        <w:spacing w:after="240" w:before="0"/>
      </w:pPr>
    </w:p>
    <w:p>
      <w:pPr>
        <w:spacing w:after="80" w:before="0"/>
      </w:pPr>
    </w:p>
    <w:p>
      <w:pPr>
        <w:spacing w:after="160" w:before="0"/>
      </w:pPr>
      <w:r>
        <w:rPr>
          <w:rFonts w:ascii="Arial" w:cs="Arial" w:eastAsia="Arial" w:hAnsi="Arial"/>
          <w:b/>
          <w:bCs/>
          <w:color w:val="1A1A2E"/>
          <w:sz w:val="36"/>
          <w:szCs w:val="36"/>
        </w:rPr>
        <w:t xml:space="preserve">UI as Strategy</w:t>
      </w:r>
    </w:p>
    <w:p>
      <w:pPr>
        <w:spacing w:after="200" w:before="0"/>
      </w:pPr>
      <w:r>
        <w:rPr>
          <w:rFonts w:ascii="Arial" w:cs="Arial" w:eastAsia="Arial" w:hAnsi="Arial"/>
          <w:color w:val="4A4A6A"/>
          <w:sz w:val="24"/>
          <w:szCs w:val="24"/>
        </w:rPr>
        <w:t xml:space="preserve">Why FuelSync's interface quality is not an aesthetic preference but a direct driver of retention, trust, and adherence — and how the research on health app UX translates into specific, defensible product decisions.</w:t>
      </w:r>
    </w:p>
    <w:p>
      <w:pPr>
        <w:spacing w:after="240" w:before="0"/>
      </w:pPr>
    </w:p>
    <w:p>
      <w:pPr>
        <w:spacing w:after="120" w:before="400"/>
      </w:pPr>
      <w:r>
        <w:rPr>
          <w:rFonts w:ascii="Arial" w:cs="Arial" w:eastAsia="Arial" w:hAnsi="Arial"/>
          <w:b/>
          <w:bCs/>
          <w:color w:val="1A1A2E"/>
          <w:sz w:val="26"/>
          <w:szCs w:val="26"/>
        </w:rPr>
        <w:t xml:space="preserve">Part 1 — The Strategic Case for UI Quality</w:t>
      </w:r>
    </w:p>
    <w:p>
      <w:pPr>
        <w:spacing w:after="200" w:before="0"/>
      </w:pPr>
      <w:r>
        <w:rPr>
          <w:rFonts w:ascii="Arial" w:cs="Arial" w:eastAsia="Arial" w:hAnsi="Arial"/>
          <w:color w:val="4A4A6A"/>
          <w:sz w:val="24"/>
          <w:szCs w:val="24"/>
        </w:rPr>
        <w:t xml:space="preserve">In most software categories, UI quality is a competitive differentiator — better design leads to better user experience, which leads to better retention. In health apps, UI quality is something more fundamental: it is a direct determinant of whether the product works at all.</w:t>
      </w:r>
    </w:p>
    <w:p>
      <w:pPr>
        <w:spacing w:after="200" w:before="0"/>
      </w:pPr>
      <w:r>
        <w:rPr>
          <w:rFonts w:ascii="Arial" w:cs="Arial" w:eastAsia="Arial" w:hAnsi="Arial"/>
          <w:color w:val="4A4A6A"/>
          <w:sz w:val="24"/>
          <w:szCs w:val="24"/>
        </w:rPr>
        <w:t xml:space="preserve">Health behaviour change requires sustained engagement over weeks and months. The research is consistent that users abandon health apps at the first sign of friction, confusion, or cognitive overload. A 2024 scoping review (Kidman et al.) found that 70% of lifestyle app users discontinue within 100 days, with poor UX identified as one of the six primary abandonment categories. A 2022 cross-sectional survey (Riaz et al.) found 53% of mHealth apps uninstalled within 30 days, with 'app not easy to use' cited as a direct abandonment reason.</w:t>
      </w:r>
    </w:p>
    <w:p>
      <w:pPr>
        <w:spacing w:after="200" w:before="0"/>
      </w:pPr>
      <w:r>
        <w:rPr>
          <w:rFonts w:ascii="Arial" w:cs="Arial" w:eastAsia="Arial" w:hAnsi="Arial"/>
          <w:color w:val="4A4A6A"/>
          <w:sz w:val="24"/>
          <w:szCs w:val="24"/>
        </w:rPr>
        <w:t xml:space="preserve">This means that for FuelSync, every UI decision is also a retention decision. A confusing navigation pattern does not just frustrate users — it ends the behaviour change intervention entirely.</w:t>
      </w:r>
    </w:p>
    <w:p>
      <w:pPr>
        <w:pBdr>
          <w:left w:val="single" w:color="7B5FFF" w:sz="16" w:space="20"/>
        </w:pBdr>
        <w:spacing w:after="320" w:before="320"/>
        <w:ind w:left="720"/>
      </w:pPr>
      <w:r>
        <w:rPr>
          <w:rFonts w:ascii="Arial" w:cs="Arial" w:eastAsia="Arial" w:hAnsi="Arial"/>
          <w:b/>
          <w:bCs/>
          <w:i/>
          <w:iCs/>
          <w:color w:val="7B5FFF"/>
          <w:sz w:val="26"/>
          <w:szCs w:val="26"/>
        </w:rPr>
        <w:t xml:space="preserve">In health apps, UI is not decoration. It is the delivery mechanism for everything the product is trying to do.</w:t>
      </w:r>
    </w:p>
    <w:p>
      <w:pPr>
        <w:spacing w:after="80" w:before="0"/>
      </w:pPr>
    </w:p>
    <w:p>
      <w:pPr>
        <w:spacing w:after="120" w:before="400"/>
      </w:pPr>
      <w:r>
        <w:rPr>
          <w:rFonts w:ascii="Arial" w:cs="Arial" w:eastAsia="Arial" w:hAnsi="Arial"/>
          <w:b/>
          <w:bCs/>
          <w:color w:val="1A1A2E"/>
          <w:sz w:val="26"/>
          <w:szCs w:val="26"/>
        </w:rPr>
        <w:t xml:space="preserve">Part 2 — UX Quality and Retention: The Research</w:t>
      </w:r>
    </w:p>
    <w:p>
      <w:pPr>
        <w:spacing w:after="200" w:before="0"/>
      </w:pPr>
      <w:r>
        <w:rPr>
          <w:rFonts w:ascii="Arial" w:cs="Arial" w:eastAsia="Arial" w:hAnsi="Arial"/>
          <w:color w:val="4A4A6A"/>
          <w:sz w:val="24"/>
          <w:szCs w:val="24"/>
        </w:rPr>
        <w:t xml:space="preserve">A 2022 literature review of 62 mHealth studies (Amagai et al., PMC) identified the specific app-level factors linked to better retention: feedback mechanisms, appropriately timed reminders, in-app peer or coach support, and personalisation. Barriers included lack of support features, technical difficulties, and low barriers to exit.</w:t>
      </w:r>
    </w:p>
    <w:p>
      <w:pPr>
        <w:spacing w:after="200" w:before="0"/>
      </w:pPr>
      <w:r>
        <w:rPr>
          <w:rFonts w:ascii="Arial" w:cs="Arial" w:eastAsia="Arial" w:hAnsi="Arial"/>
          <w:color w:val="4A4A6A"/>
          <w:sz w:val="24"/>
          <w:szCs w:val="24"/>
        </w:rPr>
        <w:t xml:space="preserve">A 2020 survival analysis (Yamagami et al., JMIR mHealth) provided one of the clearest direct findings: passive data collection had significantly higher retention than active data collection. Users who had to manually enter data repeatedly dropped off faster than users whose data was collected automatically in the background. The practical translation for FuelSync is direct — every manual step in the app is a retention risk. The onboarding flow, the meal logging, the feedback loops — each one should collect the minimum data necessary and return maximum immediate value.</w:t>
      </w:r>
    </w:p>
    <w:p>
      <w:pPr>
        <w:spacing w:after="200" w:before="0"/>
      </w:pPr>
      <w:r>
        <w:rPr>
          <w:rFonts w:ascii="Arial" w:cs="Arial" w:eastAsia="Arial" w:hAnsi="Arial"/>
          <w:color w:val="4A4A6A"/>
          <w:sz w:val="24"/>
          <w:szCs w:val="24"/>
        </w:rPr>
        <w:t xml:space="preserve">The 2022 cross-sectional abandonment survey (Riaz et al.) identified the top reasons users uninstall health apps:</w:t>
      </w:r>
    </w:p>
    <w:p>
      <w:pPr>
        <w:pStyle w:val="ListParagraph"/>
        <w:numPr>
          <w:ilvl w:val="0"/>
          <w:numId w:val="2"/>
        </w:numPr>
        <w:spacing w:after="160" w:before="0"/>
      </w:pPr>
      <w:r>
        <w:rPr>
          <w:rFonts w:ascii="Arial" w:cs="Arial" w:eastAsia="Arial" w:hAnsi="Arial"/>
          <w:color w:val="4A4A6A"/>
          <w:sz w:val="24"/>
          <w:szCs w:val="24"/>
        </w:rPr>
        <w:t xml:space="preserve">Loss of interest or declining motivation</w:t>
      </w:r>
    </w:p>
    <w:p>
      <w:pPr>
        <w:pStyle w:val="ListParagraph"/>
        <w:numPr>
          <w:ilvl w:val="0"/>
          <w:numId w:val="2"/>
        </w:numPr>
        <w:spacing w:after="160" w:before="0"/>
      </w:pPr>
      <w:r>
        <w:rPr>
          <w:rFonts w:ascii="Arial" w:cs="Arial" w:eastAsia="Arial" w:hAnsi="Arial"/>
          <w:color w:val="4A4A6A"/>
          <w:sz w:val="24"/>
          <w:szCs w:val="24"/>
        </w:rPr>
        <w:t xml:space="preserve">App not fun or engaging</w:t>
      </w:r>
    </w:p>
    <w:p>
      <w:pPr>
        <w:pStyle w:val="ListParagraph"/>
        <w:numPr>
          <w:ilvl w:val="0"/>
          <w:numId w:val="2"/>
        </w:numPr>
        <w:spacing w:after="160" w:before="0"/>
      </w:pPr>
      <w:r>
        <w:rPr>
          <w:rFonts w:ascii="Arial" w:cs="Arial" w:eastAsia="Arial" w:hAnsi="Arial"/>
          <w:color w:val="4A4A6A"/>
          <w:sz w:val="24"/>
          <w:szCs w:val="24"/>
        </w:rPr>
        <w:t xml:space="preserve">App not easy to use</w:t>
      </w:r>
    </w:p>
    <w:p>
      <w:pPr>
        <w:pStyle w:val="ListParagraph"/>
        <w:numPr>
          <w:ilvl w:val="0"/>
          <w:numId w:val="2"/>
        </w:numPr>
        <w:spacing w:after="160" w:before="0"/>
      </w:pPr>
      <w:r>
        <w:rPr>
          <w:rFonts w:ascii="Arial" w:cs="Arial" w:eastAsia="Arial" w:hAnsi="Arial"/>
          <w:color w:val="4A4A6A"/>
          <w:sz w:val="24"/>
          <w:szCs w:val="24"/>
        </w:rPr>
        <w:t xml:space="preserve">Lack of desired features</w:t>
      </w:r>
    </w:p>
    <w:p>
      <w:pPr>
        <w:pStyle w:val="ListParagraph"/>
        <w:numPr>
          <w:ilvl w:val="0"/>
          <w:numId w:val="2"/>
        </w:numPr>
        <w:spacing w:after="160" w:before="0"/>
      </w:pPr>
      <w:r>
        <w:rPr>
          <w:rFonts w:ascii="Arial" w:cs="Arial" w:eastAsia="Arial" w:hAnsi="Arial"/>
          <w:color w:val="4A4A6A"/>
          <w:sz w:val="24"/>
          <w:szCs w:val="24"/>
        </w:rPr>
        <w:t xml:space="preserve">Trying multiple apps simultaneously and uninstalling the rest</w:t>
      </w:r>
    </w:p>
    <w:p>
      <w:pPr>
        <w:spacing w:after="200" w:before="0"/>
      </w:pPr>
      <w:r>
        <w:rPr>
          <w:rFonts w:ascii="Arial" w:cs="Arial" w:eastAsia="Arial" w:hAnsi="Arial"/>
          <w:color w:val="4A4A6A"/>
          <w:sz w:val="24"/>
          <w:szCs w:val="24"/>
        </w:rPr>
        <w:t xml:space="preserve">Three of these five reasons are directly addressable through UI decisions. 'Not fun or engaging' is a design problem. 'Not easy to use' is a design problem. Being retained when users are comparing multiple apps is partly a design problem — polish and clarity create a quality signal that influences which app gets kept.</w:t>
      </w:r>
    </w:p>
    <w:p>
      <w:pPr>
        <w:spacing w:after="200" w:before="0"/>
      </w:pPr>
      <w:r>
        <w:rPr>
          <w:rFonts w:ascii="Arial" w:cs="Arial" w:eastAsia="Arial" w:hAnsi="Arial"/>
          <w:i/>
          <w:iCs/>
          <w:color w:val="888888"/>
          <w:sz w:val="22"/>
          <w:szCs w:val="22"/>
        </w:rPr>
        <w:t xml:space="preserve">Sources: Amagai et al. (2022), PMC9092233; Yamagami et al. (2020), JMIR e16309; Riaz et al. (2022), PMC8872344</w:t>
      </w:r>
    </w:p>
    <w:p>
      <w:pPr>
        <w:spacing w:after="80" w:before="0"/>
      </w:pPr>
    </w:p>
    <w:p>
      <w:pPr>
        <w:spacing w:after="120" w:before="400"/>
      </w:pPr>
      <w:r>
        <w:rPr>
          <w:rFonts w:ascii="Arial" w:cs="Arial" w:eastAsia="Arial" w:hAnsi="Arial"/>
          <w:b/>
          <w:bCs/>
          <w:color w:val="1A1A2E"/>
          <w:sz w:val="26"/>
          <w:szCs w:val="26"/>
        </w:rPr>
        <w:t xml:space="preserve">Part 3 — Interface Complexity and Abandonment</w:t>
      </w:r>
    </w:p>
    <w:p>
      <w:pPr>
        <w:spacing w:after="200" w:before="0"/>
      </w:pPr>
      <w:r>
        <w:rPr>
          <w:rFonts w:ascii="Arial" w:cs="Arial" w:eastAsia="Arial" w:hAnsi="Arial"/>
          <w:color w:val="4A4A6A"/>
          <w:sz w:val="24"/>
          <w:szCs w:val="24"/>
        </w:rPr>
        <w:t xml:space="preserve">The 2024 Kidman et al. scoping review identified specific interface-related abandonment drivers that go beyond general 'poor UX':</w:t>
      </w:r>
    </w:p>
    <w:p>
      <w:pPr>
        <w:pStyle w:val="ListParagraph"/>
        <w:numPr>
          <w:ilvl w:val="0"/>
          <w:numId w:val="2"/>
        </w:numPr>
        <w:spacing w:after="160" w:before="0"/>
      </w:pPr>
      <w:r>
        <w:rPr>
          <w:rFonts w:ascii="Arial" w:cs="Arial" w:eastAsia="Arial" w:hAnsi="Arial"/>
          <w:color w:val="4A4A6A"/>
          <w:sz w:val="24"/>
          <w:szCs w:val="24"/>
        </w:rPr>
        <w:t xml:space="preserve">Confusing or difficult to use interfaces triggered abandonment</w:t>
      </w:r>
    </w:p>
    <w:p>
      <w:pPr>
        <w:pStyle w:val="ListParagraph"/>
        <w:numPr>
          <w:ilvl w:val="0"/>
          <w:numId w:val="2"/>
        </w:numPr>
        <w:spacing w:after="160" w:before="0"/>
      </w:pPr>
      <w:r>
        <w:rPr>
          <w:rFonts w:ascii="Arial" w:cs="Arial" w:eastAsia="Arial" w:hAnsi="Arial"/>
          <w:color w:val="4A4A6A"/>
          <w:sz w:val="24"/>
          <w:szCs w:val="24"/>
        </w:rPr>
        <w:t xml:space="preserve">Non-engaging interactions failed to maintain motivation</w:t>
      </w:r>
    </w:p>
    <w:p>
      <w:pPr>
        <w:pStyle w:val="ListParagraph"/>
        <w:numPr>
          <w:ilvl w:val="0"/>
          <w:numId w:val="2"/>
        </w:numPr>
        <w:spacing w:after="160" w:before="0"/>
      </w:pPr>
      <w:r>
        <w:rPr>
          <w:rFonts w:ascii="Arial" w:cs="Arial" w:eastAsia="Arial" w:hAnsi="Arial"/>
          <w:color w:val="4A4A6A"/>
          <w:sz w:val="24"/>
          <w:szCs w:val="24"/>
        </w:rPr>
        <w:t xml:space="preserve">Annoying or poorly timed notifications created friction</w:t>
      </w:r>
    </w:p>
    <w:p>
      <w:pPr>
        <w:pStyle w:val="ListParagraph"/>
        <w:numPr>
          <w:ilvl w:val="0"/>
          <w:numId w:val="2"/>
        </w:numPr>
        <w:spacing w:after="160" w:before="0"/>
      </w:pPr>
      <w:r>
        <w:rPr>
          <w:rFonts w:ascii="Arial" w:cs="Arial" w:eastAsia="Arial" w:hAnsi="Arial"/>
          <w:color w:val="4A4A6A"/>
          <w:sz w:val="24"/>
          <w:szCs w:val="24"/>
        </w:rPr>
        <w:t xml:space="preserve">Mandatory account creation before value delivery caused very early abandonment — users quit before experiencing what the app does</w:t>
      </w:r>
    </w:p>
    <w:p>
      <w:pPr>
        <w:pStyle w:val="ListParagraph"/>
        <w:numPr>
          <w:ilvl w:val="0"/>
          <w:numId w:val="2"/>
        </w:numPr>
        <w:spacing w:after="160" w:before="0"/>
      </w:pPr>
      <w:r>
        <w:rPr>
          <w:rFonts w:ascii="Arial" w:cs="Arial" w:eastAsia="Arial" w:hAnsi="Arial"/>
          <w:color w:val="4A4A6A"/>
          <w:sz w:val="24"/>
          <w:szCs w:val="24"/>
        </w:rPr>
        <w:t xml:space="preserve">Complex sign-up processes with verification steps triggered an early failure phase before habit formation could begin</w:t>
      </w:r>
    </w:p>
    <w:p>
      <w:pPr>
        <w:spacing w:after="200" w:before="0"/>
      </w:pPr>
      <w:r>
        <w:rPr>
          <w:rFonts w:ascii="Arial" w:cs="Arial" w:eastAsia="Arial" w:hAnsi="Arial"/>
          <w:color w:val="4A4A6A"/>
          <w:sz w:val="24"/>
          <w:szCs w:val="24"/>
        </w:rPr>
        <w:t xml:space="preserve">The last two points are particularly important for FuelSync's onboarding design. The research shows there is a critical window immediately after download — before the user has experienced any value — where the smallest barrier can trigger permanent abandonment. Any step that delays value delivery in this window is a direct threat to activation.</w:t>
      </w:r>
    </w:p>
    <w:p>
      <w:pPr>
        <w:spacing w:after="200" w:before="0"/>
      </w:pPr>
      <w:r>
        <w:rPr>
          <w:rFonts w:ascii="Arial" w:cs="Arial" w:eastAsia="Arial" w:hAnsi="Arial"/>
          <w:color w:val="4A4A6A"/>
          <w:sz w:val="24"/>
          <w:szCs w:val="24"/>
        </w:rPr>
        <w:t xml:space="preserve">A 2021 co-design study on mental health apps (Paay et al., PMC) found that users specifically identified visual appeal, ease of use, appropriate language, privacy controls, and personalisation as the features that made apps feel worth returning to. The combination is significant — visual quality is not separate from emotional safety. They are perceived together.</w:t>
      </w:r>
    </w:p>
    <w:p>
      <w:pPr>
        <w:spacing w:after="200" w:before="0"/>
      </w:pPr>
      <w:r>
        <w:rPr>
          <w:rFonts w:ascii="Arial" w:cs="Arial" w:eastAsia="Arial" w:hAnsi="Arial"/>
          <w:color w:val="4A4A6A"/>
          <w:sz w:val="24"/>
          <w:szCs w:val="24"/>
        </w:rPr>
        <w:t xml:space="preserve">A 2023 experimental study on app aesthetics (PMC) provided the strongest direct evidence: a more visually appealing app variant produced measurably higher perceived usability and better objective task performance than a less aesthetic variant, even when the underlying functionality was identical. The interface's appearance changed how users experienced and performed within it.</w:t>
      </w:r>
    </w:p>
    <w:p>
      <w:pPr>
        <w:spacing w:after="200" w:before="0"/>
      </w:pPr>
      <w:r>
        <w:rPr>
          <w:rFonts w:ascii="Arial" w:cs="Arial" w:eastAsia="Arial" w:hAnsi="Arial"/>
          <w:i/>
          <w:iCs/>
          <w:color w:val="888888"/>
          <w:sz w:val="22"/>
          <w:szCs w:val="22"/>
        </w:rPr>
        <w:t xml:space="preserve">Sources: Kidman et al. (2024), PMC11694054; Paay et al. (2021), PMC7954656; App aesthetics experiment (2023), PMC10306164</w:t>
      </w:r>
    </w:p>
    <w:p>
      <w:pPr>
        <w:spacing w:after="80" w:before="0"/>
      </w:pPr>
    </w:p>
    <w:p>
      <w:pPr>
        <w:spacing w:after="120" w:before="400"/>
      </w:pPr>
      <w:r>
        <w:rPr>
          <w:rFonts w:ascii="Arial" w:cs="Arial" w:eastAsia="Arial" w:hAnsi="Arial"/>
          <w:b/>
          <w:bCs/>
          <w:color w:val="1A1A2E"/>
          <w:sz w:val="26"/>
          <w:szCs w:val="26"/>
        </w:rPr>
        <w:t xml:space="preserve">Part 4 — Emotionally Safe Design</w:t>
      </w:r>
    </w:p>
    <w:p>
      <w:pPr>
        <w:spacing w:after="200" w:before="0"/>
      </w:pPr>
      <w:r>
        <w:rPr>
          <w:rFonts w:ascii="Arial" w:cs="Arial" w:eastAsia="Arial" w:hAnsi="Arial"/>
          <w:color w:val="4A4A6A"/>
          <w:sz w:val="24"/>
          <w:szCs w:val="24"/>
        </w:rPr>
        <w:t xml:space="preserve">FuelSync serves users who have a complicated emotional relationship with food. Many have tried and failed at previous health approaches. Many associate healthy eating apps with guilt, restriction, and the experience of watching a calorie counter turn red. For this population, the emotional tone of the interface is not incidental — it is clinically significant.</w:t>
      </w:r>
    </w:p>
    <w:p>
      <w:pPr>
        <w:spacing w:after="200" w:before="0"/>
      </w:pPr>
      <w:r>
        <w:rPr>
          <w:rFonts w:ascii="Arial" w:cs="Arial" w:eastAsia="Arial" w:hAnsi="Arial"/>
          <w:color w:val="4A4A6A"/>
          <w:sz w:val="24"/>
          <w:szCs w:val="24"/>
        </w:rPr>
        <w:t xml:space="preserve">The 2021 co-design study (Paay et al.) found that users in mental health contexts preferred interfaces that felt supportive rather than clinical, overwhelming, or judgmental. They wanted appropriate language, control over their own information, and low-pressure interactions. The combination of calm language and strong privacy cues created a sense of safety that drove continued engagement.</w:t>
      </w:r>
    </w:p>
    <w:p>
      <w:pPr>
        <w:spacing w:after="200" w:before="0"/>
      </w:pPr>
      <w:r>
        <w:rPr>
          <w:rFonts w:ascii="Arial" w:cs="Arial" w:eastAsia="Arial" w:hAnsi="Arial"/>
          <w:color w:val="4A4A6A"/>
          <w:sz w:val="24"/>
          <w:szCs w:val="24"/>
        </w:rPr>
        <w:t xml:space="preserve">A 2025 mental health app design study reinforced this: users in vulnerable states respond to interface design that matches their emotional state — calm, clear, non-demanding — and disengage from interfaces that feel intrusive or cognitively overloading.</w:t>
      </w:r>
    </w:p>
    <w:p>
      <w:pPr>
        <w:spacing w:after="200" w:before="0"/>
      </w:pPr>
      <w:r>
        <w:rPr>
          <w:rFonts w:ascii="Arial" w:cs="Arial" w:eastAsia="Arial" w:hAnsi="Arial"/>
          <w:color w:val="4A4A6A"/>
          <w:sz w:val="24"/>
          <w:szCs w:val="24"/>
        </w:rPr>
        <w:t xml:space="preserve">The practical translation for FuelSync across every interface layer:</w:t>
      </w:r>
    </w:p>
    <w:p>
      <w:pPr>
        <w:pStyle w:val="ListParagraph"/>
        <w:numPr>
          <w:ilvl w:val="0"/>
          <w:numId w:val="2"/>
        </w:numPr>
        <w:spacing w:after="160" w:before="0"/>
      </w:pPr>
      <w:r>
        <w:rPr>
          <w:rFonts w:ascii="Arial" w:cs="Arial" w:eastAsia="Arial" w:hAnsi="Arial"/>
          <w:color w:val="4A4A6A"/>
          <w:sz w:val="24"/>
          <w:szCs w:val="24"/>
        </w:rPr>
        <w:t xml:space="preserve">No red indicators, warning colours, or failure states after food choices</w:t>
      </w:r>
    </w:p>
    <w:p>
      <w:pPr>
        <w:pStyle w:val="ListParagraph"/>
        <w:numPr>
          <w:ilvl w:val="0"/>
          <w:numId w:val="2"/>
        </w:numPr>
        <w:spacing w:after="160" w:before="0"/>
      </w:pPr>
      <w:r>
        <w:rPr>
          <w:rFonts w:ascii="Arial" w:cs="Arial" w:eastAsia="Arial" w:hAnsi="Arial"/>
          <w:color w:val="4A4A6A"/>
          <w:sz w:val="24"/>
          <w:szCs w:val="24"/>
        </w:rPr>
        <w:t xml:space="preserve">Copy that frames the user's current state with curiosity rather than judgment — 'what sounds good right now?' not 'you went over your calories'</w:t>
      </w:r>
    </w:p>
    <w:p>
      <w:pPr>
        <w:pStyle w:val="ListParagraph"/>
        <w:numPr>
          <w:ilvl w:val="0"/>
          <w:numId w:val="2"/>
        </w:numPr>
        <w:spacing w:after="160" w:before="0"/>
      </w:pPr>
      <w:r>
        <w:rPr>
          <w:rFonts w:ascii="Arial" w:cs="Arial" w:eastAsia="Arial" w:hAnsi="Arial"/>
          <w:color w:val="4A4A6A"/>
          <w:sz w:val="24"/>
          <w:szCs w:val="24"/>
        </w:rPr>
        <w:t xml:space="preserve">Privacy-first defaults — data collection is framed as improving recommendations, not surveillance</w:t>
      </w:r>
    </w:p>
    <w:p>
      <w:pPr>
        <w:pStyle w:val="ListParagraph"/>
        <w:numPr>
          <w:ilvl w:val="0"/>
          <w:numId w:val="2"/>
        </w:numPr>
        <w:spacing w:after="160" w:before="0"/>
      </w:pPr>
      <w:r>
        <w:rPr>
          <w:rFonts w:ascii="Arial" w:cs="Arial" w:eastAsia="Arial" w:hAnsi="Arial"/>
          <w:color w:val="4A4A6A"/>
          <w:sz w:val="24"/>
          <w:szCs w:val="24"/>
        </w:rPr>
        <w:t xml:space="preserve">Low-pressure interaction patterns — swipe to explore, no mandatory logging, no streak-breaking alerts</w:t>
      </w:r>
    </w:p>
    <w:p>
      <w:pPr>
        <w:pStyle w:val="ListParagraph"/>
        <w:numPr>
          <w:ilvl w:val="0"/>
          <w:numId w:val="2"/>
        </w:numPr>
        <w:spacing w:after="160" w:before="0"/>
      </w:pPr>
      <w:r>
        <w:rPr>
          <w:rFonts w:ascii="Arial" w:cs="Arial" w:eastAsia="Arial" w:hAnsi="Arial"/>
          <w:color w:val="4A4A6A"/>
          <w:sz w:val="24"/>
          <w:szCs w:val="24"/>
        </w:rPr>
        <w:t xml:space="preserve">Visual warmth and spaciousness — clean layouts that feel calm rather than data-dense</w:t>
      </w:r>
    </w:p>
    <w:p>
      <w:pPr>
        <w:spacing w:after="200" w:before="0"/>
      </w:pPr>
      <w:r>
        <w:rPr>
          <w:rFonts w:ascii="Arial" w:cs="Arial" w:eastAsia="Arial" w:hAnsi="Arial"/>
          <w:i/>
          <w:iCs/>
          <w:color w:val="888888"/>
          <w:sz w:val="22"/>
          <w:szCs w:val="22"/>
        </w:rPr>
        <w:t xml:space="preserve">Sources: Paay et al. (2021), PMC7954656; Mental health app design study (2025), Tandfonline</w:t>
      </w:r>
    </w:p>
    <w:p>
      <w:pPr>
        <w:spacing w:after="80" w:before="0"/>
      </w:pPr>
    </w:p>
    <w:p>
      <w:pPr>
        <w:spacing w:after="120" w:before="400"/>
      </w:pPr>
      <w:r>
        <w:rPr>
          <w:rFonts w:ascii="Arial" w:cs="Arial" w:eastAsia="Arial" w:hAnsi="Arial"/>
          <w:b/>
          <w:bCs/>
          <w:color w:val="1A1A2E"/>
          <w:sz w:val="26"/>
          <w:szCs w:val="26"/>
        </w:rPr>
        <w:t xml:space="preserve">Part 5 — Aesthetics and Credibility</w:t>
      </w:r>
    </w:p>
    <w:p>
      <w:pPr>
        <w:spacing w:after="200" w:before="0"/>
      </w:pPr>
      <w:r>
        <w:rPr>
          <w:rFonts w:ascii="Arial" w:cs="Arial" w:eastAsia="Arial" w:hAnsi="Arial"/>
          <w:color w:val="4A4A6A"/>
          <w:sz w:val="24"/>
          <w:szCs w:val="24"/>
        </w:rPr>
        <w:t xml:space="preserve">A critical finding for FuelSync's positioning as a credible health product comes from a study specifically designed to answer the question: what drives perceived credibility in health apps?</w:t>
      </w:r>
    </w:p>
    <w:p>
      <w:pPr>
        <w:spacing w:after="200" w:before="0"/>
      </w:pPr>
      <w:r>
        <w:rPr>
          <w:rFonts w:ascii="Arial" w:cs="Arial" w:eastAsia="Arial" w:hAnsi="Arial"/>
          <w:color w:val="4A4A6A"/>
          <w:sz w:val="24"/>
          <w:szCs w:val="24"/>
        </w:rPr>
        <w:t xml:space="preserve">Oyibo &amp; Orji (2017) studied 669 participants evaluating persuasive fitness apps and found that classical aesthetics — orderliness, clarity, simplicity — significantly predicted perceived credibility of the health app. Expressive aesthetics (bold, decorative, distinctive visual choices) did not have a significant effect. The finding is specific and actionable: clean, orderly health app design directly strengthens trust judgments, while decorative or complex design does not.</w:t>
      </w:r>
    </w:p>
    <w:p>
      <w:pPr>
        <w:spacing w:after="200" w:before="0"/>
      </w:pPr>
      <w:r>
        <w:rPr>
          <w:rFonts w:ascii="Arial" w:cs="Arial" w:eastAsia="Arial" w:hAnsi="Arial"/>
          <w:color w:val="4A4A6A"/>
          <w:sz w:val="24"/>
          <w:szCs w:val="24"/>
        </w:rPr>
        <w:t xml:space="preserve">This validates FuelSync's monochromatic, high-contrast visual approach. The varsity brand identity is distinctive and recognisable, but the app interface itself prioritises the orderliness and clarity that the research identifies as the drivers of health app credibility. The brand makes FuelSync memorable. The interface makes it trustworthy.</w:t>
      </w:r>
    </w:p>
    <w:p>
      <w:pPr>
        <w:spacing w:after="200" w:before="0"/>
      </w:pPr>
      <w:r>
        <w:rPr>
          <w:rFonts w:ascii="Arial" w:cs="Arial" w:eastAsia="Arial" w:hAnsi="Arial"/>
          <w:color w:val="4A4A6A"/>
          <w:sz w:val="24"/>
          <w:szCs w:val="24"/>
        </w:rPr>
        <w:t xml:space="preserve">A 2024 umbrella review of digital health app quality frameworks (PMC) noted that credibility of information was assessed by only 15 of 45 evaluated frameworks — meaning most quality assessments do not even measure what users care most about. For FuelSync, this is a competitive gap: if credibility is rare and users value it, a product that actively designs for it has a significant advantage over products that do not.</w:t>
      </w:r>
    </w:p>
    <w:p>
      <w:pPr>
        <w:spacing w:after="200" w:before="0"/>
      </w:pPr>
      <w:r>
        <w:rPr>
          <w:rFonts w:ascii="Arial" w:cs="Arial" w:eastAsia="Arial" w:hAnsi="Arial"/>
          <w:i/>
          <w:iCs/>
          <w:color w:val="888888"/>
          <w:sz w:val="22"/>
          <w:szCs w:val="22"/>
        </w:rPr>
        <w:t xml:space="preserve">Sources: Oyibo &amp; Orji (2017) — classical aesthetics and health app credibility; Quality Assessment umbrella review (2024), PMC11502990</w:t>
      </w:r>
    </w:p>
    <w:p>
      <w:pPr>
        <w:spacing w:after="80" w:before="0"/>
      </w:pPr>
    </w:p>
    <w:p>
      <w:pPr>
        <w:spacing w:after="120" w:before="400"/>
      </w:pPr>
      <w:r>
        <w:rPr>
          <w:rFonts w:ascii="Arial" w:cs="Arial" w:eastAsia="Arial" w:hAnsi="Arial"/>
          <w:b/>
          <w:bCs/>
          <w:color w:val="1A1A2E"/>
          <w:sz w:val="26"/>
          <w:szCs w:val="26"/>
        </w:rPr>
        <w:t xml:space="preserve">Part 6 — UI Design Rules for FuelSync</w:t>
      </w:r>
    </w:p>
    <w:p>
      <w:pPr>
        <w:spacing w:after="200" w:before="0"/>
      </w:pPr>
      <w:r>
        <w:rPr>
          <w:rFonts w:ascii="Arial" w:cs="Arial" w:eastAsia="Arial" w:hAnsi="Arial"/>
          <w:color w:val="4A4A6A"/>
          <w:sz w:val="24"/>
          <w:szCs w:val="24"/>
        </w:rPr>
        <w:t xml:space="preserve">The research above translates into a specific set of design principles that govern FuelSync's interface across every screen: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3120"/>
            <w:tcBorders>
              <w:top w:val="single" w:color="E8E8F0" w:sz="1"/>
              <w:left w:val="single" w:color="E8E8F0" w:sz="1"/>
              <w:bottom w:val="single" w:color="E8E8F0" w:sz="1"/>
              <w:right w:val="single" w:color="E8E8F0" w:sz="1"/>
            </w:tcBorders>
            <w:shd w:fill="EDE9FF" w:val="clear"/>
            <w:tcMar>
              <w:top w:type="dxa" w:w="120"/>
              <w:left w:type="dxa" w:w="160"/>
              <w:bottom w:type="dxa" w:w="120"/>
              <w:right w:type="dxa" w:w="160"/>
            </w:tcMar>
          </w:tcPr>
          <w:p>
            <w:r>
              <w:rPr>
                <w:rFonts w:ascii="Arial" w:cs="Arial" w:eastAsia="Arial" w:hAnsi="Arial"/>
                <w:b/>
                <w:bCs/>
                <w:color w:val="7B5FFF"/>
                <w:sz w:val="20"/>
                <w:szCs w:val="20"/>
              </w:rPr>
              <w:t xml:space="preserve">Principle</w:t>
            </w:r>
          </w:p>
        </w:tc>
        <w:tc>
          <w:tcPr>
            <w:tcW w:type="dxa" w:w="3120"/>
            <w:tcBorders>
              <w:top w:val="single" w:color="E8E8F0" w:sz="1"/>
              <w:left w:val="single" w:color="E8E8F0" w:sz="1"/>
              <w:bottom w:val="single" w:color="E8E8F0" w:sz="1"/>
              <w:right w:val="single" w:color="E8E8F0" w:sz="1"/>
            </w:tcBorders>
            <w:shd w:fill="EDE9FF" w:val="clear"/>
            <w:tcMar>
              <w:top w:type="dxa" w:w="120"/>
              <w:left w:type="dxa" w:w="160"/>
              <w:bottom w:type="dxa" w:w="120"/>
              <w:right w:type="dxa" w:w="160"/>
            </w:tcMar>
          </w:tcPr>
          <w:p>
            <w:r>
              <w:rPr>
                <w:rFonts w:ascii="Arial" w:cs="Arial" w:eastAsia="Arial" w:hAnsi="Arial"/>
                <w:b/>
                <w:bCs/>
                <w:color w:val="7B5FFF"/>
                <w:sz w:val="20"/>
                <w:szCs w:val="20"/>
              </w:rPr>
              <w:t xml:space="preserve">Design rule</w:t>
            </w:r>
          </w:p>
        </w:tc>
        <w:tc>
          <w:tcPr>
            <w:tcW w:type="dxa" w:w="3120"/>
            <w:tcBorders>
              <w:top w:val="single" w:color="E8E8F0" w:sz="1"/>
              <w:left w:val="single" w:color="E8E8F0" w:sz="1"/>
              <w:bottom w:val="single" w:color="E8E8F0" w:sz="1"/>
              <w:right w:val="single" w:color="E8E8F0" w:sz="1"/>
            </w:tcBorders>
            <w:shd w:fill="EDE9FF" w:val="clear"/>
            <w:tcMar>
              <w:top w:type="dxa" w:w="120"/>
              <w:left w:type="dxa" w:w="160"/>
              <w:bottom w:type="dxa" w:w="120"/>
              <w:right w:type="dxa" w:w="160"/>
            </w:tcMar>
          </w:tcPr>
          <w:p>
            <w:r>
              <w:rPr>
                <w:rFonts w:ascii="Arial" w:cs="Arial" w:eastAsia="Arial" w:hAnsi="Arial"/>
                <w:b/>
                <w:bCs/>
                <w:color w:val="7B5FFF"/>
                <w:sz w:val="20"/>
                <w:szCs w:val="20"/>
              </w:rPr>
              <w:t xml:space="preserve">Research basis</w:t>
            </w:r>
          </w:p>
        </w:tc>
      </w:tr>
      <w:tr>
        <w:tc>
          <w:tcPr>
            <w:tcW w:type="dxa" w:w="312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Minimal friction</w:t>
            </w:r>
          </w:p>
        </w:tc>
        <w:tc>
          <w:tcPr>
            <w:tcW w:type="dxa" w:w="312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No mandatory account creation before value. First meal suggestions before any dashboard.</w:t>
            </w:r>
          </w:p>
        </w:tc>
        <w:tc>
          <w:tcPr>
            <w:tcW w:type="dxa" w:w="312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Kidman 2024 — setup friction causes early failure phase</w:t>
            </w:r>
          </w:p>
        </w:tc>
      </w:tr>
      <w:tr>
        <w:tc>
          <w:tcPr>
            <w:tcW w:type="dxa" w:w="312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Passive over active</w:t>
            </w:r>
          </w:p>
        </w:tc>
        <w:tc>
          <w:tcPr>
            <w:tcW w:type="dxa" w:w="312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Auto-detect patterns where possible. Minimise manual logging steps.</w:t>
            </w:r>
          </w:p>
        </w:tc>
        <w:tc>
          <w:tcPr>
            <w:tcW w:type="dxa" w:w="312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Yamagami 2020 — passive collection retains users longer</w:t>
            </w:r>
          </w:p>
        </w:tc>
      </w:tr>
      <w:tr>
        <w:tc>
          <w:tcPr>
            <w:tcW w:type="dxa" w:w="312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Immediate value</w:t>
            </w:r>
          </w:p>
        </w:tc>
        <w:tc>
          <w:tcPr>
            <w:tcW w:type="dxa" w:w="312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User sees personalised meal options before completing onboarding.</w:t>
            </w:r>
          </w:p>
        </w:tc>
        <w:tc>
          <w:tcPr>
            <w:tcW w:type="dxa" w:w="312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Amagai 2022 — early value delivery drives continued engagement</w:t>
            </w:r>
          </w:p>
        </w:tc>
      </w:tr>
      <w:tr>
        <w:tc>
          <w:tcPr>
            <w:tcW w:type="dxa" w:w="312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Emotionally safe copy</w:t>
            </w:r>
          </w:p>
        </w:tc>
        <w:tc>
          <w:tcPr>
            <w:tcW w:type="dxa" w:w="312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No red indicators. No 'you went over'. Calm, curious tone throughout.</w:t>
            </w:r>
          </w:p>
        </w:tc>
        <w:tc>
          <w:tcPr>
            <w:tcW w:type="dxa" w:w="312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Paay 2021 — nonjudgmental language supports trust and return</w:t>
            </w:r>
          </w:p>
        </w:tc>
      </w:tr>
      <w:tr>
        <w:tc>
          <w:tcPr>
            <w:tcW w:type="dxa" w:w="312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Classical aesthetics</w:t>
            </w:r>
          </w:p>
        </w:tc>
        <w:tc>
          <w:tcPr>
            <w:tcW w:type="dxa" w:w="312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Clean, orderly, spacious layouts. Monochrome brand. High contrast.</w:t>
            </w:r>
          </w:p>
        </w:tc>
        <w:tc>
          <w:tcPr>
            <w:tcW w:type="dxa" w:w="312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Oyibo &amp; Orji 2017 — classical aesthetics predict health app credibility</w:t>
            </w:r>
          </w:p>
        </w:tc>
      </w:tr>
      <w:tr>
        <w:tc>
          <w:tcPr>
            <w:tcW w:type="dxa" w:w="312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Privacy by default</w:t>
            </w:r>
          </w:p>
        </w:tc>
        <w:tc>
          <w:tcPr>
            <w:tcW w:type="dxa" w:w="312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Data collection framed as personalisation, not monitoring.</w:t>
            </w:r>
          </w:p>
        </w:tc>
        <w:tc>
          <w:tcPr>
            <w:tcW w:type="dxa" w:w="312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Paay 2021 — privacy cues are part of emotional safety design</w:t>
            </w:r>
          </w:p>
        </w:tc>
      </w:tr>
      <w:tr>
        <w:tc>
          <w:tcPr>
            <w:tcW w:type="dxa" w:w="312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Notification restraint</w:t>
            </w:r>
          </w:p>
        </w:tc>
        <w:tc>
          <w:tcPr>
            <w:tcW w:type="dxa" w:w="312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Reminders timed to action moments. No streak-breaking alerts.</w:t>
            </w:r>
          </w:p>
        </w:tc>
        <w:tc>
          <w:tcPr>
            <w:tcW w:type="dxa" w:w="312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Kidman 2024 — annoying notifications are an abandonment driver</w:t>
            </w:r>
          </w:p>
        </w:tc>
      </w:tr>
    </w:tbl>
    <w:p>
      <w:pPr>
        <w:spacing w:after="240" w:before="0"/>
      </w:pPr>
    </w:p>
    <w:p>
      <w:pPr>
        <w:spacing w:after="120" w:before="400"/>
      </w:pPr>
      <w:r>
        <w:rPr>
          <w:rFonts w:ascii="Arial" w:cs="Arial" w:eastAsia="Arial" w:hAnsi="Arial"/>
          <w:b/>
          <w:bCs/>
          <w:color w:val="1A1A2E"/>
          <w:sz w:val="26"/>
          <w:szCs w:val="26"/>
        </w:rPr>
        <w:t xml:space="preserve">Part 7 — UI Quality as Grant and Investor Signal</w:t>
      </w:r>
    </w:p>
    <w:p>
      <w:pPr>
        <w:spacing w:after="200" w:before="0"/>
      </w:pPr>
      <w:r>
        <w:rPr>
          <w:rFonts w:ascii="Arial" w:cs="Arial" w:eastAsia="Arial" w:hAnsi="Arial"/>
          <w:color w:val="4A4A6A"/>
          <w:sz w:val="24"/>
          <w:szCs w:val="24"/>
        </w:rPr>
        <w:t xml:space="preserve">Beyond retention, FuelSync's UI quality serves a second strategic function: it signals organisational credibility to investors, grant panels, and program partners.</w:t>
      </w:r>
    </w:p>
    <w:p>
      <w:pPr>
        <w:spacing w:after="200" w:before="0"/>
      </w:pPr>
      <w:r>
        <w:rPr>
          <w:rFonts w:ascii="Arial" w:cs="Arial" w:eastAsia="Arial" w:hAnsi="Arial"/>
          <w:color w:val="4A4A6A"/>
          <w:sz w:val="24"/>
          <w:szCs w:val="24"/>
        </w:rPr>
        <w:t xml:space="preserve">Most early-stage health apps in grant and accelerator programs present wireframes, rough prototypes, or screenshots of incomplete interfaces. FuelSync's working prototype — production-grade visual design, smooth interactions, complete onboarding flow — communicates something that documentation cannot: that the founder understands what a deployable product looks like and has already built one.</w:t>
      </w:r>
    </w:p>
    <w:p>
      <w:pPr>
        <w:spacing w:after="200" w:before="0"/>
      </w:pPr>
      <w:r>
        <w:rPr>
          <w:rFonts w:ascii="Arial" w:cs="Arial" w:eastAsia="Arial" w:hAnsi="Arial"/>
          <w:color w:val="4A4A6A"/>
          <w:sz w:val="24"/>
          <w:szCs w:val="24"/>
        </w:rPr>
        <w:t xml:space="preserve">For grant applications specifically, the Advance Queensland Ignite Ideas Fund and similar programs assess commercial viability and evidence of capability alongside the business case. A polished, functional prototype is direct evidence of both. It demonstrates that the founder can execute, not just plan.</w:t>
      </w:r>
    </w:p>
    <w:p>
      <w:pPr>
        <w:pBdr>
          <w:left w:val="single" w:color="7B5FFF" w:sz="16" w:space="20"/>
        </w:pBdr>
        <w:spacing w:after="320" w:before="320"/>
        <w:ind w:left="720"/>
      </w:pPr>
      <w:r>
        <w:rPr>
          <w:rFonts w:ascii="Arial" w:cs="Arial" w:eastAsia="Arial" w:hAnsi="Arial"/>
          <w:b/>
          <w:bCs/>
          <w:i/>
          <w:iCs/>
          <w:color w:val="7B5FFF"/>
          <w:sz w:val="26"/>
          <w:szCs w:val="26"/>
        </w:rPr>
        <w:t xml:space="preserve">A working prototype with production-grade UI is worth more than ten slides about what the app will look like when it's built.</w:t>
      </w:r>
    </w:p>
    <w:p>
      <w:pPr>
        <w:spacing w:after="240" w:before="0"/>
      </w:pPr>
    </w:p>
    <w:p>
      <w:pPr>
        <w:spacing w:after="120" w:before="400"/>
      </w:pPr>
      <w:r>
        <w:rPr>
          <w:rFonts w:ascii="Arial" w:cs="Arial" w:eastAsia="Arial" w:hAnsi="Arial"/>
          <w:b/>
          <w:bCs/>
          <w:color w:val="1A1A2E"/>
          <w:sz w:val="26"/>
          <w:szCs w:val="26"/>
        </w:rPr>
        <w:t xml:space="preserve">References</w:t>
      </w:r>
    </w:p>
    <w:p>
      <w:pPr>
        <w:spacing w:after="200" w:before="0"/>
      </w:pPr>
      <w:r>
        <w:rPr>
          <w:rFonts w:ascii="Arial" w:cs="Arial" w:eastAsia="Arial" w:hAnsi="Arial"/>
          <w:color w:val="4A4A6A"/>
          <w:sz w:val="24"/>
          <w:szCs w:val="24"/>
        </w:rPr>
        <w:t xml:space="preserve">Amagai, S., et al. (2022). Challenges in Participant Engagement and Retention Using Mobile Health Apps. PMC.</w:t>
      </w:r>
    </w:p>
    <w:p>
      <w:pPr>
        <w:spacing w:after="200" w:before="0"/>
      </w:pPr>
      <w:r>
        <w:rPr>
          <w:rFonts w:ascii="Arial" w:cs="Arial" w:eastAsia="Arial" w:hAnsi="Arial"/>
          <w:color w:val="4A4A6A"/>
          <w:sz w:val="24"/>
          <w:szCs w:val="24"/>
        </w:rPr>
        <w:t xml:space="preserve">https://pmc.ncbi.nlm.nih.gov/articles/PMC9092233/</w:t>
      </w:r>
    </w:p>
    <w:p>
      <w:pPr>
        <w:spacing w:after="80" w:before="0"/>
      </w:pPr>
    </w:p>
    <w:p>
      <w:pPr>
        <w:spacing w:after="200" w:before="0"/>
      </w:pPr>
      <w:r>
        <w:rPr>
          <w:rFonts w:ascii="Arial" w:cs="Arial" w:eastAsia="Arial" w:hAnsi="Arial"/>
          <w:color w:val="4A4A6A"/>
          <w:sz w:val="24"/>
          <w:szCs w:val="24"/>
        </w:rPr>
        <w:t xml:space="preserve">Yamagami, T., et al. (2020). Assessing User Retention of a Mobile App: Survival Analysis. JMIR mHealth.</w:t>
      </w:r>
    </w:p>
    <w:p>
      <w:pPr>
        <w:spacing w:after="200" w:before="0"/>
      </w:pPr>
      <w:r>
        <w:rPr>
          <w:rFonts w:ascii="Arial" w:cs="Arial" w:eastAsia="Arial" w:hAnsi="Arial"/>
          <w:color w:val="4A4A6A"/>
          <w:sz w:val="24"/>
          <w:szCs w:val="24"/>
        </w:rPr>
        <w:t xml:space="preserve">https://mhealth.jmir.org/2020/11/e16309/</w:t>
      </w:r>
    </w:p>
    <w:p>
      <w:pPr>
        <w:spacing w:after="80" w:before="0"/>
      </w:pPr>
    </w:p>
    <w:p>
      <w:pPr>
        <w:spacing w:after="200" w:before="0"/>
      </w:pPr>
      <w:r>
        <w:rPr>
          <w:rFonts w:ascii="Arial" w:cs="Arial" w:eastAsia="Arial" w:hAnsi="Arial"/>
          <w:color w:val="4A4A6A"/>
          <w:sz w:val="24"/>
          <w:szCs w:val="24"/>
        </w:rPr>
        <w:t xml:space="preserve">Kidman, P.G., et al. (2024). When and Why Adults Abandon Lifestyle Behavior and Mental Health Mobile Apps. PMC.</w:t>
      </w:r>
    </w:p>
    <w:p>
      <w:pPr>
        <w:spacing w:after="200" w:before="0"/>
      </w:pPr>
      <w:r>
        <w:rPr>
          <w:rFonts w:ascii="Arial" w:cs="Arial" w:eastAsia="Arial" w:hAnsi="Arial"/>
          <w:color w:val="4A4A6A"/>
          <w:sz w:val="24"/>
          <w:szCs w:val="24"/>
        </w:rPr>
        <w:t xml:space="preserve">https://pmc.ncbi.nlm.nih.gov/articles/PMC11694054/</w:t>
      </w:r>
    </w:p>
    <w:p>
      <w:pPr>
        <w:spacing w:after="80" w:before="0"/>
      </w:pPr>
    </w:p>
    <w:p>
      <w:pPr>
        <w:spacing w:after="200" w:before="0"/>
      </w:pPr>
      <w:r>
        <w:rPr>
          <w:rFonts w:ascii="Arial" w:cs="Arial" w:eastAsia="Arial" w:hAnsi="Arial"/>
          <w:color w:val="4A4A6A"/>
          <w:sz w:val="24"/>
          <w:szCs w:val="24"/>
        </w:rPr>
        <w:t xml:space="preserve">Riaz, H., et al. (2022). User Engagement and Abandonment of mHealth: A Cross-Sectional Survey. PMC.</w:t>
      </w:r>
    </w:p>
    <w:p>
      <w:pPr>
        <w:spacing w:after="200" w:before="0"/>
      </w:pPr>
      <w:r>
        <w:rPr>
          <w:rFonts w:ascii="Arial" w:cs="Arial" w:eastAsia="Arial" w:hAnsi="Arial"/>
          <w:color w:val="4A4A6A"/>
          <w:sz w:val="24"/>
          <w:szCs w:val="24"/>
        </w:rPr>
        <w:t xml:space="preserve">https://pmc.ncbi.nlm.nih.gov/articles/PMC8872344/</w:t>
      </w:r>
    </w:p>
    <w:p>
      <w:pPr>
        <w:spacing w:after="80" w:before="0"/>
      </w:pPr>
    </w:p>
    <w:p>
      <w:pPr>
        <w:spacing w:after="200" w:before="0"/>
      </w:pPr>
      <w:r>
        <w:rPr>
          <w:rFonts w:ascii="Arial" w:cs="Arial" w:eastAsia="Arial" w:hAnsi="Arial"/>
          <w:color w:val="4A4A6A"/>
          <w:sz w:val="24"/>
          <w:szCs w:val="24"/>
        </w:rPr>
        <w:t xml:space="preserve">Paay, J., et al. (2021). Co-Designing a Mobile App to Improve Mental Health and Well-Being. PMC.</w:t>
      </w:r>
    </w:p>
    <w:p>
      <w:pPr>
        <w:spacing w:after="200" w:before="0"/>
      </w:pPr>
      <w:r>
        <w:rPr>
          <w:rFonts w:ascii="Arial" w:cs="Arial" w:eastAsia="Arial" w:hAnsi="Arial"/>
          <w:color w:val="4A4A6A"/>
          <w:sz w:val="24"/>
          <w:szCs w:val="24"/>
        </w:rPr>
        <w:t xml:space="preserve">https://pmc.ncbi.nlm.nih.gov/articles/PMC7954656/</w:t>
      </w:r>
    </w:p>
    <w:p>
      <w:pPr>
        <w:spacing w:after="80" w:before="0"/>
      </w:pPr>
    </w:p>
    <w:p>
      <w:pPr>
        <w:spacing w:after="200" w:before="0"/>
      </w:pPr>
      <w:r>
        <w:rPr>
          <w:rFonts w:ascii="Arial" w:cs="Arial" w:eastAsia="Arial" w:hAnsi="Arial"/>
          <w:color w:val="4A4A6A"/>
          <w:sz w:val="24"/>
          <w:szCs w:val="24"/>
        </w:rPr>
        <w:t xml:space="preserve">Oyibo, K., &amp; Orji, R. (2017). What Drives the Perceived Credibility of Health Apps: Classical or Expressive Aesthetics?</w:t>
      </w:r>
    </w:p>
    <w:p>
      <w:pPr>
        <w:spacing w:after="200" w:before="0"/>
      </w:pPr>
      <w:r>
        <w:rPr>
          <w:rFonts w:ascii="Arial" w:cs="Arial" w:eastAsia="Arial" w:hAnsi="Arial"/>
          <w:color w:val="4A4A6A"/>
          <w:sz w:val="24"/>
          <w:szCs w:val="24"/>
        </w:rPr>
        <w:t xml:space="preserve">https://www.academia.edu/110140301/What_Drives_the_Perceived_Credibility_of_Mobile_Websites_Classical_or_Expressive_Aesthetics</w:t>
      </w:r>
    </w:p>
    <w:p>
      <w:pPr>
        <w:spacing w:after="80" w:before="0"/>
      </w:pPr>
    </w:p>
    <w:p>
      <w:pPr>
        <w:spacing w:after="200" w:before="0"/>
      </w:pPr>
      <w:r>
        <w:rPr>
          <w:rFonts w:ascii="Arial" w:cs="Arial" w:eastAsia="Arial" w:hAnsi="Arial"/>
          <w:color w:val="4A4A6A"/>
          <w:sz w:val="24"/>
          <w:szCs w:val="24"/>
        </w:rPr>
        <w:t xml:space="preserve">Smartphone App Aesthetics Influence Users' Experience and Performance. (2023). PMC.</w:t>
      </w:r>
    </w:p>
    <w:p>
      <w:pPr>
        <w:spacing w:after="200" w:before="0"/>
      </w:pPr>
      <w:r>
        <w:rPr>
          <w:rFonts w:ascii="Arial" w:cs="Arial" w:eastAsia="Arial" w:hAnsi="Arial"/>
          <w:color w:val="4A4A6A"/>
          <w:sz w:val="24"/>
          <w:szCs w:val="24"/>
        </w:rPr>
        <w:t xml:space="preserve">https://pmc.ncbi.nlm.nih.gov/articles/PMC10306164/</w:t>
      </w:r>
    </w:p>
    <w:p>
      <w:pPr>
        <w:spacing w:after="80" w:before="0"/>
      </w:pPr>
    </w:p>
    <w:p>
      <w:pPr>
        <w:spacing w:after="200" w:before="0"/>
      </w:pPr>
      <w:r>
        <w:rPr>
          <w:rFonts w:ascii="Arial" w:cs="Arial" w:eastAsia="Arial" w:hAnsi="Arial"/>
          <w:color w:val="4A4A6A"/>
          <w:sz w:val="24"/>
          <w:szCs w:val="24"/>
        </w:rPr>
        <w:t xml:space="preserve">Quality Assessment of Digital Health Apps: Umbrella Review. (2024). PMC.</w:t>
      </w:r>
    </w:p>
    <w:p>
      <w:pPr>
        <w:spacing w:after="200" w:before="0"/>
      </w:pPr>
      <w:r>
        <w:rPr>
          <w:rFonts w:ascii="Arial" w:cs="Arial" w:eastAsia="Arial" w:hAnsi="Arial"/>
          <w:color w:val="4A4A6A"/>
          <w:sz w:val="24"/>
          <w:szCs w:val="24"/>
        </w:rPr>
        <w:t xml:space="preserve">https://pmc.ncbi.nlm.nih.gov/articles/PMC11502990/</w:t>
      </w:r>
    </w:p>
    <w:p>
      <w:pPr>
        <w:spacing w:after="480" w:before="0"/>
      </w:pPr>
    </w:p>
    <w:p>
      <w:pPr>
        <w:spacing w:after="0" w:before="0"/>
      </w:pPr>
      <w:r>
        <w:rPr>
          <w:rFonts w:ascii="Arial" w:cs="Arial" w:eastAsia="Arial" w:hAnsi="Arial"/>
          <w:color w:val="AAAAAA"/>
          <w:sz w:val="18"/>
          <w:szCs w:val="18"/>
        </w:rPr>
        <w:t xml:space="preserve">FuelSync  |  Brisbane, Australia  |  Document 06 of 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2026-04-16T11:53:13.338Z</dcterms:created>
  <dcterms:modified xsi:type="dcterms:W3CDTF">2026-04-16T11:53:13.339Z</dcterms:modified>
</cp:coreProperties>
</file>

<file path=docProps/custom.xml><?xml version="1.0" encoding="utf-8"?>
<Properties xmlns="http://schemas.openxmlformats.org/officeDocument/2006/custom-properties" xmlns:vt="http://schemas.openxmlformats.org/officeDocument/2006/docPropsVTypes"/>
</file>