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7B5FFF"/>
          <w:spacing w:val="60"/>
          <w:sz w:val="18"/>
          <w:szCs w:val="18"/>
        </w:rPr>
        <w:t xml:space="preserve">FUELSYNC — DOCUMENT 02</w:t>
      </w:r>
    </w:p>
    <w:p>
      <w:pPr>
        <w:pBdr>
          <w:bottom w:val="single" w:color="7B5FFF" w:sz="6" w:space="1"/>
        </w:pBdr>
        <w:spacing w:after="240" w:before="0"/>
      </w:pPr>
    </w:p>
    <w:p>
      <w:pPr>
        <w:spacing w:after="80" w:before="0"/>
      </w:pPr>
    </w:p>
    <w:p>
      <w:pPr>
        <w:spacing w:after="160" w:before="0"/>
      </w:pPr>
      <w:r>
        <w:rPr>
          <w:rFonts w:ascii="Arial" w:cs="Arial" w:eastAsia="Arial" w:hAnsi="Arial"/>
          <w:b/>
          <w:bCs/>
          <w:color w:val="1A1A2E"/>
          <w:sz w:val="36"/>
          <w:szCs w:val="36"/>
        </w:rPr>
        <w:t xml:space="preserve">The Problem &amp; Insight</w:t>
      </w:r>
    </w:p>
    <w:p>
      <w:pPr>
        <w:spacing w:after="200" w:before="0"/>
      </w:pPr>
      <w:r>
        <w:rPr>
          <w:rFonts w:ascii="Arial" w:cs="Arial" w:eastAsia="Arial" w:hAnsi="Arial"/>
          <w:color w:val="4A4A6A"/>
          <w:sz w:val="24"/>
          <w:szCs w:val="24"/>
        </w:rPr>
        <w:t xml:space="preserve">Why the nutrition app category keeps failing the people who need it most — and what peer-reviewed research and primary survey data reveal about how lasting food habits actually form.</w:t>
      </w:r>
    </w:p>
    <w:p>
      <w:pPr>
        <w:spacing w:after="240" w:before="0"/>
      </w:pPr>
    </w:p>
    <w:p>
      <w:pPr>
        <w:spacing w:after="120" w:before="400"/>
      </w:pPr>
      <w:r>
        <w:rPr>
          <w:rFonts w:ascii="Arial" w:cs="Arial" w:eastAsia="Arial" w:hAnsi="Arial"/>
          <w:b/>
          <w:bCs/>
          <w:color w:val="1A1A2E"/>
          <w:sz w:val="26"/>
          <w:szCs w:val="26"/>
        </w:rPr>
        <w:t xml:space="preserve">Part 1 — The Problem, As Lived</w:t>
      </w:r>
    </w:p>
    <w:p>
      <w:pPr>
        <w:spacing w:after="200" w:before="0"/>
      </w:pPr>
      <w:r>
        <w:rPr>
          <w:rFonts w:ascii="Arial" w:cs="Arial" w:eastAsia="Arial" w:hAnsi="Arial"/>
          <w:color w:val="4A4A6A"/>
          <w:sz w:val="24"/>
          <w:szCs w:val="24"/>
        </w:rPr>
        <w:t xml:space="preserve">The founder of FuelSync spent a period of his life eating everything and anything. Regular fast food, Korean takeout, meals with no structure. Weight accumulated gradually. Moving around started to feel uncomfortable. The obvious solution was a structured meal plan with calorie tracking — and it worked, in the narrow sense. Around 2,500 calories of batch-cooked chicken and sweet potato, prepared weekly, logged daily.</w:t>
      </w:r>
    </w:p>
    <w:p>
      <w:pPr>
        <w:spacing w:after="200" w:before="0"/>
      </w:pPr>
      <w:r>
        <w:rPr>
          <w:rFonts w:ascii="Arial" w:cs="Arial" w:eastAsia="Arial" w:hAnsi="Arial"/>
          <w:color w:val="4A4A6A"/>
          <w:sz w:val="24"/>
          <w:szCs w:val="24"/>
        </w:rPr>
        <w:t xml:space="preserve">Then, without a single dramatic failure, it stopped. There was no binge, no bad day that broke everything. Just a gradual erosion — the cooking felt like too much effort, the meals felt monotonous, the app became something to ignore rather than open. The slow fade is the most common way people exit health apps, and it is also the most telling: it means the method was not sustainable, not that the person lacked willpower.</w:t>
      </w:r>
    </w:p>
    <w:p>
      <w:pPr>
        <w:spacing w:after="200" w:before="0"/>
      </w:pPr>
      <w:r>
        <w:rPr>
          <w:rFonts w:ascii="Arial" w:cs="Arial" w:eastAsia="Arial" w:hAnsi="Arial"/>
          <w:color w:val="4A4A6A"/>
          <w:sz w:val="24"/>
          <w:szCs w:val="24"/>
        </w:rPr>
        <w:t xml:space="preserve">What followed was a period of not trying. And then something unexpected happened. A simple meal emerged organically — brown rice, canned tuna, four eggs. Low effort. Low cost. Easy to repeat. It did not feel like a diet. It felt like something worth coming back to. Small additions came naturally over time. Parmesan changed the flavour profile entirely. A nasi goreng spice packet elevated it further.</w:t>
      </w:r>
    </w:p>
    <w:p>
      <w:pPr>
        <w:pBdr>
          <w:left w:val="single" w:color="7B5FFF" w:sz="16" w:space="20"/>
        </w:pBdr>
        <w:spacing w:after="320" w:before="320"/>
        <w:ind w:left="720"/>
      </w:pPr>
      <w:r>
        <w:rPr>
          <w:rFonts w:ascii="Arial" w:cs="Arial" w:eastAsia="Arial" w:hAnsi="Arial"/>
          <w:b/>
          <w:bCs/>
          <w:i/>
          <w:iCs/>
          <w:color w:val="7B5FFF"/>
          <w:sz w:val="26"/>
          <w:szCs w:val="26"/>
        </w:rPr>
        <w:t xml:space="preserve">Around 30 kilograms were lost — without structured exercise, without calorie counting, and without a program. Through finding one meal that worked and returning to it because it was genuinely enjoyable.</w:t>
      </w:r>
    </w:p>
    <w:p>
      <w:pPr>
        <w:spacing w:after="200" w:before="0"/>
      </w:pPr>
      <w:r>
        <w:rPr>
          <w:rFonts w:ascii="Arial" w:cs="Arial" w:eastAsia="Arial" w:hAnsi="Arial"/>
          <w:color w:val="4A4A6A"/>
          <w:sz w:val="24"/>
          <w:szCs w:val="24"/>
        </w:rPr>
        <w:t xml:space="preserve">That experience is the product thesis. Not a diet. Not a tracking system. A platform that helps people find the one meal that works for them — and builds outward from there.</w:t>
      </w:r>
    </w:p>
    <w:p>
      <w:pPr>
        <w:spacing w:after="80" w:before="0"/>
      </w:pPr>
    </w:p>
    <w:p>
      <w:pPr>
        <w:spacing w:after="120" w:before="400"/>
      </w:pPr>
      <w:r>
        <w:rPr>
          <w:rFonts w:ascii="Arial" w:cs="Arial" w:eastAsia="Arial" w:hAnsi="Arial"/>
          <w:b/>
          <w:bCs/>
          <w:color w:val="1A1A2E"/>
          <w:sz w:val="26"/>
          <w:szCs w:val="26"/>
        </w:rPr>
        <w:t xml:space="preserve">Part 2 — The Research Evidence</w:t>
      </w:r>
    </w:p>
    <w:p>
      <w:pPr>
        <w:spacing w:after="200" w:before="0"/>
      </w:pPr>
      <w:r>
        <w:rPr>
          <w:rFonts w:ascii="Arial" w:cs="Arial" w:eastAsia="Arial" w:hAnsi="Arial"/>
          <w:color w:val="4A4A6A"/>
          <w:sz w:val="24"/>
          <w:szCs w:val="24"/>
        </w:rPr>
        <w:t xml:space="preserve">The founder's experience is not an anecdote. It is consistent with a substantial and growing body of research on why people fail at healthy eating and what actually drives long-term dietary adherence. The following four findings from peer-reviewed literature form the scientific foundation of FuelSync's product thesis.</w:t>
      </w:r>
    </w:p>
    <w:p>
      <w:pPr>
        <w:spacing w:after="80" w:before="0"/>
      </w:pPr>
    </w:p>
    <w:p>
      <w:pPr>
        <w:spacing w:after="200" w:before="0"/>
      </w:pPr>
      <w:r>
        <w:rPr>
          <w:rFonts w:ascii="Arial" w:cs="Arial" w:eastAsia="Arial" w:hAnsi="Arial"/>
          <w:b/>
          <w:bCs/>
          <w:color w:val="4A4A6A"/>
          <w:sz w:val="24"/>
          <w:szCs w:val="24"/>
        </w:rPr>
        <w:t xml:space="preserve">Finding 1 — App abandonment is severe and well-documented</w:t>
      </w:r>
    </w:p>
    <w:p>
      <w:pPr>
        <w:spacing w:after="200" w:before="0"/>
      </w:pPr>
      <w:r>
        <w:rPr>
          <w:rFonts w:ascii="Arial" w:cs="Arial" w:eastAsia="Arial" w:hAnsi="Arial"/>
          <w:color w:val="4A4A6A"/>
          <w:sz w:val="24"/>
          <w:szCs w:val="24"/>
        </w:rPr>
        <w:t xml:space="preserve">A cross-sectional survey of mHealth users (Riaz et al., 2022, International Journal of Environmental Research and Public Health) found that approximately 53% of mHealth apps were uninstalled within 30 days of download. The primary reasons cited were loss of interest and declining motivation, followed by poor fit, missing features, and financial cost.</w:t>
      </w:r>
    </w:p>
    <w:p>
      <w:pPr>
        <w:spacing w:after="200" w:before="0"/>
      </w:pPr>
      <w:r>
        <w:rPr>
          <w:rFonts w:ascii="Arial" w:cs="Arial" w:eastAsia="Arial" w:hAnsi="Arial"/>
          <w:color w:val="4A4A6A"/>
          <w:sz w:val="24"/>
          <w:szCs w:val="24"/>
        </w:rPr>
        <w:t xml:space="preserve">A 2024 scoping review of lifestyle behaviour and mental health apps (Kidman et al., 2024, Journal of Medical Internet Research) found a median of 70% of users discontinued use within approximately 100 days. Six categories of abandonment drivers were identified: technical issues, privacy concerns, poor UX, inadequate personalisation, time and financial costs, and evolving user goals.</w:t>
      </w:r>
    </w:p>
    <w:p>
      <w:pPr>
        <w:spacing w:after="200" w:before="0"/>
      </w:pPr>
      <w:r>
        <w:rPr>
          <w:rFonts w:ascii="Arial" w:cs="Arial" w:eastAsia="Arial" w:hAnsi="Arial"/>
          <w:i/>
          <w:iCs/>
          <w:color w:val="888888"/>
          <w:sz w:val="22"/>
          <w:szCs w:val="22"/>
        </w:rPr>
        <w:t xml:space="preserve">Source: Riaz et al. (2022), PMC8872344; Kidman et al. (2024), JMIR e56897</w:t>
      </w:r>
    </w:p>
    <w:p>
      <w:pPr>
        <w:spacing w:after="80" w:before="0"/>
      </w:pPr>
    </w:p>
    <w:p>
      <w:pPr>
        <w:spacing w:after="200" w:before="0"/>
      </w:pPr>
      <w:r>
        <w:rPr>
          <w:rFonts w:ascii="Arial" w:cs="Arial" w:eastAsia="Arial" w:hAnsi="Arial"/>
          <w:b/>
          <w:bCs/>
          <w:color w:val="4A4A6A"/>
          <w:sz w:val="24"/>
          <w:szCs w:val="24"/>
        </w:rPr>
        <w:t xml:space="preserve">Finding 2 — Guilt after dietary lapses accelerates failure</w:t>
      </w:r>
    </w:p>
    <w:p>
      <w:pPr>
        <w:spacing w:after="200" w:before="0"/>
      </w:pPr>
      <w:r>
        <w:rPr>
          <w:rFonts w:ascii="Arial" w:cs="Arial" w:eastAsia="Arial" w:hAnsi="Arial"/>
          <w:color w:val="4A4A6A"/>
          <w:sz w:val="24"/>
          <w:szCs w:val="24"/>
        </w:rPr>
        <w:t xml:space="preserve">A longitudinal daily diary study in individuals actively trying to lose weight (Mantzios et al., 2020, Applied Psychology: Health and Well-Being) found that guilt — not shame — was the critical mechanism that undermined continued dietary effort. Higher guilt after a lapse predicted lower intention to continue weight-loss behaviour, lower self-efficacy, and more negative reactions. Guilt statistically mediated the relationship between self-compassion and these negative outcomes.</w:t>
      </w:r>
    </w:p>
    <w:p>
      <w:pPr>
        <w:spacing w:after="200" w:before="0"/>
      </w:pPr>
      <w:r>
        <w:rPr>
          <w:rFonts w:ascii="Arial" w:cs="Arial" w:eastAsia="Arial" w:hAnsi="Arial"/>
          <w:color w:val="4A4A6A"/>
          <w:sz w:val="24"/>
          <w:szCs w:val="24"/>
        </w:rPr>
        <w:t xml:space="preserve">The implication is direct: apps that use scoring systems, red indicators, or judgmental language after a bad food day are not just unhelpful — they are actively accelerating the failure they are designed to prevent.</w:t>
      </w:r>
    </w:p>
    <w:p>
      <w:pPr>
        <w:spacing w:after="200" w:before="0"/>
      </w:pPr>
      <w:r>
        <w:rPr>
          <w:rFonts w:ascii="Arial" w:cs="Arial" w:eastAsia="Arial" w:hAnsi="Arial"/>
          <w:i/>
          <w:iCs/>
          <w:color w:val="888888"/>
          <w:sz w:val="22"/>
          <w:szCs w:val="22"/>
        </w:rPr>
        <w:t xml:space="preserve">Source: Mantzios et al. (2020), PMC8451927</w:t>
      </w:r>
    </w:p>
    <w:p>
      <w:pPr>
        <w:spacing w:after="80" w:before="0"/>
      </w:pPr>
    </w:p>
    <w:p>
      <w:pPr>
        <w:spacing w:after="200" w:before="0"/>
      </w:pPr>
      <w:r>
        <w:rPr>
          <w:rFonts w:ascii="Arial" w:cs="Arial" w:eastAsia="Arial" w:hAnsi="Arial"/>
          <w:b/>
          <w:bCs/>
          <w:color w:val="4A4A6A"/>
          <w:sz w:val="24"/>
          <w:szCs w:val="24"/>
        </w:rPr>
        <w:t xml:space="preserve">Finding 3 — Emotional eating undermines adherence to healthy patterns</w:t>
      </w:r>
    </w:p>
    <w:p>
      <w:pPr>
        <w:spacing w:after="200" w:before="0"/>
      </w:pPr>
      <w:r>
        <w:rPr>
          <w:rFonts w:ascii="Arial" w:cs="Arial" w:eastAsia="Arial" w:hAnsi="Arial"/>
          <w:color w:val="4A4A6A"/>
          <w:sz w:val="24"/>
          <w:szCs w:val="24"/>
        </w:rPr>
        <w:t xml:space="preserve">Two recent studies in the journal Nutrients examined the relationship between emotional eating and dietary quality. Fernández-Aranda et al. (2022) found that emotional eaters showed higher adherence to snack and fast food patterns and lower adherence to healthy dietary patterns compared with non-emotional eaters. Messina et al. (2026) found that higher emotional eating scores were associated with greater disinhibition, stronger food cravings, and higher guilt about eating.</w:t>
      </w:r>
    </w:p>
    <w:p>
      <w:pPr>
        <w:spacing w:after="200" w:before="0"/>
      </w:pPr>
      <w:r>
        <w:rPr>
          <w:rFonts w:ascii="Arial" w:cs="Arial" w:eastAsia="Arial" w:hAnsi="Arial"/>
          <w:color w:val="4A4A6A"/>
          <w:sz w:val="24"/>
          <w:szCs w:val="24"/>
        </w:rPr>
        <w:t xml:space="preserve">Taken together, emotional eating is consistently associated with dietary patterns that undermine health goals — and guilt is the mechanism connecting the two. A product that reduces guilt and builds positive emotional associations with specific foods is directly targeting the root cause of dietary failure.</w:t>
      </w:r>
    </w:p>
    <w:p>
      <w:pPr>
        <w:spacing w:after="200" w:before="0"/>
      </w:pPr>
      <w:r>
        <w:rPr>
          <w:rFonts w:ascii="Arial" w:cs="Arial" w:eastAsia="Arial" w:hAnsi="Arial"/>
          <w:i/>
          <w:iCs/>
          <w:color w:val="888888"/>
          <w:sz w:val="22"/>
          <w:szCs w:val="22"/>
        </w:rPr>
        <w:t xml:space="preserve">Source: Fernández-Aranda et al. (2022), PMC9002960; Messina et al. (2026), PMC12844729</w:t>
      </w:r>
    </w:p>
    <w:p>
      <w:pPr>
        <w:spacing w:after="80" w:before="0"/>
      </w:pPr>
    </w:p>
    <w:p>
      <w:pPr>
        <w:spacing w:after="200" w:before="0"/>
      </w:pPr>
      <w:r>
        <w:rPr>
          <w:rFonts w:ascii="Arial" w:cs="Arial" w:eastAsia="Arial" w:hAnsi="Arial"/>
          <w:b/>
          <w:bCs/>
          <w:color w:val="4A4A6A"/>
          <w:sz w:val="24"/>
          <w:szCs w:val="24"/>
        </w:rPr>
        <w:t xml:space="preserve">Finding 4 — Meal repetition is sustainable when variety is perceived at the diet level</w:t>
      </w:r>
    </w:p>
    <w:p>
      <w:pPr>
        <w:spacing w:after="200" w:before="0"/>
      </w:pPr>
      <w:r>
        <w:rPr>
          <w:rFonts w:ascii="Arial" w:cs="Arial" w:eastAsia="Arial" w:hAnsi="Arial"/>
          <w:color w:val="4A4A6A"/>
          <w:sz w:val="24"/>
          <w:szCs w:val="24"/>
        </w:rPr>
        <w:t xml:space="preserve">A longitudinal field experiment on food repetition (Redden &amp; Galak, 2021, Appetite) found that while repeatedly eating the same food can reduce immediate enjoyment over time, participants remained willing to continue eating that food when broader dietary variety was made salient. The research suggests that the value of a repeated meal shifts over time from pure taste to predictability, low decision cost, and goal congruence — the same properties that characterise the anchor meal phenomenon.</w:t>
      </w:r>
    </w:p>
    <w:p>
      <w:pPr>
        <w:spacing w:after="200" w:before="0"/>
      </w:pPr>
      <w:r>
        <w:rPr>
          <w:rFonts w:ascii="Arial" w:cs="Arial" w:eastAsia="Arial" w:hAnsi="Arial"/>
          <w:color w:val="4A4A6A"/>
          <w:sz w:val="24"/>
          <w:szCs w:val="24"/>
        </w:rPr>
        <w:t xml:space="preserve">This directly validates FuelSync's 6-meal mechanic: one anchor meal plus rotating alternatives creates the perception of variety that sustains repetition of the core staple without boredom.</w:t>
      </w:r>
    </w:p>
    <w:p>
      <w:pPr>
        <w:spacing w:after="200" w:before="0"/>
      </w:pPr>
      <w:r>
        <w:rPr>
          <w:rFonts w:ascii="Arial" w:cs="Arial" w:eastAsia="Arial" w:hAnsi="Arial"/>
          <w:i/>
          <w:iCs/>
          <w:color w:val="888888"/>
          <w:sz w:val="22"/>
          <w:szCs w:val="22"/>
        </w:rPr>
        <w:t xml:space="preserve">Source: Redden &amp; Galak (2021), PubMed 32601978</w:t>
      </w:r>
    </w:p>
    <w:p>
      <w:pPr>
        <w:spacing w:after="80" w:before="0"/>
      </w:pPr>
    </w:p>
    <w:p>
      <w:pPr>
        <w:spacing w:after="120" w:before="400"/>
      </w:pPr>
      <w:r>
        <w:rPr>
          <w:rFonts w:ascii="Arial" w:cs="Arial" w:eastAsia="Arial" w:hAnsi="Arial"/>
          <w:b/>
          <w:bCs/>
          <w:color w:val="1A1A2E"/>
          <w:sz w:val="26"/>
          <w:szCs w:val="26"/>
        </w:rPr>
        <w:t xml:space="preserve">Part 3 — Why Current Apps Fail</w:t>
      </w:r>
    </w:p>
    <w:p>
      <w:pPr>
        <w:spacing w:after="200" w:before="0"/>
      </w:pPr>
      <w:r>
        <w:rPr>
          <w:rFonts w:ascii="Arial" w:cs="Arial" w:eastAsia="Arial" w:hAnsi="Arial"/>
          <w:color w:val="4A4A6A"/>
          <w:sz w:val="24"/>
          <w:szCs w:val="24"/>
        </w:rPr>
        <w:t xml:space="preserve">The research above makes the failure of current nutrition apps structurally inevitable. Every major player in the category — MyFitnessPal, Noom, Cronometer, Lose It — is built around the same core assumption: that people fail to eat well because they lack information or structure. Give them a calorie target, a macro breakdown, a meal plan — and the problem is solved.</w:t>
      </w:r>
    </w:p>
    <w:p>
      <w:pPr>
        <w:spacing w:after="200" w:before="0"/>
      </w:pPr>
      <w:r>
        <w:rPr>
          <w:rFonts w:ascii="Arial" w:cs="Arial" w:eastAsia="Arial" w:hAnsi="Arial"/>
          <w:color w:val="4A4A6A"/>
          <w:sz w:val="24"/>
          <w:szCs w:val="24"/>
        </w:rPr>
        <w:t xml:space="preserve">This assumption is wrong in a specific and important way. The research shows that the primary failure mechanisms are not informational — they are emotional and behavioural. People do not quit health apps because they do not know what to eat. They quit because:</w:t>
      </w:r>
    </w:p>
    <w:p>
      <w:pPr>
        <w:pStyle w:val="ListParagraph"/>
        <w:numPr>
          <w:ilvl w:val="0"/>
          <w:numId w:val="2"/>
        </w:numPr>
        <w:spacing w:after="160" w:before="0"/>
      </w:pPr>
      <w:r>
        <w:rPr>
          <w:rFonts w:ascii="Arial" w:cs="Arial" w:eastAsia="Arial" w:hAnsi="Arial"/>
          <w:color w:val="4A4A6A"/>
          <w:sz w:val="24"/>
          <w:szCs w:val="24"/>
        </w:rPr>
        <w:t xml:space="preserve">Guilt after lapses reduces their motivation and self-efficacy (Mantzios et al., 2020)</w:t>
      </w:r>
    </w:p>
    <w:p>
      <w:pPr>
        <w:pStyle w:val="ListParagraph"/>
        <w:numPr>
          <w:ilvl w:val="0"/>
          <w:numId w:val="2"/>
        </w:numPr>
        <w:spacing w:after="160" w:before="0"/>
      </w:pPr>
      <w:r>
        <w:rPr>
          <w:rFonts w:ascii="Arial" w:cs="Arial" w:eastAsia="Arial" w:hAnsi="Arial"/>
          <w:color w:val="4A4A6A"/>
          <w:sz w:val="24"/>
          <w:szCs w:val="24"/>
        </w:rPr>
        <w:t xml:space="preserve">Poor personalisation means the app never feels like it understands them (Kidman et al., 2024)</w:t>
      </w:r>
    </w:p>
    <w:p>
      <w:pPr>
        <w:pStyle w:val="ListParagraph"/>
        <w:numPr>
          <w:ilvl w:val="0"/>
          <w:numId w:val="2"/>
        </w:numPr>
        <w:spacing w:after="160" w:before="0"/>
      </w:pPr>
      <w:r>
        <w:rPr>
          <w:rFonts w:ascii="Arial" w:cs="Arial" w:eastAsia="Arial" w:hAnsi="Arial"/>
          <w:color w:val="4A4A6A"/>
          <w:sz w:val="24"/>
          <w:szCs w:val="24"/>
        </w:rPr>
        <w:t xml:space="preserve">Effort without enjoyment creates unsustainable compliance (van der Bend et al., 2023)</w:t>
      </w:r>
    </w:p>
    <w:p>
      <w:pPr>
        <w:pStyle w:val="ListParagraph"/>
        <w:numPr>
          <w:ilvl w:val="0"/>
          <w:numId w:val="2"/>
        </w:numPr>
        <w:spacing w:after="160" w:before="0"/>
      </w:pPr>
      <w:r>
        <w:rPr>
          <w:rFonts w:ascii="Arial" w:cs="Arial" w:eastAsia="Arial" w:hAnsi="Arial"/>
          <w:color w:val="4A4A6A"/>
          <w:sz w:val="24"/>
          <w:szCs w:val="24"/>
        </w:rPr>
        <w:t xml:space="preserve">No emotional attachment to specific foods means there is nothing to return to</w:t>
      </w:r>
    </w:p>
    <w:p>
      <w:pPr>
        <w:pBdr>
          <w:left w:val="single" w:color="7B5FFF" w:sz="16" w:space="20"/>
        </w:pBdr>
        <w:spacing w:after="320" w:before="320"/>
        <w:ind w:left="720"/>
      </w:pPr>
      <w:r>
        <w:rPr>
          <w:rFonts w:ascii="Arial" w:cs="Arial" w:eastAsia="Arial" w:hAnsi="Arial"/>
          <w:b/>
          <w:bCs/>
          <w:i/>
          <w:iCs/>
          <w:color w:val="7B5FFF"/>
          <w:sz w:val="26"/>
          <w:szCs w:val="26"/>
        </w:rPr>
        <w:t xml:space="preserve">People do not fail at healthy eating because they lack information. They fail because they have never found a meal they love enough to repeat.</w:t>
      </w:r>
    </w:p>
    <w:p>
      <w:pPr>
        <w:spacing w:after="80" w:before="0"/>
      </w:pPr>
    </w:p>
    <w:p>
      <w:pPr>
        <w:spacing w:after="120" w:before="400"/>
      </w:pPr>
      <w:r>
        <w:rPr>
          <w:rFonts w:ascii="Arial" w:cs="Arial" w:eastAsia="Arial" w:hAnsi="Arial"/>
          <w:b/>
          <w:bCs/>
          <w:color w:val="1A1A2E"/>
          <w:sz w:val="26"/>
          <w:szCs w:val="26"/>
        </w:rPr>
        <w:t xml:space="preserve">Part 4 — Primary Research: FuelSync Survey Data</w:t>
      </w:r>
    </w:p>
    <w:p>
      <w:pPr>
        <w:spacing w:after="200" w:before="0"/>
      </w:pPr>
      <w:r>
        <w:rPr>
          <w:rFonts w:ascii="Arial" w:cs="Arial" w:eastAsia="Arial" w:hAnsi="Arial"/>
          <w:color w:val="4A4A6A"/>
          <w:sz w:val="24"/>
          <w:szCs w:val="24"/>
        </w:rPr>
        <w:t xml:space="preserve">Prior to building FuelSync, the founder conducted two rounds of survey research to validate the core problem with real potential users. The second survey was specifically targeted at people who find healthy eating genuinely difficult — the primary FuelSync market segment.</w:t>
      </w:r>
    </w:p>
    <w:p>
      <w:pPr>
        <w:spacing w:after="200" w:before="0"/>
      </w:pPr>
      <w:r>
        <w:rPr>
          <w:rFonts w:ascii="Arial" w:cs="Arial" w:eastAsia="Arial" w:hAnsi="Arial"/>
          <w:color w:val="4A4A6A"/>
          <w:sz w:val="24"/>
          <w:szCs w:val="24"/>
        </w:rPr>
        <w:t xml:space="preserve">Survey 2 results (15 targeted responses, April 2026):</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E8E8F0" w:sz="1"/>
              <w:left w:val="single" w:color="E8E8F0" w:sz="1"/>
              <w:bottom w:val="single" w:color="E8E8F0" w:sz="1"/>
              <w:right w:val="single" w:color="E8E8F0" w:sz="1"/>
            </w:tcBorders>
            <w:shd w:fill="EDE9FF" w:val="clear"/>
            <w:tcMar>
              <w:top w:type="dxa" w:w="120"/>
              <w:left w:type="dxa" w:w="160"/>
              <w:bottom w:type="dxa" w:w="120"/>
              <w:right w:type="dxa" w:w="160"/>
            </w:tcMar>
          </w:tcPr>
          <w:p>
            <w:r>
              <w:rPr>
                <w:rFonts w:ascii="Arial" w:cs="Arial" w:eastAsia="Arial" w:hAnsi="Arial"/>
                <w:b/>
                <w:bCs/>
                <w:color w:val="7B5FFF"/>
                <w:sz w:val="20"/>
                <w:szCs w:val="20"/>
              </w:rPr>
              <w:t xml:space="preserve">Question</w:t>
            </w:r>
          </w:p>
        </w:tc>
        <w:tc>
          <w:tcPr>
            <w:tcW w:type="dxa" w:w="3000"/>
            <w:tcBorders>
              <w:top w:val="single" w:color="E8E8F0" w:sz="1"/>
              <w:left w:val="single" w:color="E8E8F0" w:sz="1"/>
              <w:bottom w:val="single" w:color="E8E8F0" w:sz="1"/>
              <w:right w:val="single" w:color="E8E8F0" w:sz="1"/>
            </w:tcBorders>
            <w:shd w:fill="EDE9FF" w:val="clear"/>
            <w:tcMar>
              <w:top w:type="dxa" w:w="120"/>
              <w:left w:type="dxa" w:w="160"/>
              <w:bottom w:type="dxa" w:w="120"/>
              <w:right w:type="dxa" w:w="160"/>
            </w:tcMar>
          </w:tcPr>
          <w:p>
            <w:r>
              <w:rPr>
                <w:rFonts w:ascii="Arial" w:cs="Arial" w:eastAsia="Arial" w:hAnsi="Arial"/>
                <w:b/>
                <w:bCs/>
                <w:color w:val="7B5FFF"/>
                <w:sz w:val="20"/>
                <w:szCs w:val="20"/>
              </w:rPr>
              <w:t xml:space="preserve">Key finding</w:t>
            </w:r>
          </w:p>
        </w:tc>
        <w:tc>
          <w:tcPr>
            <w:tcW w:type="dxa" w:w="2860"/>
            <w:tcBorders>
              <w:top w:val="single" w:color="E8E8F0" w:sz="1"/>
              <w:left w:val="single" w:color="E8E8F0" w:sz="1"/>
              <w:bottom w:val="single" w:color="E8E8F0" w:sz="1"/>
              <w:right w:val="single" w:color="E8E8F0" w:sz="1"/>
            </w:tcBorders>
            <w:shd w:fill="EDE9FF" w:val="clear"/>
            <w:tcMar>
              <w:top w:type="dxa" w:w="120"/>
              <w:left w:type="dxa" w:w="160"/>
              <w:bottom w:type="dxa" w:w="120"/>
              <w:right w:type="dxa" w:w="160"/>
            </w:tcMar>
          </w:tcPr>
          <w:p>
            <w:r>
              <w:rPr>
                <w:rFonts w:ascii="Arial" w:cs="Arial" w:eastAsia="Arial" w:hAnsi="Arial"/>
                <w:b/>
                <w:bCs/>
                <w:color w:val="7B5FFF"/>
                <w:sz w:val="20"/>
                <w:szCs w:val="20"/>
              </w:rPr>
              <w:t xml:space="preserve">Product implication</w:t>
            </w:r>
          </w:p>
        </w:tc>
      </w:tr>
      <w:tr>
        <w:tc>
          <w:tcPr>
            <w:tcW w:type="dxa" w:w="350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1A1A2E"/>
                <w:sz w:val="22"/>
                <w:szCs w:val="22"/>
              </w:rPr>
              <w:t xml:space="preserve">How often do you struggle to decide what to eat?</w:t>
            </w:r>
          </w:p>
        </w:tc>
        <w:tc>
          <w:tcPr>
            <w:tcW w:type="dxa" w:w="300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75% struggle almost every day or a few times a week</w:t>
            </w:r>
          </w:p>
        </w:tc>
        <w:tc>
          <w:tcPr>
            <w:tcW w:type="dxa" w:w="286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Decision fatigue is universal in the target market — the 6-meal feed directly addresses this</w:t>
            </w:r>
          </w:p>
        </w:tc>
      </w:tr>
      <w:tr>
        <w:tc>
          <w:tcPr>
            <w:tcW w:type="dxa" w:w="350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1A1A2E"/>
                <w:sz w:val="22"/>
                <w:szCs w:val="22"/>
              </w:rPr>
              <w:t xml:space="preserve">When stressed, what do you do about food?</w:t>
            </w:r>
          </w:p>
        </w:tc>
        <w:tc>
          <w:tcPr>
            <w:tcW w:type="dxa" w:w="300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41.7% reach for comfort food or takeaway. 25% skip meals.</w:t>
            </w:r>
          </w:p>
        </w:tc>
        <w:tc>
          <w:tcPr>
            <w:tcW w:type="dxa" w:w="286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66.7% respond to stress with behaviours the spiral breaker is designed to intercept</w:t>
            </w:r>
          </w:p>
        </w:tc>
      </w:tr>
      <w:tr>
        <w:tc>
          <w:tcPr>
            <w:tcW w:type="dxa" w:w="350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1A1A2E"/>
                <w:sz w:val="22"/>
                <w:szCs w:val="22"/>
              </w:rPr>
              <w:t xml:space="preserve">Have you ever found one meal that just works for you?</w:t>
            </w:r>
          </w:p>
        </w:tc>
        <w:tc>
          <w:tcPr>
            <w:tcW w:type="dxa" w:w="300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Only 8.3% have a true go-to meal. 91.7% have not.</w:t>
            </w:r>
          </w:p>
        </w:tc>
        <w:tc>
          <w:tcPr>
            <w:tcW w:type="dxa" w:w="286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The gap FuelSync fills is real and nearly universal in this population</w:t>
            </w:r>
          </w:p>
        </w:tc>
      </w:tr>
      <w:tr>
        <w:tc>
          <w:tcPr>
            <w:tcW w:type="dxa" w:w="350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1A1A2E"/>
                <w:sz w:val="22"/>
                <w:szCs w:val="22"/>
              </w:rPr>
              <w:t xml:space="preserve">How much does food cost influence what you eat?</w:t>
            </w:r>
          </w:p>
        </w:tc>
        <w:tc>
          <w:tcPr>
            <w:tcW w:type="dxa" w:w="300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50% make decisions based on budget somewhat or a lot</w:t>
            </w:r>
          </w:p>
        </w:tc>
        <w:tc>
          <w:tcPr>
            <w:tcW w:type="dxa" w:w="286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The local price mechanic is not a nice-to-have — it is a core need</w:t>
            </w:r>
          </w:p>
        </w:tc>
      </w:tr>
      <w:tr>
        <w:tc>
          <w:tcPr>
            <w:tcW w:type="dxa" w:w="350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1A1A2E"/>
                <w:sz w:val="22"/>
                <w:szCs w:val="22"/>
              </w:rPr>
              <w:t xml:space="preserve">Biggest frustration with eating healthier?</w:t>
            </w:r>
          </w:p>
        </w:tc>
        <w:tc>
          <w:tcPr>
            <w:tcW w:type="dxa" w:w="300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41.7% time/effort. 41.7% cost. 33.3% fall off completely.</w:t>
            </w:r>
          </w:p>
        </w:tc>
        <w:tc>
          <w:tcPr>
            <w:tcW w:type="dxa" w:w="286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The three top frustrations map directly to FuelSync's spiral breaker, budget mechanic, and low-effort meal design</w:t>
            </w:r>
          </w:p>
        </w:tc>
      </w:tr>
      <w:tr>
        <w:tc>
          <w:tcPr>
            <w:tcW w:type="dxa" w:w="350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1A1A2E"/>
                <w:sz w:val="22"/>
                <w:szCs w:val="22"/>
              </w:rPr>
              <w:t xml:space="preserve">Would you use an app personalised to people exactly like you?</w:t>
            </w:r>
          </w:p>
        </w:tc>
        <w:tc>
          <w:tcPr>
            <w:tcW w:type="dxa" w:w="300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Zero respondents said probably not. 100% open or interested.</w:t>
            </w:r>
          </w:p>
        </w:tc>
        <w:tc>
          <w:tcPr>
            <w:tcW w:type="dxa" w:w="286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No rejection signal even from a cold, partially untargeted audience</w:t>
            </w:r>
          </w:p>
        </w:tc>
      </w:tr>
    </w:tbl>
    <w:p>
      <w:pPr>
        <w:spacing w:after="240" w:before="0"/>
      </w:pPr>
    </w:p>
    <w:p>
      <w:pPr>
        <w:spacing w:after="200" w:before="0"/>
      </w:pPr>
      <w:r>
        <w:rPr>
          <w:rFonts w:ascii="Arial" w:cs="Arial" w:eastAsia="Arial" w:hAnsi="Arial"/>
          <w:i/>
          <w:iCs/>
          <w:color w:val="4A4A6A"/>
          <w:sz w:val="24"/>
          <w:szCs w:val="24"/>
        </w:rPr>
        <w:t xml:space="preserve">The most significant finding is from question three. Only 8.3% of respondents have found their one reliable go-to meal. The remaining 91.7% have not found what FuelSync is specifically designed to help them discover. The problem is real, widespread, and currently unsolved.</w:t>
      </w:r>
    </w:p>
    <w:p>
      <w:pPr>
        <w:spacing w:after="80" w:before="0"/>
      </w:pPr>
    </w:p>
    <w:p>
      <w:pPr>
        <w:spacing w:after="120" w:before="400"/>
      </w:pPr>
      <w:r>
        <w:rPr>
          <w:rFonts w:ascii="Arial" w:cs="Arial" w:eastAsia="Arial" w:hAnsi="Arial"/>
          <w:b/>
          <w:bCs/>
          <w:color w:val="1A1A2E"/>
          <w:sz w:val="26"/>
          <w:szCs w:val="26"/>
        </w:rPr>
        <w:t xml:space="preserve">Part 5 — The Core Insight</w:t>
      </w:r>
    </w:p>
    <w:p>
      <w:pPr>
        <w:spacing w:after="200" w:before="0"/>
      </w:pPr>
      <w:r>
        <w:rPr>
          <w:rFonts w:ascii="Arial" w:cs="Arial" w:eastAsia="Arial" w:hAnsi="Arial"/>
          <w:color w:val="4A4A6A"/>
          <w:sz w:val="24"/>
          <w:szCs w:val="24"/>
        </w:rPr>
        <w:t xml:space="preserve">Everything above points to a single insight that underpins FuelSync's entire product thesis:</w:t>
      </w:r>
    </w:p>
    <w:p>
      <w:pPr>
        <w:pBdr>
          <w:left w:val="single" w:color="7B5FFF" w:sz="16" w:space="20"/>
        </w:pBdr>
        <w:spacing w:after="320" w:before="320"/>
        <w:ind w:left="720"/>
      </w:pPr>
      <w:r>
        <w:rPr>
          <w:rFonts w:ascii="Arial" w:cs="Arial" w:eastAsia="Arial" w:hAnsi="Arial"/>
          <w:b/>
          <w:bCs/>
          <w:i/>
          <w:iCs/>
          <w:color w:val="7B5FFF"/>
          <w:sz w:val="26"/>
          <w:szCs w:val="26"/>
        </w:rPr>
        <w:t xml:space="preserve">The goal is not to make people eat better. The goal is to help them find meals they love — and let better eating follow naturally from that attachment.</w:t>
      </w:r>
    </w:p>
    <w:p>
      <w:pPr>
        <w:spacing w:after="200" w:before="0"/>
      </w:pPr>
      <w:r>
        <w:rPr>
          <w:rFonts w:ascii="Arial" w:cs="Arial" w:eastAsia="Arial" w:hAnsi="Arial"/>
          <w:color w:val="4A4A6A"/>
          <w:sz w:val="24"/>
          <w:szCs w:val="24"/>
        </w:rPr>
        <w:t xml:space="preserve">This reframes the problem entirely. It is not a nutrition problem. It is not an information problem. It is a discovery and attachment problem. People are not failing because they do not know what to eat. They are failing because they have never found food they genuinely love eating in a way that also supports their health goals.</w:t>
      </w:r>
    </w:p>
    <w:p>
      <w:pPr>
        <w:spacing w:after="200" w:before="0"/>
      </w:pPr>
      <w:r>
        <w:rPr>
          <w:rFonts w:ascii="Arial" w:cs="Arial" w:eastAsia="Arial" w:hAnsi="Arial"/>
          <w:color w:val="4A4A6A"/>
          <w:sz w:val="24"/>
          <w:szCs w:val="24"/>
        </w:rPr>
        <w:t xml:space="preserve">When someone finds that meal — as the founder did with his rice and tuna bowl — the dynamic changes completely. The meal gets eaten not because it is on a plan but because it is wanted. The body responds. The habit forms without effort because it is built on enjoyment rather than obligation.</w:t>
      </w:r>
    </w:p>
    <w:p>
      <w:pPr>
        <w:spacing w:after="200" w:before="0"/>
      </w:pPr>
      <w:r>
        <w:rPr>
          <w:rFonts w:ascii="Arial" w:cs="Arial" w:eastAsia="Arial" w:hAnsi="Arial"/>
          <w:color w:val="4A4A6A"/>
          <w:sz w:val="24"/>
          <w:szCs w:val="24"/>
        </w:rPr>
        <w:t xml:space="preserve">FuelSync is the system that makes that discovery systematic, personalised, and inevitable — for anyone, regardless of their metabolism, budget, sensory profile, or emotional relationship with food. The research supports this approach. The survey data validates the need. The founder's personal experience proves it works.</w:t>
      </w:r>
    </w:p>
    <w:p>
      <w:pPr>
        <w:spacing w:after="240" w:before="0"/>
      </w:pPr>
    </w:p>
    <w:p>
      <w:pPr>
        <w:pBdr>
          <w:top w:val="single" w:color="2EC4B6" w:sz="8" w:space="8"/>
        </w:pBdr>
        <w:spacing w:after="80" w:before="240"/>
      </w:pPr>
      <w:r>
        <w:rPr>
          <w:rFonts w:ascii="Arial" w:cs="Arial" w:eastAsia="Arial" w:hAnsi="Arial"/>
          <w:b/>
          <w:bCs/>
          <w:color w:val="1A1A2E"/>
          <w:sz w:val="24"/>
          <w:szCs w:val="24"/>
        </w:rPr>
        <w:t xml:space="preserve">Research summary</w:t>
      </w:r>
    </w:p>
    <w:p>
      <w:pPr>
        <w:spacing w:after="80" w:before="0"/>
      </w:pPr>
      <w:r>
        <w:rPr>
          <w:rFonts w:ascii="Arial" w:cs="Arial" w:eastAsia="Arial" w:hAnsi="Arial"/>
          <w:color w:val="4A4A6A"/>
          <w:sz w:val="24"/>
          <w:szCs w:val="24"/>
        </w:rPr>
        <w:t xml:space="preserve">Four peer-reviewed findings underpin FuelSync's thesis:</w:t>
      </w:r>
    </w:p>
    <w:p>
      <w:pPr>
        <w:pStyle w:val="ListParagraph"/>
        <w:numPr>
          <w:ilvl w:val="0"/>
          <w:numId w:val="2"/>
        </w:numPr>
        <w:spacing w:after="160" w:before="0"/>
      </w:pPr>
      <w:r>
        <w:rPr>
          <w:rFonts w:ascii="Arial" w:cs="Arial" w:eastAsia="Arial" w:hAnsi="Arial"/>
          <w:color w:val="4A4A6A"/>
          <w:sz w:val="24"/>
          <w:szCs w:val="24"/>
        </w:rPr>
        <w:t xml:space="preserve">53% of health apps abandoned within 30 days; 70% within 100 days (Riaz 2022; Kidman 2024)</w:t>
      </w:r>
    </w:p>
    <w:p>
      <w:pPr>
        <w:pStyle w:val="ListParagraph"/>
        <w:numPr>
          <w:ilvl w:val="0"/>
          <w:numId w:val="2"/>
        </w:numPr>
        <w:spacing w:after="160" w:before="0"/>
      </w:pPr>
      <w:r>
        <w:rPr>
          <w:rFonts w:ascii="Arial" w:cs="Arial" w:eastAsia="Arial" w:hAnsi="Arial"/>
          <w:color w:val="4A4A6A"/>
          <w:sz w:val="24"/>
          <w:szCs w:val="24"/>
        </w:rPr>
        <w:t xml:space="preserve">Guilt after lapses directly reduces motivation and self-efficacy (Mantzios 2020)</w:t>
      </w:r>
    </w:p>
    <w:p>
      <w:pPr>
        <w:pStyle w:val="ListParagraph"/>
        <w:numPr>
          <w:ilvl w:val="0"/>
          <w:numId w:val="2"/>
        </w:numPr>
        <w:spacing w:after="160" w:before="0"/>
      </w:pPr>
      <w:r>
        <w:rPr>
          <w:rFonts w:ascii="Arial" w:cs="Arial" w:eastAsia="Arial" w:hAnsi="Arial"/>
          <w:color w:val="4A4A6A"/>
          <w:sz w:val="24"/>
          <w:szCs w:val="24"/>
        </w:rPr>
        <w:t xml:space="preserve">Emotional eating is associated with poor dietary adherence and higher guilt (Fernández-Aranda 2022)</w:t>
      </w:r>
    </w:p>
    <w:p>
      <w:pPr>
        <w:pStyle w:val="ListParagraph"/>
        <w:numPr>
          <w:ilvl w:val="0"/>
          <w:numId w:val="2"/>
        </w:numPr>
        <w:spacing w:after="160" w:before="0"/>
      </w:pPr>
      <w:r>
        <w:rPr>
          <w:rFonts w:ascii="Arial" w:cs="Arial" w:eastAsia="Arial" w:hAnsi="Arial"/>
          <w:color w:val="4A4A6A"/>
          <w:sz w:val="24"/>
          <w:szCs w:val="24"/>
        </w:rPr>
        <w:t xml:space="preserve">Meal repetition is sustainable when broader dietary variety is perceived (Redden &amp; Galak 2021)</w:t>
      </w:r>
    </w:p>
    <w:p>
      <w:pPr>
        <w:spacing w:after="480" w:before="0"/>
      </w:pPr>
    </w:p>
    <w:p>
      <w:pPr>
        <w:spacing w:after="120" w:before="400"/>
      </w:pPr>
      <w:r>
        <w:rPr>
          <w:rFonts w:ascii="Arial" w:cs="Arial" w:eastAsia="Arial" w:hAnsi="Arial"/>
          <w:b/>
          <w:bCs/>
          <w:color w:val="1A1A2E"/>
          <w:sz w:val="26"/>
          <w:szCs w:val="26"/>
        </w:rPr>
        <w:t xml:space="preserve">References</w:t>
      </w:r>
    </w:p>
    <w:p>
      <w:pPr>
        <w:spacing w:after="200" w:before="0"/>
      </w:pPr>
      <w:r>
        <w:rPr>
          <w:rFonts w:ascii="Arial" w:cs="Arial" w:eastAsia="Arial" w:hAnsi="Arial"/>
          <w:color w:val="4A4A6A"/>
          <w:sz w:val="24"/>
          <w:szCs w:val="24"/>
        </w:rPr>
        <w:t xml:space="preserve">Riaz, H., et al. (2022). User Engagement and Abandonment of mHealth: A Cross-Sectional Survey. International Journal of Environmental Research and Public Health.</w:t>
      </w:r>
    </w:p>
    <w:p>
      <w:pPr>
        <w:spacing w:after="200" w:before="0"/>
      </w:pPr>
      <w:r>
        <w:rPr>
          <w:rFonts w:ascii="Arial" w:cs="Arial" w:eastAsia="Arial" w:hAnsi="Arial"/>
          <w:color w:val="4A4A6A"/>
          <w:sz w:val="24"/>
          <w:szCs w:val="24"/>
        </w:rPr>
        <w:t xml:space="preserve">https://pmc.ncbi.nlm.nih.gov/articles/PMC8872344/</w:t>
      </w:r>
    </w:p>
    <w:p>
      <w:pPr>
        <w:spacing w:after="80" w:before="0"/>
      </w:pPr>
    </w:p>
    <w:p>
      <w:pPr>
        <w:spacing w:after="200" w:before="0"/>
      </w:pPr>
      <w:r>
        <w:rPr>
          <w:rFonts w:ascii="Arial" w:cs="Arial" w:eastAsia="Arial" w:hAnsi="Arial"/>
          <w:color w:val="4A4A6A"/>
          <w:sz w:val="24"/>
          <w:szCs w:val="24"/>
        </w:rPr>
        <w:t xml:space="preserve">Kidman, R., et al. (2024). When and Why Adults Abandon Lifestyle Behavior and Mental Health Mobile Apps: Scoping Review. Journal of Medical Internet Research.</w:t>
      </w:r>
    </w:p>
    <w:p>
      <w:pPr>
        <w:spacing w:after="200" w:before="0"/>
      </w:pPr>
      <w:r>
        <w:rPr>
          <w:rFonts w:ascii="Arial" w:cs="Arial" w:eastAsia="Arial" w:hAnsi="Arial"/>
          <w:color w:val="4A4A6A"/>
          <w:sz w:val="24"/>
          <w:szCs w:val="24"/>
        </w:rPr>
        <w:t xml:space="preserve">https://www.jmir.org/2024/1/e56897/</w:t>
      </w:r>
    </w:p>
    <w:p>
      <w:pPr>
        <w:spacing w:after="80" w:before="0"/>
      </w:pPr>
    </w:p>
    <w:p>
      <w:pPr>
        <w:spacing w:after="200" w:before="0"/>
      </w:pPr>
      <w:r>
        <w:rPr>
          <w:rFonts w:ascii="Arial" w:cs="Arial" w:eastAsia="Arial" w:hAnsi="Arial"/>
          <w:color w:val="4A4A6A"/>
          <w:sz w:val="24"/>
          <w:szCs w:val="24"/>
        </w:rPr>
        <w:t xml:space="preserve">Mantzios, M., et al. (2020). Does Self-Compassion Help to Deal with Dietary Lapses Among Overweight and Obese Adults Who Pursue Weight-Loss Goals? Applied Psychology: Health and Well-Being.</w:t>
      </w:r>
    </w:p>
    <w:p>
      <w:pPr>
        <w:spacing w:after="200" w:before="0"/>
      </w:pPr>
      <w:r>
        <w:rPr>
          <w:rFonts w:ascii="Arial" w:cs="Arial" w:eastAsia="Arial" w:hAnsi="Arial"/>
          <w:color w:val="4A4A6A"/>
          <w:sz w:val="24"/>
          <w:szCs w:val="24"/>
        </w:rPr>
        <w:t xml:space="preserve">https://pmc.ncbi.nlm.nih.gov/articles/PMC8451927/</w:t>
      </w:r>
    </w:p>
    <w:p>
      <w:pPr>
        <w:spacing w:after="80" w:before="0"/>
      </w:pPr>
    </w:p>
    <w:p>
      <w:pPr>
        <w:spacing w:after="200" w:before="0"/>
      </w:pPr>
      <w:r>
        <w:rPr>
          <w:rFonts w:ascii="Arial" w:cs="Arial" w:eastAsia="Arial" w:hAnsi="Arial"/>
          <w:color w:val="4A4A6A"/>
          <w:sz w:val="24"/>
          <w:szCs w:val="24"/>
        </w:rPr>
        <w:t xml:space="preserve">Fernández-Aranda, F., et al. (2022). Emotional Eating and Dietary Patterns: Reflecting Food Choices in People with and without Abdominal Obesity. Nutrients.</w:t>
      </w:r>
    </w:p>
    <w:p>
      <w:pPr>
        <w:spacing w:after="200" w:before="0"/>
      </w:pPr>
      <w:r>
        <w:rPr>
          <w:rFonts w:ascii="Arial" w:cs="Arial" w:eastAsia="Arial" w:hAnsi="Arial"/>
          <w:color w:val="4A4A6A"/>
          <w:sz w:val="24"/>
          <w:szCs w:val="24"/>
        </w:rPr>
        <w:t xml:space="preserve">https://pmc.ncbi.nlm.nih.gov/articles/PMC9002960/</w:t>
      </w:r>
    </w:p>
    <w:p>
      <w:pPr>
        <w:spacing w:after="80" w:before="0"/>
      </w:pPr>
    </w:p>
    <w:p>
      <w:pPr>
        <w:spacing w:after="200" w:before="0"/>
      </w:pPr>
      <w:r>
        <w:rPr>
          <w:rFonts w:ascii="Arial" w:cs="Arial" w:eastAsia="Arial" w:hAnsi="Arial"/>
          <w:color w:val="4A4A6A"/>
          <w:sz w:val="24"/>
          <w:szCs w:val="24"/>
        </w:rPr>
        <w:t xml:space="preserve">Messina, G., et al. (2026). Relationship Between Emotional Eating and Adherence to the Mediterranean Diet Based on Body Weight. Nutrients.</w:t>
      </w:r>
    </w:p>
    <w:p>
      <w:pPr>
        <w:spacing w:after="200" w:before="0"/>
      </w:pPr>
      <w:r>
        <w:rPr>
          <w:rFonts w:ascii="Arial" w:cs="Arial" w:eastAsia="Arial" w:hAnsi="Arial"/>
          <w:color w:val="4A4A6A"/>
          <w:sz w:val="24"/>
          <w:szCs w:val="24"/>
        </w:rPr>
        <w:t xml:space="preserve">https://pmc.ncbi.nlm.nih.gov/articles/PMC12844729/</w:t>
      </w:r>
    </w:p>
    <w:p>
      <w:pPr>
        <w:spacing w:after="80" w:before="0"/>
      </w:pPr>
    </w:p>
    <w:p>
      <w:pPr>
        <w:spacing w:after="200" w:before="0"/>
      </w:pPr>
      <w:r>
        <w:rPr>
          <w:rFonts w:ascii="Arial" w:cs="Arial" w:eastAsia="Arial" w:hAnsi="Arial"/>
          <w:color w:val="4A4A6A"/>
          <w:sz w:val="24"/>
          <w:szCs w:val="24"/>
        </w:rPr>
        <w:t xml:space="preserve">Redden, J.P., &amp; Galak, J. (2021). Variety Salience and Enjoyment of Repetitiously Consumed Foods: A Field Experiment. Appetite.</w:t>
      </w:r>
    </w:p>
    <w:p>
      <w:pPr>
        <w:spacing w:after="200" w:before="0"/>
      </w:pPr>
      <w:r>
        <w:rPr>
          <w:rFonts w:ascii="Arial" w:cs="Arial" w:eastAsia="Arial" w:hAnsi="Arial"/>
          <w:color w:val="4A4A6A"/>
          <w:sz w:val="24"/>
          <w:szCs w:val="24"/>
        </w:rPr>
        <w:t xml:space="preserve">https://pubmed.ncbi.nlm.nih.gov/32601978/</w:t>
      </w:r>
    </w:p>
    <w:p>
      <w:pPr>
        <w:spacing w:after="80" w:before="0"/>
      </w:pPr>
    </w:p>
    <w:p>
      <w:pPr>
        <w:spacing w:after="200" w:before="0"/>
      </w:pPr>
      <w:r>
        <w:rPr>
          <w:rFonts w:ascii="Arial" w:cs="Arial" w:eastAsia="Arial" w:hAnsi="Arial"/>
          <w:color w:val="4A4A6A"/>
          <w:sz w:val="24"/>
          <w:szCs w:val="24"/>
        </w:rPr>
        <w:t xml:space="preserve">van der Bend, D.L.M., et al. (2023). Incorporating Consumers' Needs in Nutrition Apps to Promote and Maintain Use: Mixed Methods Study. JMIR mHealth and uHealth.</w:t>
      </w:r>
    </w:p>
    <w:p>
      <w:pPr>
        <w:spacing w:after="200" w:before="0"/>
      </w:pPr>
      <w:r>
        <w:rPr>
          <w:rFonts w:ascii="Arial" w:cs="Arial" w:eastAsia="Arial" w:hAnsi="Arial"/>
          <w:color w:val="4A4A6A"/>
          <w:sz w:val="24"/>
          <w:szCs w:val="24"/>
        </w:rPr>
        <w:t xml:space="preserve">https://pmc.ncbi.nlm.nih.gov/articles/PMC10337335/</w:t>
      </w:r>
    </w:p>
    <w:p>
      <w:pPr>
        <w:spacing w:after="480" w:before="0"/>
      </w:pPr>
    </w:p>
    <w:p>
      <w:pPr>
        <w:spacing w:after="0" w:before="0"/>
      </w:pPr>
      <w:r>
        <w:rPr>
          <w:rFonts w:ascii="Arial" w:cs="Arial" w:eastAsia="Arial" w:hAnsi="Arial"/>
          <w:color w:val="AAAAAA"/>
          <w:sz w:val="18"/>
          <w:szCs w:val="18"/>
        </w:rPr>
        <w:t xml:space="preserve">FuelSync  |  Brisbane, Australia  |  Document 02 of 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2026-04-15T02:41:33.820Z</dcterms:created>
  <dcterms:modified xsi:type="dcterms:W3CDTF">2026-04-15T02:41:33.821Z</dcterms:modified>
</cp:coreProperties>
</file>

<file path=docProps/custom.xml><?xml version="1.0" encoding="utf-8"?>
<Properties xmlns="http://schemas.openxmlformats.org/officeDocument/2006/custom-properties" xmlns:vt="http://schemas.openxmlformats.org/officeDocument/2006/docPropsVTypes"/>
</file>