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Kimi Code (moonshot-ai.kimi-code)</w:t>
      </w:r>
    </w:p>
    <w:p>
      <w:pPr>
        <w:jc w:val="center"/>
      </w:pPr>
      <w:r>
        <w:rPr>
          <w:i/>
        </w:rPr>
        <w:t>Microsoft IDE AI Extension Security Assessment</w:t>
      </w:r>
    </w:p>
    <w:p>
      <w:pPr>
        <w:jc w:val="center"/>
      </w:pPr>
      <w:r>
        <w:rPr>
          <w:b/>
        </w:rPr>
        <w:t>Classification: PUBLIC</w:t>
      </w:r>
    </w:p>
    <w:p>
      <w:pPr>
        <w:pStyle w:val="Heading1"/>
      </w:pPr>
      <w:r>
        <w:t>Document Control</w:t>
      </w:r>
    </w:p>
    <w:p>
      <w:pPr>
        <w:pStyle w:val="Caption"/>
      </w:pPr>
      <w:r>
        <w:rPr>
          <w:b/>
        </w:rPr>
        <w:t>Table 1 — Document control</w:t>
      </w:r>
    </w:p>
    <w:tbl>
      <w:tblPr>
        <w:tblStyle w:val="TableGrid"/>
        <w:tblW w:type="dxa" w:w="9360"/>
        <w:tblLayout w:type="fixed"/>
        <w:tblLook w:firstColumn="1" w:firstRow="1" w:lastColumn="0" w:lastRow="0" w:noHBand="0" w:noVBand="1" w:val="04A0"/>
        <w:tblInd w:w="120" w:type="dxa"/>
      </w:tblPr>
      <w:tblGrid>
        <w:gridCol w:w="2788"/>
        <w:gridCol w:w="6572"/>
      </w:tblGrid>
      <w:tr>
        <w:trPr>
          <w:tblHeader w:val="true"/>
        </w:trPr>
        <w:tc>
          <w:tcPr>
            <w:tcW w:type="dxa" w:w="2788"/>
            <w:shd w:fill="F2F4F7"/>
            <w:vAlign w:val="center"/>
            <w:tcMar>
              <w:top w:w="80" w:type="dxa"/>
              <w:start w:w="120" w:type="dxa"/>
              <w:bottom w:w="80" w:type="dxa"/>
              <w:end w:w="120" w:type="dxa"/>
            </w:tcMar>
          </w:tcPr>
          <w:p>
            <w:r>
              <w:rPr>
                <w:b/>
                <w:sz w:val="16"/>
              </w:rPr>
              <w:t>Field</w:t>
            </w:r>
          </w:p>
        </w:tc>
        <w:tc>
          <w:tcPr>
            <w:tcW w:type="dxa" w:w="6572"/>
            <w:shd w:fill="F2F4F7"/>
            <w:vAlign w:val="center"/>
            <w:tcMar>
              <w:top w:w="80" w:type="dxa"/>
              <w:start w:w="120" w:type="dxa"/>
              <w:bottom w:w="80" w:type="dxa"/>
              <w:end w:w="120" w:type="dxa"/>
            </w:tcMar>
          </w:tcPr>
          <w:p>
            <w:r>
              <w:rPr>
                <w:b/>
                <w:sz w:val="16"/>
              </w:rPr>
              <w:t>Value</w:t>
            </w:r>
          </w:p>
        </w:tc>
      </w:tr>
      <w:tr>
        <w:tc>
          <w:tcPr>
            <w:tcW w:type="dxa" w:w="2788"/>
            <w:vAlign w:val="center"/>
            <w:tcMar>
              <w:top w:w="80" w:type="dxa"/>
              <w:start w:w="120" w:type="dxa"/>
              <w:bottom w:w="80" w:type="dxa"/>
              <w:end w:w="120" w:type="dxa"/>
            </w:tcMar>
          </w:tcPr>
          <w:p>
            <w:r>
              <w:rPr>
                <w:sz w:val="16"/>
              </w:rPr>
              <w:t>Assessment</w:t>
            </w:r>
          </w:p>
        </w:tc>
        <w:tc>
          <w:tcPr>
            <w:tcW w:type="dxa" w:w="6572"/>
            <w:vAlign w:val="center"/>
            <w:tcMar>
              <w:top w:w="80" w:type="dxa"/>
              <w:start w:w="120" w:type="dxa"/>
              <w:bottom w:w="80" w:type="dxa"/>
              <w:end w:w="120" w:type="dxa"/>
            </w:tcMar>
          </w:tcPr>
          <w:p>
            <w:r>
              <w:rPr>
                <w:sz w:val="16"/>
              </w:rPr>
              <w:t>Kimi Code</w:t>
            </w:r>
          </w:p>
        </w:tc>
      </w:tr>
      <w:tr>
        <w:tc>
          <w:tcPr>
            <w:tcW w:type="dxa" w:w="2788"/>
            <w:vAlign w:val="center"/>
            <w:tcMar>
              <w:top w:w="80" w:type="dxa"/>
              <w:start w:w="120" w:type="dxa"/>
              <w:bottom w:w="80" w:type="dxa"/>
              <w:end w:w="120" w:type="dxa"/>
            </w:tcMar>
          </w:tcPr>
          <w:p>
            <w:r>
              <w:rPr>
                <w:sz w:val="16"/>
              </w:rPr>
              <w:t>Target</w:t>
            </w:r>
          </w:p>
        </w:tc>
        <w:tc>
          <w:tcPr>
            <w:tcW w:type="dxa" w:w="6572"/>
            <w:vAlign w:val="center"/>
            <w:tcMar>
              <w:top w:w="80" w:type="dxa"/>
              <w:start w:w="120" w:type="dxa"/>
              <w:bottom w:w="80" w:type="dxa"/>
              <w:end w:w="120" w:type="dxa"/>
            </w:tcMar>
          </w:tcPr>
          <w:p>
            <w:r>
              <w:rPr>
                <w:sz w:val="16"/>
              </w:rPr>
              <w:t>Kimi Code (moonshot-ai.kimi-code)</w:t>
            </w:r>
          </w:p>
        </w:tc>
      </w:tr>
      <w:tr>
        <w:tc>
          <w:tcPr>
            <w:tcW w:type="dxa" w:w="2788"/>
            <w:vAlign w:val="center"/>
            <w:tcMar>
              <w:top w:w="80" w:type="dxa"/>
              <w:start w:w="120" w:type="dxa"/>
              <w:bottom w:w="80" w:type="dxa"/>
              <w:end w:w="120" w:type="dxa"/>
            </w:tcMar>
          </w:tcPr>
          <w:p>
            <w:r>
              <w:rPr>
                <w:sz w:val="16"/>
              </w:rPr>
              <w:t>Publisher</w:t>
            </w:r>
          </w:p>
        </w:tc>
        <w:tc>
          <w:tcPr>
            <w:tcW w:type="dxa" w:w="6572"/>
            <w:vAlign w:val="center"/>
            <w:tcMar>
              <w:top w:w="80" w:type="dxa"/>
              <w:start w:w="120" w:type="dxa"/>
              <w:bottom w:w="80" w:type="dxa"/>
              <w:end w:w="120" w:type="dxa"/>
            </w:tcMar>
          </w:tcPr>
          <w:p>
            <w:r>
              <w:rPr>
                <w:sz w:val="16"/>
              </w:rPr>
              <w:t>Moonshot AI / moonshot-ai</w:t>
            </w:r>
          </w:p>
        </w:tc>
      </w:tr>
      <w:tr>
        <w:tc>
          <w:tcPr>
            <w:tcW w:type="dxa" w:w="2788"/>
            <w:vAlign w:val="center"/>
            <w:tcMar>
              <w:top w:w="80" w:type="dxa"/>
              <w:start w:w="120" w:type="dxa"/>
              <w:bottom w:w="80" w:type="dxa"/>
              <w:end w:w="120" w:type="dxa"/>
            </w:tcMar>
          </w:tcPr>
          <w:p>
            <w:r>
              <w:rPr>
                <w:sz w:val="16"/>
              </w:rPr>
              <w:t>Extension ID</w:t>
            </w:r>
          </w:p>
        </w:tc>
        <w:tc>
          <w:tcPr>
            <w:tcW w:type="dxa" w:w="6572"/>
            <w:vAlign w:val="center"/>
            <w:tcMar>
              <w:top w:w="80" w:type="dxa"/>
              <w:start w:w="120" w:type="dxa"/>
              <w:bottom w:w="80" w:type="dxa"/>
              <w:end w:w="120" w:type="dxa"/>
            </w:tcMar>
          </w:tcPr>
          <w:p>
            <w:r>
              <w:rPr>
                <w:sz w:val="16"/>
              </w:rPr>
              <w:t>moonshot-ai.kimi-code</w:t>
            </w:r>
          </w:p>
        </w:tc>
      </w:tr>
      <w:tr>
        <w:tc>
          <w:tcPr>
            <w:tcW w:type="dxa" w:w="2788"/>
            <w:vAlign w:val="center"/>
            <w:tcMar>
              <w:top w:w="80" w:type="dxa"/>
              <w:start w:w="120" w:type="dxa"/>
              <w:bottom w:w="80" w:type="dxa"/>
              <w:end w:w="120" w:type="dxa"/>
            </w:tcMar>
          </w:tcPr>
          <w:p>
            <w:r>
              <w:rPr>
                <w:sz w:val="16"/>
              </w:rPr>
              <w:t>Version</w:t>
            </w:r>
          </w:p>
        </w:tc>
        <w:tc>
          <w:tcPr>
            <w:tcW w:type="dxa" w:w="6572"/>
            <w:vAlign w:val="center"/>
            <w:tcMar>
              <w:top w:w="80" w:type="dxa"/>
              <w:start w:w="120" w:type="dxa"/>
              <w:bottom w:w="80" w:type="dxa"/>
              <w:end w:w="120" w:type="dxa"/>
            </w:tcMar>
          </w:tcPr>
          <w:p>
            <w:r>
              <w:rPr>
                <w:sz w:val="16"/>
              </w:rPr>
              <w:t>0.6.7</w:t>
            </w:r>
          </w:p>
        </w:tc>
      </w:tr>
      <w:tr>
        <w:tc>
          <w:tcPr>
            <w:tcW w:type="dxa" w:w="2788"/>
            <w:vAlign w:val="center"/>
            <w:tcMar>
              <w:top w:w="80" w:type="dxa"/>
              <w:start w:w="120" w:type="dxa"/>
              <w:bottom w:w="80" w:type="dxa"/>
              <w:end w:w="120" w:type="dxa"/>
            </w:tcMar>
          </w:tcPr>
          <w:p>
            <w:r>
              <w:rPr>
                <w:sz w:val="16"/>
              </w:rPr>
              <w:t>Run key</w:t>
            </w:r>
          </w:p>
        </w:tc>
        <w:tc>
          <w:tcPr>
            <w:tcW w:type="dxa" w:w="6572"/>
            <w:vAlign w:val="center"/>
            <w:tcMar>
              <w:top w:w="80" w:type="dxa"/>
              <w:start w:w="120" w:type="dxa"/>
              <w:bottom w:w="80" w:type="dxa"/>
              <w:end w:w="120" w:type="dxa"/>
            </w:tcMar>
          </w:tcPr>
          <w:p>
            <w:r>
              <w:rPr>
                <w:sz w:val="16"/>
              </w:rPr>
              <w:t>2026-08-01-v1.1</w:t>
            </w:r>
          </w:p>
        </w:tc>
      </w:tr>
      <w:tr>
        <w:tc>
          <w:tcPr>
            <w:tcW w:type="dxa" w:w="2788"/>
            <w:vAlign w:val="center"/>
            <w:tcMar>
              <w:top w:w="80" w:type="dxa"/>
              <w:start w:w="120" w:type="dxa"/>
              <w:bottom w:w="80" w:type="dxa"/>
              <w:end w:w="120" w:type="dxa"/>
            </w:tcMar>
          </w:tcPr>
          <w:p>
            <w:r>
              <w:rPr>
                <w:sz w:val="16"/>
              </w:rPr>
              <w:t>Classification</w:t>
            </w:r>
          </w:p>
        </w:tc>
        <w:tc>
          <w:tcPr>
            <w:tcW w:type="dxa" w:w="6572"/>
            <w:vAlign w:val="center"/>
            <w:tcMar>
              <w:top w:w="80" w:type="dxa"/>
              <w:start w:w="120" w:type="dxa"/>
              <w:bottom w:w="80" w:type="dxa"/>
              <w:end w:w="120" w:type="dxa"/>
            </w:tcMar>
          </w:tcPr>
          <w:p>
            <w:r>
              <w:rPr>
                <w:sz w:val="16"/>
              </w:rPr>
              <w:t>PUBLIC</w:t>
            </w:r>
          </w:p>
        </w:tc>
      </w:tr>
      <w:tr>
        <w:tc>
          <w:tcPr>
            <w:tcW w:type="dxa" w:w="2788"/>
            <w:vAlign w:val="center"/>
            <w:tcMar>
              <w:top w:w="80" w:type="dxa"/>
              <w:start w:w="120" w:type="dxa"/>
              <w:bottom w:w="80" w:type="dxa"/>
              <w:end w:w="120" w:type="dxa"/>
            </w:tcMar>
          </w:tcPr>
          <w:p>
            <w:r>
              <w:rPr>
                <w:sz w:val="16"/>
              </w:rPr>
              <w:t>Distribution</w:t>
            </w:r>
          </w:p>
        </w:tc>
        <w:tc>
          <w:tcPr>
            <w:tcW w:type="dxa" w:w="6572"/>
            <w:vAlign w:val="center"/>
            <w:tcMar>
              <w:top w:w="80" w:type="dxa"/>
              <w:start w:w="120" w:type="dxa"/>
              <w:bottom w:w="80" w:type="dxa"/>
              <w:end w:w="120" w:type="dxa"/>
            </w:tcMar>
          </w:tcPr>
          <w:p>
            <w:r>
              <w:rPr>
                <w:sz w:val="16"/>
              </w:rPr>
              <w:t>Public distribution</w:t>
            </w:r>
          </w:p>
        </w:tc>
      </w:tr>
      <w:tr>
        <w:tc>
          <w:tcPr>
            <w:tcW w:type="dxa" w:w="2788"/>
            <w:vAlign w:val="center"/>
            <w:tcMar>
              <w:top w:w="80" w:type="dxa"/>
              <w:start w:w="120" w:type="dxa"/>
              <w:bottom w:w="80" w:type="dxa"/>
              <w:end w:w="120" w:type="dxa"/>
            </w:tcMar>
          </w:tcPr>
          <w:p>
            <w:r>
              <w:rPr>
                <w:sz w:val="16"/>
              </w:rPr>
              <w:t>Decision</w:t>
            </w:r>
          </w:p>
        </w:tc>
        <w:tc>
          <w:tcPr>
            <w:tcW w:type="dxa" w:w="6572"/>
            <w:vAlign w:val="center"/>
            <w:tcMar>
              <w:top w:w="80" w:type="dxa"/>
              <w:start w:w="120" w:type="dxa"/>
              <w:bottom w:w="80" w:type="dxa"/>
              <w:end w:w="120" w:type="dxa"/>
            </w:tcMar>
          </w:tcPr>
          <w:p>
            <w:r>
              <w:rPr>
                <w:sz w:val="16"/>
              </w:rPr>
              <w:t>Defer pending evidence</w:t>
            </w:r>
          </w:p>
        </w:tc>
      </w:tr>
    </w:tbl>
    <w:p/>
    <w:p>
      <w:pPr>
        <w:pStyle w:val="Heading1"/>
      </w:pPr>
      <w:r>
        <w:t>Revision History</w:t>
      </w:r>
    </w:p>
    <w:p>
      <w:pPr>
        <w:pStyle w:val="Caption"/>
      </w:pPr>
      <w:r>
        <w:rPr>
          <w:b/>
        </w:rPr>
        <w:t>Table 2 — Revision history</w:t>
      </w:r>
    </w:p>
    <w:tbl>
      <w:tblPr>
        <w:tblStyle w:val="TableGrid"/>
        <w:tblW w:type="dxa" w:w="9360"/>
        <w:tblLayout w:type="fixed"/>
        <w:tblLook w:firstColumn="1" w:firstRow="1" w:lastColumn="0" w:lastRow="0" w:noHBand="0" w:noVBand="1" w:val="04A0"/>
        <w:tblInd w:w="120" w:type="dxa"/>
      </w:tblPr>
      <w:tblGrid>
        <w:gridCol w:w="1106"/>
        <w:gridCol w:w="718"/>
        <w:gridCol w:w="2005"/>
        <w:gridCol w:w="5531"/>
      </w:tblGrid>
      <w:tr>
        <w:trPr>
          <w:tblHeader w:val="true"/>
        </w:trPr>
        <w:tc>
          <w:tcPr>
            <w:tcW w:type="dxa" w:w="1106"/>
            <w:shd w:fill="F2F4F7"/>
            <w:vAlign w:val="center"/>
            <w:tcMar>
              <w:top w:w="80" w:type="dxa"/>
              <w:start w:w="120" w:type="dxa"/>
              <w:bottom w:w="80" w:type="dxa"/>
              <w:end w:w="120" w:type="dxa"/>
            </w:tcMar>
          </w:tcPr>
          <w:p>
            <w:r>
              <w:rPr>
                <w:b/>
                <w:sz w:val="16"/>
              </w:rPr>
              <w:t>Document version</w:t>
            </w:r>
          </w:p>
        </w:tc>
        <w:tc>
          <w:tcPr>
            <w:tcW w:type="dxa" w:w="718"/>
            <w:shd w:fill="F2F4F7"/>
            <w:vAlign w:val="center"/>
            <w:tcMar>
              <w:top w:w="80" w:type="dxa"/>
              <w:start w:w="120" w:type="dxa"/>
              <w:bottom w:w="80" w:type="dxa"/>
              <w:end w:w="120" w:type="dxa"/>
            </w:tcMar>
          </w:tcPr>
          <w:p>
            <w:r>
              <w:rPr>
                <w:b/>
                <w:sz w:val="16"/>
              </w:rPr>
              <w:t>Date</w:t>
            </w:r>
          </w:p>
        </w:tc>
        <w:tc>
          <w:tcPr>
            <w:tcW w:type="dxa" w:w="2005"/>
            <w:shd w:fill="F2F4F7"/>
            <w:vAlign w:val="center"/>
            <w:tcMar>
              <w:top w:w="80" w:type="dxa"/>
              <w:start w:w="120" w:type="dxa"/>
              <w:bottom w:w="80" w:type="dxa"/>
              <w:end w:w="120" w:type="dxa"/>
            </w:tcMar>
          </w:tcPr>
          <w:p>
            <w:r>
              <w:rPr>
                <w:b/>
                <w:sz w:val="16"/>
              </w:rPr>
              <w:t>Status</w:t>
            </w:r>
          </w:p>
        </w:tc>
        <w:tc>
          <w:tcPr>
            <w:tcW w:type="dxa" w:w="5531"/>
            <w:shd w:fill="F2F4F7"/>
            <w:vAlign w:val="center"/>
            <w:tcMar>
              <w:top w:w="80" w:type="dxa"/>
              <w:start w:w="120" w:type="dxa"/>
              <w:bottom w:w="80" w:type="dxa"/>
              <w:end w:w="120" w:type="dxa"/>
            </w:tcMar>
          </w:tcPr>
          <w:p>
            <w:r>
              <w:rPr>
                <w:b/>
                <w:sz w:val="16"/>
              </w:rPr>
              <w:t>Change</w:t>
            </w:r>
          </w:p>
        </w:tc>
      </w:tr>
      <w:tr>
        <w:tc>
          <w:tcPr>
            <w:tcW w:type="dxa" w:w="1106"/>
            <w:vAlign w:val="center"/>
            <w:tcMar>
              <w:top w:w="80" w:type="dxa"/>
              <w:start w:w="120" w:type="dxa"/>
              <w:bottom w:w="80" w:type="dxa"/>
              <w:end w:w="120" w:type="dxa"/>
            </w:tcMar>
          </w:tcPr>
          <w:p>
            <w:r>
              <w:rPr>
                <w:sz w:val="16"/>
              </w:rPr>
              <w:t>1.0</w:t>
            </w:r>
          </w:p>
        </w:tc>
        <w:tc>
          <w:tcPr>
            <w:tcW w:type="dxa" w:w="718"/>
            <w:vAlign w:val="center"/>
            <w:tcMar>
              <w:top w:w="80" w:type="dxa"/>
              <w:start w:w="120" w:type="dxa"/>
              <w:bottom w:w="80" w:type="dxa"/>
              <w:end w:w="120" w:type="dxa"/>
            </w:tcMar>
          </w:tcPr>
          <w:p>
            <w:r>
              <w:rPr>
                <w:sz w:val="16"/>
              </w:rPr>
              <w:t>2026-08-01</w:t>
            </w:r>
          </w:p>
        </w:tc>
        <w:tc>
          <w:tcPr>
            <w:tcW w:type="dxa" w:w="2005"/>
            <w:vAlign w:val="center"/>
            <w:tcMar>
              <w:top w:w="80" w:type="dxa"/>
              <w:start w:w="120" w:type="dxa"/>
              <w:bottom w:w="80" w:type="dxa"/>
              <w:end w:w="120" w:type="dxa"/>
            </w:tcMar>
          </w:tcPr>
          <w:p>
            <w:r>
              <w:rPr>
                <w:sz w:val="16"/>
              </w:rPr>
              <w:t>Assessment complete; deferred</w:t>
            </w:r>
          </w:p>
        </w:tc>
        <w:tc>
          <w:tcPr>
            <w:tcW w:type="dxa" w:w="5531"/>
            <w:vAlign w:val="center"/>
            <w:tcMar>
              <w:top w:w="80" w:type="dxa"/>
              <w:start w:w="120" w:type="dxa"/>
              <w:bottom w:w="80" w:type="dxa"/>
              <w:end w:w="120" w:type="dxa"/>
            </w:tcMar>
          </w:tcPr>
          <w:p>
            <w:r>
              <w:rPr>
                <w:sz w:val="16"/>
              </w:rPr>
              <w:t>Initial evidence-led assessment of Kimi Code 0.6.7.</w:t>
            </w:r>
          </w:p>
        </w:tc>
      </w:tr>
      <w:tr>
        <w:tc>
          <w:tcPr>
            <w:tcW w:type="dxa" w:w="1106"/>
            <w:vAlign w:val="center"/>
            <w:tcMar>
              <w:top w:w="80" w:type="dxa"/>
              <w:start w:w="120" w:type="dxa"/>
              <w:bottom w:w="80" w:type="dxa"/>
              <w:end w:w="120" w:type="dxa"/>
            </w:tcMar>
          </w:tcPr>
          <w:p>
            <w:r>
              <w:rPr>
                <w:sz w:val="16"/>
              </w:rPr>
              <w:t>1.1</w:t>
            </w:r>
          </w:p>
        </w:tc>
        <w:tc>
          <w:tcPr>
            <w:tcW w:type="dxa" w:w="718"/>
            <w:vAlign w:val="center"/>
            <w:tcMar>
              <w:top w:w="80" w:type="dxa"/>
              <w:start w:w="120" w:type="dxa"/>
              <w:bottom w:w="80" w:type="dxa"/>
              <w:end w:w="120" w:type="dxa"/>
            </w:tcMar>
          </w:tcPr>
          <w:p>
            <w:r>
              <w:rPr>
                <w:sz w:val="16"/>
              </w:rPr>
              <w:t>2026-08-01</w:t>
            </w:r>
          </w:p>
        </w:tc>
        <w:tc>
          <w:tcPr>
            <w:tcW w:type="dxa" w:w="2005"/>
            <w:vAlign w:val="center"/>
            <w:tcMar>
              <w:top w:w="80" w:type="dxa"/>
              <w:start w:w="120" w:type="dxa"/>
              <w:bottom w:w="80" w:type="dxa"/>
              <w:end w:w="120" w:type="dxa"/>
            </w:tcMar>
          </w:tcPr>
          <w:p>
            <w:r>
              <w:rPr>
                <w:sz w:val="16"/>
              </w:rPr>
              <w:t>Citation correction; deferred</w:t>
            </w:r>
          </w:p>
        </w:tc>
        <w:tc>
          <w:tcPr>
            <w:tcW w:type="dxa" w:w="5531"/>
            <w:vAlign w:val="center"/>
            <w:tcMar>
              <w:top w:w="80" w:type="dxa"/>
              <w:start w:w="120" w:type="dxa"/>
              <w:bottom w:w="80" w:type="dxa"/>
              <w:end w:w="120" w:type="dxa"/>
            </w:tcMar>
          </w:tcPr>
          <w:p>
            <w:r>
              <w:rPr>
                <w:sz w:val="16"/>
              </w:rPr>
              <w:t xml:space="preserve">Corrected the </w:t>
            </w:r>
            <w:hyperlink w:anchor="REF_004">
              <w:r>
                <w:rPr>
                  <w:rStyle w:val="Hyperlink"/>
                </w:rPr>
                <w:t>REF-004</w:t>
              </w:r>
            </w:hyperlink>
            <w:r>
              <w:rPr>
                <w:sz w:val="16"/>
              </w:rPr>
              <w:t xml:space="preserve"> vendor documentation URL to its canonical HTTPS destination; findings, scores, decision and runtime status are unchanged.</w:t>
            </w:r>
          </w:p>
        </w:tc>
      </w:tr>
    </w:tbl>
    <w:p/>
    <w:p>
      <w:r>
        <w:br w:type="page"/>
      </w:r>
    </w:p>
    <w:p>
      <w:pPr>
        <w:pStyle w:val="Heading1"/>
      </w:pPr>
      <w:r>
        <w:t>Contents</w:t>
      </w:r>
    </w:p>
    <w:p>
      <w:fldSimple w:instr="TOC \o &quot;1-3&quot; \h \z \u"/>
    </w:p>
    <w:p>
      <w:pPr>
        <w:pStyle w:val="ListBullet"/>
        <w:spacing w:before="0" w:after="0" w:line="240" w:lineRule="auto"/>
      </w:pPr>
      <w:r>
        <w:rPr>
          <w:sz w:val="18"/>
        </w:rPr>
        <w:t>Purpose &amp; Function Overview</w:t>
      </w:r>
    </w:p>
    <w:p>
      <w:pPr>
        <w:pStyle w:val="ListBullet"/>
        <w:spacing w:before="0" w:after="0" w:line="240" w:lineRule="auto"/>
      </w:pPr>
      <w:r>
        <w:rPr>
          <w:sz w:val="18"/>
        </w:rPr>
        <w:t>Product Identity and Version</w:t>
      </w:r>
    </w:p>
    <w:p>
      <w:pPr>
        <w:pStyle w:val="ListBullet"/>
        <w:spacing w:before="0" w:after="0" w:line="240" w:lineRule="auto"/>
      </w:pPr>
      <w:r>
        <w:rPr>
          <w:sz w:val="18"/>
        </w:rPr>
        <w:t>Scope, Assumptions, Methodology and Assessment Criteria</w:t>
      </w:r>
    </w:p>
    <w:p>
      <w:pPr>
        <w:pStyle w:val="ListBullet"/>
        <w:spacing w:before="0" w:after="0" w:line="240" w:lineRule="auto"/>
      </w:pPr>
      <w:r>
        <w:rPr>
          <w:sz w:val="18"/>
        </w:rPr>
        <w:t>Part I — VS Code Assessment</w:t>
      </w:r>
    </w:p>
    <w:p>
      <w:pPr>
        <w:pStyle w:val="ListBullet"/>
        <w:spacing w:before="0" w:after="0" w:line="240" w:lineRule="auto"/>
      </w:pPr>
      <w:r>
        <w:rPr>
          <w:sz w:val="18"/>
        </w:rPr>
        <w:t>VS Code Executive Decision and Approval</w:t>
      </w:r>
    </w:p>
    <w:p>
      <w:pPr>
        <w:pStyle w:val="ListBullet"/>
        <w:spacing w:before="0" w:after="0" w:line="240" w:lineRule="auto"/>
      </w:pPr>
      <w:r>
        <w:rPr>
          <w:sz w:val="18"/>
        </w:rPr>
        <w:t>VS Code Purpose and Function</w:t>
      </w:r>
    </w:p>
    <w:p>
      <w:pPr>
        <w:pStyle w:val="ListBullet"/>
        <w:spacing w:before="0" w:after="0" w:line="240" w:lineRule="auto"/>
      </w:pPr>
      <w:r>
        <w:rPr>
          <w:sz w:val="18"/>
        </w:rPr>
        <w:t>VS Code Architecture</w:t>
      </w:r>
    </w:p>
    <w:p>
      <w:pPr>
        <w:pStyle w:val="ListBullet"/>
        <w:spacing w:before="0" w:after="0" w:line="240" w:lineRule="auto"/>
      </w:pPr>
      <w:r>
        <w:rPr>
          <w:sz w:val="18"/>
        </w:rPr>
        <w:t>VS Code Trust Boundaries</w:t>
      </w:r>
    </w:p>
    <w:p>
      <w:pPr>
        <w:pStyle w:val="ListBullet"/>
        <w:spacing w:before="0" w:after="0" w:line="240" w:lineRule="auto"/>
      </w:pPr>
      <w:r>
        <w:rPr>
          <w:sz w:val="18"/>
        </w:rPr>
        <w:t>VS Code Data Flows</w:t>
      </w:r>
    </w:p>
    <w:p>
      <w:pPr>
        <w:pStyle w:val="ListBullet"/>
        <w:spacing w:before="0" w:after="0" w:line="240" w:lineRule="auto"/>
      </w:pPr>
      <w:r>
        <w:rPr>
          <w:sz w:val="18"/>
        </w:rPr>
        <w:t>VS Code Installation Manifest and Uninstall Behavior</w:t>
      </w:r>
    </w:p>
    <w:p>
      <w:pPr>
        <w:pStyle w:val="ListBullet"/>
        <w:spacing w:before="0" w:after="0" w:line="240" w:lineRule="auto"/>
      </w:pPr>
      <w:r>
        <w:rPr>
          <w:sz w:val="18"/>
        </w:rPr>
        <w:t>VS Code Runtime Processes and Activation</w:t>
      </w:r>
    </w:p>
    <w:p>
      <w:pPr>
        <w:pStyle w:val="ListBullet"/>
        <w:spacing w:before="0" w:after="0" w:line="240" w:lineRule="auto"/>
      </w:pPr>
      <w:r>
        <w:rPr>
          <w:sz w:val="18"/>
        </w:rPr>
        <w:t>VS Code Network Communications, Authentication, Telemetry and Privacy</w:t>
      </w:r>
    </w:p>
    <w:p>
      <w:pPr>
        <w:pStyle w:val="ListBullet"/>
        <w:spacing w:before="0" w:after="0" w:line="240" w:lineRule="auto"/>
      </w:pPr>
      <w:r>
        <w:rPr>
          <w:sz w:val="18"/>
        </w:rPr>
        <w:t>VS Code MCP and Agent Skills</w:t>
      </w:r>
    </w:p>
    <w:p>
      <w:pPr>
        <w:pStyle w:val="ListBullet"/>
        <w:spacing w:before="0" w:after="0" w:line="240" w:lineRule="auto"/>
      </w:pPr>
      <w:r>
        <w:rPr>
          <w:sz w:val="18"/>
        </w:rPr>
        <w:t>VS Code Supply Chain and Dependencies</w:t>
      </w:r>
    </w:p>
    <w:p>
      <w:pPr>
        <w:pStyle w:val="ListBullet"/>
        <w:spacing w:before="0" w:after="0" w:line="240" w:lineRule="auto"/>
      </w:pPr>
      <w:r>
        <w:rPr>
          <w:sz w:val="18"/>
        </w:rPr>
        <w:t>VS Code Threats and Findings</w:t>
      </w:r>
    </w:p>
    <w:p>
      <w:pPr>
        <w:pStyle w:val="ListBullet"/>
        <w:spacing w:before="0" w:after="0" w:line="240" w:lineRule="auto"/>
      </w:pPr>
      <w:r>
        <w:rPr>
          <w:sz w:val="18"/>
        </w:rPr>
        <w:t>VS Code Framework Disposition</w:t>
      </w:r>
    </w:p>
    <w:p>
      <w:pPr>
        <w:pStyle w:val="ListBullet"/>
        <w:spacing w:before="0" w:after="0" w:line="240" w:lineRule="auto"/>
      </w:pPr>
      <w:r>
        <w:rPr>
          <w:sz w:val="18"/>
        </w:rPr>
        <w:t>VS Code Controls and Detection</w:t>
      </w:r>
    </w:p>
    <w:p>
      <w:pPr>
        <w:pStyle w:val="ListBullet"/>
        <w:spacing w:before="0" w:after="0" w:line="240" w:lineRule="auto"/>
      </w:pPr>
      <w:r>
        <w:rPr>
          <w:sz w:val="18"/>
        </w:rPr>
        <w:t>VS Code Residual Risk, Confidence, Limitations, Evidence and Verification</w:t>
      </w:r>
    </w:p>
    <w:p>
      <w:pPr>
        <w:pStyle w:val="ListBullet"/>
        <w:spacing w:before="0" w:after="0" w:line="240" w:lineRule="auto"/>
      </w:pPr>
      <w:r>
        <w:rPr>
          <w:sz w:val="18"/>
        </w:rPr>
        <w:t>Part II — Visual Studio Assessment</w:t>
      </w:r>
    </w:p>
    <w:p>
      <w:pPr>
        <w:pStyle w:val="ListBullet"/>
        <w:spacing w:before="0" w:after="0" w:line="240" w:lineRule="auto"/>
      </w:pPr>
      <w:r>
        <w:rPr>
          <w:sz w:val="18"/>
        </w:rPr>
        <w:t>Visual Studio Decision, Evidence, Limitations and Verification</w:t>
      </w:r>
    </w:p>
    <w:p>
      <w:pPr>
        <w:pStyle w:val="ListBullet"/>
        <w:spacing w:before="0" w:after="0" w:line="240" w:lineRule="auto"/>
      </w:pPr>
      <w:r>
        <w:rPr>
          <w:sz w:val="18"/>
        </w:rPr>
        <w:t>Part III — Installed Agent Skills</w:t>
      </w:r>
    </w:p>
    <w:p>
      <w:pPr>
        <w:pStyle w:val="ListBullet"/>
        <w:spacing w:before="0" w:after="0" w:line="240" w:lineRule="auto"/>
      </w:pPr>
      <w:r>
        <w:rPr>
          <w:sz w:val="18"/>
        </w:rPr>
        <w:t>Cross-IDE Comparison</w:t>
      </w:r>
    </w:p>
    <w:p>
      <w:pPr>
        <w:pStyle w:val="ListBullet"/>
        <w:spacing w:before="0" w:after="0" w:line="240" w:lineRule="auto"/>
      </w:pPr>
      <w:r>
        <w:rPr>
          <w:sz w:val="18"/>
        </w:rPr>
        <w:t>Consolidated Supply Chain</w:t>
      </w:r>
    </w:p>
    <w:p>
      <w:pPr>
        <w:pStyle w:val="ListBullet"/>
        <w:spacing w:before="0" w:after="0" w:line="240" w:lineRule="auto"/>
      </w:pPr>
      <w:r>
        <w:rPr>
          <w:sz w:val="18"/>
        </w:rPr>
        <w:t>Consolidated Privacy and Data Protection Assessment</w:t>
      </w:r>
    </w:p>
    <w:p>
      <w:pPr>
        <w:pStyle w:val="ListBullet"/>
        <w:spacing w:before="0" w:after="0" w:line="240" w:lineRule="auto"/>
      </w:pPr>
      <w:r>
        <w:rPr>
          <w:sz w:val="18"/>
        </w:rPr>
        <w:t>Enterprise Controls Roadmap</w:t>
      </w:r>
    </w:p>
    <w:p>
      <w:pPr>
        <w:pStyle w:val="ListBullet"/>
        <w:spacing w:before="0" w:after="0" w:line="240" w:lineRule="auto"/>
      </w:pPr>
      <w:r>
        <w:rPr>
          <w:sz w:val="18"/>
        </w:rPr>
        <w:t>Detection Opportunities and Monitoring Plan</w:t>
      </w:r>
    </w:p>
    <w:p>
      <w:pPr>
        <w:pStyle w:val="ListBullet"/>
        <w:spacing w:before="0" w:after="0" w:line="240" w:lineRule="auto"/>
      </w:pPr>
      <w:r>
        <w:rPr>
          <w:sz w:val="18"/>
        </w:rPr>
        <w:t>Residual Risk and Approval Recommendation</w:t>
      </w:r>
    </w:p>
    <w:p>
      <w:pPr>
        <w:pStyle w:val="ListBullet"/>
        <w:spacing w:before="0" w:after="0" w:line="240" w:lineRule="auto"/>
      </w:pPr>
      <w:r>
        <w:rPr>
          <w:sz w:val="18"/>
        </w:rPr>
        <w:t>Limitations and Confidence</w:t>
      </w:r>
    </w:p>
    <w:p>
      <w:pPr>
        <w:pStyle w:val="ListBullet"/>
        <w:spacing w:before="0" w:after="0" w:line="240" w:lineRule="auto"/>
      </w:pPr>
      <w:r>
        <w:rPr>
          <w:sz w:val="18"/>
        </w:rPr>
        <w:t>Incident response, recovery and exit</w:t>
      </w:r>
    </w:p>
    <w:p>
      <w:pPr>
        <w:pStyle w:val="ListBullet"/>
        <w:spacing w:before="0" w:after="0" w:line="240" w:lineRule="auto"/>
      </w:pPr>
      <w:r>
        <w:rPr>
          <w:sz w:val="18"/>
        </w:rPr>
        <w:t>Bounded pilot gate</w:t>
      </w:r>
    </w:p>
    <w:p>
      <w:pPr>
        <w:pStyle w:val="ListBullet"/>
        <w:spacing w:before="0" w:after="0" w:line="240" w:lineRule="auto"/>
      </w:pPr>
      <w:r>
        <w:rPr>
          <w:sz w:val="18"/>
        </w:rPr>
        <w:t>Reassessment triggers</w:t>
      </w:r>
    </w:p>
    <w:p>
      <w:pPr>
        <w:pStyle w:val="ListBullet"/>
        <w:spacing w:before="0" w:after="0" w:line="240" w:lineRule="auto"/>
      </w:pPr>
      <w:r>
        <w:rPr>
          <w:sz w:val="18"/>
        </w:rPr>
        <w:t>Evidence limitations</w:t>
      </w:r>
    </w:p>
    <w:p>
      <w:pPr>
        <w:pStyle w:val="ListBullet"/>
        <w:spacing w:before="0" w:after="0" w:line="240" w:lineRule="auto"/>
      </w:pPr>
      <w:r>
        <w:rPr>
          <w:sz w:val="18"/>
        </w:rPr>
        <w:t>Conclusion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Executive Summary</w:t>
      </w:r>
    </w:p>
    <w:p>
      <w:r>
        <w:t>Decision: Defer pending evidence. Overall residual risk: High. This assessment is scoped to In scope: Microsoft Visual Studio Code desktop 1.100 or later on Apple Silicon macOS using the darwin-arm64 Marketplace package., Not assessed: Visual Studio Code on Windows, Linux, x64 macOS, other ARM64 hosts, remote or browser-only hosts., Not applicable: Microsoft Visual Studio; the assessed identity is a Visual Studio Code extension. version 0.6.7 and is based on the evidence state and limitations recorded below.</w:t>
      </w:r>
    </w:p>
    <w:p>
      <w:pPr>
        <w:pStyle w:val="ListBullet"/>
      </w:pPr>
      <w:r>
        <w:t>Defer production and regulated-data approval because representative runtime controls and actual data flows were not observed.</w:t>
      </w:r>
    </w:p>
    <w:p>
      <w:pPr>
        <w:pStyle w:val="ListBullet"/>
      </w:pPr>
      <w:r>
        <w:t>Allow reconsideration of a bounded synthetic-data pilot only after the mandatory technical, procurement and monitoring conditions are met.</w:t>
      </w:r>
    </w:p>
    <w:p>
      <w:pPr>
        <w:pStyle w:val="ListBullet"/>
      </w:pPr>
      <w:r>
        <w:t>Treat broad file, shell, web, subagent and MCP agency as privileged endpoint automation requiring least privilege and human accountability; preserve Workspace Trust enforcement, yoloMode disabled, and editor context sharing set to never.</w:t>
      </w:r>
    </w:p>
    <w:p>
      <w:pPr>
        <w:pStyle w:val="ListBullet"/>
      </w:pPr>
      <w:r>
        <w:t>Resolve the package dependency visibility gap: the bundled VSIX yielded no components while source-wide scans produced Critical and High signals.</w:t>
      </w:r>
    </w:p>
    <w:p>
      <w:pPr>
        <w:pStyle w:val="ListBullet"/>
      </w:pPr>
      <w:r>
        <w:t>Contractually establish enterprise privacy, transfer, retention, training, deletion, incident and subprocessor commitments before sensitive use; pin the verified publisher, identifier, version, platform and digest and reassess every update.</w:t>
      </w:r>
    </w:p>
    <w:p>
      <w:pPr>
        <w:pStyle w:val="Heading2"/>
      </w:pPr>
      <w:r>
        <w:t>Approval Conditions and Immediate Actions</w:t>
      </w:r>
    </w:p>
    <w:p>
      <w:pPr>
        <w:pStyle w:val="ListNumber"/>
      </w:pPr>
      <w:r>
        <w:t>Use only synthetic or non-production code, identities, credentials and data in a disposable, least-privilege pilot host.</w:t>
      </w:r>
    </w:p>
    <w:p>
      <w:pPr>
        <w:pStyle w:val="ListNumber"/>
      </w:pPr>
      <w:r>
        <w:t>Complete the representative runtime plan for activation, approvals, denial bypass, network, telemetry, MCP, update, uninstall and residue.</w:t>
      </w:r>
    </w:p>
    <w:p>
      <w:pPr>
        <w:pStyle w:val="ListNumber"/>
      </w:pPr>
      <w:r>
        <w:t>Keep VS Code Workspace Trust enabled and prohibit enterprise users from overriding this extension's unsupported status in Restricted Mode.</w:t>
      </w:r>
    </w:p>
    <w:p>
      <w:pPr>
        <w:pStyle w:val="ListNumber"/>
      </w:pPr>
      <w:r>
        <w:t>Keep yoloMode disabled; prohibit broad wildcard permission rules and require visible, timely approval for privileged actions.</w:t>
      </w:r>
    </w:p>
    <w:p>
      <w:pPr>
        <w:pStyle w:val="ListNumber"/>
      </w:pPr>
      <w:r>
        <w:t>Deny project-level MCP auto-start by default and allowlist immutable server identities, transports, tools, roots, credentials and destinations.</w:t>
      </w:r>
    </w:p>
    <w:p>
      <w:pPr>
        <w:pStyle w:val="ListNumber"/>
      </w:pPr>
      <w:r>
        <w:t>Produce a package-specific SBOM and map every Critical or High source signal to shipped code, reachability, fix or documented exclusion.</w:t>
      </w:r>
    </w:p>
    <w:p>
      <w:pPr>
        <w:pStyle w:val="ListNumber"/>
      </w:pPr>
      <w:r>
        <w:t>Execute enterprise terms and a DPA covering roles, data use, training, transfers, residency, subprocessors, retention, deletion, audit and incidents.</w:t>
      </w:r>
    </w:p>
    <w:p>
      <w:pPr>
        <w:pStyle w:val="ListNumber"/>
      </w:pPr>
      <w:r>
        <w:t>Use managed Marketplace deployment pinned to moonshot-ai.kimi-code 0.6.7 darwin-arm64 and the retained digest during the pilot.</w:t>
      </w:r>
    </w:p>
    <w:p>
      <w:pPr>
        <w:pStyle w:val="ListNumber"/>
      </w:pPr>
      <w:r>
        <w:t>Restrict filesystem roots and outbound network destinations, isolate credentials, prevent concurrent use of one session, and protect the Kimi home.</w:t>
      </w:r>
    </w:p>
    <w:p>
      <w:pPr>
        <w:pStyle w:val="ListNumber"/>
      </w:pPr>
      <w:r>
        <w:t>Require human review, tests and normal change control for all generated code and terminal-driven changes before merge or deployment.</w:t>
      </w:r>
    </w:p>
    <w:p>
      <w:pPr>
        <w:pStyle w:val="ListNumber"/>
      </w:pPr>
      <w:r>
        <w:t>Clarify with the publisher whether Apache-2.0 or MIT governs the packaged extension and retain the authoritative licence notice.</w:t>
      </w:r>
    </w:p>
    <w:p>
      <w:pPr>
        <w:pStyle w:val="ListNumber"/>
      </w:pPr>
      <w:r>
        <w:t>Establish monitoring, stop, token revocation, incident response, rollback, vendor deletion and exit tests before operational use.</w:t>
      </w:r>
    </w:p>
    <w:p>
      <w:pPr>
        <w:pStyle w:val="Heading2"/>
      </w:pPr>
      <w:r>
        <w:t>Architecture and Trust-Boundary Figure</w:t>
      </w:r>
    </w:p>
    <w:p>
      <w:r>
        <w:drawing>
          <wp:inline xmlns:a="http://schemas.openxmlformats.org/drawingml/2006/main" xmlns:pic="http://schemas.openxmlformats.org/drawingml/2006/picture">
            <wp:extent cx="5943600" cy="2971800"/>
            <wp:docPr id="1" name="Kimi Code trust boundaries and privileged flows" title="Kimi Code trust boundaries and privileged flows" descr="A left-to-right architecture showing developer and VS Code, the Kimi extension and Node SDK, local workspace and Kimi home, cloud services, and MCP tools. Arrows identify prompts, code, commands, credentials, telemetry and tool results crossing trust boundari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971800"/>
                    </a:xfrm>
                    <a:prstGeom prst="rect"/>
                  </pic:spPr>
                </pic:pic>
              </a:graphicData>
            </a:graphic>
          </wp:inline>
        </w:drawing>
      </w:r>
    </w:p>
    <w:p>
      <w:pPr>
        <w:pStyle w:val="Caption"/>
      </w:pPr>
      <w:r>
        <w:t>Figure 1 — Kimi Code trust boundaries and privileged flows</w:t>
      </w:r>
    </w:p>
    <w:p>
      <w:pPr>
        <w:pStyle w:val="Heading1"/>
      </w:pPr>
      <w:r>
        <w:t>Purpose &amp; Function Overview</w:t>
      </w:r>
    </w:p>
    <w:p>
      <w:r>
        <w:t xml:space="preserve">This assessment determines whether Kimi Code 0.6.7 can be introduced into a Large UK Insurance development environment. It evaluates the retained Visual Studio Marketplace package, release-aligned public source, official documentation, static security signals, privacy statements and relevant enterprise obligations. Static analysis, malware review, runtime analysis and privacy assessment were all selected. Runtime stayed selected but was blocked because a representative disposable host was unavailable. The resulting decision is Defer pending evidence, with High overall residual risk. That decision is a governance conclusion about evidence sufficiency, not an allegation that the extension is malicious or currently exploitable. </w:t>
      </w:r>
      <w:hyperlink w:anchor="REF_001">
        <w:r>
          <w:rPr>
            <w:rStyle w:val="Hyperlink"/>
          </w:rPr>
          <w:t>REF-001</w:t>
        </w:r>
      </w:hyperlink>
      <w:r>
        <w:t xml:space="preserve"> </w:t>
      </w:r>
      <w:hyperlink w:anchor="REF_002">
        <w:r>
          <w:rPr>
            <w:rStyle w:val="Hyperlink"/>
          </w:rPr>
          <w:t>REF-002</w:t>
        </w:r>
      </w:hyperlink>
    </w:p>
    <w:p>
      <w:r>
        <w:t>The product combines high potential utility with privileged agency. It can inspect and modify a codebase, run shell commands, access remote content, coordinate subagents and expose MCP tools. The available package and source show useful safeguards, including Workspace Trust, manual permission defaults and secret-aware dedicated file tools. However, no live evidence establishes how approvals, network destinations, authentication, telemetry, updates, state sharing or uninstall behave in the assessed enterprise context. Production and regulated-data approval would therefore rely on unverified assumptions.</w:t>
      </w:r>
    </w:p>
    <w:p>
      <w:pPr>
        <w:pStyle w:val="ListBullet"/>
      </w:pPr>
      <w:r>
        <w:t>Production or regulated-data use: not approved.</w:t>
      </w:r>
    </w:p>
    <w:p>
      <w:pPr>
        <w:pStyle w:val="ListBullet"/>
      </w:pPr>
      <w:r>
        <w:t>Bounded synthetic pilot: reconsider only after all approval conditions are met.</w:t>
      </w:r>
    </w:p>
    <w:p>
      <w:pPr>
        <w:pStyle w:val="ListBullet"/>
      </w:pPr>
      <w:r>
        <w:t>Decision owner: accountable enterprise technology and risk owners, supported by security, privacy, procurement and operational resilience.</w:t>
      </w:r>
    </w:p>
    <w:p>
      <w:pPr>
        <w:pStyle w:val="Heading1"/>
      </w:pPr>
      <w:r>
        <w:t>Product Identity and Version</w:t>
      </w:r>
    </w:p>
    <w:p>
      <w:r>
        <w:t xml:space="preserve">The exact target is Kimi Code, Marketplace identifier moonshot-ai.kimi-code, publisher moonshot-ai, assessed at version 0.6.7. The retained package is the darwin-arm64 variant. Its package manifest independently confirms the display name, publisher, extension name, version, VS Code engine requirement and workspace extension kind. The Marketplace page and package identity are consistent, reducing the risk of assessing a similarly named wrapper or unrelated integration. </w:t>
      </w:r>
      <w:hyperlink w:anchor="REF_001">
        <w:r>
          <w:rPr>
            <w:rStyle w:val="Hyperlink"/>
          </w:rPr>
          <w:t>REF-001</w:t>
        </w:r>
      </w:hyperlink>
    </w:p>
    <w:p>
      <w:r>
        <w:t xml:space="preserve">The VSIX was acquired over HTTPS from the Microsoft Visual Studio Marketplace and retained before analysis. Its SHA-256 is 6251c8422023f6a43b6688af037b29523bc56bc6251633dcd7c05811a24f12c7. Microsoft documents Marketplace signing, secret scanning and block-list controls, but the assessment did not independently capture the signed installation transaction. Managed deployment should obtain the package through VS Code, verify the publisher prompt, retain the observed digest and reject any identity, version, platform or digest drift. </w:t>
      </w:r>
      <w:hyperlink w:anchor="REF_010">
        <w:r>
          <w:rPr>
            <w:rStyle w:val="Hyperlink"/>
          </w:rPr>
          <w:t>REF-010</w:t>
        </w:r>
      </w:hyperlink>
    </w:p>
    <w:p>
      <w:pPr>
        <w:pStyle w:val="Caption"/>
      </w:pPr>
      <w:r>
        <w:rPr>
          <w:b/>
        </w:rPr>
        <w:t>Assessed identity</w:t>
      </w:r>
    </w:p>
    <w:tbl>
      <w:tblPr>
        <w:tblStyle w:val="TableGrid"/>
        <w:tblW w:type="dxa" w:w="9360"/>
        <w:tblLayout w:type="fixed"/>
        <w:tblLook w:firstColumn="1" w:firstRow="1" w:lastColumn="0" w:lastRow="0" w:noHBand="0" w:noVBand="1" w:val="04A0"/>
        <w:tblInd w:w="120" w:type="dxa"/>
      </w:tblPr>
      <w:tblGrid>
        <w:gridCol w:w="1478"/>
        <w:gridCol w:w="7882"/>
      </w:tblGrid>
      <w:tr>
        <w:trPr>
          <w:tblHeader w:val="true"/>
        </w:trPr>
        <w:tc>
          <w:tcPr>
            <w:tcW w:type="dxa" w:w="1478"/>
            <w:shd w:fill="F2F4F7"/>
            <w:vAlign w:val="center"/>
            <w:tcMar>
              <w:top w:w="80" w:type="dxa"/>
              <w:start w:w="120" w:type="dxa"/>
              <w:bottom w:w="80" w:type="dxa"/>
              <w:end w:w="120" w:type="dxa"/>
            </w:tcMar>
          </w:tcPr>
          <w:p>
            <w:r>
              <w:rPr>
                <w:b/>
                <w:sz w:val="16"/>
              </w:rPr>
              <w:t>Attribute</w:t>
            </w:r>
          </w:p>
        </w:tc>
        <w:tc>
          <w:tcPr>
            <w:tcW w:type="dxa" w:w="7882"/>
            <w:shd w:fill="F2F4F7"/>
            <w:vAlign w:val="center"/>
            <w:tcMar>
              <w:top w:w="80" w:type="dxa"/>
              <w:start w:w="120" w:type="dxa"/>
              <w:bottom w:w="80" w:type="dxa"/>
              <w:end w:w="120" w:type="dxa"/>
            </w:tcMar>
          </w:tcPr>
          <w:p>
            <w:r>
              <w:rPr>
                <w:b/>
                <w:sz w:val="16"/>
              </w:rPr>
              <w:t>Value</w:t>
            </w:r>
          </w:p>
        </w:tc>
      </w:tr>
      <w:tr>
        <w:tc>
          <w:tcPr>
            <w:tcW w:type="dxa" w:w="1478"/>
            <w:vAlign w:val="center"/>
            <w:tcMar>
              <w:top w:w="80" w:type="dxa"/>
              <w:start w:w="120" w:type="dxa"/>
              <w:bottom w:w="80" w:type="dxa"/>
              <w:end w:w="120" w:type="dxa"/>
            </w:tcMar>
          </w:tcPr>
          <w:p>
            <w:r>
              <w:rPr>
                <w:sz w:val="16"/>
              </w:rPr>
              <w:t>Display name</w:t>
            </w:r>
          </w:p>
        </w:tc>
        <w:tc>
          <w:tcPr>
            <w:tcW w:type="dxa" w:w="7882"/>
            <w:vAlign w:val="center"/>
            <w:tcMar>
              <w:top w:w="80" w:type="dxa"/>
              <w:start w:w="120" w:type="dxa"/>
              <w:bottom w:w="80" w:type="dxa"/>
              <w:end w:w="120" w:type="dxa"/>
            </w:tcMar>
          </w:tcPr>
          <w:p>
            <w:r>
              <w:rPr>
                <w:sz w:val="16"/>
              </w:rPr>
              <w:t>Kimi Code</w:t>
            </w:r>
          </w:p>
        </w:tc>
      </w:tr>
      <w:tr>
        <w:tc>
          <w:tcPr>
            <w:tcW w:type="dxa" w:w="1478"/>
            <w:vAlign w:val="center"/>
            <w:tcMar>
              <w:top w:w="80" w:type="dxa"/>
              <w:start w:w="120" w:type="dxa"/>
              <w:bottom w:w="80" w:type="dxa"/>
              <w:end w:w="120" w:type="dxa"/>
            </w:tcMar>
          </w:tcPr>
          <w:p>
            <w:r>
              <w:rPr>
                <w:sz w:val="16"/>
              </w:rPr>
              <w:t>Publisher</w:t>
            </w:r>
          </w:p>
        </w:tc>
        <w:tc>
          <w:tcPr>
            <w:tcW w:type="dxa" w:w="7882"/>
            <w:vAlign w:val="center"/>
            <w:tcMar>
              <w:top w:w="80" w:type="dxa"/>
              <w:start w:w="120" w:type="dxa"/>
              <w:bottom w:w="80" w:type="dxa"/>
              <w:end w:w="120" w:type="dxa"/>
            </w:tcMar>
          </w:tcPr>
          <w:p>
            <w:r>
              <w:rPr>
                <w:sz w:val="16"/>
              </w:rPr>
              <w:t>moonshot-ai</w:t>
            </w:r>
          </w:p>
        </w:tc>
      </w:tr>
      <w:tr>
        <w:tc>
          <w:tcPr>
            <w:tcW w:type="dxa" w:w="1478"/>
            <w:vAlign w:val="center"/>
            <w:tcMar>
              <w:top w:w="80" w:type="dxa"/>
              <w:start w:w="120" w:type="dxa"/>
              <w:bottom w:w="80" w:type="dxa"/>
              <w:end w:w="120" w:type="dxa"/>
            </w:tcMar>
          </w:tcPr>
          <w:p>
            <w:r>
              <w:rPr>
                <w:sz w:val="16"/>
              </w:rPr>
              <w:t>Identifier</w:t>
            </w:r>
          </w:p>
        </w:tc>
        <w:tc>
          <w:tcPr>
            <w:tcW w:type="dxa" w:w="7882"/>
            <w:vAlign w:val="center"/>
            <w:tcMar>
              <w:top w:w="80" w:type="dxa"/>
              <w:start w:w="120" w:type="dxa"/>
              <w:bottom w:w="80" w:type="dxa"/>
              <w:end w:w="120" w:type="dxa"/>
            </w:tcMar>
          </w:tcPr>
          <w:p>
            <w:r>
              <w:rPr>
                <w:sz w:val="16"/>
              </w:rPr>
              <w:t>moonshot-ai.kimi-code</w:t>
            </w:r>
          </w:p>
        </w:tc>
      </w:tr>
      <w:tr>
        <w:tc>
          <w:tcPr>
            <w:tcW w:type="dxa" w:w="1478"/>
            <w:vAlign w:val="center"/>
            <w:tcMar>
              <w:top w:w="80" w:type="dxa"/>
              <w:start w:w="120" w:type="dxa"/>
              <w:bottom w:w="80" w:type="dxa"/>
              <w:end w:w="120" w:type="dxa"/>
            </w:tcMar>
          </w:tcPr>
          <w:p>
            <w:r>
              <w:rPr>
                <w:sz w:val="16"/>
              </w:rPr>
              <w:t>Version</w:t>
            </w:r>
          </w:p>
        </w:tc>
        <w:tc>
          <w:tcPr>
            <w:tcW w:type="dxa" w:w="7882"/>
            <w:vAlign w:val="center"/>
            <w:tcMar>
              <w:top w:w="80" w:type="dxa"/>
              <w:start w:w="120" w:type="dxa"/>
              <w:bottom w:w="80" w:type="dxa"/>
              <w:end w:w="120" w:type="dxa"/>
            </w:tcMar>
          </w:tcPr>
          <w:p>
            <w:r>
              <w:rPr>
                <w:sz w:val="16"/>
              </w:rPr>
              <w:t>0.6.7</w:t>
            </w:r>
          </w:p>
        </w:tc>
      </w:tr>
      <w:tr>
        <w:tc>
          <w:tcPr>
            <w:tcW w:type="dxa" w:w="1478"/>
            <w:vAlign w:val="center"/>
            <w:tcMar>
              <w:top w:w="80" w:type="dxa"/>
              <w:start w:w="120" w:type="dxa"/>
              <w:bottom w:w="80" w:type="dxa"/>
              <w:end w:w="120" w:type="dxa"/>
            </w:tcMar>
          </w:tcPr>
          <w:p>
            <w:r>
              <w:rPr>
                <w:sz w:val="16"/>
              </w:rPr>
              <w:t>Package</w:t>
            </w:r>
          </w:p>
        </w:tc>
        <w:tc>
          <w:tcPr>
            <w:tcW w:type="dxa" w:w="7882"/>
            <w:vAlign w:val="center"/>
            <w:tcMar>
              <w:top w:w="80" w:type="dxa"/>
              <w:start w:w="120" w:type="dxa"/>
              <w:bottom w:w="80" w:type="dxa"/>
              <w:end w:w="120" w:type="dxa"/>
            </w:tcMar>
          </w:tcPr>
          <w:p>
            <w:r>
              <w:rPr>
                <w:sz w:val="16"/>
              </w:rPr>
              <w:t>darwin-arm64</w:t>
            </w:r>
          </w:p>
        </w:tc>
      </w:tr>
      <w:tr>
        <w:tc>
          <w:tcPr>
            <w:tcW w:type="dxa" w:w="1478"/>
            <w:vAlign w:val="center"/>
            <w:tcMar>
              <w:top w:w="80" w:type="dxa"/>
              <w:start w:w="120" w:type="dxa"/>
              <w:bottom w:w="80" w:type="dxa"/>
              <w:end w:w="120" w:type="dxa"/>
            </w:tcMar>
          </w:tcPr>
          <w:p>
            <w:r>
              <w:rPr>
                <w:sz w:val="16"/>
              </w:rPr>
              <w:t>VSIX SHA-256</w:t>
            </w:r>
          </w:p>
        </w:tc>
        <w:tc>
          <w:tcPr>
            <w:tcW w:type="dxa" w:w="7882"/>
            <w:vAlign w:val="center"/>
            <w:tcMar>
              <w:top w:w="80" w:type="dxa"/>
              <w:start w:w="120" w:type="dxa"/>
              <w:bottom w:w="80" w:type="dxa"/>
              <w:end w:w="120" w:type="dxa"/>
            </w:tcMar>
          </w:tcPr>
          <w:p>
            <w:r>
              <w:rPr>
                <w:sz w:val="16"/>
              </w:rPr>
              <w:t>6251c8422023f6a43b6688af037b29523bc56bc6251633dcd7c05811a24f12c7</w:t>
            </w:r>
          </w:p>
        </w:tc>
      </w:tr>
    </w:tbl>
    <w:p/>
    <w:p>
      <w:pPr>
        <w:pStyle w:val="Heading1"/>
      </w:pPr>
      <w:r>
        <w:t>Scope, Assumptions, Methodology and Assessment Criteria</w:t>
      </w:r>
    </w:p>
    <w:p>
      <w:r>
        <w:t>Scope is deliberately per IDE and per platform. The static package result applies only to Visual Studio Code desktop 1.100 or later on Apple Silicon macOS using the retained darwin-arm64 VSIX. The vendor documents separate packages for x64 macOS, Windows and Linux on x64 and ARM64. Those archives may differ in bundled components, permissions and host behaviour and were not acquired. No conclusion in this report should be extrapolated to an untested platform package.</w:t>
      </w:r>
    </w:p>
    <w:p>
      <w:r>
        <w:t>Microsoft Visual Studio is not supported by this Marketplace identity and is Not applicable. Browser-only and virtual workspaces are outside scope because the manifest declares virtualWorkspaces false and provides a Node extension-host entry point. Remote development, containers and hosted workspaces were not tested. The assessment also excludes production accounts, customer data, exploitation, persistence, credential collection, unrestricted callbacks, destructive testing, and any activation on the normal workstation.</w:t>
      </w:r>
    </w:p>
    <w:p>
      <w:pPr>
        <w:pStyle w:val="ListBullet"/>
      </w:pPr>
      <w:r>
        <w:t>Static package and source review: completed with limitations.</w:t>
      </w:r>
    </w:p>
    <w:p>
      <w:pPr>
        <w:pStyle w:val="ListBullet"/>
      </w:pPr>
      <w:r>
        <w:t>Static malware review: completed with scanner and minification limitations.</w:t>
      </w:r>
    </w:p>
    <w:p>
      <w:pPr>
        <w:pStyle w:val="ListBullet"/>
      </w:pPr>
      <w:r>
        <w:t>Privacy assessment: completed from public sources; enterprise terms absent.</w:t>
      </w:r>
    </w:p>
    <w:p>
      <w:pPr>
        <w:pStyle w:val="ListBullet"/>
      </w:pPr>
      <w:r>
        <w:t>Runtime analysis: selected and Blocked, not silently waived.</w:t>
      </w:r>
    </w:p>
    <w:p>
      <w:pPr>
        <w:pStyle w:val="Heading1"/>
      </w:pPr>
      <w:r>
        <w:t>Part I — VS Code Assessment</w:t>
      </w:r>
    </w:p>
    <w:p>
      <w:r>
        <w:t>The default enterprise context is a Large UK Insurance business operating managed developer endpoints and formal software change control. Source repositories may contain proprietary algorithms, security controls, customer-impacting logic, credentials or personal data. AI-assisted coding can accelerate delivery, but a coding agent occupies a privileged position: it interprets untrusted repository content, transmits selected context to model services, and may alter code or execute commands. A moderate consumer-product risk can therefore become High in a regulated enterprise when blast radius, data sensitivity and operational dependency are considered.</w:t>
      </w:r>
    </w:p>
    <w:p>
      <w:r>
        <w:t xml:space="preserve">The recommended risk appetite is narrow: synthetic-data evaluation in an isolated environment, explicit human authority for material actions, no production identity, no customer or claims data, restricted egress, and independent validation of outputs. If the extension supports an important business service or material development process, supplier failure, data loss, erroneous code and service interruption must be included in operational-resilience mapping and severe-but-plausible scenarios. Regulatory applicability depends on the firm's permissions and materiality assessment. </w:t>
      </w:r>
      <w:hyperlink w:anchor="REF_017">
        <w:r>
          <w:rPr>
            <w:rStyle w:val="Hyperlink"/>
          </w:rPr>
          <w:t>REF-017</w:t>
        </w:r>
      </w:hyperlink>
      <w:r>
        <w:t xml:space="preserve"> </w:t>
      </w:r>
      <w:hyperlink w:anchor="REF_018">
        <w:r>
          <w:rPr>
            <w:rStyle w:val="Hyperlink"/>
          </w:rPr>
          <w:t>REF-018</w:t>
        </w:r>
      </w:hyperlink>
    </w:p>
    <w:p>
      <w:pPr>
        <w:pStyle w:val="Heading1"/>
      </w:pPr>
      <w:r>
        <w:t>VS Code Executive Decision and Approval</w:t>
      </w:r>
    </w:p>
    <w:p>
      <w:r>
        <w:t>Methods included immutable acquisition, SHA-256 hashing, bounded archive inventory, package-manifest review, release-source review, source and package SBOM generation, secret scanning, antivirus scanning, static pattern analysis, YARA heuristics, dependency advisory matching, official-document review, architecture and data-flow analysis, framework mapping and evidence-led risk disposition. No package, source dependency, script or extension was installed or executed. Scanner outputs were treated as leads and limitations rather than automatic findings.</w:t>
      </w:r>
    </w:p>
    <w:p>
      <w:r>
        <w:t>Each conclusion uses an evidence state. Verified means directly supported by retained bytes or a primary source. Inferred means an analyst conclusion grounded in verified premises. Blocked means the question was selected but could not be answered safely. Unknown means evidence or contractual detail was unavailable. Not applicable means the product or control falls outside the exact target. This vocabulary prevents absence of evidence from being presented as a negative result and prevents repository-wide advisory matches from being misrepresented as exploitable shipped vulnerabilities.</w:t>
      </w:r>
    </w:p>
    <w:p>
      <w:pPr>
        <w:pStyle w:val="Heading1"/>
      </w:pPr>
      <w:r>
        <w:t>VS Code Purpose and Function</w:t>
      </w:r>
    </w:p>
    <w:p>
      <w:r>
        <w:t xml:space="preserve">The public source snapshot is an unlinked Git archive of MoonshotAI/kimi-code commit 6b56c11697771fe596099b38bafae539820309a4, tree a4ea9a07cd0371eabbc4769065a148a204d63db0. The release commit contains apps/vscode/package.json at version 0.6.7 and the changelog entry for the assessed release. This provides materially stronger provenance than a package without public source and enables review of permission, telemetry, migration and agent instructions. </w:t>
      </w:r>
      <w:hyperlink w:anchor="REF_002">
        <w:r>
          <w:rPr>
            <w:rStyle w:val="Hyperlink"/>
          </w:rPr>
          <w:t>REF-002</w:t>
        </w:r>
      </w:hyperlink>
      <w:r>
        <w:t xml:space="preserve"> </w:t>
      </w:r>
      <w:hyperlink w:anchor="REF_003">
        <w:r>
          <w:rPr>
            <w:rStyle w:val="Hyperlink"/>
          </w:rPr>
          <w:t>REF-003</w:t>
        </w:r>
      </w:hyperlink>
    </w:p>
    <w:p>
      <w:r>
        <w:t>The assessment did not reproduce the vendor build or establish bit-for-bit equivalence between source and minified VSIX bundles. The package manifest declares Apache-2.0, while the exact release snapshot's root licence notice is MIT. The report does not decide which licence governs the packaged extension. Publisher clarification and authoritative notices are required for legal and supply-chain governance. Reproducible build instructions, signed provenance and a package-specific SBOM would materially improve assurance.</w:t>
      </w:r>
    </w:p>
    <w:p>
      <w:pPr>
        <w:pStyle w:val="Heading1"/>
      </w:pPr>
      <w:r>
        <w:t>VS Code Architecture</w:t>
      </w:r>
    </w:p>
    <w:p>
      <w:r>
        <w:t>The retained archive is 5,216,683 bytes, contains 25 entries and expands to 17,907,721 bytes. Bounded inspection identified no path traversal, encryption, symlink or abnormal expansion. The package contains manifest and documentation files, icons, a large extension bundle, a large webview bundle and supporting JavaScript modules. No native executable was identified in this macOS ARM64 package. These are positive archive-safety and transparency indicators for the acquired bytes, but not a statement about other platform variants.</w:t>
      </w:r>
    </w:p>
    <w:p>
      <w:r>
        <w:t>The main extension bundle is approximately 9.45 MB and the webview bundle approximately 6.62 MB. Minification is common for marketplace distribution but materially limits manual review, component identification and semantic scanner coverage. YARA dynamic-evaluation or encoded-data heuristics matched both bundles; persistence, credential-cluster and reverse-shell rules did not. The matches are consistent with complex bundled application code and are dispositioned as expected-capability heuristics, not malware. Runtime behaviour and source correspondence remain necessary to determine meaning.</w:t>
      </w:r>
    </w:p>
    <w:p>
      <w:pPr>
        <w:pStyle w:val="Heading1"/>
      </w:pPr>
      <w:r>
        <w:t>VS Code Trust Boundaries</w:t>
      </w:r>
    </w:p>
    <w:p>
      <w:r>
        <w:t xml:space="preserve">The manifest explicitly sets untrustedWorkspaces.supported to false. VS Code should therefore disable the extension in Restricted Mode until the user trusts the folder. This is an important fail-closed decision for a coding agent because hostile repositories can contain executable configuration and prompt-injection content. Microsoft advises that Workspace Trust protects against unintended code execution and that AI agents should remain disabled for untrusted workspaces. Enterprises should prohibit policy overrides and test that commands, views and activation remain unavailable before trust. </w:t>
      </w:r>
      <w:hyperlink w:anchor="REF_009">
        <w:r>
          <w:rPr>
            <w:rStyle w:val="Hyperlink"/>
          </w:rPr>
          <w:t>REF-009</w:t>
        </w:r>
      </w:hyperlink>
    </w:p>
    <w:p>
      <w:r>
        <w:t>The extension is workspace-kind, declares a main entry point, and does not support virtual workspaces. It contributes commands for state clearing, views, conversation management, logging, reset, logout and legacy migration. No explicit activationEvents are listed, although contemporary VS Code can derive activation from contributions. Actual activation timing, first-run screens and command availability were not observed. The minimum supported editor is declared as VS Code 1.100.0; rollout should enforce that floor and the vendor-supported current version.</w:t>
      </w:r>
    </w:p>
    <w:p>
      <w:pPr>
        <w:pStyle w:val="Heading1"/>
      </w:pPr>
      <w:r>
        <w:t>VS Code Data Flows</w:t>
      </w:r>
    </w:p>
    <w:p>
      <w:r>
        <w:t>Two defaults materially reduce inadvertent exposure. `kimi.yoloMode` is false, so regular tool calls are not globally auto-approved by default. `kimi.editorContext` is `never`, so the active file and cursor position are not automatically shared merely because the editor focus changes. These defaults should be preserved through managed configuration and verified after updates. They do not prevent a user from explicitly attaching content, granting a tool call or changing policy.</w:t>
      </w:r>
    </w:p>
    <w:p>
      <w:r>
        <w:t>Autosave is true, which means files are saved before Kimi reads or writes them. This can improve consistency but changes local state and may persist sensitive drafts or trigger watchers, formatters and builds. Thinking content is shown by default, which may reveal context or internal reasoning on shared screens or recordings. Configuration policy should define whether these settings are user-changeable, capture justified exceptions, and monitor drift without collecting prompt or source content.</w:t>
      </w:r>
    </w:p>
    <w:p>
      <w:pPr>
        <w:pStyle w:val="Heading1"/>
      </w:pPr>
      <w:r>
        <w:t>VS Code Installation Manifest and Uninstall Behavior</w:t>
      </w:r>
    </w:p>
    <w:p>
      <w:r>
        <w:t xml:space="preserve">Official product materials describe autonomous exploration of a codebase, file reads and writes, terminal execution with permission, web research, MCP, subagents, background tasks and long-running goals. These capabilities allow useful multi-step work but create a broad authority surface. A single prompt-injection or mistaken plan may cascade through source changes, commands, external requests and multiple cooperating agents. The enterprise should treat Kimi Code as privileged endpoint automation rather than a passive text-completion feature. </w:t>
      </w:r>
      <w:hyperlink w:anchor="REF_004">
        <w:r>
          <w:rPr>
            <w:rStyle w:val="Hyperlink"/>
          </w:rPr>
          <w:t>REF-004</w:t>
        </w:r>
      </w:hyperlink>
    </w:p>
    <w:p>
      <w:r>
        <w:t>The source system prompt distinguishes dedicated file-tool safeguards from Bash, explicitly stating that shell commands do not inherit secret-file guards. It also instructs the agent not to route around a denial, which is positive behavioural guidance. Model instructions are not a security boundary. Host enforcement must constrain roots, processes, network and credentials regardless of model behaviour, and negative tests must prove a rejected action cannot be achieved through Bash, an MCP tool, an alternative command or a subagent.</w:t>
      </w:r>
    </w:p>
    <w:p>
      <w:pPr>
        <w:pStyle w:val="Heading1"/>
      </w:pPr>
      <w:r>
        <w:t>VS Code Runtime Processes and Activation</w:t>
      </w:r>
    </w:p>
    <w:p>
      <w:r>
        <w:t>Repository files, comments, issue text, generated documentation, tool output and transitive dependencies can contain instructions intended to redirect an agent. Workspace Trust reduces unintended code execution before explicit trust, but a developer may trust a repository that contains malicious or compromised content. Once trusted, natural-language instructions remain attacker-controlled data. The source profile correctly describes repository instruction files as reference data that cannot override higher-priority controls, but this must be verified against indirect prompt injection and multi-step tool use.</w:t>
      </w:r>
    </w:p>
    <w:p>
      <w:r>
        <w:t xml:space="preserve">Tests should plant benign synthetic instructions in source, README, terminal output, web content and MCP descriptions. The extension should identify the conflict, preserve the user's goal, avoid secret access and transmission, and request clear approval for any necessary privileged action. Monitoring should detect unusual file breadth, sensitive paths, unexpected destinations and commands inconsistent with the task. OWASP identifies goal hijack, tool misuse and trust exploitation as central agentic risks. </w:t>
      </w:r>
      <w:hyperlink w:anchor="REF_012">
        <w:r>
          <w:rPr>
            <w:rStyle w:val="Hyperlink"/>
          </w:rPr>
          <w:t>REF-012</w:t>
        </w:r>
      </w:hyperlink>
    </w:p>
    <w:p>
      <w:pPr>
        <w:pStyle w:val="Heading1"/>
      </w:pPr>
      <w:r>
        <w:t>VS Code Network Communications, Authentication, Telemetry and Privacy</w:t>
      </w:r>
    </w:p>
    <w:p>
      <w:r>
        <w:t>The principal components are the developer, managed endpoint, VS Code workbench, Extension Host, Kimi extension, in-process Node SDK, workspace, shared Kimi home, model/provider service, telemetry service, MCP servers and downstream tools. Trust changes at every boundary. Workspace and remote content are untrusted inputs; model output is untrusted guidance; local credentials are high-value assets; MCP servers add independent identities and data handling; and the Extension Host can access user-level resources unless the endpoint adds containment.</w:t>
      </w:r>
    </w:p>
    <w:p>
      <w:r>
        <w:t>The 0.6.0 release replaced a separate Python/stdio runtime with an in-process Node SDK, reducing one process and download boundary while placing the agent engine inside the Extension Host. The same engine provides CLI-parity capabilities. This consolidation may simplify lifecycle management, but it also concentrates broad capabilities in a process close to the developer workspace. Runtime telemetry must identify the actual process tree, filesystem access, child commands and egress rather than assuming the architecture from documentation alone.</w:t>
      </w:r>
    </w:p>
    <w:p>
      <w:pPr>
        <w:pStyle w:val="Heading1"/>
      </w:pPr>
      <w:r>
        <w:t>VS Code MCP and Agent Skills</w:t>
      </w:r>
    </w:p>
    <w:p>
      <w:r>
        <w:t>Potential outbound content includes prompts, selected or agent-read source, filenames, repository instructions, diffs, terminal output, tool results, MCP resources, diagnostics, telemetry and account metadata. Local persistent content can include configuration, credentials, sessions, logs, cached responses, telemetry retry queues and migration artefacts. These categories may contain personal data, customer or claims information, security details, proprietary code and authentication material. The default editor-context setting reduces automatic sharing but does not bound agent-selected reads after a task begins.</w:t>
      </w:r>
    </w:p>
    <w:p>
      <w:r>
        <w:t>A deployer needs a purpose-specific data-flow map showing each source, field, recipient, location, lawful basis, retention period and deletion route. Network capture should confirm API, authentication, telemetry, update and MCP destinations and distinguish service-critical from optional traffic. Payload review must use synthetic markers and redact secrets. No production content should be used merely to discover flows. The absence of packet capture and service-side evidence is a material reason for deferral.</w:t>
      </w:r>
    </w:p>
    <w:p>
      <w:pPr>
        <w:pStyle w:val="Heading1"/>
      </w:pPr>
      <w:r>
        <w:t>VS Code Supply Chain and Dependencies</w:t>
      </w:r>
    </w:p>
    <w:p>
      <w:r>
        <w:t xml:space="preserve">When the extension and CLI resolve the same KIMI_CODE_HOME, official documentation says they share configuration, MCP configuration, login state and sessions. It also warns that running the same session concurrently is not supported by cross-process locking. This boundary can cause unintended credential reuse, configuration drift, stale MCP authority, transcript exposure, write races or session corruption across two interfaces. </w:t>
      </w:r>
      <w:hyperlink w:anchor="REF_004">
        <w:r>
          <w:rPr>
            <w:rStyle w:val="Hyperlink"/>
          </w:rPr>
          <w:t>REF-004</w:t>
        </w:r>
      </w:hyperlink>
      <w:r>
        <w:t xml:space="preserve"> </w:t>
      </w:r>
      <w:hyperlink w:anchor="REF_007">
        <w:r>
          <w:rPr>
            <w:rStyle w:val="Hyperlink"/>
          </w:rPr>
          <w:t>REF-007</w:t>
        </w:r>
      </w:hyperlink>
    </w:p>
    <w:p>
      <w:r>
        <w:t>A pilot should use a dedicated Kimi home with restrictive permissions and a synthetic identity, prohibit concurrent use of one session, inventory the files created, and test crash recovery and concurrent access without sensitive data. Credentials should be isolated per provider and MCP server, stored using approved mechanisms and revoked at pilot end. Uninstall testing must distinguish extension-owned data from shared CLI state and should not delete unrelated user data. Vendor confirmation is needed for locking, encryption, keychain use, permission modes, rotation and residue.</w:t>
      </w:r>
    </w:p>
    <w:p>
      <w:pPr>
        <w:pStyle w:val="Heading1"/>
      </w:pPr>
      <w:r>
        <w:t>VS Code Threats and Findings</w:t>
      </w:r>
    </w:p>
    <w:p>
      <w:r>
        <w:t xml:space="preserve">Kimi acts as an MCP client and exposes MCP tools beside built-in tools. Project-level `.kimi-code/mcp.json` stdio definitions can execute local commands when a session starts. Plugins may declare MCP servers and enable them for sessions. Tool permissions match names and wildcards; official documentation says parameters are not part of pattern matching. Session and permanent allows can therefore grant repeated authority whose risk varies substantially by parameters. </w:t>
      </w:r>
      <w:hyperlink w:anchor="REF_005">
        <w:r>
          <w:rPr>
            <w:rStyle w:val="Hyperlink"/>
          </w:rPr>
          <w:t>REF-005</w:t>
        </w:r>
      </w:hyperlink>
    </w:p>
    <w:p>
      <w:r>
        <w:t xml:space="preserve">Enterprise policy should deny project-level server auto-start, allowlist immutable server identities and packages, require encrypted authenticated transport, isolate server credentials, constrain roots and destinations, and display complete parameters at the approval boundary. Broad `mcp__*` allows and YOLO should be prohibited. MCP OAuth must validate issuer, audience, redirect, scopes and token destination. Runtime testing should cover server impersonation, tool-description changes, prompt and resource poisoning, path and command injection, cross-server leakage, confused deputy behaviour, malicious errors and output, token forwarding and SSRF. </w:t>
      </w:r>
      <w:hyperlink w:anchor="REF_011">
        <w:r>
          <w:rPr>
            <w:rStyle w:val="Hyperlink"/>
          </w:rPr>
          <w:t>REF-011</w:t>
        </w:r>
      </w:hyperlink>
      <w:r>
        <w:t xml:space="preserve"> </w:t>
      </w:r>
      <w:hyperlink w:anchor="REF_013">
        <w:r>
          <w:rPr>
            <w:rStyle w:val="Hyperlink"/>
          </w:rPr>
          <w:t>REF-013</w:t>
        </w:r>
      </w:hyperlink>
    </w:p>
    <w:p>
      <w:pPr>
        <w:pStyle w:val="Heading1"/>
      </w:pPr>
      <w:r>
        <w:t>VS Code Framework Disposition</w:t>
      </w:r>
    </w:p>
    <w:p>
      <w:r>
        <w:t>YOLO mode maps to an auto-approval permission mode and, according to Kimi's MCP guidance, automatically approves MCP tool calls. Version 0.6.4 improved permission semantics so sensitive files, plan reviews and ask rules remain presented outside the active permission mode, and the default is off. Nevertheless, a user-controlled setting can convert a sequence of individually reviewable operations into broad autonomous authority. Approval fatigue and ambiguous prompts can also weaken nominal manual control.</w:t>
      </w:r>
    </w:p>
    <w:p>
      <w:r>
        <w:t>The enterprise should lock YOLO off, prohibit permanent wildcards and define action classes that always require a fresh decision: external transmission, shell execution, writes outside an approved task, destructive commands, credential use, MCP changes and privilege escalation. Prompts must name the actor, exact resource, operation, destination, parameters, consequences and duration. Denial must persist and stop equivalent routing. Users need an immediate stop control and a reviewable audit trail that protects prompt and source confidentiality.</w:t>
      </w:r>
    </w:p>
    <w:p>
      <w:pPr>
        <w:pStyle w:val="Heading1"/>
      </w:pPr>
      <w:r>
        <w:t>VS Code Controls and Detection</w:t>
      </w:r>
    </w:p>
    <w:p>
      <w:r>
        <w:t>The 0.6.2 changelog states that several FetchURL SSRF bypasses and a DNS-rebinding window were closed. This is a positive indication of active security maintenance and directly relevant to an agent capable of fetching model-directed URLs. Static statements do not prove that all URL paths, redirect handling, alternate IP representations, proxy behaviour, MCP clients or bundled versions enforce the fix. The assessment did not send probes or observe outbound traffic.</w:t>
      </w:r>
    </w:p>
    <w:p>
      <w:r>
        <w:t>A controlled runtime should test loopback, link-local, private ranges, IPv6, decimal and mixed-notation addresses, redirects, userinfo, DNS rebinding, proxy destinations and cloud metadata endpoints using a synthetic local harness with no unrestricted internet callback. Egress policy should permit only documented enterprise-approved service endpoints and block internal control planes. DNS and proxy logs should identify unexpected destinations without recording source content. Any bypass that reaches a protected address requires coordinated disclosure and immediate pilot suspension.</w:t>
      </w:r>
    </w:p>
    <w:p>
      <w:pPr>
        <w:pStyle w:val="Heading1"/>
      </w:pPr>
      <w:r>
        <w:t>VS Code Residual Risk, Confidence, Limitations, Evidence and Verification</w:t>
      </w:r>
    </w:p>
    <w:p>
      <w:r>
        <w:t xml:space="preserve">Source identifies a telemetry endpoint at telemetry-logs.kimi.com and supports KIMI_DISABLE_TELEMETRY. The transport includes authenticated and anonymous behaviour and a local retry queue for failed events. These design facts are security relevant because event fields, repository identifiers, error strings or diagnostics may contain sensitive metadata. The exact assessed payload, default state, retention, service-side processing and effect of the disable flag were not observed. </w:t>
      </w:r>
      <w:hyperlink w:anchor="REF_007">
        <w:r>
          <w:rPr>
            <w:rStyle w:val="Hyperlink"/>
          </w:rPr>
          <w:t>REF-007</w:t>
        </w:r>
      </w:hyperlink>
    </w:p>
    <w:p>
      <w:r>
        <w:t>Each verification test should send unique synthetic markers, inspect encrypted destination metadata and vendor-provided payload documentation, force offline failures, restart, authenticate, disable telemetry and verify that no nonessential events are sent or queued. Local queue permissions, maximum size, expiry and deletion require inspection. Enterprise logging should record control outcomes and destination metadata rather than prompts or source. Optional diagnostics and feedback archives must require separate informed consent and show users exactly which files are included.</w:t>
      </w:r>
    </w:p>
    <w:p>
      <w:pPr>
        <w:pStyle w:val="Caption"/>
      </w:pPr>
      <w:r>
        <w:rPr>
          <w:b/>
        </w:rPr>
        <w:t>Runtime verification tests</w:t>
      </w:r>
    </w:p>
    <w:tbl>
      <w:tblPr>
        <w:tblStyle w:val="TableGrid"/>
        <w:tblW w:type="dxa" w:w="9360"/>
        <w:tblLayout w:type="fixed"/>
        <w:tblLook w:firstColumn="1" w:firstRow="1" w:lastColumn="0" w:lastRow="0" w:noHBand="0" w:noVBand="1" w:val="04A0"/>
        <w:tblInd w:w="120" w:type="dxa"/>
      </w:tblPr>
      <w:tblGrid>
        <w:gridCol w:w="3246"/>
        <w:gridCol w:w="3787"/>
        <w:gridCol w:w="2327"/>
      </w:tblGrid>
      <w:tr>
        <w:trPr>
          <w:tblHeader w:val="true"/>
        </w:trPr>
        <w:tc>
          <w:tcPr>
            <w:tcW w:type="dxa" w:w="3246"/>
            <w:shd w:fill="F2F4F7"/>
            <w:vAlign w:val="center"/>
            <w:tcMar>
              <w:top w:w="80" w:type="dxa"/>
              <w:start w:w="120" w:type="dxa"/>
              <w:bottom w:w="80" w:type="dxa"/>
              <w:end w:w="120" w:type="dxa"/>
            </w:tcMar>
          </w:tcPr>
          <w:p>
            <w:r>
              <w:rPr>
                <w:b/>
                <w:sz w:val="16"/>
              </w:rPr>
              <w:t>Verification test</w:t>
            </w:r>
          </w:p>
        </w:tc>
        <w:tc>
          <w:tcPr>
            <w:tcW w:type="dxa" w:w="3787"/>
            <w:shd w:fill="F2F4F7"/>
            <w:vAlign w:val="center"/>
            <w:tcMar>
              <w:top w:w="80" w:type="dxa"/>
              <w:start w:w="120" w:type="dxa"/>
              <w:bottom w:w="80" w:type="dxa"/>
              <w:end w:w="120" w:type="dxa"/>
            </w:tcMar>
          </w:tcPr>
          <w:p>
            <w:r>
              <w:rPr>
                <w:b/>
                <w:sz w:val="16"/>
              </w:rPr>
              <w:t>Expected evidence</w:t>
            </w:r>
          </w:p>
        </w:tc>
        <w:tc>
          <w:tcPr>
            <w:tcW w:type="dxa" w:w="2327"/>
            <w:shd w:fill="F2F4F7"/>
            <w:vAlign w:val="center"/>
            <w:tcMar>
              <w:top w:w="80" w:type="dxa"/>
              <w:start w:w="120" w:type="dxa"/>
              <w:bottom w:w="80" w:type="dxa"/>
              <w:end w:w="120" w:type="dxa"/>
            </w:tcMar>
          </w:tcPr>
          <w:p>
            <w:r>
              <w:rPr>
                <w:b/>
                <w:sz w:val="16"/>
              </w:rPr>
              <w:t>Current status</w:t>
            </w:r>
          </w:p>
        </w:tc>
      </w:tr>
      <w:tr>
        <w:tc>
          <w:tcPr>
            <w:tcW w:type="dxa" w:w="3246"/>
            <w:vAlign w:val="center"/>
            <w:tcMar>
              <w:top w:w="80" w:type="dxa"/>
              <w:start w:w="120" w:type="dxa"/>
              <w:bottom w:w="80" w:type="dxa"/>
              <w:end w:w="120" w:type="dxa"/>
            </w:tcMar>
          </w:tcPr>
          <w:p>
            <w:r>
              <w:rPr>
                <w:sz w:val="16"/>
              </w:rPr>
              <w:t>Telemetry disabled and enabled with unique synthetic markers</w:t>
            </w:r>
          </w:p>
        </w:tc>
        <w:tc>
          <w:tcPr>
            <w:tcW w:type="dxa" w:w="3787"/>
            <w:vAlign w:val="center"/>
            <w:tcMar>
              <w:top w:w="80" w:type="dxa"/>
              <w:start w:w="120" w:type="dxa"/>
              <w:bottom w:w="80" w:type="dxa"/>
              <w:end w:w="120" w:type="dxa"/>
            </w:tcMar>
          </w:tcPr>
          <w:p>
            <w:r>
              <w:rPr>
                <w:sz w:val="16"/>
              </w:rPr>
              <w:t>Destination, event fields, queue behaviour and disable-control outcome</w:t>
            </w:r>
          </w:p>
        </w:tc>
        <w:tc>
          <w:tcPr>
            <w:tcW w:type="dxa" w:w="2327"/>
            <w:vAlign w:val="center"/>
            <w:tcMar>
              <w:top w:w="80" w:type="dxa"/>
              <w:start w:w="120" w:type="dxa"/>
              <w:bottom w:w="80" w:type="dxa"/>
              <w:end w:w="120" w:type="dxa"/>
            </w:tcMar>
          </w:tcPr>
          <w:p>
            <w:r>
              <w:rPr>
                <w:sz w:val="16"/>
              </w:rPr>
              <w:t>Blocked pending representative runtime host</w:t>
            </w:r>
          </w:p>
        </w:tc>
      </w:tr>
      <w:tr>
        <w:tc>
          <w:tcPr>
            <w:tcW w:type="dxa" w:w="3246"/>
            <w:vAlign w:val="center"/>
            <w:tcMar>
              <w:top w:w="80" w:type="dxa"/>
              <w:start w:w="120" w:type="dxa"/>
              <w:bottom w:w="80" w:type="dxa"/>
              <w:end w:w="120" w:type="dxa"/>
            </w:tcMar>
          </w:tcPr>
          <w:p>
            <w:r>
              <w:rPr>
                <w:sz w:val="16"/>
              </w:rPr>
              <w:t>Offline queue, restart and authenticated-session sequence</w:t>
            </w:r>
          </w:p>
        </w:tc>
        <w:tc>
          <w:tcPr>
            <w:tcW w:type="dxa" w:w="3787"/>
            <w:vAlign w:val="center"/>
            <w:tcMar>
              <w:top w:w="80" w:type="dxa"/>
              <w:start w:w="120" w:type="dxa"/>
              <w:bottom w:w="80" w:type="dxa"/>
              <w:end w:w="120" w:type="dxa"/>
            </w:tcMar>
          </w:tcPr>
          <w:p>
            <w:r>
              <w:rPr>
                <w:sz w:val="16"/>
              </w:rPr>
              <w:t>Queue permissions, size, expiry, deletion and retry evidence</w:t>
            </w:r>
          </w:p>
        </w:tc>
        <w:tc>
          <w:tcPr>
            <w:tcW w:type="dxa" w:w="2327"/>
            <w:vAlign w:val="center"/>
            <w:tcMar>
              <w:top w:w="80" w:type="dxa"/>
              <w:start w:w="120" w:type="dxa"/>
              <w:bottom w:w="80" w:type="dxa"/>
              <w:end w:w="120" w:type="dxa"/>
            </w:tcMar>
          </w:tcPr>
          <w:p>
            <w:r>
              <w:rPr>
                <w:sz w:val="16"/>
              </w:rPr>
              <w:t>Blocked pending representative runtime host</w:t>
            </w:r>
          </w:p>
        </w:tc>
      </w:tr>
    </w:tbl>
    <w:p/>
    <w:p>
      <w:pPr>
        <w:pStyle w:val="Heading1"/>
      </w:pPr>
      <w:r>
        <w:t>Part II — Visual Studio Assessment</w:t>
      </w:r>
    </w:p>
    <w:p>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r>
        <w:t>Microsoft Visual Studio is Not applicable to this assessment. The official Marketplace identity, retained VSIX manifest and public source describe a Visual Studio Code extension with a VS Code engine requirement and Node Extension Host entry point. No Visual Studio extension, VSIX identity for Visual Studio, installation method, package or documentation was identified under moonshot-ai.kimi-code. The report does not transfer the VS Code result to a different Microsoft IDE.</w:t>
      </w:r>
    </w:p>
    <w:p>
      <w:r>
        <w:t>This explicit disposition prevents a missing product from being presented as a security pass. If the publisher later releases a separate Visual Studio integration, it requires new identity resolution, acquisition, source mapping, static and malware analysis, Visual Studio-specific installation and runtime work, privacy review and a distinct decision. Until then, enterprise deployment controls should allowlist only the exact Visual Studio Code identity and should not search for or install similarly named Visual Studio products.</w:t>
      </w:r>
    </w:p>
    <w:p>
      <w:pPr>
        <w:pStyle w:val="Heading1"/>
      </w:pPr>
      <w:r>
        <w:t>Visual Studio Decision, Evidence, Limitations and Verification</w:t>
      </w:r>
    </w:p>
    <w:p>
      <w:r>
        <w:t>Decision: Not applicable. Evidence is the official Kimi Code Marketplace listing, the acquired package manifest and the release source, all of which identify Visual Studio Code and no Microsoft Visual Studio target. Limitations are that no separate publisher catalogue or future product can be ruled out indefinitely; Marketplace state is mutable and similarly named products may exist. This report makes no claim about any other extension.</w:t>
      </w:r>
    </w:p>
    <w:p>
      <w:r>
        <w:t>Verification is identity-led: before any Visual Studio request, resolve the exact official publisher, product and listing; acquire the corresponding package; confirm supported Visual Studio editions and versions; and execute the full Visual Studio assessment branch. The closure criterion for this run is not a runtime test but a maintained Not applicable disposition. A future supported product is a reassessment trigger, not an extension of this approval.</w:t>
      </w:r>
    </w:p>
    <w:p>
      <w:pPr>
        <w:pStyle w:val="Heading1"/>
      </w:pPr>
      <w:r>
        <w:t>Part III — Installed Agent Skills</w:t>
      </w:r>
    </w:p>
    <w:p>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r>
        <w:t>No user-installed Agent Skills were supplied or inspected, and no personal skill directory was accessed. The installed-skills result is therefore Not observed, not a clean security conclusion. Kimi Code source and documentation show support for agent profiles, repository instructions, plugins and skill directories, so future skills can add instructions, scripts, resources, MCP declarations and external dependencies to the effective agent boundary.</w:t>
      </w:r>
    </w:p>
    <w:p>
      <w:r>
        <w:t>Enterprise use should inventory every approved skill by immutable source and digest, review instructions as untrusted executable policy, scan included scripts and dependencies, restrict referenced paths and destinations, and test conflicts with host and user authority. Skills must not grant themselves permission, suppress approvals, bypass Workspace Trust or broaden MCP and shell access. Any installed or changed skill is a reassessment trigger and must be included in prompt-injection, secret-handling, tool-poisoning and rollback tests.</w:t>
      </w:r>
    </w:p>
    <w:p>
      <w:pPr>
        <w:pStyle w:val="Heading1"/>
      </w:pPr>
      <w:r>
        <w:t>Cross-IDE Comparison</w:t>
      </w:r>
    </w:p>
    <w:p>
      <w:r>
        <w:t>Only the Visual Studio Code branch has a product to assess. It is a workspace extension with a Node entry point, Workspace Trust declaration, file and terminal agency, MCP support and a retained platform-specific VSIX. Microsoft Visual Studio is Not applicable because no product under the assessed identity supports that IDE. Installed Agent Skills were Not observed because none were supplied. These three dispositions must remain separate; evidence from one branch cannot fill another.</w:t>
      </w:r>
    </w:p>
    <w:p>
      <w:r>
        <w:t>The practical enterprise comparison is therefore between a High residual-risk, evidence-incomplete VS Code integration and two non-approved branches: no Visual Studio product and no inspected installed skills. A future Visual Studio listing or any enterprise skill set requires its own provenance, permissions, source, runtime, privacy and supply-chain evidence. Cross-IDE availability must be verified rather than inferred from a shared brand or protocol.</w:t>
      </w:r>
    </w:p>
    <w:p>
      <w:pPr>
        <w:pStyle w:val="Heading1"/>
      </w:pPr>
      <w:r>
        <w:t>Consolidated Supply Chain</w:t>
      </w:r>
    </w:p>
    <w:p>
      <w:r>
        <w:t xml:space="preserve">A regulated insurer remains accountable for obligations performed through third parties. If Kimi Code supports an important business service or a material development capability, the firm should map dependencies, establish impact tolerance, test severe but plausible disruption, monitor change, maintain continuity and define exit. Vendor regulation or marketplace verification does not replace the firm's supervision. FCA guidance highlights operational risk and reduced control introduced by outsourcing and related third-party dependency. </w:t>
      </w:r>
      <w:hyperlink w:anchor="REF_017">
        <w:r>
          <w:rPr>
            <w:rStyle w:val="Hyperlink"/>
          </w:rPr>
          <w:t>REF-017</w:t>
        </w:r>
      </w:hyperlink>
      <w:r>
        <w:t xml:space="preserve"> </w:t>
      </w:r>
      <w:hyperlink w:anchor="REF_018">
        <w:r>
          <w:rPr>
            <w:rStyle w:val="Hyperlink"/>
          </w:rPr>
          <w:t>REF-018</w:t>
        </w:r>
      </w:hyperlink>
    </w:p>
    <w:p>
      <w:r>
        <w:t>Procurement should classify materiality, service concentration, substitutability, data access, subcontracting, outage response, incident notification and termination support. Engineering should be able to continue, recover or withdraw without inaccessible sessions, lost source, unrevoked credentials or vendor-only records. Changes generated by the agent remain subject to the firm's secure development lifecycle, segregation of duties, testing, record keeping and release authority. Legal and compliance owners must verify exact applicability for the firm's permissions and use case.</w:t>
      </w:r>
    </w:p>
    <w:p>
      <w:pPr>
        <w:pStyle w:val="Heading1"/>
      </w:pPr>
      <w:r>
        <w:t>Consolidated Privacy and Data Protection Assessment</w:t>
      </w:r>
    </w:p>
    <w:p>
      <w:r>
        <w:t xml:space="preserve">OWASP agentic risks map directly to the assessed architecture: goal hijack through repository or remote content; tool misuse through Bash, writes, web and MCP; identity abuse through service and server credentials; supply-chain compromise through extensions, dependencies, plugins and skills; unexpected code execution through shell and stdio servers; and cascading failures through subagents and background goals. Relevant mitigations are bounded authority, provenance, isolation, explicit consent, monitoring and rollback. </w:t>
      </w:r>
      <w:hyperlink w:anchor="REF_012">
        <w:r>
          <w:rPr>
            <w:rStyle w:val="Hyperlink"/>
          </w:rPr>
          <w:t>REF-012</w:t>
        </w:r>
      </w:hyperlink>
    </w:p>
    <w:p>
      <w:r>
        <w:t xml:space="preserve">NIST AI RMF functions provide the governance lifecycle. Govern establishes owners, policy, inventory and risk tolerance. Map documents users, data, boundaries, dependencies and affected parties. Measure uses static, privacy, runtime, red-team and operational testing with uncertainty recorded. Manage implements staged deployment, monitoring, incident response, re-assessment and withdrawal. NIST AI 600-1 adds generative-AI considerations including confabulation, privacy, information integrity and human-AI configuration. </w:t>
      </w:r>
      <w:hyperlink w:anchor="REF_014">
        <w:r>
          <w:rPr>
            <w:rStyle w:val="Hyperlink"/>
          </w:rPr>
          <w:t>REF-014</w:t>
        </w:r>
      </w:hyperlink>
      <w:r>
        <w:t xml:space="preserve"> </w:t>
      </w:r>
      <w:hyperlink w:anchor="REF_015">
        <w:r>
          <w:rPr>
            <w:rStyle w:val="Hyperlink"/>
          </w:rPr>
          <w:t>REF-015</w:t>
        </w:r>
      </w:hyperlink>
    </w:p>
    <w:p>
      <w:pPr>
        <w:pStyle w:val="Heading1"/>
      </w:pPr>
      <w:r>
        <w:t>Enterprise Controls Roadmap</w:t>
      </w:r>
    </w:p>
    <w:p>
      <w:r>
        <w:t>Overall residual risk is High. The rating reflects the combination of high agency, material runtime uncertainty, shared credential and session state, MCP and shell authority, incomplete package dependency visibility, unresolved enterprise privacy terms and one-platform coverage. Positive defaults and public source reduce risk but do not close the missing evidence. Findings are framed as enterprise risk conditions rather than unverified exploit claims.</w:t>
      </w:r>
    </w:p>
    <w:p>
      <w:r>
        <w:t>The highest-priority closure actions are representative runtime testing, package-specific SBOM and Critical/High disposition, MCP and permission policy, dedicated state and credential isolation, and enterprise data-processing terms. Licence clarification and cross-platform/update governance are additional conditions. Any confirmed denial bypass, protected-network access, secret transmission, unsafe default MCP execution, reachable Critical vulnerability or materially inconsistent privacy behaviour should stop the pilot and trigger incident or disclosure processes as appropriate.</w:t>
      </w:r>
    </w:p>
    <w:p>
      <w:pPr>
        <w:pStyle w:val="Heading1"/>
      </w:pPr>
      <w:r>
        <w:t>Detection Opportunities and Monitoring Plan</w:t>
      </w:r>
    </w:p>
    <w:p>
      <w:r>
        <w:t>Runtime must use a disposable Apple Silicon macOS host, clean VS Code 1.100 or later profile, exact Marketplace package, synthetic Kimi identity, synthetic repository, no production credentials, bounded filesystem, controlled DNS and egress, process/network/filesystem telemetry and tested snapshot rollback. A temporary profile on the normal workstation is insufficient because extension-host and child processes could still reach user resources. Only synthetic or non-production data is authorised.</w:t>
      </w:r>
    </w:p>
    <w:p>
      <w:r>
        <w:t>Tests must cover installation and publisher trust, Restricted Mode, explicit workspace trust, authentication and logout, file read/write and autosave, Bash approval and denial, cancellation, sensitive paths, prompt injection, FetchURL SSRF controls, MCP stdio and remote servers, OAuth audience, wildcard and YOLO behaviour, concurrent shared-home access, telemetry opt-out and offline queue, crash recovery, update, disable, uninstall and residue. Results must include versions, timestamps, configurations, expected and actual outcomes, redacted traces and rollback proof.</w:t>
      </w:r>
    </w:p>
    <w:p>
      <w:pPr>
        <w:pStyle w:val="Heading1"/>
      </w:pPr>
      <w:r>
        <w:t>Residual Risk and Approval Recommendation</w:t>
      </w:r>
    </w:p>
    <w:p>
      <w:r>
        <w:t>Use managed extension allowlisting bound to publisher, identifier, version, platform and digest. Preserve Workspace Trust; prohibit YOLO, permanent broad wildcards, project-level MCP auto-start and unapproved plugins or skills. Restrict filesystem roots, outbound destinations and shell commands. Use isolated provider and MCP credentials, a dedicated protected Kimi home and no concurrent use of one session. Keep editor context at never unless a task-specific exception is approved.</w:t>
      </w:r>
    </w:p>
    <w:p>
      <w:r>
        <w:t>Limit the pilot to synthetic repositories and identities in an isolated environment. Require human review, automated tests and normal change authority for generated code. Block production deployment credentials and customer data. Define approved models, providers, MCP servers, tools and data classes. Procurement controls must bind privacy, training, transfer, retention, deletion, security, incidents, audit and exit. Package admission should fail closed when SBOM, provenance, vulnerability disposition, licence or identity evidence is missing.</w:t>
      </w:r>
    </w:p>
    <w:p>
      <w:pPr>
        <w:pStyle w:val="Heading1"/>
      </w:pPr>
      <w:r>
        <w:t>Limitations and Confidence</w:t>
      </w:r>
    </w:p>
    <w:p>
      <w:r>
        <w:t>Inventory extension versions, package digests, MCP servers, plugins, skills, models, providers and policy exceptions. Monitor Extension Host child processes, shell invocations, unexpected file breadth, sensitive-path access, writes outside approved roots, new executables, DNS and egress anomalies, OAuth and token events, shared-home permission changes, concurrent session access, approval and denial outcomes, Marketplace updates and relevant advisories. Alerts should identify control failure without copying prompts, source or secrets into monitoring systems.</w:t>
      </w:r>
    </w:p>
    <w:p>
      <w:r>
        <w:t>Detection must have owners, thresholds, triage instructions, response routes and retention justified by risk and privacy. Baselines should distinguish documented Kimi API, authentication, telemetry and update destinations from MCP and user-configured providers. Control tests should verify that telemetry disablement, egress rules and root restrictions generate expected evidence. Quarterly and material-change exercises should repeat prompt injection, denial bypass, SSRF, MCP poisoning, secret handling, update and residue scenarios.</w:t>
      </w:r>
    </w:p>
    <w:p>
      <w:pPr>
        <w:pStyle w:val="Heading1"/>
      </w:pPr>
      <w:r>
        <w:t>Incident response, recovery and exit</w:t>
      </w:r>
    </w:p>
    <w:p>
      <w:r>
        <w:t>Users need an immediate stop action. Responders must be able to terminate the extension and child processes, isolate the endpoint, revoke Kimi, provider and MCP tokens, preserve bounded redacted evidence, compare repository state with trusted version control, restore affected files, rotate potentially exposed secrets, clear temporary data and destroy the disposable environment. Security, privacy, supplier, legal and operational-resilience notification criteria should be predefined.</w:t>
      </w:r>
    </w:p>
    <w:p>
      <w:r>
        <w:t>Exit testing should disable and uninstall the extension, remove task-owned state, verify telemetry and feedback queues, revoke server-side sessions and request vendor deletion where applicable. Because the extension and CLI may share a Kimi home, cleanup must distinguish shared user data from extension-owned residue and avoid destructive overreach. Business continuity should not depend on inaccessible vendor transcripts or agent state; source, decisions and approved changes belong in enterprise systems of record.</w:t>
      </w:r>
    </w:p>
    <w:p>
      <w:pPr>
        <w:pStyle w:val="Heading1"/>
      </w:pPr>
      <w:r>
        <w:t>Bounded pilot gate</w:t>
      </w:r>
    </w:p>
    <w:p>
      <w:r>
        <w:t>A pilot is not automatically approved by this report. It may be reconsidered only when the accountable owner confirms every approval condition, privacy and procurement approve the service tier and transfer position, security approves the isolation and monitoring design, and dependency reviewers close or contain every package-relevant Critical and High signal. The pilot population should be small, trained and time limited, with no exceptions for production data or unmanaged endpoints.</w:t>
      </w:r>
    </w:p>
    <w:p>
      <w:r>
        <w:t>Success criteria include zero unapproved protected-resource access, parameter-visible consent for privileged actions, effective denials, expected Workspace Trust behaviour, documented minimal egress, telemetry matching policy, no unsafe shared-session concurrency, complete update and uninstall evidence, and reproducible change review. Failure criteria include any secret or regulated-data exposure, unexplained destination, bypassed denial, unsafe MCP auto-execution, reachable unremediated Critical vulnerability, unbounded residue or contractual contradiction.</w:t>
      </w:r>
    </w:p>
    <w:p>
      <w:pPr>
        <w:pStyle w:val="Heading1"/>
      </w:pPr>
      <w:r>
        <w:t>Reassessment triggers</w:t>
      </w:r>
    </w:p>
    <w:p>
      <w:r>
        <w:t>Reassessment is required after completion of blocked runtime work, receipt of vendor assurance, package-specific SBOM or licence clarification, and before any approval change. It is also required for an extension update, new target platform, material model or provider change, MCP or plugin expansion, permission-mode change, telemetry or privacy-policy change, security advisory, confirmed incident, material dependency change, VS Code security-boundary change or enterprise use-case expansion.</w:t>
      </w:r>
    </w:p>
    <w:p>
      <w:r>
        <w:t>Each run must preserve a new immutable package and source snapshot, update digests, repeat static and vulnerability scans, compare manifests and bundled files, revisit data flows and contracts, rerun affected runtime scenarios and issue a versioned decision. Approval should expire or fail closed when the deployed version no longer matches assessed evidence. Historical evidence remains useful for change analysis but does not grandfather a newer mutable extension or service.</w:t>
      </w:r>
    </w:p>
    <w:p>
      <w:pPr>
        <w:pStyle w:val="Heading1"/>
      </w:pPr>
      <w:r>
        <w:t>Evidence limitations</w:t>
      </w:r>
    </w:p>
    <w:p>
      <w:r>
        <w:t>No representative runtime execution, network capture, authentication session, MCP server, plugin, skill, update or uninstall was observed. Only the macOS ARM64 package was acquired. Source-to-package reproducibility and Marketplace signature-chain capture were not completed. Minified bundles limited review. Package component discovery returned zero components. Source-wide dependency matches may include non-shipped tooling. Semgrep retained limited partial-parsing warnings after excluding three internally failing rules. ClamAV signatures were stale.</w:t>
      </w:r>
    </w:p>
    <w:p>
      <w:r>
        <w:t>No enterprise contract, DPA, subprocessor list, service-side data-flow map, training commitment, UK transfer mechanism, retention/deletion evidence, audit report, penetration test or business-continuity evidence was supplied. Public statements may change and may not govern the procured tier. The assessment does not certify compliance, establish legal applicability, prove absence of malware, or confirm an exploitable vulnerability. Conclusions are bounded to the exact evidence, date, identity, version and platform stated.</w:t>
      </w:r>
    </w:p>
    <w:p>
      <w:pPr>
        <w:pStyle w:val="Heading1"/>
      </w:pPr>
      <w:r>
        <w:t>Conclusion</w:t>
      </w:r>
    </w:p>
    <w:p>
      <w:r>
        <w:t>Kimi Code 0.6.7 presents a credible, publicly sourced coding-agent implementation with meaningful secure defaults: it opts out of untrusted workspaces, keeps global auto-approval off, defaults editor-context sharing to never, documents MCP risks and has recorded SSRF hardening. The acquired package had a bounded archive shape, no unexpected native executable, no secret-scan finding and no validated static malware finding. These positives support continued due diligence rather than immediate rejection.</w:t>
      </w:r>
    </w:p>
    <w:p>
      <w:r>
        <w:t>They are not enough for production or regulated-data approval. The unobserved high-agency runtime, shared credentials and sessions, MCP and Bash authority, opaque package dependency graph, source-wide Critical and High signals, unresolved enterprise privacy terms, licence discrepancy and one-platform coverage leave High residual risk. The proportionate decision is Defer pending evidence. A tightly controlled synthetic pilot can be reconsidered only after the documented gates are met and must remain reversible, monitored and subject to human change control.</w:t>
      </w:r>
    </w:p>
    <w:p>
      <w:pPr>
        <w:pStyle w:val="Heading1"/>
      </w:pPr>
      <w:r>
        <w:t>Individual Finding Records</w:t>
      </w:r>
    </w:p>
    <w:p>
      <w:pPr>
        <w:pStyle w:val="Heading2"/>
      </w:pPr>
      <w:r>
        <w:t>RISK-001 — Representative runtime controls and actual data flows are unverified</w:t>
      </w:r>
    </w:p>
    <w:p>
      <w:pPr>
        <w:pStyle w:val="Caption"/>
      </w:pPr>
      <w:r>
        <w:rPr>
          <w:b/>
        </w:rPr>
        <w:t>Finding record — RISK-001</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Visual Studio Code darwin-arm64 version 0.6.7</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 trusted workspace or model output causes file, shell, network, telemetry or tool behaviour whose effective approvals and boundaries have not been observed.</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EVD-RUNTIME-BLOCKED; EVD-DOCS; EVD-SOURCE</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Possible in an enterprise deployment because the capabilities are intentional and configuration dependent.</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Major confidentiality, integrity, availability and compliance impact if unbounded operations reach sensitive assets.</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Workspace Trust unsupported mode; yoloMode false; documented permission engine; dedicated file-tool secret guards.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Moderate design evidence, Low effectiveness evidence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Complete the disposable-host runtime plan and close every material observation before production approval.</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Endpoint Security and AI Product Owner</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 before approval</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enterprise pilot decision</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Redacted process, filesystem, network, approval, update and uninstall evidence from the exact package and host.</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Agentic ASI01, ASI02, ASI05; NIST AI RMF Measure and Manage</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that evidence is missing; Low about actual runtime behaviour</w:t>
            </w:r>
          </w:p>
        </w:tc>
      </w:tr>
    </w:tbl>
    <w:p/>
    <w:p>
      <w:pPr>
        <w:pStyle w:val="Heading2"/>
      </w:pPr>
      <w:r>
        <w:t>RISK-002 — Shared Kimi home expands credential and session boundary</w:t>
      </w:r>
    </w:p>
    <w:p>
      <w:pPr>
        <w:pStyle w:val="Caption"/>
      </w:pPr>
      <w:r>
        <w:rPr>
          <w:b/>
        </w:rPr>
        <w:t>Finding record — RISK-002</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Extension and CLI sharing KIMI_CODE_HOME</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Two clients share configuration, MCP declarations, login state or a session without cross-process locking, causing exposure, configuration confusion or corruption.</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EVD-DOCS; EVD-SOURCE</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Possible where CLI and extension are used by the same developer.</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Major if credentials, session content or tool authority are disclosed or corrupted.</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Documented warning; credentials are not copied during legacy migration; local permission mechanisms in source.</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Use a dedicated protected home and identity, prohibit concurrent session use, isolate credentials, test residue and obtain vendor storage/locking assurance.</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Endpoint Engineering and Identity Security</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 before pilot</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runtime testing</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Permission inventory, concurrency test with synthetic markers, logout/revocation and uninstall residue evidence.</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Agentic identity and memory risks; UK GDPR security and minimisation</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design fact; Medium risk extrapolation</w:t>
            </w:r>
          </w:p>
        </w:tc>
      </w:tr>
    </w:tbl>
    <w:p/>
    <w:p>
      <w:pPr>
        <w:pStyle w:val="Heading2"/>
      </w:pPr>
      <w:r>
        <w:t>RISK-003 — MCP, shell and autonomous tool misuse can exceed intended authority</w:t>
      </w:r>
    </w:p>
    <w:p>
      <w:pPr>
        <w:pStyle w:val="Caption"/>
      </w:pPr>
      <w:r>
        <w:rPr>
          <w:b/>
        </w:rPr>
        <w:t>Finding record — RISK-003</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Built-in tools, Bash, MCP servers, plugins and permission rules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 malicious instruction or overbroad rule invokes shell or MCP tools with parameters that access or transmit protected resources.</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EVD-DOCS; EVD-SOURCE; EVD-VSCODE-TRUST</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Possible, especially with wildcard rules, project MCP, plugins or YOLO mode.</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Major to severe, depending on endpoint credentials and downstream tool scope.</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YOLO disabled by default; approval prompts; Workspace Trust; documented security warnings.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Lock YOLO off, prohibit wildcards, deny project MCP auto-start, allowlist servers/tools, display parameters and enforce roots/egress outside the model.</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AI Security and Developer Platform</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 before pilot</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MCP enablement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Prompt injection, tool poisoning, denial-bypass, parameter-substitution, OAuth and cross-server leakage tests.</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MCP Top 10; OWASP Agentic goal hijack, tool misuse and identity abuse</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documented authority; Low observed exploitability</w:t>
            </w:r>
          </w:p>
        </w:tc>
      </w:tr>
    </w:tbl>
    <w:p/>
    <w:p>
      <w:pPr>
        <w:pStyle w:val="Heading2"/>
      </w:pPr>
      <w:r>
        <w:t>RISK-004 — Package dependency vulnerability visibility is incomplete</w:t>
      </w:r>
    </w:p>
    <w:p>
      <w:pPr>
        <w:pStyle w:val="Caption"/>
      </w:pPr>
      <w:r>
        <w:rPr>
          <w:b/>
        </w:rPr>
        <w:t>Finding record — RISK-004</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Bundled VSIX and release-source dependency graph</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 vulnerable shipped component is hidden in a bundle and remains untriaged because package scanning recovered no identifiers.</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EVD-SBOM; EVD-SOURCE-SBOM; EVD-GRYPE-SOURCE; EVD-TRIVY-SOURCE</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Possible; source scanners produced multiple Critical and High signals, but package inclusion is unresolved.</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Major if a reachable Critical or High component processes attacker-controlled workspace, network or tool input.</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Public source, lockfile, source SBOM and multiple advisory scanners.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Weak for shipped-component mapping</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Obtain a package-specific SBOM and reproducible build; map and disposition every Critical and High result for inclusion and reachability.</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Software Supply Chain Security</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 before pilot</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package admission</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Component-to-bundle hashes, affected-code review, reachability evidence, fix versions and repeat scan.</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Agentic supply chain; NIST AI RMF Map and Measure</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visibility gap; Medium advisory counts; Low package reachability</w:t>
            </w:r>
          </w:p>
        </w:tc>
      </w:tr>
    </w:tbl>
    <w:p/>
    <w:p>
      <w:pPr>
        <w:pStyle w:val="Heading2"/>
      </w:pPr>
      <w:r>
        <w:t>RISK-005 — Enterprise privacy, transfer and service terms are unresolved</w:t>
      </w:r>
    </w:p>
    <w:p>
      <w:pPr>
        <w:pStyle w:val="Caption"/>
      </w:pPr>
      <w:r>
        <w:rPr>
          <w:b/>
        </w:rPr>
        <w:t>Finding record — RISK-005</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Kimi service, telemetry, model providers and configured downstream services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Source, prompts, telemetry or account data are processed under terms, locations or retention that do not meet enterprise obligations.</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EVD-PRIVACY; EVD-ICO; EVD-FCA</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Possible until the procured service tier and data flows are contractually established.</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Major regulatory, confidentiality, customer and supplier risk.</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Public privacy statements; training opt-out information; Kimi Business data-use statement; telemetry disable variable.</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Weak without binding enterprise evidence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Major</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Complete DPA, transfer assessment, DPIA, subprocessor, training, retention, deletion, audit, incident and exit review before sensitive use.</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Privacy, Procurement and Legal</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P0 before pilot approval</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account provisioning</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Executed terms and tested synthetic-data deletion and telemetry behaviour.</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UK GDPR; ICO AI guidance; FCA third-party and operational resilience expectations</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that enterprise evidence is absent</w:t>
            </w:r>
          </w:p>
        </w:tc>
      </w:tr>
    </w:tbl>
    <w:p/>
    <w:p>
      <w:pPr>
        <w:pStyle w:val="Heading2"/>
      </w:pPr>
      <w:r>
        <w:t>RISK-006 — Platform and update coverage is incomplete</w:t>
      </w:r>
    </w:p>
    <w:p>
      <w:pPr>
        <w:pStyle w:val="Caption"/>
      </w:pPr>
      <w:r>
        <w:rPr>
          <w:b/>
        </w:rPr>
        <w:t>Finding record — RISK-006</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All packages and versions other than 0.6.7 darwin-arm64</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An unassessed platform-specific package or update introduces different dependencies, permissions or behaviour.</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EVD-MARKETPLACE; EVD-INVENTORY; EVD-SOURCE</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Likely that package contents change across platform or version; security significance is unknown.</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Moderate to Major depending on change.</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Target-specific packaging and public changelog.</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Pin the tested variant, stage updates, diff manifests and bundles, and repeat package and runtime gates for every platform/version.</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Endpoint Engineering</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 before rollout expansion</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update or new platform deployment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New immutable run with package digest, inventory, scans, source mapping and affected runtime tests.</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NIST AI RMF Manage; software supply-chain change control</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coverage fact</w:t>
            </w:r>
          </w:p>
        </w:tc>
      </w:tr>
    </w:tbl>
    <w:p/>
    <w:p>
      <w:pPr>
        <w:pStyle w:val="Heading2"/>
      </w:pPr>
      <w:r>
        <w:t>RISK-007 — Package and source licence declarations differ</w:t>
      </w:r>
    </w:p>
    <w:p>
      <w:pPr>
        <w:pStyle w:val="Caption"/>
      </w:pPr>
      <w:r>
        <w:rPr>
          <w:b/>
        </w:rPr>
        <w:t>Finding record — RISK-007</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Marketplace VSIX manifest and exact release-source root licence</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The enterprise relies on an incorrect licence declaration or omits required notices because the governing licence is ambiguous.</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EVD-INVENTORY; EVD-SOURCE; EVD-LICENSE</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Possible until the publisher clarifies the relationship between Apache-2.0 and MIT declarations.</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Moderate legal, attribution and software-governance impact.</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Both declarations are public and retained; source and package identities are known.</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Weak until clarified</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Possible</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Moderate</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Obtain publisher clarification and authoritative package notices; record legal disposition before enterprise distribution.</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Open Source Programme Office and Legal</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 before distribution</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pilot package admission</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Written publisher statement or corrected package/source notices reviewed by legal counsel.</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Supply-chain provenance and licence governance</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discrepancy fact; no conclusion on governing licence</w:t>
            </w:r>
          </w:p>
        </w:tc>
      </w:tr>
    </w:tbl>
    <w:p/>
    <w:p>
      <w:pPr>
        <w:pStyle w:val="Heading1"/>
      </w:pPr>
      <w:r>
        <w:t>Consolidated Risk Register</w:t>
      </w:r>
    </w:p>
    <w:p>
      <w: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pPr>
        <w:pStyle w:val="Caption"/>
      </w:pPr>
      <w:r>
        <w:rPr>
          <w:b/>
        </w:rPr>
        <w:t>Consolidated risk register</w:t>
      </w:r>
    </w:p>
    <w:tbl>
      <w:tblPr>
        <w:tblStyle w:val="TableGrid"/>
        <w:tblW w:type="dxa" w:w="9360"/>
        <w:tblLayout w:type="fixed"/>
        <w:tblLook w:firstColumn="1" w:firstRow="1" w:lastColumn="0" w:lastRow="0" w:noHBand="0" w:noVBand="1" w:val="04A0"/>
        <w:tblInd w:w="120" w:type="dxa"/>
      </w:tblPr>
      <w:tblGrid>
        <w:gridCol w:w="599"/>
        <w:gridCol w:w="1372"/>
        <w:gridCol w:w="1514"/>
        <w:gridCol w:w="1615"/>
        <w:gridCol w:w="599"/>
        <w:gridCol w:w="599"/>
        <w:gridCol w:w="599"/>
        <w:gridCol w:w="1615"/>
        <w:gridCol w:w="848"/>
      </w:tblGrid>
      <w:tr>
        <w:trPr>
          <w:tblHeader w:val="true"/>
        </w:trPr>
        <w:tc>
          <w:tcPr>
            <w:tcW w:type="dxa" w:w="599"/>
            <w:shd w:fill="F2F4F7"/>
            <w:vAlign w:val="center"/>
            <w:tcMar>
              <w:top w:w="80" w:type="dxa"/>
              <w:start w:w="120" w:type="dxa"/>
              <w:bottom w:w="80" w:type="dxa"/>
              <w:end w:w="120" w:type="dxa"/>
            </w:tcMar>
          </w:tcPr>
          <w:p>
            <w:r>
              <w:rPr>
                <w:b/>
                <w:sz w:val="16"/>
              </w:rPr>
              <w:t>ID</w:t>
            </w:r>
          </w:p>
        </w:tc>
        <w:tc>
          <w:tcPr>
            <w:tcW w:type="dxa" w:w="1372"/>
            <w:shd w:fill="F2F4F7"/>
            <w:vAlign w:val="center"/>
            <w:tcMar>
              <w:top w:w="80" w:type="dxa"/>
              <w:start w:w="120" w:type="dxa"/>
              <w:bottom w:w="80" w:type="dxa"/>
              <w:end w:w="120" w:type="dxa"/>
            </w:tcMar>
          </w:tcPr>
          <w:p>
            <w:r>
              <w:rPr>
                <w:b/>
                <w:sz w:val="16"/>
              </w:rPr>
              <w:t>Risk</w:t>
            </w:r>
          </w:p>
        </w:tc>
        <w:tc>
          <w:tcPr>
            <w:tcW w:type="dxa" w:w="1514"/>
            <w:shd w:fill="F2F4F7"/>
            <w:vAlign w:val="center"/>
            <w:tcMar>
              <w:top w:w="80" w:type="dxa"/>
              <w:start w:w="120" w:type="dxa"/>
              <w:bottom w:w="80" w:type="dxa"/>
              <w:end w:w="120" w:type="dxa"/>
            </w:tcMar>
          </w:tcPr>
          <w:p>
            <w:r>
              <w:rPr>
                <w:b/>
                <w:sz w:val="16"/>
              </w:rPr>
              <w:t>Scope</w:t>
            </w:r>
          </w:p>
        </w:tc>
        <w:tc>
          <w:tcPr>
            <w:tcW w:type="dxa" w:w="1615"/>
            <w:shd w:fill="F2F4F7"/>
            <w:vAlign w:val="center"/>
            <w:tcMar>
              <w:top w:w="80" w:type="dxa"/>
              <w:start w:w="120" w:type="dxa"/>
              <w:bottom w:w="80" w:type="dxa"/>
              <w:end w:w="120" w:type="dxa"/>
            </w:tcMar>
          </w:tcPr>
          <w:p>
            <w:r>
              <w:rPr>
                <w:b/>
                <w:sz w:val="16"/>
              </w:rPr>
              <w:t>L/I</w:t>
            </w:r>
          </w:p>
        </w:tc>
        <w:tc>
          <w:tcPr>
            <w:tcW w:type="dxa" w:w="599"/>
            <w:shd w:fill="F2F4F7"/>
            <w:vAlign w:val="center"/>
            <w:tcMar>
              <w:top w:w="80" w:type="dxa"/>
              <w:start w:w="120" w:type="dxa"/>
              <w:bottom w:w="80" w:type="dxa"/>
              <w:end w:w="120" w:type="dxa"/>
            </w:tcMar>
          </w:tcPr>
          <w:p>
            <w:r>
              <w:rPr>
                <w:b/>
                <w:sz w:val="16"/>
              </w:rPr>
              <w:t>Inherent</w:t>
            </w:r>
          </w:p>
        </w:tc>
        <w:tc>
          <w:tcPr>
            <w:tcW w:type="dxa" w:w="599"/>
            <w:shd w:fill="F2F4F7"/>
            <w:vAlign w:val="center"/>
            <w:tcMar>
              <w:top w:w="80" w:type="dxa"/>
              <w:start w:w="120" w:type="dxa"/>
              <w:bottom w:w="80" w:type="dxa"/>
              <w:end w:w="120" w:type="dxa"/>
            </w:tcMar>
          </w:tcPr>
          <w:p>
            <w:r>
              <w:rPr>
                <w:b/>
                <w:sz w:val="16"/>
              </w:rPr>
              <w:t>rL/rI</w:t>
            </w:r>
          </w:p>
        </w:tc>
        <w:tc>
          <w:tcPr>
            <w:tcW w:type="dxa" w:w="599"/>
            <w:shd w:fill="F2F4F7"/>
            <w:vAlign w:val="center"/>
            <w:tcMar>
              <w:top w:w="80" w:type="dxa"/>
              <w:start w:w="120" w:type="dxa"/>
              <w:bottom w:w="80" w:type="dxa"/>
              <w:end w:w="120" w:type="dxa"/>
            </w:tcMar>
          </w:tcPr>
          <w:p>
            <w:r>
              <w:rPr>
                <w:b/>
                <w:sz w:val="16"/>
              </w:rPr>
              <w:t>Residual</w:t>
            </w:r>
          </w:p>
        </w:tc>
        <w:tc>
          <w:tcPr>
            <w:tcW w:type="dxa" w:w="1615"/>
            <w:shd w:fill="F2F4F7"/>
            <w:vAlign w:val="center"/>
            <w:tcMar>
              <w:top w:w="80" w:type="dxa"/>
              <w:start w:w="120" w:type="dxa"/>
              <w:bottom w:w="80" w:type="dxa"/>
              <w:end w:w="120" w:type="dxa"/>
            </w:tcMar>
          </w:tcPr>
          <w:p>
            <w:r>
              <w:rPr>
                <w:b/>
                <w:sz w:val="16"/>
              </w:rPr>
              <w:t>Treatment</w:t>
            </w:r>
          </w:p>
        </w:tc>
        <w:tc>
          <w:tcPr>
            <w:tcW w:type="dxa" w:w="848"/>
            <w:shd w:fill="F2F4F7"/>
            <w:vAlign w:val="center"/>
            <w:tcMar>
              <w:top w:w="80" w:type="dxa"/>
              <w:start w:w="120" w:type="dxa"/>
              <w:bottom w:w="80" w:type="dxa"/>
              <w:end w:w="120" w:type="dxa"/>
            </w:tcMar>
          </w:tcPr>
          <w:p>
            <w:r>
              <w:rPr>
                <w:b/>
                <w:sz w:val="16"/>
              </w:rPr>
              <w:t>Owner</w:t>
            </w:r>
          </w:p>
        </w:tc>
      </w:tr>
      <w:tr>
        <w:tc>
          <w:tcPr>
            <w:tcW w:type="dxa" w:w="599"/>
            <w:vAlign w:val="center"/>
            <w:tcMar>
              <w:top w:w="80" w:type="dxa"/>
              <w:start w:w="120" w:type="dxa"/>
              <w:bottom w:w="80" w:type="dxa"/>
              <w:end w:w="120" w:type="dxa"/>
            </w:tcMar>
          </w:tcPr>
          <w:p>
            <w:r>
              <w:rPr>
                <w:sz w:val="16"/>
              </w:rPr>
              <w:t>RISK-001</w:t>
            </w:r>
          </w:p>
        </w:tc>
        <w:tc>
          <w:tcPr>
            <w:tcW w:type="dxa" w:w="1372"/>
            <w:vAlign w:val="center"/>
            <w:tcMar>
              <w:top w:w="80" w:type="dxa"/>
              <w:start w:w="120" w:type="dxa"/>
              <w:bottom w:w="80" w:type="dxa"/>
              <w:end w:w="120" w:type="dxa"/>
            </w:tcMar>
          </w:tcPr>
          <w:p>
            <w:r>
              <w:rPr>
                <w:sz w:val="16"/>
              </w:rPr>
              <w:t>Representative runtime controls and actual data flows are unverified</w:t>
            </w:r>
          </w:p>
        </w:tc>
        <w:tc>
          <w:tcPr>
            <w:tcW w:type="dxa" w:w="1514"/>
            <w:vAlign w:val="center"/>
            <w:tcMar>
              <w:top w:w="80" w:type="dxa"/>
              <w:start w:w="120" w:type="dxa"/>
              <w:bottom w:w="80" w:type="dxa"/>
              <w:end w:w="120" w:type="dxa"/>
            </w:tcMar>
          </w:tcPr>
          <w:p>
            <w:r>
              <w:rPr>
                <w:sz w:val="16"/>
              </w:rPr>
              <w:t>Visual Studio Code darwin-arm64 version 0.6.7</w:t>
            </w:r>
          </w:p>
        </w:tc>
        <w:tc>
          <w:tcPr>
            <w:tcW w:type="dxa" w:w="1615"/>
            <w:vAlign w:val="center"/>
            <w:tcMar>
              <w:top w:w="80" w:type="dxa"/>
              <w:start w:w="120" w:type="dxa"/>
              <w:bottom w:w="80" w:type="dxa"/>
              <w:end w:w="120" w:type="dxa"/>
            </w:tcMar>
          </w:tcPr>
          <w:p>
            <w:r>
              <w:rPr>
                <w:sz w:val="16"/>
              </w:rPr>
              <w:t>Possible in an enterprise deployment because the capabilities are intentional and configuration dependent./Major confidentiality, integrity, availability and compliance impact if unbounded operations reach sensitive assets.</w:t>
            </w:r>
          </w:p>
        </w:tc>
        <w:tc>
          <w:tcPr>
            <w:tcW w:type="dxa" w:w="599"/>
            <w:vAlign w:val="center"/>
            <w:tcMar>
              <w:top w:w="80" w:type="dxa"/>
              <w:start w:w="120" w:type="dxa"/>
              <w:bottom w:w="80" w:type="dxa"/>
              <w:end w:w="120" w:type="dxa"/>
            </w:tcMar>
          </w:tcPr>
          <w:p>
            <w:r>
              <w:rPr>
                <w:sz w:val="16"/>
              </w:rPr>
              <w:t>High</w:t>
            </w:r>
          </w:p>
        </w:tc>
        <w:tc>
          <w:tcPr>
            <w:tcW w:type="dxa" w:w="599"/>
            <w:vAlign w:val="center"/>
            <w:tcMar>
              <w:top w:w="80" w:type="dxa"/>
              <w:start w:w="120" w:type="dxa"/>
              <w:bottom w:w="80" w:type="dxa"/>
              <w:end w:w="120" w:type="dxa"/>
            </w:tcMar>
          </w:tcPr>
          <w:p>
            <w:r>
              <w:rPr>
                <w:sz w:val="16"/>
              </w:rPr>
              <w:t>Possible/Major</w:t>
            </w:r>
          </w:p>
        </w:tc>
        <w:tc>
          <w:tcPr>
            <w:tcW w:type="dxa" w:w="599"/>
            <w:vAlign w:val="center"/>
            <w:tcMar>
              <w:top w:w="80" w:type="dxa"/>
              <w:start w:w="120" w:type="dxa"/>
              <w:bottom w:w="80" w:type="dxa"/>
              <w:end w:w="120" w:type="dxa"/>
            </w:tcMar>
          </w:tcPr>
          <w:p>
            <w:r>
              <w:rPr>
                <w:sz w:val="16"/>
              </w:rPr>
              <w:t>High</w:t>
            </w:r>
          </w:p>
        </w:tc>
        <w:tc>
          <w:tcPr>
            <w:tcW w:type="dxa" w:w="1615"/>
            <w:vAlign w:val="center"/>
            <w:tcMar>
              <w:top w:w="80" w:type="dxa"/>
              <w:start w:w="120" w:type="dxa"/>
              <w:bottom w:w="80" w:type="dxa"/>
              <w:end w:w="120" w:type="dxa"/>
            </w:tcMar>
          </w:tcPr>
          <w:p>
            <w:r>
              <w:rPr>
                <w:sz w:val="16"/>
              </w:rPr>
              <w:t>Complete the disposable-host runtime plan and close every material observation before production approval.</w:t>
            </w:r>
          </w:p>
        </w:tc>
        <w:tc>
          <w:tcPr>
            <w:tcW w:type="dxa" w:w="848"/>
            <w:vAlign w:val="center"/>
            <w:tcMar>
              <w:top w:w="80" w:type="dxa"/>
              <w:start w:w="120" w:type="dxa"/>
              <w:bottom w:w="80" w:type="dxa"/>
              <w:end w:w="120" w:type="dxa"/>
            </w:tcMar>
          </w:tcPr>
          <w:p>
            <w:r>
              <w:rPr>
                <w:sz w:val="16"/>
              </w:rPr>
              <w:t>Endpoint Security and AI Product Owner</w:t>
            </w:r>
          </w:p>
        </w:tc>
      </w:tr>
      <w:tr>
        <w:tc>
          <w:tcPr>
            <w:tcW w:type="dxa" w:w="599"/>
            <w:vAlign w:val="center"/>
            <w:tcMar>
              <w:top w:w="80" w:type="dxa"/>
              <w:start w:w="120" w:type="dxa"/>
              <w:bottom w:w="80" w:type="dxa"/>
              <w:end w:w="120" w:type="dxa"/>
            </w:tcMar>
          </w:tcPr>
          <w:p>
            <w:r>
              <w:rPr>
                <w:sz w:val="16"/>
              </w:rPr>
              <w:t>RISK-002</w:t>
            </w:r>
          </w:p>
        </w:tc>
        <w:tc>
          <w:tcPr>
            <w:tcW w:type="dxa" w:w="1372"/>
            <w:vAlign w:val="center"/>
            <w:tcMar>
              <w:top w:w="80" w:type="dxa"/>
              <w:start w:w="120" w:type="dxa"/>
              <w:bottom w:w="80" w:type="dxa"/>
              <w:end w:w="120" w:type="dxa"/>
            </w:tcMar>
          </w:tcPr>
          <w:p>
            <w:r>
              <w:rPr>
                <w:sz w:val="16"/>
              </w:rPr>
              <w:t>Shared Kimi home expands credential and session boundary</w:t>
            </w:r>
          </w:p>
        </w:tc>
        <w:tc>
          <w:tcPr>
            <w:tcW w:type="dxa" w:w="1514"/>
            <w:vAlign w:val="center"/>
            <w:tcMar>
              <w:top w:w="80" w:type="dxa"/>
              <w:start w:w="120" w:type="dxa"/>
              <w:bottom w:w="80" w:type="dxa"/>
              <w:end w:w="120" w:type="dxa"/>
            </w:tcMar>
          </w:tcPr>
          <w:p>
            <w:r>
              <w:rPr>
                <w:sz w:val="16"/>
              </w:rPr>
              <w:t>Extension and CLI sharing KIMI_CODE_HOME</w:t>
            </w:r>
          </w:p>
        </w:tc>
        <w:tc>
          <w:tcPr>
            <w:tcW w:type="dxa" w:w="1615"/>
            <w:vAlign w:val="center"/>
            <w:tcMar>
              <w:top w:w="80" w:type="dxa"/>
              <w:start w:w="120" w:type="dxa"/>
              <w:bottom w:w="80" w:type="dxa"/>
              <w:end w:w="120" w:type="dxa"/>
            </w:tcMar>
          </w:tcPr>
          <w:p>
            <w:r>
              <w:rPr>
                <w:sz w:val="16"/>
              </w:rPr>
              <w:t>Possible where CLI and extension are used by the same developer./Major if credentials, session content or tool authority are disclosed or corrupted.</w:t>
            </w:r>
          </w:p>
        </w:tc>
        <w:tc>
          <w:tcPr>
            <w:tcW w:type="dxa" w:w="599"/>
            <w:vAlign w:val="center"/>
            <w:tcMar>
              <w:top w:w="80" w:type="dxa"/>
              <w:start w:w="120" w:type="dxa"/>
              <w:bottom w:w="80" w:type="dxa"/>
              <w:end w:w="120" w:type="dxa"/>
            </w:tcMar>
          </w:tcPr>
          <w:p>
            <w:r>
              <w:rPr>
                <w:sz w:val="16"/>
              </w:rPr>
              <w:t>High</w:t>
            </w:r>
          </w:p>
        </w:tc>
        <w:tc>
          <w:tcPr>
            <w:tcW w:type="dxa" w:w="599"/>
            <w:vAlign w:val="center"/>
            <w:tcMar>
              <w:top w:w="80" w:type="dxa"/>
              <w:start w:w="120" w:type="dxa"/>
              <w:bottom w:w="80" w:type="dxa"/>
              <w:end w:w="120" w:type="dxa"/>
            </w:tcMar>
          </w:tcPr>
          <w:p>
            <w:r>
              <w:rPr>
                <w:sz w:val="16"/>
              </w:rPr>
              <w:t>Possible/Major</w:t>
            </w:r>
          </w:p>
        </w:tc>
        <w:tc>
          <w:tcPr>
            <w:tcW w:type="dxa" w:w="599"/>
            <w:vAlign w:val="center"/>
            <w:tcMar>
              <w:top w:w="80" w:type="dxa"/>
              <w:start w:w="120" w:type="dxa"/>
              <w:bottom w:w="80" w:type="dxa"/>
              <w:end w:w="120" w:type="dxa"/>
            </w:tcMar>
          </w:tcPr>
          <w:p>
            <w:r>
              <w:rPr>
                <w:sz w:val="16"/>
              </w:rPr>
              <w:t>High</w:t>
            </w:r>
          </w:p>
        </w:tc>
        <w:tc>
          <w:tcPr>
            <w:tcW w:type="dxa" w:w="1615"/>
            <w:vAlign w:val="center"/>
            <w:tcMar>
              <w:top w:w="80" w:type="dxa"/>
              <w:start w:w="120" w:type="dxa"/>
              <w:bottom w:w="80" w:type="dxa"/>
              <w:end w:w="120" w:type="dxa"/>
            </w:tcMar>
          </w:tcPr>
          <w:p>
            <w:r>
              <w:rPr>
                <w:sz w:val="16"/>
              </w:rPr>
              <w:t>Use a dedicated protected home and identity, prohibit concurrent session use, isolate credentials, test residue and obtain vendor storage/locking assurance.</w:t>
            </w:r>
          </w:p>
        </w:tc>
        <w:tc>
          <w:tcPr>
            <w:tcW w:type="dxa" w:w="848"/>
            <w:vAlign w:val="center"/>
            <w:tcMar>
              <w:top w:w="80" w:type="dxa"/>
              <w:start w:w="120" w:type="dxa"/>
              <w:bottom w:w="80" w:type="dxa"/>
              <w:end w:w="120" w:type="dxa"/>
            </w:tcMar>
          </w:tcPr>
          <w:p>
            <w:r>
              <w:rPr>
                <w:sz w:val="16"/>
              </w:rPr>
              <w:t>Endpoint Engineering and Identity Security</w:t>
            </w:r>
          </w:p>
        </w:tc>
      </w:tr>
      <w:tr>
        <w:tc>
          <w:tcPr>
            <w:tcW w:type="dxa" w:w="599"/>
            <w:vAlign w:val="center"/>
            <w:tcMar>
              <w:top w:w="80" w:type="dxa"/>
              <w:start w:w="120" w:type="dxa"/>
              <w:bottom w:w="80" w:type="dxa"/>
              <w:end w:w="120" w:type="dxa"/>
            </w:tcMar>
          </w:tcPr>
          <w:p>
            <w:r>
              <w:rPr>
                <w:sz w:val="16"/>
              </w:rPr>
              <w:t>RISK-003</w:t>
            </w:r>
          </w:p>
        </w:tc>
        <w:tc>
          <w:tcPr>
            <w:tcW w:type="dxa" w:w="1372"/>
            <w:vAlign w:val="center"/>
            <w:tcMar>
              <w:top w:w="80" w:type="dxa"/>
              <w:start w:w="120" w:type="dxa"/>
              <w:bottom w:w="80" w:type="dxa"/>
              <w:end w:w="120" w:type="dxa"/>
            </w:tcMar>
          </w:tcPr>
          <w:p>
            <w:r>
              <w:rPr>
                <w:sz w:val="16"/>
              </w:rPr>
              <w:t>MCP, shell and autonomous tool misuse can exceed intended authority</w:t>
            </w:r>
          </w:p>
        </w:tc>
        <w:tc>
          <w:tcPr>
            <w:tcW w:type="dxa" w:w="1514"/>
            <w:vAlign w:val="center"/>
            <w:tcMar>
              <w:top w:w="80" w:type="dxa"/>
              <w:start w:w="120" w:type="dxa"/>
              <w:bottom w:w="80" w:type="dxa"/>
              <w:end w:w="120" w:type="dxa"/>
            </w:tcMar>
          </w:tcPr>
          <w:p>
            <w:r>
              <w:rPr>
                <w:sz w:val="16"/>
              </w:rPr>
              <w:t>Built-in tools, Bash, MCP servers, plugins and permission rules</w:t>
            </w:r>
          </w:p>
        </w:tc>
        <w:tc>
          <w:tcPr>
            <w:tcW w:type="dxa" w:w="1615"/>
            <w:vAlign w:val="center"/>
            <w:tcMar>
              <w:top w:w="80" w:type="dxa"/>
              <w:start w:w="120" w:type="dxa"/>
              <w:bottom w:w="80" w:type="dxa"/>
              <w:end w:w="120" w:type="dxa"/>
            </w:tcMar>
          </w:tcPr>
          <w:p>
            <w:r>
              <w:rPr>
                <w:sz w:val="16"/>
              </w:rPr>
              <w:t>Possible, especially with wildcard rules, project MCP, plugins or YOLO mode./Major to severe, depending on endpoint credentials and downstream tool scope.</w:t>
            </w:r>
          </w:p>
        </w:tc>
        <w:tc>
          <w:tcPr>
            <w:tcW w:type="dxa" w:w="599"/>
            <w:vAlign w:val="center"/>
            <w:tcMar>
              <w:top w:w="80" w:type="dxa"/>
              <w:start w:w="120" w:type="dxa"/>
              <w:bottom w:w="80" w:type="dxa"/>
              <w:end w:w="120" w:type="dxa"/>
            </w:tcMar>
          </w:tcPr>
          <w:p>
            <w:r>
              <w:rPr>
                <w:sz w:val="16"/>
              </w:rPr>
              <w:t>High</w:t>
            </w:r>
          </w:p>
        </w:tc>
        <w:tc>
          <w:tcPr>
            <w:tcW w:type="dxa" w:w="599"/>
            <w:vAlign w:val="center"/>
            <w:tcMar>
              <w:top w:w="80" w:type="dxa"/>
              <w:start w:w="120" w:type="dxa"/>
              <w:bottom w:w="80" w:type="dxa"/>
              <w:end w:w="120" w:type="dxa"/>
            </w:tcMar>
          </w:tcPr>
          <w:p>
            <w:r>
              <w:rPr>
                <w:sz w:val="16"/>
              </w:rPr>
              <w:t>Possible/Major</w:t>
            </w:r>
          </w:p>
        </w:tc>
        <w:tc>
          <w:tcPr>
            <w:tcW w:type="dxa" w:w="599"/>
            <w:vAlign w:val="center"/>
            <w:tcMar>
              <w:top w:w="80" w:type="dxa"/>
              <w:start w:w="120" w:type="dxa"/>
              <w:bottom w:w="80" w:type="dxa"/>
              <w:end w:w="120" w:type="dxa"/>
            </w:tcMar>
          </w:tcPr>
          <w:p>
            <w:r>
              <w:rPr>
                <w:sz w:val="16"/>
              </w:rPr>
              <w:t>High</w:t>
            </w:r>
          </w:p>
        </w:tc>
        <w:tc>
          <w:tcPr>
            <w:tcW w:type="dxa" w:w="1615"/>
            <w:vAlign w:val="center"/>
            <w:tcMar>
              <w:top w:w="80" w:type="dxa"/>
              <w:start w:w="120" w:type="dxa"/>
              <w:bottom w:w="80" w:type="dxa"/>
              <w:end w:w="120" w:type="dxa"/>
            </w:tcMar>
          </w:tcPr>
          <w:p>
            <w:r>
              <w:rPr>
                <w:sz w:val="16"/>
              </w:rPr>
              <w:t>Lock YOLO off, prohibit wildcards, deny project MCP auto-start, allowlist servers/tools, display parameters and enforce roots/egress outside the model.</w:t>
            </w:r>
          </w:p>
        </w:tc>
        <w:tc>
          <w:tcPr>
            <w:tcW w:type="dxa" w:w="848"/>
            <w:vAlign w:val="center"/>
            <w:tcMar>
              <w:top w:w="80" w:type="dxa"/>
              <w:start w:w="120" w:type="dxa"/>
              <w:bottom w:w="80" w:type="dxa"/>
              <w:end w:w="120" w:type="dxa"/>
            </w:tcMar>
          </w:tcPr>
          <w:p>
            <w:r>
              <w:rPr>
                <w:sz w:val="16"/>
              </w:rPr>
              <w:t>AI Security and Developer Platform</w:t>
            </w:r>
          </w:p>
        </w:tc>
      </w:tr>
      <w:tr>
        <w:tc>
          <w:tcPr>
            <w:tcW w:type="dxa" w:w="599"/>
            <w:vAlign w:val="center"/>
            <w:tcMar>
              <w:top w:w="80" w:type="dxa"/>
              <w:start w:w="120" w:type="dxa"/>
              <w:bottom w:w="80" w:type="dxa"/>
              <w:end w:w="120" w:type="dxa"/>
            </w:tcMar>
          </w:tcPr>
          <w:p>
            <w:r>
              <w:rPr>
                <w:sz w:val="16"/>
              </w:rPr>
              <w:t>RISK-004</w:t>
            </w:r>
          </w:p>
        </w:tc>
        <w:tc>
          <w:tcPr>
            <w:tcW w:type="dxa" w:w="1372"/>
            <w:vAlign w:val="center"/>
            <w:tcMar>
              <w:top w:w="80" w:type="dxa"/>
              <w:start w:w="120" w:type="dxa"/>
              <w:bottom w:w="80" w:type="dxa"/>
              <w:end w:w="120" w:type="dxa"/>
            </w:tcMar>
          </w:tcPr>
          <w:p>
            <w:r>
              <w:rPr>
                <w:sz w:val="16"/>
              </w:rPr>
              <w:t>Package dependency vulnerability visibility is incomplete</w:t>
            </w:r>
          </w:p>
        </w:tc>
        <w:tc>
          <w:tcPr>
            <w:tcW w:type="dxa" w:w="1514"/>
            <w:vAlign w:val="center"/>
            <w:tcMar>
              <w:top w:w="80" w:type="dxa"/>
              <w:start w:w="120" w:type="dxa"/>
              <w:bottom w:w="80" w:type="dxa"/>
              <w:end w:w="120" w:type="dxa"/>
            </w:tcMar>
          </w:tcPr>
          <w:p>
            <w:r>
              <w:rPr>
                <w:sz w:val="16"/>
              </w:rPr>
              <w:t>Bundled VSIX and release-source dependency graph</w:t>
            </w:r>
          </w:p>
        </w:tc>
        <w:tc>
          <w:tcPr>
            <w:tcW w:type="dxa" w:w="1615"/>
            <w:vAlign w:val="center"/>
            <w:tcMar>
              <w:top w:w="80" w:type="dxa"/>
              <w:start w:w="120" w:type="dxa"/>
              <w:bottom w:w="80" w:type="dxa"/>
              <w:end w:w="120" w:type="dxa"/>
            </w:tcMar>
          </w:tcPr>
          <w:p>
            <w:r>
              <w:rPr>
                <w:sz w:val="16"/>
              </w:rPr>
              <w:t>Possible; source scanners produced multiple Critical and High signals, but package inclusion is unresolved./Major if a reachable Critical or High component processes attacker-controlled workspace, network or tool input.</w:t>
            </w:r>
          </w:p>
        </w:tc>
        <w:tc>
          <w:tcPr>
            <w:tcW w:type="dxa" w:w="599"/>
            <w:vAlign w:val="center"/>
            <w:tcMar>
              <w:top w:w="80" w:type="dxa"/>
              <w:start w:w="120" w:type="dxa"/>
              <w:bottom w:w="80" w:type="dxa"/>
              <w:end w:w="120" w:type="dxa"/>
            </w:tcMar>
          </w:tcPr>
          <w:p>
            <w:r>
              <w:rPr>
                <w:sz w:val="16"/>
              </w:rPr>
              <w:t>High</w:t>
            </w:r>
          </w:p>
        </w:tc>
        <w:tc>
          <w:tcPr>
            <w:tcW w:type="dxa" w:w="599"/>
            <w:vAlign w:val="center"/>
            <w:tcMar>
              <w:top w:w="80" w:type="dxa"/>
              <w:start w:w="120" w:type="dxa"/>
              <w:bottom w:w="80" w:type="dxa"/>
              <w:end w:w="120" w:type="dxa"/>
            </w:tcMar>
          </w:tcPr>
          <w:p>
            <w:r>
              <w:rPr>
                <w:sz w:val="16"/>
              </w:rPr>
              <w:t>Possible/Major</w:t>
            </w:r>
          </w:p>
        </w:tc>
        <w:tc>
          <w:tcPr>
            <w:tcW w:type="dxa" w:w="599"/>
            <w:vAlign w:val="center"/>
            <w:tcMar>
              <w:top w:w="80" w:type="dxa"/>
              <w:start w:w="120" w:type="dxa"/>
              <w:bottom w:w="80" w:type="dxa"/>
              <w:end w:w="120" w:type="dxa"/>
            </w:tcMar>
          </w:tcPr>
          <w:p>
            <w:r>
              <w:rPr>
                <w:sz w:val="16"/>
              </w:rPr>
              <w:t>High</w:t>
            </w:r>
          </w:p>
        </w:tc>
        <w:tc>
          <w:tcPr>
            <w:tcW w:type="dxa" w:w="1615"/>
            <w:vAlign w:val="center"/>
            <w:tcMar>
              <w:top w:w="80" w:type="dxa"/>
              <w:start w:w="120" w:type="dxa"/>
              <w:bottom w:w="80" w:type="dxa"/>
              <w:end w:w="120" w:type="dxa"/>
            </w:tcMar>
          </w:tcPr>
          <w:p>
            <w:r>
              <w:rPr>
                <w:sz w:val="16"/>
              </w:rPr>
              <w:t>Obtain a package-specific SBOM and reproducible build; map and disposition every Critical and High result for inclusion and reachability.</w:t>
            </w:r>
          </w:p>
        </w:tc>
        <w:tc>
          <w:tcPr>
            <w:tcW w:type="dxa" w:w="848"/>
            <w:vAlign w:val="center"/>
            <w:tcMar>
              <w:top w:w="80" w:type="dxa"/>
              <w:start w:w="120" w:type="dxa"/>
              <w:bottom w:w="80" w:type="dxa"/>
              <w:end w:w="120" w:type="dxa"/>
            </w:tcMar>
          </w:tcPr>
          <w:p>
            <w:r>
              <w:rPr>
                <w:sz w:val="16"/>
              </w:rPr>
              <w:t>Software Supply Chain Security</w:t>
            </w:r>
          </w:p>
        </w:tc>
      </w:tr>
      <w:tr>
        <w:tc>
          <w:tcPr>
            <w:tcW w:type="dxa" w:w="599"/>
            <w:vAlign w:val="center"/>
            <w:tcMar>
              <w:top w:w="80" w:type="dxa"/>
              <w:start w:w="120" w:type="dxa"/>
              <w:bottom w:w="80" w:type="dxa"/>
              <w:end w:w="120" w:type="dxa"/>
            </w:tcMar>
          </w:tcPr>
          <w:p>
            <w:r>
              <w:rPr>
                <w:sz w:val="16"/>
              </w:rPr>
              <w:t>RISK-005</w:t>
            </w:r>
          </w:p>
        </w:tc>
        <w:tc>
          <w:tcPr>
            <w:tcW w:type="dxa" w:w="1372"/>
            <w:vAlign w:val="center"/>
            <w:tcMar>
              <w:top w:w="80" w:type="dxa"/>
              <w:start w:w="120" w:type="dxa"/>
              <w:bottom w:w="80" w:type="dxa"/>
              <w:end w:w="120" w:type="dxa"/>
            </w:tcMar>
          </w:tcPr>
          <w:p>
            <w:r>
              <w:rPr>
                <w:sz w:val="16"/>
              </w:rPr>
              <w:t>Enterprise privacy, transfer and service terms are unresolved</w:t>
            </w:r>
          </w:p>
        </w:tc>
        <w:tc>
          <w:tcPr>
            <w:tcW w:type="dxa" w:w="1514"/>
            <w:vAlign w:val="center"/>
            <w:tcMar>
              <w:top w:w="80" w:type="dxa"/>
              <w:start w:w="120" w:type="dxa"/>
              <w:bottom w:w="80" w:type="dxa"/>
              <w:end w:w="120" w:type="dxa"/>
            </w:tcMar>
          </w:tcPr>
          <w:p>
            <w:r>
              <w:rPr>
                <w:sz w:val="16"/>
              </w:rPr>
              <w:t>Kimi service, telemetry, model providers and configured downstream services</w:t>
            </w:r>
          </w:p>
        </w:tc>
        <w:tc>
          <w:tcPr>
            <w:tcW w:type="dxa" w:w="1615"/>
            <w:vAlign w:val="center"/>
            <w:tcMar>
              <w:top w:w="80" w:type="dxa"/>
              <w:start w:w="120" w:type="dxa"/>
              <w:bottom w:w="80" w:type="dxa"/>
              <w:end w:w="120" w:type="dxa"/>
            </w:tcMar>
          </w:tcPr>
          <w:p>
            <w:r>
              <w:rPr>
                <w:sz w:val="16"/>
              </w:rPr>
              <w:t>Possible until the procured service tier and data flows are contractually established./Major regulatory, confidentiality, customer and supplier risk.</w:t>
            </w:r>
          </w:p>
        </w:tc>
        <w:tc>
          <w:tcPr>
            <w:tcW w:type="dxa" w:w="599"/>
            <w:vAlign w:val="center"/>
            <w:tcMar>
              <w:top w:w="80" w:type="dxa"/>
              <w:start w:w="120" w:type="dxa"/>
              <w:bottom w:w="80" w:type="dxa"/>
              <w:end w:w="120" w:type="dxa"/>
            </w:tcMar>
          </w:tcPr>
          <w:p>
            <w:r>
              <w:rPr>
                <w:sz w:val="16"/>
              </w:rPr>
              <w:t>High</w:t>
            </w:r>
          </w:p>
        </w:tc>
        <w:tc>
          <w:tcPr>
            <w:tcW w:type="dxa" w:w="599"/>
            <w:vAlign w:val="center"/>
            <w:tcMar>
              <w:top w:w="80" w:type="dxa"/>
              <w:start w:w="120" w:type="dxa"/>
              <w:bottom w:w="80" w:type="dxa"/>
              <w:end w:w="120" w:type="dxa"/>
            </w:tcMar>
          </w:tcPr>
          <w:p>
            <w:r>
              <w:rPr>
                <w:sz w:val="16"/>
              </w:rPr>
              <w:t>Possible/Major</w:t>
            </w:r>
          </w:p>
        </w:tc>
        <w:tc>
          <w:tcPr>
            <w:tcW w:type="dxa" w:w="599"/>
            <w:vAlign w:val="center"/>
            <w:tcMar>
              <w:top w:w="80" w:type="dxa"/>
              <w:start w:w="120" w:type="dxa"/>
              <w:bottom w:w="80" w:type="dxa"/>
              <w:end w:w="120" w:type="dxa"/>
            </w:tcMar>
          </w:tcPr>
          <w:p>
            <w:r>
              <w:rPr>
                <w:sz w:val="16"/>
              </w:rPr>
              <w:t>High</w:t>
            </w:r>
          </w:p>
        </w:tc>
        <w:tc>
          <w:tcPr>
            <w:tcW w:type="dxa" w:w="1615"/>
            <w:vAlign w:val="center"/>
            <w:tcMar>
              <w:top w:w="80" w:type="dxa"/>
              <w:start w:w="120" w:type="dxa"/>
              <w:bottom w:w="80" w:type="dxa"/>
              <w:end w:w="120" w:type="dxa"/>
            </w:tcMar>
          </w:tcPr>
          <w:p>
            <w:r>
              <w:rPr>
                <w:sz w:val="16"/>
              </w:rPr>
              <w:t>Complete DPA, transfer assessment, DPIA, subprocessor, training, retention, deletion, audit, incident and exit review before sensitive use.</w:t>
            </w:r>
          </w:p>
        </w:tc>
        <w:tc>
          <w:tcPr>
            <w:tcW w:type="dxa" w:w="848"/>
            <w:vAlign w:val="center"/>
            <w:tcMar>
              <w:top w:w="80" w:type="dxa"/>
              <w:start w:w="120" w:type="dxa"/>
              <w:bottom w:w="80" w:type="dxa"/>
              <w:end w:w="120" w:type="dxa"/>
            </w:tcMar>
          </w:tcPr>
          <w:p>
            <w:r>
              <w:rPr>
                <w:sz w:val="16"/>
              </w:rPr>
              <w:t>Privacy, Procurement and Legal</w:t>
            </w:r>
          </w:p>
        </w:tc>
      </w:tr>
      <w:tr>
        <w:tc>
          <w:tcPr>
            <w:tcW w:type="dxa" w:w="599"/>
            <w:vAlign w:val="center"/>
            <w:tcMar>
              <w:top w:w="80" w:type="dxa"/>
              <w:start w:w="120" w:type="dxa"/>
              <w:bottom w:w="80" w:type="dxa"/>
              <w:end w:w="120" w:type="dxa"/>
            </w:tcMar>
          </w:tcPr>
          <w:p>
            <w:r>
              <w:rPr>
                <w:sz w:val="16"/>
              </w:rPr>
              <w:t>RISK-006</w:t>
            </w:r>
          </w:p>
        </w:tc>
        <w:tc>
          <w:tcPr>
            <w:tcW w:type="dxa" w:w="1372"/>
            <w:vAlign w:val="center"/>
            <w:tcMar>
              <w:top w:w="80" w:type="dxa"/>
              <w:start w:w="120" w:type="dxa"/>
              <w:bottom w:w="80" w:type="dxa"/>
              <w:end w:w="120" w:type="dxa"/>
            </w:tcMar>
          </w:tcPr>
          <w:p>
            <w:r>
              <w:rPr>
                <w:sz w:val="16"/>
              </w:rPr>
              <w:t>Platform and update coverage is incomplete</w:t>
            </w:r>
          </w:p>
        </w:tc>
        <w:tc>
          <w:tcPr>
            <w:tcW w:type="dxa" w:w="1514"/>
            <w:vAlign w:val="center"/>
            <w:tcMar>
              <w:top w:w="80" w:type="dxa"/>
              <w:start w:w="120" w:type="dxa"/>
              <w:bottom w:w="80" w:type="dxa"/>
              <w:end w:w="120" w:type="dxa"/>
            </w:tcMar>
          </w:tcPr>
          <w:p>
            <w:r>
              <w:rPr>
                <w:sz w:val="16"/>
              </w:rPr>
              <w:t>All packages and versions other than 0.6.7 darwin-arm64</w:t>
            </w:r>
          </w:p>
        </w:tc>
        <w:tc>
          <w:tcPr>
            <w:tcW w:type="dxa" w:w="1615"/>
            <w:vAlign w:val="center"/>
            <w:tcMar>
              <w:top w:w="80" w:type="dxa"/>
              <w:start w:w="120" w:type="dxa"/>
              <w:bottom w:w="80" w:type="dxa"/>
              <w:end w:w="120" w:type="dxa"/>
            </w:tcMar>
          </w:tcPr>
          <w:p>
            <w:r>
              <w:rPr>
                <w:sz w:val="16"/>
              </w:rPr>
              <w:t>Likely that package contents change across platform or version; security significance is unknown./Moderate to Major depending on change.</w:t>
            </w:r>
          </w:p>
        </w:tc>
        <w:tc>
          <w:tcPr>
            <w:tcW w:type="dxa" w:w="599"/>
            <w:vAlign w:val="center"/>
            <w:tcMar>
              <w:top w:w="80" w:type="dxa"/>
              <w:start w:w="120" w:type="dxa"/>
              <w:bottom w:w="80" w:type="dxa"/>
              <w:end w:w="120" w:type="dxa"/>
            </w:tcMar>
          </w:tcPr>
          <w:p>
            <w:r>
              <w:rPr>
                <w:sz w:val="16"/>
              </w:rPr>
              <w:t>Moderate</w:t>
            </w:r>
          </w:p>
        </w:tc>
        <w:tc>
          <w:tcPr>
            <w:tcW w:type="dxa" w:w="599"/>
            <w:vAlign w:val="center"/>
            <w:tcMar>
              <w:top w:w="80" w:type="dxa"/>
              <w:start w:w="120" w:type="dxa"/>
              <w:bottom w:w="80" w:type="dxa"/>
              <w:end w:w="120" w:type="dxa"/>
            </w:tcMar>
          </w:tcPr>
          <w:p>
            <w:r>
              <w:rPr>
                <w:sz w:val="16"/>
              </w:rPr>
              <w:t>Possible/Moderate</w:t>
            </w:r>
          </w:p>
        </w:tc>
        <w:tc>
          <w:tcPr>
            <w:tcW w:type="dxa" w:w="599"/>
            <w:vAlign w:val="center"/>
            <w:tcMar>
              <w:top w:w="80" w:type="dxa"/>
              <w:start w:w="120" w:type="dxa"/>
              <w:bottom w:w="80" w:type="dxa"/>
              <w:end w:w="120" w:type="dxa"/>
            </w:tcMar>
          </w:tcPr>
          <w:p>
            <w:r>
              <w:rPr>
                <w:sz w:val="16"/>
              </w:rPr>
              <w:t>Moderate</w:t>
            </w:r>
          </w:p>
        </w:tc>
        <w:tc>
          <w:tcPr>
            <w:tcW w:type="dxa" w:w="1615"/>
            <w:vAlign w:val="center"/>
            <w:tcMar>
              <w:top w:w="80" w:type="dxa"/>
              <w:start w:w="120" w:type="dxa"/>
              <w:bottom w:w="80" w:type="dxa"/>
              <w:end w:w="120" w:type="dxa"/>
            </w:tcMar>
          </w:tcPr>
          <w:p>
            <w:r>
              <w:rPr>
                <w:sz w:val="16"/>
              </w:rPr>
              <w:t>Pin the tested variant, stage updates, diff manifests and bundles, and repeat package and runtime gates for every platform/version.</w:t>
            </w:r>
          </w:p>
        </w:tc>
        <w:tc>
          <w:tcPr>
            <w:tcW w:type="dxa" w:w="848"/>
            <w:vAlign w:val="center"/>
            <w:tcMar>
              <w:top w:w="80" w:type="dxa"/>
              <w:start w:w="120" w:type="dxa"/>
              <w:bottom w:w="80" w:type="dxa"/>
              <w:end w:w="120" w:type="dxa"/>
            </w:tcMar>
          </w:tcPr>
          <w:p>
            <w:r>
              <w:rPr>
                <w:sz w:val="16"/>
              </w:rPr>
              <w:t>Endpoint Engineering</w:t>
            </w:r>
          </w:p>
        </w:tc>
      </w:tr>
      <w:tr>
        <w:tc>
          <w:tcPr>
            <w:tcW w:type="dxa" w:w="599"/>
            <w:vAlign w:val="center"/>
            <w:tcMar>
              <w:top w:w="80" w:type="dxa"/>
              <w:start w:w="120" w:type="dxa"/>
              <w:bottom w:w="80" w:type="dxa"/>
              <w:end w:w="120" w:type="dxa"/>
            </w:tcMar>
          </w:tcPr>
          <w:p>
            <w:r>
              <w:rPr>
                <w:sz w:val="16"/>
              </w:rPr>
              <w:t>RISK-007</w:t>
            </w:r>
          </w:p>
        </w:tc>
        <w:tc>
          <w:tcPr>
            <w:tcW w:type="dxa" w:w="1372"/>
            <w:vAlign w:val="center"/>
            <w:tcMar>
              <w:top w:w="80" w:type="dxa"/>
              <w:start w:w="120" w:type="dxa"/>
              <w:bottom w:w="80" w:type="dxa"/>
              <w:end w:w="120" w:type="dxa"/>
            </w:tcMar>
          </w:tcPr>
          <w:p>
            <w:r>
              <w:rPr>
                <w:sz w:val="16"/>
              </w:rPr>
              <w:t>Package and source licence declarations differ</w:t>
            </w:r>
          </w:p>
        </w:tc>
        <w:tc>
          <w:tcPr>
            <w:tcW w:type="dxa" w:w="1514"/>
            <w:vAlign w:val="center"/>
            <w:tcMar>
              <w:top w:w="80" w:type="dxa"/>
              <w:start w:w="120" w:type="dxa"/>
              <w:bottom w:w="80" w:type="dxa"/>
              <w:end w:w="120" w:type="dxa"/>
            </w:tcMar>
          </w:tcPr>
          <w:p>
            <w:r>
              <w:rPr>
                <w:sz w:val="16"/>
              </w:rPr>
              <w:t>Marketplace VSIX manifest and exact release-source root licence</w:t>
            </w:r>
          </w:p>
        </w:tc>
        <w:tc>
          <w:tcPr>
            <w:tcW w:type="dxa" w:w="1615"/>
            <w:vAlign w:val="center"/>
            <w:tcMar>
              <w:top w:w="80" w:type="dxa"/>
              <w:start w:w="120" w:type="dxa"/>
              <w:bottom w:w="80" w:type="dxa"/>
              <w:end w:w="120" w:type="dxa"/>
            </w:tcMar>
          </w:tcPr>
          <w:p>
            <w:r>
              <w:rPr>
                <w:sz w:val="16"/>
              </w:rPr>
              <w:t>Possible until the publisher clarifies the relationship between Apache-2.0 and MIT declarations./Moderate legal, attribution and software-governance impact.</w:t>
            </w:r>
          </w:p>
        </w:tc>
        <w:tc>
          <w:tcPr>
            <w:tcW w:type="dxa" w:w="599"/>
            <w:vAlign w:val="center"/>
            <w:tcMar>
              <w:top w:w="80" w:type="dxa"/>
              <w:start w:w="120" w:type="dxa"/>
              <w:bottom w:w="80" w:type="dxa"/>
              <w:end w:w="120" w:type="dxa"/>
            </w:tcMar>
          </w:tcPr>
          <w:p>
            <w:r>
              <w:rPr>
                <w:sz w:val="16"/>
              </w:rPr>
              <w:t>Moderate</w:t>
            </w:r>
          </w:p>
        </w:tc>
        <w:tc>
          <w:tcPr>
            <w:tcW w:type="dxa" w:w="599"/>
            <w:vAlign w:val="center"/>
            <w:tcMar>
              <w:top w:w="80" w:type="dxa"/>
              <w:start w:w="120" w:type="dxa"/>
              <w:bottom w:w="80" w:type="dxa"/>
              <w:end w:w="120" w:type="dxa"/>
            </w:tcMar>
          </w:tcPr>
          <w:p>
            <w:r>
              <w:rPr>
                <w:sz w:val="16"/>
              </w:rPr>
              <w:t>Possible/Moderate</w:t>
            </w:r>
          </w:p>
        </w:tc>
        <w:tc>
          <w:tcPr>
            <w:tcW w:type="dxa" w:w="599"/>
            <w:vAlign w:val="center"/>
            <w:tcMar>
              <w:top w:w="80" w:type="dxa"/>
              <w:start w:w="120" w:type="dxa"/>
              <w:bottom w:w="80" w:type="dxa"/>
              <w:end w:w="120" w:type="dxa"/>
            </w:tcMar>
          </w:tcPr>
          <w:p>
            <w:r>
              <w:rPr>
                <w:sz w:val="16"/>
              </w:rPr>
              <w:t>Moderate</w:t>
            </w:r>
          </w:p>
        </w:tc>
        <w:tc>
          <w:tcPr>
            <w:tcW w:type="dxa" w:w="1615"/>
            <w:vAlign w:val="center"/>
            <w:tcMar>
              <w:top w:w="80" w:type="dxa"/>
              <w:start w:w="120" w:type="dxa"/>
              <w:bottom w:w="80" w:type="dxa"/>
              <w:end w:w="120" w:type="dxa"/>
            </w:tcMar>
          </w:tcPr>
          <w:p>
            <w:r>
              <w:rPr>
                <w:sz w:val="16"/>
              </w:rPr>
              <w:t>Obtain publisher clarification and authoritative package notices; record legal disposition before enterprise distribution.</w:t>
            </w:r>
          </w:p>
        </w:tc>
        <w:tc>
          <w:tcPr>
            <w:tcW w:type="dxa" w:w="848"/>
            <w:vAlign w:val="center"/>
            <w:tcMar>
              <w:top w:w="80" w:type="dxa"/>
              <w:start w:w="120" w:type="dxa"/>
              <w:bottom w:w="80" w:type="dxa"/>
              <w:end w:w="120" w:type="dxa"/>
            </w:tcMar>
          </w:tcPr>
          <w:p>
            <w:r>
              <w:rPr>
                <w:sz w:val="16"/>
              </w:rPr>
              <w:t>Open Source Programme Office and Legal</w:t>
            </w:r>
          </w:p>
        </w:tc>
      </w:tr>
    </w:tbl>
    <w:p/>
    <w:p>
      <w:pPr>
        <w:pStyle w:val="Heading1"/>
      </w:pPr>
      <w:r>
        <w:t>Evidence Register</w:t>
      </w:r>
    </w:p>
    <w:p>
      <w:pPr>
        <w:pStyle w:val="Caption"/>
      </w:pPr>
      <w:r>
        <w:rPr>
          <w:b/>
        </w:rPr>
        <w:t>Evidence register</w:t>
      </w:r>
    </w:p>
    <w:tbl>
      <w:tblPr>
        <w:tblStyle w:val="TableGrid"/>
        <w:tblW w:type="dxa" w:w="9360"/>
        <w:tblLayout w:type="fixed"/>
        <w:tblLook w:firstColumn="1" w:firstRow="1" w:lastColumn="0" w:lastRow="0" w:noHBand="0" w:noVBand="1" w:val="04A0"/>
        <w:tblInd w:w="120" w:type="dxa"/>
      </w:tblPr>
      <w:tblGrid>
        <w:gridCol w:w="718"/>
        <w:gridCol w:w="1213"/>
        <w:gridCol w:w="2031"/>
        <w:gridCol w:w="1911"/>
        <w:gridCol w:w="1062"/>
        <w:gridCol w:w="2425"/>
      </w:tblGrid>
      <w:tr>
        <w:trPr>
          <w:tblHeader w:val="true"/>
        </w:trPr>
        <w:tc>
          <w:tcPr>
            <w:tcW w:type="dxa" w:w="718"/>
            <w:shd w:fill="F2F4F7"/>
            <w:vAlign w:val="center"/>
            <w:tcMar>
              <w:top w:w="80" w:type="dxa"/>
              <w:start w:w="120" w:type="dxa"/>
              <w:bottom w:w="80" w:type="dxa"/>
              <w:end w:w="120" w:type="dxa"/>
            </w:tcMar>
          </w:tcPr>
          <w:p>
            <w:r>
              <w:rPr>
                <w:b/>
                <w:sz w:val="16"/>
              </w:rPr>
              <w:t>ID</w:t>
            </w:r>
          </w:p>
        </w:tc>
        <w:tc>
          <w:tcPr>
            <w:tcW w:type="dxa" w:w="1213"/>
            <w:shd w:fill="F2F4F7"/>
            <w:vAlign w:val="center"/>
            <w:tcMar>
              <w:top w:w="80" w:type="dxa"/>
              <w:start w:w="120" w:type="dxa"/>
              <w:bottom w:w="80" w:type="dxa"/>
              <w:end w:w="120" w:type="dxa"/>
            </w:tcMar>
          </w:tcPr>
          <w:p>
            <w:r>
              <w:rPr>
                <w:b/>
                <w:sz w:val="16"/>
              </w:rPr>
              <w:t>Evidence</w:t>
            </w:r>
          </w:p>
        </w:tc>
        <w:tc>
          <w:tcPr>
            <w:tcW w:type="dxa" w:w="2031"/>
            <w:shd w:fill="F2F4F7"/>
            <w:vAlign w:val="center"/>
            <w:tcMar>
              <w:top w:w="80" w:type="dxa"/>
              <w:start w:w="120" w:type="dxa"/>
              <w:bottom w:w="80" w:type="dxa"/>
              <w:end w:w="120" w:type="dxa"/>
            </w:tcMar>
          </w:tcPr>
          <w:p>
            <w:r>
              <w:rPr>
                <w:b/>
                <w:sz w:val="16"/>
              </w:rPr>
              <w:t>Source</w:t>
            </w:r>
          </w:p>
        </w:tc>
        <w:tc>
          <w:tcPr>
            <w:tcW w:type="dxa" w:w="1911"/>
            <w:shd w:fill="F2F4F7"/>
            <w:vAlign w:val="center"/>
            <w:tcMar>
              <w:top w:w="80" w:type="dxa"/>
              <w:start w:w="120" w:type="dxa"/>
              <w:bottom w:w="80" w:type="dxa"/>
              <w:end w:w="120" w:type="dxa"/>
            </w:tcMar>
          </w:tcPr>
          <w:p>
            <w:r>
              <w:rPr>
                <w:b/>
                <w:sz w:val="16"/>
              </w:rPr>
              <w:t>Method</w:t>
            </w:r>
          </w:p>
        </w:tc>
        <w:tc>
          <w:tcPr>
            <w:tcW w:type="dxa" w:w="1062"/>
            <w:shd w:fill="F2F4F7"/>
            <w:vAlign w:val="center"/>
            <w:tcMar>
              <w:top w:w="80" w:type="dxa"/>
              <w:start w:w="120" w:type="dxa"/>
              <w:bottom w:w="80" w:type="dxa"/>
              <w:end w:w="120" w:type="dxa"/>
            </w:tcMar>
          </w:tcPr>
          <w:p>
            <w:r>
              <w:rPr>
                <w:b/>
                <w:sz w:val="16"/>
              </w:rPr>
              <w:t>State</w:t>
            </w:r>
          </w:p>
        </w:tc>
        <w:tc>
          <w:tcPr>
            <w:tcW w:type="dxa" w:w="2425"/>
            <w:shd w:fill="F2F4F7"/>
            <w:vAlign w:val="center"/>
            <w:tcMar>
              <w:top w:w="80" w:type="dxa"/>
              <w:start w:w="120" w:type="dxa"/>
              <w:bottom w:w="80" w:type="dxa"/>
              <w:end w:w="120" w:type="dxa"/>
            </w:tcMar>
          </w:tcPr>
          <w:p>
            <w:r>
              <w:rPr>
                <w:b/>
                <w:sz w:val="16"/>
              </w:rPr>
              <w:t>Limitation</w:t>
            </w:r>
          </w:p>
        </w:tc>
      </w:tr>
      <w:tr>
        <w:tc>
          <w:tcPr>
            <w:tcW w:type="dxa" w:w="718"/>
            <w:vAlign w:val="center"/>
            <w:tcMar>
              <w:top w:w="80" w:type="dxa"/>
              <w:start w:w="120" w:type="dxa"/>
              <w:bottom w:w="80" w:type="dxa"/>
              <w:end w:w="120" w:type="dxa"/>
            </w:tcMar>
          </w:tcPr>
          <w:p>
            <w:r>
              <w:rPr>
                <w:sz w:val="16"/>
              </w:rPr>
              <w:t>EVD-MARKETPLACE</w:t>
            </w:r>
          </w:p>
        </w:tc>
        <w:tc>
          <w:tcPr>
            <w:tcW w:type="dxa" w:w="1213"/>
            <w:vAlign w:val="center"/>
            <w:tcMar>
              <w:top w:w="80" w:type="dxa"/>
              <w:start w:w="120" w:type="dxa"/>
              <w:bottom w:w="80" w:type="dxa"/>
              <w:end w:w="120" w:type="dxa"/>
            </w:tcMar>
          </w:tcPr>
          <w:p>
            <w:r>
              <w:rPr>
                <w:sz w:val="16"/>
              </w:rPr>
              <w:t>Visual Studio Marketplace identity</w:t>
            </w:r>
          </w:p>
        </w:tc>
        <w:tc>
          <w:tcPr>
            <w:tcW w:type="dxa" w:w="2031"/>
            <w:vAlign w:val="center"/>
            <w:tcMar>
              <w:top w:w="80" w:type="dxa"/>
              <w:start w:w="120" w:type="dxa"/>
              <w:bottom w:w="80" w:type="dxa"/>
              <w:end w:w="120" w:type="dxa"/>
            </w:tcMar>
          </w:tcPr>
          <w:p>
            <w:r>
              <w:rPr>
                <w:sz w:val="16"/>
              </w:rPr>
              <w:t>Official Kimi Code Marketplace listing and Marketplace API metadata</w:t>
            </w:r>
          </w:p>
        </w:tc>
        <w:tc>
          <w:tcPr>
            <w:tcW w:type="dxa" w:w="1911"/>
            <w:vAlign w:val="center"/>
            <w:tcMar>
              <w:top w:w="80" w:type="dxa"/>
              <w:start w:w="120" w:type="dxa"/>
              <w:bottom w:w="80" w:type="dxa"/>
              <w:end w:w="120" w:type="dxa"/>
            </w:tcMar>
          </w:tcPr>
          <w:p>
            <w:r>
              <w:rPr>
                <w:sz w:val="16"/>
              </w:rPr>
              <w:t>HTTPS identity and version review</w:t>
            </w:r>
          </w:p>
        </w:tc>
        <w:tc>
          <w:tcPr>
            <w:tcW w:type="dxa" w:w="1062"/>
            <w:vAlign w:val="center"/>
            <w:tcMar>
              <w:top w:w="80" w:type="dxa"/>
              <w:start w:w="120" w:type="dxa"/>
              <w:bottom w:w="80" w:type="dxa"/>
              <w:end w:w="120" w:type="dxa"/>
            </w:tcMar>
          </w:tcPr>
          <w:p>
            <w:r>
              <w:rPr>
                <w:sz w:val="16"/>
              </w:rPr>
              <w:t>Verified</w:t>
            </w:r>
          </w:p>
        </w:tc>
        <w:tc>
          <w:tcPr>
            <w:tcW w:type="dxa" w:w="2425"/>
            <w:vAlign w:val="center"/>
            <w:tcMar>
              <w:top w:w="80" w:type="dxa"/>
              <w:start w:w="120" w:type="dxa"/>
              <w:bottom w:w="80" w:type="dxa"/>
              <w:end w:w="120" w:type="dxa"/>
            </w:tcMar>
          </w:tcPr>
          <w:p>
            <w:r>
              <w:rPr>
                <w:sz w:val="16"/>
              </w:rPr>
              <w:t>Marketplace metadata is mutable after the assessment date.</w:t>
            </w:r>
          </w:p>
        </w:tc>
      </w:tr>
      <w:tr>
        <w:tc>
          <w:tcPr>
            <w:tcW w:type="dxa" w:w="718"/>
            <w:vAlign w:val="center"/>
            <w:tcMar>
              <w:top w:w="80" w:type="dxa"/>
              <w:start w:w="120" w:type="dxa"/>
              <w:bottom w:w="80" w:type="dxa"/>
              <w:end w:w="120" w:type="dxa"/>
            </w:tcMar>
          </w:tcPr>
          <w:p>
            <w:r>
              <w:rPr>
                <w:sz w:val="16"/>
              </w:rPr>
              <w:t>EVD-VSIX</w:t>
            </w:r>
          </w:p>
        </w:tc>
        <w:tc>
          <w:tcPr>
            <w:tcW w:type="dxa" w:w="1213"/>
            <w:vAlign w:val="center"/>
            <w:tcMar>
              <w:top w:w="80" w:type="dxa"/>
              <w:start w:w="120" w:type="dxa"/>
              <w:bottom w:w="80" w:type="dxa"/>
              <w:end w:w="120" w:type="dxa"/>
            </w:tcMar>
          </w:tcPr>
          <w:p>
            <w:r>
              <w:rPr>
                <w:sz w:val="16"/>
              </w:rPr>
              <w:t>Marketplace darwin-arm64 VSIX</w:t>
            </w:r>
          </w:p>
        </w:tc>
        <w:tc>
          <w:tcPr>
            <w:tcW w:type="dxa" w:w="2031"/>
            <w:vAlign w:val="center"/>
            <w:tcMar>
              <w:top w:w="80" w:type="dxa"/>
              <w:start w:w="120" w:type="dxa"/>
              <w:bottom w:w="80" w:type="dxa"/>
              <w:end w:w="120" w:type="dxa"/>
            </w:tcMar>
          </w:tcPr>
          <w:p>
            <w:r>
              <w:rPr>
                <w:sz w:val="16"/>
              </w:rPr>
              <w:t>Original retained version 0.6.7 package</w:t>
            </w:r>
          </w:p>
        </w:tc>
        <w:tc>
          <w:tcPr>
            <w:tcW w:type="dxa" w:w="1911"/>
            <w:vAlign w:val="center"/>
            <w:tcMar>
              <w:top w:w="80" w:type="dxa"/>
              <w:start w:w="120" w:type="dxa"/>
              <w:bottom w:w="80" w:type="dxa"/>
              <w:end w:w="120" w:type="dxa"/>
            </w:tcMar>
          </w:tcPr>
          <w:p>
            <w:r>
              <w:rPr>
                <w:sz w:val="16"/>
              </w:rPr>
              <w:t>SHA-256 before static inspection</w:t>
            </w:r>
          </w:p>
        </w:tc>
        <w:tc>
          <w:tcPr>
            <w:tcW w:type="dxa" w:w="1062"/>
            <w:vAlign w:val="center"/>
            <w:tcMar>
              <w:top w:w="80" w:type="dxa"/>
              <w:start w:w="120" w:type="dxa"/>
              <w:bottom w:w="80" w:type="dxa"/>
              <w:end w:w="120" w:type="dxa"/>
            </w:tcMar>
          </w:tcPr>
          <w:p>
            <w:r>
              <w:rPr>
                <w:sz w:val="16"/>
              </w:rPr>
              <w:t>Verified</w:t>
            </w:r>
          </w:p>
        </w:tc>
        <w:tc>
          <w:tcPr>
            <w:tcW w:type="dxa" w:w="2425"/>
            <w:vAlign w:val="center"/>
            <w:tcMar>
              <w:top w:w="80" w:type="dxa"/>
              <w:start w:w="120" w:type="dxa"/>
              <w:bottom w:w="80" w:type="dxa"/>
              <w:end w:w="120" w:type="dxa"/>
            </w:tcMar>
          </w:tcPr>
          <w:p>
            <w:r>
              <w:rPr>
                <w:sz w:val="16"/>
              </w:rPr>
              <w:t>Only one target-specific package was acquired.</w:t>
            </w:r>
          </w:p>
        </w:tc>
      </w:tr>
      <w:tr>
        <w:tc>
          <w:tcPr>
            <w:tcW w:type="dxa" w:w="718"/>
            <w:vAlign w:val="center"/>
            <w:tcMar>
              <w:top w:w="80" w:type="dxa"/>
              <w:start w:w="120" w:type="dxa"/>
              <w:bottom w:w="80" w:type="dxa"/>
              <w:end w:w="120" w:type="dxa"/>
            </w:tcMar>
          </w:tcPr>
          <w:p>
            <w:r>
              <w:rPr>
                <w:sz w:val="16"/>
              </w:rPr>
              <w:t>EVD-INVENTORY</w:t>
            </w:r>
          </w:p>
        </w:tc>
        <w:tc>
          <w:tcPr>
            <w:tcW w:type="dxa" w:w="1213"/>
            <w:vAlign w:val="center"/>
            <w:tcMar>
              <w:top w:w="80" w:type="dxa"/>
              <w:start w:w="120" w:type="dxa"/>
              <w:bottom w:w="80" w:type="dxa"/>
              <w:end w:w="120" w:type="dxa"/>
            </w:tcMar>
          </w:tcPr>
          <w:p>
            <w:r>
              <w:rPr>
                <w:sz w:val="16"/>
              </w:rPr>
              <w:t>Bounded VSIX inventory</w:t>
            </w:r>
          </w:p>
        </w:tc>
        <w:tc>
          <w:tcPr>
            <w:tcW w:type="dxa" w:w="2031"/>
            <w:vAlign w:val="center"/>
            <w:tcMar>
              <w:top w:w="80" w:type="dxa"/>
              <w:start w:w="120" w:type="dxa"/>
              <w:bottom w:w="80" w:type="dxa"/>
              <w:end w:w="120" w:type="dxa"/>
            </w:tcMar>
          </w:tcPr>
          <w:p>
            <w:r>
              <w:rPr>
                <w:sz w:val="16"/>
              </w:rPr>
              <w:t>vsix-inventory.json</w:t>
            </w:r>
          </w:p>
        </w:tc>
        <w:tc>
          <w:tcPr>
            <w:tcW w:type="dxa" w:w="1911"/>
            <w:vAlign w:val="center"/>
            <w:tcMar>
              <w:top w:w="80" w:type="dxa"/>
              <w:start w:w="120" w:type="dxa"/>
              <w:bottom w:w="80" w:type="dxa"/>
              <w:end w:w="120" w:type="dxa"/>
            </w:tcMar>
          </w:tcPr>
          <w:p>
            <w:r>
              <w:rPr>
                <w:sz w:val="16"/>
              </w:rPr>
              <w:t>Entry, size, anomaly, manifest and per-member digest inspection</w:t>
            </w:r>
          </w:p>
        </w:tc>
        <w:tc>
          <w:tcPr>
            <w:tcW w:type="dxa" w:w="1062"/>
            <w:vAlign w:val="center"/>
            <w:tcMar>
              <w:top w:w="80" w:type="dxa"/>
              <w:start w:w="120" w:type="dxa"/>
              <w:bottom w:w="80" w:type="dxa"/>
              <w:end w:w="120" w:type="dxa"/>
            </w:tcMar>
          </w:tcPr>
          <w:p>
            <w:r>
              <w:rPr>
                <w:sz w:val="16"/>
              </w:rPr>
              <w:t>Verified</w:t>
            </w:r>
          </w:p>
        </w:tc>
        <w:tc>
          <w:tcPr>
            <w:tcW w:type="dxa" w:w="2425"/>
            <w:vAlign w:val="center"/>
            <w:tcMar>
              <w:top w:w="80" w:type="dxa"/>
              <w:start w:w="120" w:type="dxa"/>
              <w:bottom w:w="80" w:type="dxa"/>
              <w:end w:w="120" w:type="dxa"/>
            </w:tcMar>
          </w:tcPr>
          <w:p>
            <w:r>
              <w:rPr>
                <w:sz w:val="16"/>
              </w:rPr>
              <w:t>Static archive shape does not prove runtime behaviour.</w:t>
            </w:r>
          </w:p>
        </w:tc>
      </w:tr>
      <w:tr>
        <w:tc>
          <w:tcPr>
            <w:tcW w:type="dxa" w:w="718"/>
            <w:vAlign w:val="center"/>
            <w:tcMar>
              <w:top w:w="80" w:type="dxa"/>
              <w:start w:w="120" w:type="dxa"/>
              <w:bottom w:w="80" w:type="dxa"/>
              <w:end w:w="120" w:type="dxa"/>
            </w:tcMar>
          </w:tcPr>
          <w:p>
            <w:r>
              <w:rPr>
                <w:sz w:val="16"/>
              </w:rPr>
              <w:t>EVD-SOURCE</w:t>
            </w:r>
          </w:p>
        </w:tc>
        <w:tc>
          <w:tcPr>
            <w:tcW w:type="dxa" w:w="1213"/>
            <w:vAlign w:val="center"/>
            <w:tcMar>
              <w:top w:w="80" w:type="dxa"/>
              <w:start w:w="120" w:type="dxa"/>
              <w:bottom w:w="80" w:type="dxa"/>
              <w:end w:w="120" w:type="dxa"/>
            </w:tcMar>
          </w:tcPr>
          <w:p>
            <w:r>
              <w:rPr>
                <w:sz w:val="16"/>
              </w:rPr>
              <w:t>Release-aligned public source snapshot</w:t>
            </w:r>
          </w:p>
        </w:tc>
        <w:tc>
          <w:tcPr>
            <w:tcW w:type="dxa" w:w="2031"/>
            <w:vAlign w:val="center"/>
            <w:tcMar>
              <w:top w:w="80" w:type="dxa"/>
              <w:start w:w="120" w:type="dxa"/>
              <w:bottom w:w="80" w:type="dxa"/>
              <w:end w:w="120" w:type="dxa"/>
            </w:tcMar>
          </w:tcPr>
          <w:p>
            <w:r>
              <w:rPr>
                <w:sz w:val="16"/>
              </w:rPr>
              <w:t>MoonshotAI/kimi-code immutable release commit</w:t>
            </w:r>
          </w:p>
        </w:tc>
        <w:tc>
          <w:tcPr>
            <w:tcW w:type="dxa" w:w="1911"/>
            <w:vAlign w:val="center"/>
            <w:tcMar>
              <w:top w:w="80" w:type="dxa"/>
              <w:start w:w="120" w:type="dxa"/>
              <w:bottom w:w="80" w:type="dxa"/>
              <w:end w:w="120" w:type="dxa"/>
            </w:tcMar>
          </w:tcPr>
          <w:p>
            <w:r>
              <w:rPr>
                <w:sz w:val="16"/>
              </w:rPr>
              <w:t>Unlinked Git archive and manifest review</w:t>
            </w:r>
          </w:p>
        </w:tc>
        <w:tc>
          <w:tcPr>
            <w:tcW w:type="dxa" w:w="1062"/>
            <w:vAlign w:val="center"/>
            <w:tcMar>
              <w:top w:w="80" w:type="dxa"/>
              <w:start w:w="120" w:type="dxa"/>
              <w:bottom w:w="80" w:type="dxa"/>
              <w:end w:w="120" w:type="dxa"/>
            </w:tcMar>
          </w:tcPr>
          <w:p>
            <w:r>
              <w:rPr>
                <w:sz w:val="16"/>
              </w:rPr>
              <w:t>Verified</w:t>
            </w:r>
          </w:p>
        </w:tc>
        <w:tc>
          <w:tcPr>
            <w:tcW w:type="dxa" w:w="2425"/>
            <w:vAlign w:val="center"/>
            <w:tcMar>
              <w:top w:w="80" w:type="dxa"/>
              <w:start w:w="120" w:type="dxa"/>
              <w:bottom w:w="80" w:type="dxa"/>
              <w:end w:w="120" w:type="dxa"/>
            </w:tcMar>
          </w:tcPr>
          <w:p>
            <w:r>
              <w:rPr>
                <w:sz w:val="16"/>
              </w:rPr>
              <w:t>Bit-for-bit reproducible VSIX build was not demonstrated.</w:t>
            </w:r>
          </w:p>
        </w:tc>
      </w:tr>
      <w:tr>
        <w:tc>
          <w:tcPr>
            <w:tcW w:type="dxa" w:w="718"/>
            <w:vAlign w:val="center"/>
            <w:tcMar>
              <w:top w:w="80" w:type="dxa"/>
              <w:start w:w="120" w:type="dxa"/>
              <w:bottom w:w="80" w:type="dxa"/>
              <w:end w:w="120" w:type="dxa"/>
            </w:tcMar>
          </w:tcPr>
          <w:p>
            <w:r>
              <w:rPr>
                <w:sz w:val="16"/>
              </w:rPr>
              <w:t>EVD-GITLEAKS</w:t>
            </w:r>
          </w:p>
        </w:tc>
        <w:tc>
          <w:tcPr>
            <w:tcW w:type="dxa" w:w="1213"/>
            <w:vAlign w:val="center"/>
            <w:tcMar>
              <w:top w:w="80" w:type="dxa"/>
              <w:start w:w="120" w:type="dxa"/>
              <w:bottom w:w="80" w:type="dxa"/>
              <w:end w:w="120" w:type="dxa"/>
            </w:tcMar>
          </w:tcPr>
          <w:p>
            <w:r>
              <w:rPr>
                <w:sz w:val="16"/>
              </w:rPr>
              <w:t>Gitleaks result</w:t>
            </w:r>
          </w:p>
        </w:tc>
        <w:tc>
          <w:tcPr>
            <w:tcW w:type="dxa" w:w="2031"/>
            <w:vAlign w:val="center"/>
            <w:tcMar>
              <w:top w:w="80" w:type="dxa"/>
              <w:start w:w="120" w:type="dxa"/>
              <w:bottom w:w="80" w:type="dxa"/>
              <w:end w:w="120" w:type="dxa"/>
            </w:tcMar>
          </w:tcPr>
          <w:p>
            <w:r>
              <w:rPr>
                <w:sz w:val="16"/>
              </w:rPr>
              <w:t>gitleaks.json</w:t>
            </w:r>
          </w:p>
        </w:tc>
        <w:tc>
          <w:tcPr>
            <w:tcW w:type="dxa" w:w="1911"/>
            <w:vAlign w:val="center"/>
            <w:tcMar>
              <w:top w:w="80" w:type="dxa"/>
              <w:start w:w="120" w:type="dxa"/>
              <w:bottom w:w="80" w:type="dxa"/>
              <w:end w:w="120" w:type="dxa"/>
            </w:tcMar>
          </w:tcPr>
          <w:p>
            <w:r>
              <w:rPr>
                <w:sz w:val="16"/>
              </w:rPr>
              <w:t>Static secret scan</w:t>
            </w:r>
          </w:p>
        </w:tc>
        <w:tc>
          <w:tcPr>
            <w:tcW w:type="dxa" w:w="1062"/>
            <w:vAlign w:val="center"/>
            <w:tcMar>
              <w:top w:w="80" w:type="dxa"/>
              <w:start w:w="120" w:type="dxa"/>
              <w:bottom w:w="80" w:type="dxa"/>
              <w:end w:w="120" w:type="dxa"/>
            </w:tcMar>
          </w:tcPr>
          <w:p>
            <w:r>
              <w:rPr>
                <w:sz w:val="16"/>
              </w:rPr>
              <w:t>No findings observed</w:t>
            </w:r>
          </w:p>
        </w:tc>
        <w:tc>
          <w:tcPr>
            <w:tcW w:type="dxa" w:w="2425"/>
            <w:vAlign w:val="center"/>
            <w:tcMar>
              <w:top w:w="80" w:type="dxa"/>
              <w:start w:w="120" w:type="dxa"/>
              <w:bottom w:w="80" w:type="dxa"/>
              <w:end w:w="120" w:type="dxa"/>
            </w:tcMar>
          </w:tcPr>
          <w:p>
            <w:r>
              <w:rPr>
                <w:sz w:val="16"/>
              </w:rPr>
              <w:t>Pattern detection cannot establish absence of all secrets.</w:t>
            </w:r>
          </w:p>
        </w:tc>
      </w:tr>
      <w:tr>
        <w:tc>
          <w:tcPr>
            <w:tcW w:type="dxa" w:w="718"/>
            <w:vAlign w:val="center"/>
            <w:tcMar>
              <w:top w:w="80" w:type="dxa"/>
              <w:start w:w="120" w:type="dxa"/>
              <w:bottom w:w="80" w:type="dxa"/>
              <w:end w:w="120" w:type="dxa"/>
            </w:tcMar>
          </w:tcPr>
          <w:p>
            <w:r>
              <w:rPr>
                <w:sz w:val="16"/>
              </w:rPr>
              <w:t>EVD-CLAMAV</w:t>
            </w:r>
          </w:p>
        </w:tc>
        <w:tc>
          <w:tcPr>
            <w:tcW w:type="dxa" w:w="1213"/>
            <w:vAlign w:val="center"/>
            <w:tcMar>
              <w:top w:w="80" w:type="dxa"/>
              <w:start w:w="120" w:type="dxa"/>
              <w:bottom w:w="80" w:type="dxa"/>
              <w:end w:w="120" w:type="dxa"/>
            </w:tcMar>
          </w:tcPr>
          <w:p>
            <w:r>
              <w:rPr>
                <w:sz w:val="16"/>
              </w:rPr>
              <w:t>ClamAV result</w:t>
            </w:r>
          </w:p>
        </w:tc>
        <w:tc>
          <w:tcPr>
            <w:tcW w:type="dxa" w:w="2031"/>
            <w:vAlign w:val="center"/>
            <w:tcMar>
              <w:top w:w="80" w:type="dxa"/>
              <w:start w:w="120" w:type="dxa"/>
              <w:bottom w:w="80" w:type="dxa"/>
              <w:end w:w="120" w:type="dxa"/>
            </w:tcMar>
          </w:tcPr>
          <w:p>
            <w:r>
              <w:rPr>
                <w:sz w:val="16"/>
              </w:rPr>
              <w:t>clamav-findings.txt</w:t>
            </w:r>
          </w:p>
        </w:tc>
        <w:tc>
          <w:tcPr>
            <w:tcW w:type="dxa" w:w="1911"/>
            <w:vAlign w:val="center"/>
            <w:tcMar>
              <w:top w:w="80" w:type="dxa"/>
              <w:start w:w="120" w:type="dxa"/>
              <w:bottom w:w="80" w:type="dxa"/>
              <w:end w:w="120" w:type="dxa"/>
            </w:tcMar>
          </w:tcPr>
          <w:p>
            <w:r>
              <w:rPr>
                <w:sz w:val="16"/>
              </w:rPr>
              <w:t>Static antivirus scan</w:t>
            </w:r>
          </w:p>
        </w:tc>
        <w:tc>
          <w:tcPr>
            <w:tcW w:type="dxa" w:w="1062"/>
            <w:vAlign w:val="center"/>
            <w:tcMar>
              <w:top w:w="80" w:type="dxa"/>
              <w:start w:w="120" w:type="dxa"/>
              <w:bottom w:w="80" w:type="dxa"/>
              <w:end w:w="120" w:type="dxa"/>
            </w:tcMar>
          </w:tcPr>
          <w:p>
            <w:r>
              <w:rPr>
                <w:sz w:val="16"/>
              </w:rPr>
              <w:t>No detections observed</w:t>
            </w:r>
          </w:p>
        </w:tc>
        <w:tc>
          <w:tcPr>
            <w:tcW w:type="dxa" w:w="2425"/>
            <w:vAlign w:val="center"/>
            <w:tcMar>
              <w:top w:w="80" w:type="dxa"/>
              <w:start w:w="120" w:type="dxa"/>
              <w:bottom w:w="80" w:type="dxa"/>
              <w:end w:w="120" w:type="dxa"/>
            </w:tcMar>
          </w:tcPr>
          <w:p>
            <w:r>
              <w:rPr>
                <w:sz w:val="16"/>
              </w:rPr>
              <w:t>Scanner warned the signature database was more than seven days old.</w:t>
            </w:r>
          </w:p>
        </w:tc>
      </w:tr>
      <w:tr>
        <w:tc>
          <w:tcPr>
            <w:tcW w:type="dxa" w:w="718"/>
            <w:vAlign w:val="center"/>
            <w:tcMar>
              <w:top w:w="80" w:type="dxa"/>
              <w:start w:w="120" w:type="dxa"/>
              <w:bottom w:w="80" w:type="dxa"/>
              <w:end w:w="120" w:type="dxa"/>
            </w:tcMar>
          </w:tcPr>
          <w:p>
            <w:r>
              <w:rPr>
                <w:sz w:val="16"/>
              </w:rPr>
              <w:t>EVD-SEMGREP</w:t>
            </w:r>
          </w:p>
        </w:tc>
        <w:tc>
          <w:tcPr>
            <w:tcW w:type="dxa" w:w="1213"/>
            <w:vAlign w:val="center"/>
            <w:tcMar>
              <w:top w:w="80" w:type="dxa"/>
              <w:start w:w="120" w:type="dxa"/>
              <w:bottom w:w="80" w:type="dxa"/>
              <w:end w:w="120" w:type="dxa"/>
            </w:tcMar>
          </w:tcPr>
          <w:p>
            <w:r>
              <w:rPr>
                <w:sz w:val="16"/>
              </w:rPr>
              <w:t>Semgrep source rerun</w:t>
            </w:r>
          </w:p>
        </w:tc>
        <w:tc>
          <w:tcPr>
            <w:tcW w:type="dxa" w:w="2031"/>
            <w:vAlign w:val="center"/>
            <w:tcMar>
              <w:top w:w="80" w:type="dxa"/>
              <w:start w:w="120" w:type="dxa"/>
              <w:bottom w:w="80" w:type="dxa"/>
              <w:end w:w="120" w:type="dxa"/>
            </w:tcMar>
          </w:tcPr>
          <w:p>
            <w:r>
              <w:rPr>
                <w:sz w:val="16"/>
              </w:rPr>
              <w:t>semgrep-source-rerun.json and static-scan-limitations.json</w:t>
            </w:r>
          </w:p>
        </w:tc>
        <w:tc>
          <w:tcPr>
            <w:tcW w:type="dxa" w:w="1911"/>
            <w:vAlign w:val="center"/>
            <w:tcMar>
              <w:top w:w="80" w:type="dxa"/>
              <w:start w:w="120" w:type="dxa"/>
              <w:bottom w:w="80" w:type="dxa"/>
              <w:end w:w="120" w:type="dxa"/>
            </w:tcMar>
          </w:tcPr>
          <w:p>
            <w:r>
              <w:rPr>
                <w:sz w:val="16"/>
              </w:rPr>
              <w:t>312-rule scan of 551 source targets</w:t>
            </w:r>
          </w:p>
        </w:tc>
        <w:tc>
          <w:tcPr>
            <w:tcW w:type="dxa" w:w="1062"/>
            <w:vAlign w:val="center"/>
            <w:tcMar>
              <w:top w:w="80" w:type="dxa"/>
              <w:start w:w="120" w:type="dxa"/>
              <w:bottom w:w="80" w:type="dxa"/>
              <w:end w:w="120" w:type="dxa"/>
            </w:tcMar>
          </w:tcPr>
          <w:p>
            <w:r>
              <w:rPr>
                <w:sz w:val="16"/>
              </w:rPr>
              <w:t>No findings observed</w:t>
            </w:r>
          </w:p>
        </w:tc>
        <w:tc>
          <w:tcPr>
            <w:tcW w:type="dxa" w:w="2425"/>
            <w:vAlign w:val="center"/>
            <w:tcMar>
              <w:top w:w="80" w:type="dxa"/>
              <w:start w:w="120" w:type="dxa"/>
              <w:bottom w:w="80" w:type="dxa"/>
              <w:end w:w="120" w:type="dxa"/>
            </w:tcMar>
          </w:tcPr>
          <w:p>
            <w:r>
              <w:rPr>
                <w:sz w:val="16"/>
              </w:rPr>
              <w:t>Three internally failing rules were excluded and three partial-parsing warnings remained.</w:t>
            </w:r>
          </w:p>
        </w:tc>
      </w:tr>
      <w:tr>
        <w:tc>
          <w:tcPr>
            <w:tcW w:type="dxa" w:w="718"/>
            <w:vAlign w:val="center"/>
            <w:tcMar>
              <w:top w:w="80" w:type="dxa"/>
              <w:start w:w="120" w:type="dxa"/>
              <w:bottom w:w="80" w:type="dxa"/>
              <w:end w:w="120" w:type="dxa"/>
            </w:tcMar>
          </w:tcPr>
          <w:p>
            <w:r>
              <w:rPr>
                <w:sz w:val="16"/>
              </w:rPr>
              <w:t>EVD-YARA</w:t>
            </w:r>
          </w:p>
        </w:tc>
        <w:tc>
          <w:tcPr>
            <w:tcW w:type="dxa" w:w="1213"/>
            <w:vAlign w:val="center"/>
            <w:tcMar>
              <w:top w:w="80" w:type="dxa"/>
              <w:start w:w="120" w:type="dxa"/>
              <w:bottom w:w="80" w:type="dxa"/>
              <w:end w:w="120" w:type="dxa"/>
            </w:tcMar>
          </w:tcPr>
          <w:p>
            <w:r>
              <w:rPr>
                <w:sz w:val="16"/>
              </w:rPr>
              <w:t>YARA heuristic scan</w:t>
            </w:r>
          </w:p>
        </w:tc>
        <w:tc>
          <w:tcPr>
            <w:tcW w:type="dxa" w:w="2031"/>
            <w:vAlign w:val="center"/>
            <w:tcMar>
              <w:top w:w="80" w:type="dxa"/>
              <w:start w:w="120" w:type="dxa"/>
              <w:bottom w:w="80" w:type="dxa"/>
              <w:end w:w="120" w:type="dxa"/>
            </w:tcMar>
          </w:tcPr>
          <w:p>
            <w:r>
              <w:rPr>
                <w:sz w:val="16"/>
              </w:rPr>
              <w:t>yara-heuristics.log and retained heuristic rules</w:t>
            </w:r>
          </w:p>
        </w:tc>
        <w:tc>
          <w:tcPr>
            <w:tcW w:type="dxa" w:w="1911"/>
            <w:vAlign w:val="center"/>
            <w:tcMar>
              <w:top w:w="80" w:type="dxa"/>
              <w:start w:w="120" w:type="dxa"/>
              <w:bottom w:w="80" w:type="dxa"/>
              <w:end w:w="120" w:type="dxa"/>
            </w:tcMar>
          </w:tcPr>
          <w:p>
            <w:r>
              <w:rPr>
                <w:sz w:val="16"/>
              </w:rPr>
              <w:t>Static capability heuristic matching</w:t>
            </w:r>
          </w:p>
        </w:tc>
        <w:tc>
          <w:tcPr>
            <w:tcW w:type="dxa" w:w="1062"/>
            <w:vAlign w:val="center"/>
            <w:tcMar>
              <w:top w:w="80" w:type="dxa"/>
              <w:start w:w="120" w:type="dxa"/>
              <w:bottom w:w="80" w:type="dxa"/>
              <w:end w:w="120" w:type="dxa"/>
            </w:tcMar>
          </w:tcPr>
          <w:p>
            <w:r>
              <w:rPr>
                <w:sz w:val="16"/>
              </w:rPr>
              <w:t>Expected-capability matches</w:t>
            </w:r>
          </w:p>
        </w:tc>
        <w:tc>
          <w:tcPr>
            <w:tcW w:type="dxa" w:w="2425"/>
            <w:vAlign w:val="center"/>
            <w:tcMar>
              <w:top w:w="80" w:type="dxa"/>
              <w:start w:w="120" w:type="dxa"/>
              <w:bottom w:w="80" w:type="dxa"/>
              <w:end w:w="120" w:type="dxa"/>
            </w:tcMar>
          </w:tcPr>
          <w:p>
            <w:r>
              <w:rPr>
                <w:sz w:val="16"/>
              </w:rPr>
              <w:t>Dynamic-evaluation or encoded-data matches are not malware findings.</w:t>
            </w:r>
          </w:p>
        </w:tc>
      </w:tr>
      <w:tr>
        <w:tc>
          <w:tcPr>
            <w:tcW w:type="dxa" w:w="718"/>
            <w:vAlign w:val="center"/>
            <w:tcMar>
              <w:top w:w="80" w:type="dxa"/>
              <w:start w:w="120" w:type="dxa"/>
              <w:bottom w:w="80" w:type="dxa"/>
              <w:end w:w="120" w:type="dxa"/>
            </w:tcMar>
          </w:tcPr>
          <w:p>
            <w:r>
              <w:rPr>
                <w:sz w:val="16"/>
              </w:rPr>
              <w:t>EVD-SBOM</w:t>
            </w:r>
          </w:p>
        </w:tc>
        <w:tc>
          <w:tcPr>
            <w:tcW w:type="dxa" w:w="1213"/>
            <w:vAlign w:val="center"/>
            <w:tcMar>
              <w:top w:w="80" w:type="dxa"/>
              <w:start w:w="120" w:type="dxa"/>
              <w:bottom w:w="80" w:type="dxa"/>
              <w:end w:w="120" w:type="dxa"/>
            </w:tcMar>
          </w:tcPr>
          <w:p>
            <w:r>
              <w:rPr>
                <w:sz w:val="16"/>
              </w:rPr>
              <w:t>Package CycloneDX SBOM</w:t>
            </w:r>
          </w:p>
        </w:tc>
        <w:tc>
          <w:tcPr>
            <w:tcW w:type="dxa" w:w="2031"/>
            <w:vAlign w:val="center"/>
            <w:tcMar>
              <w:top w:w="80" w:type="dxa"/>
              <w:start w:w="120" w:type="dxa"/>
              <w:bottom w:w="80" w:type="dxa"/>
              <w:end w:w="120" w:type="dxa"/>
            </w:tcMar>
          </w:tcPr>
          <w:p>
            <w:r>
              <w:rPr>
                <w:sz w:val="16"/>
              </w:rPr>
              <w:t>sbom.cdx.json</w:t>
            </w:r>
          </w:p>
        </w:tc>
        <w:tc>
          <w:tcPr>
            <w:tcW w:type="dxa" w:w="1911"/>
            <w:vAlign w:val="center"/>
            <w:tcMar>
              <w:top w:w="80" w:type="dxa"/>
              <w:start w:w="120" w:type="dxa"/>
              <w:bottom w:w="80" w:type="dxa"/>
              <w:end w:w="120" w:type="dxa"/>
            </w:tcMar>
          </w:tcPr>
          <w:p>
            <w:r>
              <w:rPr>
                <w:sz w:val="16"/>
              </w:rPr>
              <w:t>Syft package analysis</w:t>
            </w:r>
          </w:p>
        </w:tc>
        <w:tc>
          <w:tcPr>
            <w:tcW w:type="dxa" w:w="1062"/>
            <w:vAlign w:val="center"/>
            <w:tcMar>
              <w:top w:w="80" w:type="dxa"/>
              <w:start w:w="120" w:type="dxa"/>
              <w:bottom w:w="80" w:type="dxa"/>
              <w:end w:w="120" w:type="dxa"/>
            </w:tcMar>
          </w:tcPr>
          <w:p>
            <w:r>
              <w:rPr>
                <w:sz w:val="16"/>
              </w:rPr>
              <w:t>Incomplete</w:t>
            </w:r>
          </w:p>
        </w:tc>
        <w:tc>
          <w:tcPr>
            <w:tcW w:type="dxa" w:w="2425"/>
            <w:vAlign w:val="center"/>
            <w:tcMar>
              <w:top w:w="80" w:type="dxa"/>
              <w:start w:w="120" w:type="dxa"/>
              <w:bottom w:w="80" w:type="dxa"/>
              <w:end w:w="120" w:type="dxa"/>
            </w:tcMar>
          </w:tcPr>
          <w:p>
            <w:r>
              <w:rPr>
                <w:sz w:val="16"/>
              </w:rPr>
              <w:t>Zero components were recovered from bundled/minified files.</w:t>
            </w:r>
          </w:p>
        </w:tc>
      </w:tr>
      <w:tr>
        <w:tc>
          <w:tcPr>
            <w:tcW w:type="dxa" w:w="718"/>
            <w:vAlign w:val="center"/>
            <w:tcMar>
              <w:top w:w="80" w:type="dxa"/>
              <w:start w:w="120" w:type="dxa"/>
              <w:bottom w:w="80" w:type="dxa"/>
              <w:end w:w="120" w:type="dxa"/>
            </w:tcMar>
          </w:tcPr>
          <w:p>
            <w:r>
              <w:rPr>
                <w:sz w:val="16"/>
              </w:rPr>
              <w:t>EVD-SOURCE-SBOM</w:t>
            </w:r>
          </w:p>
        </w:tc>
        <w:tc>
          <w:tcPr>
            <w:tcW w:type="dxa" w:w="1213"/>
            <w:vAlign w:val="center"/>
            <w:tcMar>
              <w:top w:w="80" w:type="dxa"/>
              <w:start w:w="120" w:type="dxa"/>
              <w:bottom w:w="80" w:type="dxa"/>
              <w:end w:w="120" w:type="dxa"/>
            </w:tcMar>
          </w:tcPr>
          <w:p>
            <w:r>
              <w:rPr>
                <w:sz w:val="16"/>
              </w:rPr>
              <w:t>Release-source CycloneDX SBOM</w:t>
            </w:r>
          </w:p>
        </w:tc>
        <w:tc>
          <w:tcPr>
            <w:tcW w:type="dxa" w:w="2031"/>
            <w:vAlign w:val="center"/>
            <w:tcMar>
              <w:top w:w="80" w:type="dxa"/>
              <w:start w:w="120" w:type="dxa"/>
              <w:bottom w:w="80" w:type="dxa"/>
              <w:end w:w="120" w:type="dxa"/>
            </w:tcMar>
          </w:tcPr>
          <w:p>
            <w:r>
              <w:rPr>
                <w:sz w:val="16"/>
              </w:rPr>
              <w:t>source-sbom.cdx.json</w:t>
            </w:r>
          </w:p>
        </w:tc>
        <w:tc>
          <w:tcPr>
            <w:tcW w:type="dxa" w:w="1911"/>
            <w:vAlign w:val="center"/>
            <w:tcMar>
              <w:top w:w="80" w:type="dxa"/>
              <w:start w:w="120" w:type="dxa"/>
              <w:bottom w:w="80" w:type="dxa"/>
              <w:end w:w="120" w:type="dxa"/>
            </w:tcMar>
          </w:tcPr>
          <w:p>
            <w:r>
              <w:rPr>
                <w:sz w:val="16"/>
              </w:rPr>
              <w:t>Syft release-source analysis</w:t>
            </w:r>
          </w:p>
        </w:tc>
        <w:tc>
          <w:tcPr>
            <w:tcW w:type="dxa" w:w="1062"/>
            <w:vAlign w:val="center"/>
            <w:tcMar>
              <w:top w:w="80" w:type="dxa"/>
              <w:start w:w="120" w:type="dxa"/>
              <w:bottom w:w="80" w:type="dxa"/>
              <w:end w:w="120" w:type="dxa"/>
            </w:tcMar>
          </w:tcPr>
          <w:p>
            <w:r>
              <w:rPr>
                <w:sz w:val="16"/>
              </w:rPr>
              <w:t>Verified inventory signal</w:t>
            </w:r>
          </w:p>
        </w:tc>
        <w:tc>
          <w:tcPr>
            <w:tcW w:type="dxa" w:w="2425"/>
            <w:vAlign w:val="center"/>
            <w:tcMar>
              <w:top w:w="80" w:type="dxa"/>
              <w:start w:w="120" w:type="dxa"/>
              <w:bottom w:w="80" w:type="dxa"/>
              <w:end w:w="120" w:type="dxa"/>
            </w:tcMar>
          </w:tcPr>
          <w:p>
            <w:r>
              <w:rPr>
                <w:sz w:val="16"/>
              </w:rPr>
              <w:t>2,056 components include monorepo scopes not necessarily shipped.</w:t>
            </w:r>
          </w:p>
        </w:tc>
      </w:tr>
      <w:tr>
        <w:tc>
          <w:tcPr>
            <w:tcW w:type="dxa" w:w="718"/>
            <w:vAlign w:val="center"/>
            <w:tcMar>
              <w:top w:w="80" w:type="dxa"/>
              <w:start w:w="120" w:type="dxa"/>
              <w:bottom w:w="80" w:type="dxa"/>
              <w:end w:w="120" w:type="dxa"/>
            </w:tcMar>
          </w:tcPr>
          <w:p>
            <w:r>
              <w:rPr>
                <w:sz w:val="16"/>
              </w:rPr>
              <w:t>EVD-GRYPE-SOURCE</w:t>
            </w:r>
          </w:p>
        </w:tc>
        <w:tc>
          <w:tcPr>
            <w:tcW w:type="dxa" w:w="1213"/>
            <w:vAlign w:val="center"/>
            <w:tcMar>
              <w:top w:w="80" w:type="dxa"/>
              <w:start w:w="120" w:type="dxa"/>
              <w:bottom w:w="80" w:type="dxa"/>
              <w:end w:w="120" w:type="dxa"/>
            </w:tcMar>
          </w:tcPr>
          <w:p>
            <w:r>
              <w:rPr>
                <w:sz w:val="16"/>
              </w:rPr>
              <w:t>Grype release-source advisory scan</w:t>
            </w:r>
          </w:p>
        </w:tc>
        <w:tc>
          <w:tcPr>
            <w:tcW w:type="dxa" w:w="2031"/>
            <w:vAlign w:val="center"/>
            <w:tcMar>
              <w:top w:w="80" w:type="dxa"/>
              <w:start w:w="120" w:type="dxa"/>
              <w:bottom w:w="80" w:type="dxa"/>
              <w:end w:w="120" w:type="dxa"/>
            </w:tcMar>
          </w:tcPr>
          <w:p>
            <w:r>
              <w:rPr>
                <w:sz w:val="16"/>
              </w:rPr>
              <w:t>grype-source.json</w:t>
            </w:r>
          </w:p>
        </w:tc>
        <w:tc>
          <w:tcPr>
            <w:tcW w:type="dxa" w:w="1911"/>
            <w:vAlign w:val="center"/>
            <w:tcMar>
              <w:top w:w="80" w:type="dxa"/>
              <w:start w:w="120" w:type="dxa"/>
              <w:bottom w:w="80" w:type="dxa"/>
              <w:end w:w="120" w:type="dxa"/>
            </w:tcMar>
          </w:tcPr>
          <w:p>
            <w:r>
              <w:rPr>
                <w:sz w:val="16"/>
              </w:rPr>
              <w:t>Advisory matching against source SBOM</w:t>
            </w:r>
          </w:p>
        </w:tc>
        <w:tc>
          <w:tcPr>
            <w:tcW w:type="dxa" w:w="1062"/>
            <w:vAlign w:val="center"/>
            <w:tcMar>
              <w:top w:w="80" w:type="dxa"/>
              <w:start w:w="120" w:type="dxa"/>
              <w:bottom w:w="80" w:type="dxa"/>
              <w:end w:w="120" w:type="dxa"/>
            </w:tcMar>
          </w:tcPr>
          <w:p>
            <w:r>
              <w:rPr>
                <w:sz w:val="16"/>
              </w:rPr>
              <w:t>113 matches</w:t>
            </w:r>
          </w:p>
        </w:tc>
        <w:tc>
          <w:tcPr>
            <w:tcW w:type="dxa" w:w="2425"/>
            <w:vAlign w:val="center"/>
            <w:tcMar>
              <w:top w:w="80" w:type="dxa"/>
              <w:start w:w="120" w:type="dxa"/>
              <w:bottom w:w="80" w:type="dxa"/>
              <w:end w:w="120" w:type="dxa"/>
            </w:tcMar>
          </w:tcPr>
          <w:p>
            <w:r>
              <w:rPr>
                <w:sz w:val="16"/>
              </w:rPr>
              <w:t>Package inclusion, affected code and reachability are unproven.</w:t>
            </w:r>
          </w:p>
        </w:tc>
      </w:tr>
      <w:tr>
        <w:tc>
          <w:tcPr>
            <w:tcW w:type="dxa" w:w="718"/>
            <w:vAlign w:val="center"/>
            <w:tcMar>
              <w:top w:w="80" w:type="dxa"/>
              <w:start w:w="120" w:type="dxa"/>
              <w:bottom w:w="80" w:type="dxa"/>
              <w:end w:w="120" w:type="dxa"/>
            </w:tcMar>
          </w:tcPr>
          <w:p>
            <w:r>
              <w:rPr>
                <w:sz w:val="16"/>
              </w:rPr>
              <w:t>EVD-TRIVY-SOURCE</w:t>
            </w:r>
          </w:p>
        </w:tc>
        <w:tc>
          <w:tcPr>
            <w:tcW w:type="dxa" w:w="1213"/>
            <w:vAlign w:val="center"/>
            <w:tcMar>
              <w:top w:w="80" w:type="dxa"/>
              <w:start w:w="120" w:type="dxa"/>
              <w:bottom w:w="80" w:type="dxa"/>
              <w:end w:w="120" w:type="dxa"/>
            </w:tcMar>
          </w:tcPr>
          <w:p>
            <w:r>
              <w:rPr>
                <w:sz w:val="16"/>
              </w:rPr>
              <w:t>Trivy release-source scan</w:t>
            </w:r>
          </w:p>
        </w:tc>
        <w:tc>
          <w:tcPr>
            <w:tcW w:type="dxa" w:w="2031"/>
            <w:vAlign w:val="center"/>
            <w:tcMar>
              <w:top w:w="80" w:type="dxa"/>
              <w:start w:w="120" w:type="dxa"/>
              <w:bottom w:w="80" w:type="dxa"/>
              <w:end w:w="120" w:type="dxa"/>
            </w:tcMar>
          </w:tcPr>
          <w:p>
            <w:r>
              <w:rPr>
                <w:sz w:val="16"/>
              </w:rPr>
              <w:t>trivy-source.json</w:t>
            </w:r>
          </w:p>
        </w:tc>
        <w:tc>
          <w:tcPr>
            <w:tcW w:type="dxa" w:w="1911"/>
            <w:vAlign w:val="center"/>
            <w:tcMar>
              <w:top w:w="80" w:type="dxa"/>
              <w:start w:w="120" w:type="dxa"/>
              <w:bottom w:w="80" w:type="dxa"/>
              <w:end w:w="120" w:type="dxa"/>
            </w:tcMar>
          </w:tcPr>
          <w:p>
            <w:r>
              <w:rPr>
                <w:sz w:val="16"/>
              </w:rPr>
              <w:t>Source dependency vulnerability and secret scan</w:t>
            </w:r>
          </w:p>
        </w:tc>
        <w:tc>
          <w:tcPr>
            <w:tcW w:type="dxa" w:w="1062"/>
            <w:vAlign w:val="center"/>
            <w:tcMar>
              <w:top w:w="80" w:type="dxa"/>
              <w:start w:w="120" w:type="dxa"/>
              <w:bottom w:w="80" w:type="dxa"/>
              <w:end w:w="120" w:type="dxa"/>
            </w:tcMar>
          </w:tcPr>
          <w:p>
            <w:r>
              <w:rPr>
                <w:sz w:val="16"/>
              </w:rPr>
              <w:t>99 vulnerabilities and zero secrets</w:t>
            </w:r>
          </w:p>
        </w:tc>
        <w:tc>
          <w:tcPr>
            <w:tcW w:type="dxa" w:w="2425"/>
            <w:vAlign w:val="center"/>
            <w:tcMar>
              <w:top w:w="80" w:type="dxa"/>
              <w:start w:w="120" w:type="dxa"/>
              <w:bottom w:w="80" w:type="dxa"/>
              <w:end w:w="120" w:type="dxa"/>
            </w:tcMar>
          </w:tcPr>
          <w:p>
            <w:r>
              <w:rPr>
                <w:sz w:val="16"/>
              </w:rPr>
              <w:t>Repository-wide results may include development, docs, tests and tooling.</w:t>
            </w:r>
          </w:p>
        </w:tc>
      </w:tr>
      <w:tr>
        <w:tc>
          <w:tcPr>
            <w:tcW w:type="dxa" w:w="718"/>
            <w:vAlign w:val="center"/>
            <w:tcMar>
              <w:top w:w="80" w:type="dxa"/>
              <w:start w:w="120" w:type="dxa"/>
              <w:bottom w:w="80" w:type="dxa"/>
              <w:end w:w="120" w:type="dxa"/>
            </w:tcMar>
          </w:tcPr>
          <w:p>
            <w:r>
              <w:rPr>
                <w:sz w:val="16"/>
              </w:rPr>
              <w:t>EVD-DOCS</w:t>
            </w:r>
          </w:p>
        </w:tc>
        <w:tc>
          <w:tcPr>
            <w:tcW w:type="dxa" w:w="1213"/>
            <w:vAlign w:val="center"/>
            <w:tcMar>
              <w:top w:w="80" w:type="dxa"/>
              <w:start w:w="120" w:type="dxa"/>
              <w:bottom w:w="80" w:type="dxa"/>
              <w:end w:w="120" w:type="dxa"/>
            </w:tcMar>
          </w:tcPr>
          <w:p>
            <w:r>
              <w:rPr>
                <w:sz w:val="16"/>
              </w:rPr>
              <w:t>Official Kimi Code documentation</w:t>
            </w:r>
          </w:p>
        </w:tc>
        <w:tc>
          <w:tcPr>
            <w:tcW w:type="dxa" w:w="2031"/>
            <w:vAlign w:val="center"/>
            <w:tcMar>
              <w:top w:w="80" w:type="dxa"/>
              <w:start w:w="120" w:type="dxa"/>
              <w:bottom w:w="80" w:type="dxa"/>
              <w:end w:w="120" w:type="dxa"/>
            </w:tcMar>
          </w:tcPr>
          <w:p>
            <w:r>
              <w:rPr>
                <w:sz w:val="16"/>
              </w:rPr>
              <w:t>Kimi Code guides for VS Code, MCP, configuration and feedback</w:t>
            </w:r>
          </w:p>
        </w:tc>
        <w:tc>
          <w:tcPr>
            <w:tcW w:type="dxa" w:w="1911"/>
            <w:vAlign w:val="center"/>
            <w:tcMar>
              <w:top w:w="80" w:type="dxa"/>
              <w:start w:w="120" w:type="dxa"/>
              <w:bottom w:w="80" w:type="dxa"/>
              <w:end w:w="120" w:type="dxa"/>
            </w:tcMar>
          </w:tcPr>
          <w:p>
            <w:r>
              <w:rPr>
                <w:sz w:val="16"/>
              </w:rPr>
              <w:t>Primary-source review</w:t>
            </w:r>
          </w:p>
        </w:tc>
        <w:tc>
          <w:tcPr>
            <w:tcW w:type="dxa" w:w="1062"/>
            <w:vAlign w:val="center"/>
            <w:tcMar>
              <w:top w:w="80" w:type="dxa"/>
              <w:start w:w="120" w:type="dxa"/>
              <w:bottom w:w="80" w:type="dxa"/>
              <w:end w:w="120" w:type="dxa"/>
            </w:tcMar>
          </w:tcPr>
          <w:p>
            <w:r>
              <w:rPr>
                <w:sz w:val="16"/>
              </w:rPr>
              <w:t>Verified statements</w:t>
            </w:r>
          </w:p>
        </w:tc>
        <w:tc>
          <w:tcPr>
            <w:tcW w:type="dxa" w:w="2425"/>
            <w:vAlign w:val="center"/>
            <w:tcMar>
              <w:top w:w="80" w:type="dxa"/>
              <w:start w:w="120" w:type="dxa"/>
              <w:bottom w:w="80" w:type="dxa"/>
              <w:end w:w="120" w:type="dxa"/>
            </w:tcMar>
          </w:tcPr>
          <w:p>
            <w:r>
              <w:rPr>
                <w:sz w:val="16"/>
              </w:rPr>
              <w:t>Documentation does not prove runtime enforcement.</w:t>
            </w:r>
          </w:p>
        </w:tc>
      </w:tr>
      <w:tr>
        <w:tc>
          <w:tcPr>
            <w:tcW w:type="dxa" w:w="718"/>
            <w:vAlign w:val="center"/>
            <w:tcMar>
              <w:top w:w="80" w:type="dxa"/>
              <w:start w:w="120" w:type="dxa"/>
              <w:bottom w:w="80" w:type="dxa"/>
              <w:end w:w="120" w:type="dxa"/>
            </w:tcMar>
          </w:tcPr>
          <w:p>
            <w:r>
              <w:rPr>
                <w:sz w:val="16"/>
              </w:rPr>
              <w:t>EVD-PRIVACY</w:t>
            </w:r>
          </w:p>
        </w:tc>
        <w:tc>
          <w:tcPr>
            <w:tcW w:type="dxa" w:w="1213"/>
            <w:vAlign w:val="center"/>
            <w:tcMar>
              <w:top w:w="80" w:type="dxa"/>
              <w:start w:w="120" w:type="dxa"/>
              <w:bottom w:w="80" w:type="dxa"/>
              <w:end w:w="120" w:type="dxa"/>
            </w:tcMar>
          </w:tcPr>
          <w:p>
            <w:r>
              <w:rPr>
                <w:sz w:val="16"/>
              </w:rPr>
              <w:t>Public Kimi data-use and terms materials</w:t>
            </w:r>
          </w:p>
        </w:tc>
        <w:tc>
          <w:tcPr>
            <w:tcW w:type="dxa" w:w="2031"/>
            <w:vAlign w:val="center"/>
            <w:tcMar>
              <w:top w:w="80" w:type="dxa"/>
              <w:start w:w="120" w:type="dxa"/>
              <w:bottom w:w="80" w:type="dxa"/>
              <w:end w:w="120" w:type="dxa"/>
            </w:tcMar>
          </w:tcPr>
          <w:p>
            <w:r>
              <w:rPr>
                <w:sz w:val="16"/>
              </w:rPr>
              <w:t>Official Kimi help and terms pages</w:t>
            </w:r>
          </w:p>
        </w:tc>
        <w:tc>
          <w:tcPr>
            <w:tcW w:type="dxa" w:w="1911"/>
            <w:vAlign w:val="center"/>
            <w:tcMar>
              <w:top w:w="80" w:type="dxa"/>
              <w:start w:w="120" w:type="dxa"/>
              <w:bottom w:w="80" w:type="dxa"/>
              <w:end w:w="120" w:type="dxa"/>
            </w:tcMar>
          </w:tcPr>
          <w:p>
            <w:r>
              <w:rPr>
                <w:sz w:val="16"/>
              </w:rPr>
              <w:t>Policy review</w:t>
            </w:r>
          </w:p>
        </w:tc>
        <w:tc>
          <w:tcPr>
            <w:tcW w:type="dxa" w:w="1062"/>
            <w:vAlign w:val="center"/>
            <w:tcMar>
              <w:top w:w="80" w:type="dxa"/>
              <w:start w:w="120" w:type="dxa"/>
              <w:bottom w:w="80" w:type="dxa"/>
              <w:end w:w="120" w:type="dxa"/>
            </w:tcMar>
          </w:tcPr>
          <w:p>
            <w:r>
              <w:rPr>
                <w:sz w:val="16"/>
              </w:rPr>
              <w:t>Verified public statements</w:t>
            </w:r>
          </w:p>
        </w:tc>
        <w:tc>
          <w:tcPr>
            <w:tcW w:type="dxa" w:w="2425"/>
            <w:vAlign w:val="center"/>
            <w:tcMar>
              <w:top w:w="80" w:type="dxa"/>
              <w:start w:w="120" w:type="dxa"/>
              <w:bottom w:w="80" w:type="dxa"/>
              <w:end w:w="120" w:type="dxa"/>
            </w:tcMar>
          </w:tcPr>
          <w:p>
            <w:r>
              <w:rPr>
                <w:sz w:val="16"/>
              </w:rPr>
              <w:t>No enterprise contract or DPA was supplied.</w:t>
            </w:r>
          </w:p>
        </w:tc>
      </w:tr>
      <w:tr>
        <w:tc>
          <w:tcPr>
            <w:tcW w:type="dxa" w:w="718"/>
            <w:vAlign w:val="center"/>
            <w:tcMar>
              <w:top w:w="80" w:type="dxa"/>
              <w:start w:w="120" w:type="dxa"/>
              <w:bottom w:w="80" w:type="dxa"/>
              <w:end w:w="120" w:type="dxa"/>
            </w:tcMar>
          </w:tcPr>
          <w:p>
            <w:r>
              <w:rPr>
                <w:sz w:val="16"/>
              </w:rPr>
              <w:t>EVD-RUNTIME-BLOCKED</w:t>
            </w:r>
          </w:p>
        </w:tc>
        <w:tc>
          <w:tcPr>
            <w:tcW w:type="dxa" w:w="1213"/>
            <w:vAlign w:val="center"/>
            <w:tcMar>
              <w:top w:w="80" w:type="dxa"/>
              <w:start w:w="120" w:type="dxa"/>
              <w:bottom w:w="80" w:type="dxa"/>
              <w:end w:w="120" w:type="dxa"/>
            </w:tcMar>
          </w:tcPr>
          <w:p>
            <w:r>
              <w:rPr>
                <w:sz w:val="16"/>
              </w:rPr>
              <w:t>Runtime readiness record</w:t>
            </w:r>
          </w:p>
        </w:tc>
        <w:tc>
          <w:tcPr>
            <w:tcW w:type="dxa" w:w="2031"/>
            <w:vAlign w:val="center"/>
            <w:tcMar>
              <w:top w:w="80" w:type="dxa"/>
              <w:start w:w="120" w:type="dxa"/>
              <w:bottom w:w="80" w:type="dxa"/>
              <w:end w:w="120" w:type="dxa"/>
            </w:tcMar>
          </w:tcPr>
          <w:p>
            <w:r>
              <w:rPr>
                <w:sz w:val="16"/>
              </w:rPr>
              <w:t>Stage 07 safety gate</w:t>
            </w:r>
          </w:p>
        </w:tc>
        <w:tc>
          <w:tcPr>
            <w:tcW w:type="dxa" w:w="1911"/>
            <w:vAlign w:val="center"/>
            <w:tcMar>
              <w:top w:w="80" w:type="dxa"/>
              <w:start w:w="120" w:type="dxa"/>
              <w:bottom w:w="80" w:type="dxa"/>
              <w:end w:w="120" w:type="dxa"/>
            </w:tcMar>
          </w:tcPr>
          <w:p>
            <w:r>
              <w:rPr>
                <w:sz w:val="16"/>
              </w:rPr>
              <w:t>Representative-host prerequisite assessment</w:t>
            </w:r>
          </w:p>
        </w:tc>
        <w:tc>
          <w:tcPr>
            <w:tcW w:type="dxa" w:w="1062"/>
            <w:vAlign w:val="center"/>
            <w:tcMar>
              <w:top w:w="80" w:type="dxa"/>
              <w:start w:w="120" w:type="dxa"/>
              <w:bottom w:w="80" w:type="dxa"/>
              <w:end w:w="120" w:type="dxa"/>
            </w:tcMar>
          </w:tcPr>
          <w:p>
            <w:r>
              <w:rPr>
                <w:sz w:val="16"/>
              </w:rPr>
              <w:t>Blocked</w:t>
            </w:r>
          </w:p>
        </w:tc>
        <w:tc>
          <w:tcPr>
            <w:tcW w:type="dxa" w:w="2425"/>
            <w:vAlign w:val="center"/>
            <w:tcMar>
              <w:top w:w="80" w:type="dxa"/>
              <w:start w:w="120" w:type="dxa"/>
              <w:bottom w:w="80" w:type="dxa"/>
              <w:end w:w="120" w:type="dxa"/>
            </w:tcMar>
          </w:tcPr>
          <w:p>
            <w:r>
              <w:rPr>
                <w:sz w:val="16"/>
              </w:rPr>
              <w:t>No extension process, network session, approval flow or residue was observed.</w:t>
            </w:r>
          </w:p>
        </w:tc>
      </w:tr>
      <w:tr>
        <w:tc>
          <w:tcPr>
            <w:tcW w:type="dxa" w:w="718"/>
            <w:vAlign w:val="center"/>
            <w:tcMar>
              <w:top w:w="80" w:type="dxa"/>
              <w:start w:w="120" w:type="dxa"/>
              <w:bottom w:w="80" w:type="dxa"/>
              <w:end w:w="120" w:type="dxa"/>
            </w:tcMar>
          </w:tcPr>
          <w:p>
            <w:r>
              <w:rPr>
                <w:sz w:val="16"/>
              </w:rPr>
              <w:t>EVD-LICENSE</w:t>
            </w:r>
          </w:p>
        </w:tc>
        <w:tc>
          <w:tcPr>
            <w:tcW w:type="dxa" w:w="1213"/>
            <w:vAlign w:val="center"/>
            <w:tcMar>
              <w:top w:w="80" w:type="dxa"/>
              <w:start w:w="120" w:type="dxa"/>
              <w:bottom w:w="80" w:type="dxa"/>
              <w:end w:w="120" w:type="dxa"/>
            </w:tcMar>
          </w:tcPr>
          <w:p>
            <w:r>
              <w:rPr>
                <w:sz w:val="16"/>
              </w:rPr>
              <w:t>Licence declaration comparison</w:t>
            </w:r>
          </w:p>
        </w:tc>
        <w:tc>
          <w:tcPr>
            <w:tcW w:type="dxa" w:w="2031"/>
            <w:vAlign w:val="center"/>
            <w:tcMar>
              <w:top w:w="80" w:type="dxa"/>
              <w:start w:w="120" w:type="dxa"/>
              <w:bottom w:w="80" w:type="dxa"/>
              <w:end w:w="120" w:type="dxa"/>
            </w:tcMar>
          </w:tcPr>
          <w:p>
            <w:r>
              <w:rPr>
                <w:sz w:val="16"/>
              </w:rPr>
              <w:t>VSIX package manifest and exact release-source root licence</w:t>
            </w:r>
          </w:p>
        </w:tc>
        <w:tc>
          <w:tcPr>
            <w:tcW w:type="dxa" w:w="1911"/>
            <w:vAlign w:val="center"/>
            <w:tcMar>
              <w:top w:w="80" w:type="dxa"/>
              <w:start w:w="120" w:type="dxa"/>
              <w:bottom w:w="80" w:type="dxa"/>
              <w:end w:w="120" w:type="dxa"/>
            </w:tcMar>
          </w:tcPr>
          <w:p>
            <w:r>
              <w:rPr>
                <w:sz w:val="16"/>
              </w:rPr>
              <w:t>Static notice comparison</w:t>
            </w:r>
          </w:p>
        </w:tc>
        <w:tc>
          <w:tcPr>
            <w:tcW w:type="dxa" w:w="1062"/>
            <w:vAlign w:val="center"/>
            <w:tcMar>
              <w:top w:w="80" w:type="dxa"/>
              <w:start w:w="120" w:type="dxa"/>
              <w:bottom w:w="80" w:type="dxa"/>
              <w:end w:w="120" w:type="dxa"/>
            </w:tcMar>
          </w:tcPr>
          <w:p>
            <w:r>
              <w:rPr>
                <w:sz w:val="16"/>
              </w:rPr>
              <w:t>Discrepancy verified</w:t>
            </w:r>
          </w:p>
        </w:tc>
        <w:tc>
          <w:tcPr>
            <w:tcW w:type="dxa" w:w="2425"/>
            <w:vAlign w:val="center"/>
            <w:tcMar>
              <w:top w:w="80" w:type="dxa"/>
              <w:start w:w="120" w:type="dxa"/>
              <w:bottom w:w="80" w:type="dxa"/>
              <w:end w:w="120" w:type="dxa"/>
            </w:tcMar>
          </w:tcPr>
          <w:p>
            <w:r>
              <w:rPr>
                <w:sz w:val="16"/>
              </w:rPr>
              <w:t>The assessment does not determine which licence legally governs the package.</w:t>
            </w:r>
          </w:p>
        </w:tc>
      </w:tr>
      <w:tr>
        <w:tc>
          <w:tcPr>
            <w:tcW w:type="dxa" w:w="718"/>
            <w:vAlign w:val="center"/>
            <w:tcMar>
              <w:top w:w="80" w:type="dxa"/>
              <w:start w:w="120" w:type="dxa"/>
              <w:bottom w:w="80" w:type="dxa"/>
              <w:end w:w="120" w:type="dxa"/>
            </w:tcMar>
          </w:tcPr>
          <w:p>
            <w:r>
              <w:rPr>
                <w:sz w:val="16"/>
              </w:rPr>
              <w:t>EVD-VSCODE-TRUST</w:t>
            </w:r>
          </w:p>
        </w:tc>
        <w:tc>
          <w:tcPr>
            <w:tcW w:type="dxa" w:w="1213"/>
            <w:vAlign w:val="center"/>
            <w:tcMar>
              <w:top w:w="80" w:type="dxa"/>
              <w:start w:w="120" w:type="dxa"/>
              <w:bottom w:w="80" w:type="dxa"/>
              <w:end w:w="120" w:type="dxa"/>
            </w:tcMar>
          </w:tcPr>
          <w:p>
            <w:r>
              <w:rPr>
                <w:sz w:val="16"/>
              </w:rPr>
              <w:t>VS Code Workspace Trust guidance</w:t>
            </w:r>
          </w:p>
        </w:tc>
        <w:tc>
          <w:tcPr>
            <w:tcW w:type="dxa" w:w="2031"/>
            <w:vAlign w:val="center"/>
            <w:tcMar>
              <w:top w:w="80" w:type="dxa"/>
              <w:start w:w="120" w:type="dxa"/>
              <w:bottom w:w="80" w:type="dxa"/>
              <w:end w:w="120" w:type="dxa"/>
            </w:tcMar>
          </w:tcPr>
          <w:p>
            <w:hyperlink w:anchor="REF_009">
              <w:r>
                <w:rPr>
                  <w:rStyle w:val="Hyperlink"/>
                </w:rPr>
                <w:t>REF-009</w:t>
              </w:r>
            </w:hyperlink>
          </w:p>
        </w:tc>
        <w:tc>
          <w:tcPr>
            <w:tcW w:type="dxa" w:w="1911"/>
            <w:vAlign w:val="center"/>
            <w:tcMar>
              <w:top w:w="80" w:type="dxa"/>
              <w:start w:w="120" w:type="dxa"/>
              <w:bottom w:w="80" w:type="dxa"/>
              <w:end w:w="120" w:type="dxa"/>
            </w:tcMar>
          </w:tcPr>
          <w:p>
            <w:r>
              <w:rPr>
                <w:sz w:val="16"/>
              </w:rPr>
              <w:t>Primary-source control review</w:t>
            </w:r>
          </w:p>
        </w:tc>
        <w:tc>
          <w:tcPr>
            <w:tcW w:type="dxa" w:w="1062"/>
            <w:vAlign w:val="center"/>
            <w:tcMar>
              <w:top w:w="80" w:type="dxa"/>
              <w:start w:w="120" w:type="dxa"/>
              <w:bottom w:w="80" w:type="dxa"/>
              <w:end w:w="120" w:type="dxa"/>
            </w:tcMar>
          </w:tcPr>
          <w:p>
            <w:r>
              <w:rPr>
                <w:sz w:val="16"/>
              </w:rPr>
              <w:t>Verified statement</w:t>
            </w:r>
          </w:p>
        </w:tc>
        <w:tc>
          <w:tcPr>
            <w:tcW w:type="dxa" w:w="2425"/>
            <w:vAlign w:val="center"/>
            <w:tcMar>
              <w:top w:w="80" w:type="dxa"/>
              <w:start w:w="120" w:type="dxa"/>
              <w:bottom w:w="80" w:type="dxa"/>
              <w:end w:w="120" w:type="dxa"/>
            </w:tcMar>
          </w:tcPr>
          <w:p>
            <w:r>
              <w:rPr>
                <w:sz w:val="16"/>
              </w:rPr>
              <w:t>Guidance does not prove extension enforcement in the blocked runtime.</w:t>
            </w:r>
          </w:p>
        </w:tc>
      </w:tr>
      <w:tr>
        <w:tc>
          <w:tcPr>
            <w:tcW w:type="dxa" w:w="718"/>
            <w:vAlign w:val="center"/>
            <w:tcMar>
              <w:top w:w="80" w:type="dxa"/>
              <w:start w:w="120" w:type="dxa"/>
              <w:bottom w:w="80" w:type="dxa"/>
              <w:end w:w="120" w:type="dxa"/>
            </w:tcMar>
          </w:tcPr>
          <w:p>
            <w:r>
              <w:rPr>
                <w:sz w:val="16"/>
              </w:rPr>
              <w:t>EVD-OWASP</w:t>
            </w:r>
          </w:p>
        </w:tc>
        <w:tc>
          <w:tcPr>
            <w:tcW w:type="dxa" w:w="1213"/>
            <w:vAlign w:val="center"/>
            <w:tcMar>
              <w:top w:w="80" w:type="dxa"/>
              <w:start w:w="120" w:type="dxa"/>
              <w:bottom w:w="80" w:type="dxa"/>
              <w:end w:w="120" w:type="dxa"/>
            </w:tcMar>
          </w:tcPr>
          <w:p>
            <w:r>
              <w:rPr>
                <w:sz w:val="16"/>
              </w:rPr>
              <w:t>OWASP agentic and MCP risk guidance</w:t>
            </w:r>
          </w:p>
        </w:tc>
        <w:tc>
          <w:tcPr>
            <w:tcW w:type="dxa" w:w="2031"/>
            <w:vAlign w:val="center"/>
            <w:tcMar>
              <w:top w:w="80" w:type="dxa"/>
              <w:start w:w="120" w:type="dxa"/>
              <w:bottom w:w="80" w:type="dxa"/>
              <w:end w:w="120" w:type="dxa"/>
            </w:tcMar>
          </w:tcPr>
          <w:p>
            <w:hyperlink w:anchor="REF_012">
              <w:r>
                <w:rPr>
                  <w:rStyle w:val="Hyperlink"/>
                </w:rPr>
                <w:t>REF-012</w:t>
              </w:r>
            </w:hyperlink>
            <w:r>
              <w:rPr>
                <w:sz w:val="16"/>
              </w:rPr>
              <w:t xml:space="preserve"> and </w:t>
            </w:r>
            <w:hyperlink w:anchor="REF_013">
              <w:r>
                <w:rPr>
                  <w:rStyle w:val="Hyperlink"/>
                </w:rPr>
                <w:t>REF-013</w:t>
              </w:r>
            </w:hyperlink>
          </w:p>
        </w:tc>
        <w:tc>
          <w:tcPr>
            <w:tcW w:type="dxa" w:w="1911"/>
            <w:vAlign w:val="center"/>
            <w:tcMar>
              <w:top w:w="80" w:type="dxa"/>
              <w:start w:w="120" w:type="dxa"/>
              <w:bottom w:w="80" w:type="dxa"/>
              <w:end w:w="120" w:type="dxa"/>
            </w:tcMar>
          </w:tcPr>
          <w:p>
            <w:r>
              <w:rPr>
                <w:sz w:val="16"/>
              </w:rPr>
              <w:t>Authoritative control-framework mapping</w:t>
            </w:r>
          </w:p>
        </w:tc>
        <w:tc>
          <w:tcPr>
            <w:tcW w:type="dxa" w:w="1062"/>
            <w:vAlign w:val="center"/>
            <w:tcMar>
              <w:top w:w="80" w:type="dxa"/>
              <w:start w:w="120" w:type="dxa"/>
              <w:bottom w:w="80" w:type="dxa"/>
              <w:end w:w="120" w:type="dxa"/>
            </w:tcMar>
          </w:tcPr>
          <w:p>
            <w:r>
              <w:rPr>
                <w:sz w:val="16"/>
              </w:rPr>
              <w:t>Verified guidance</w:t>
            </w:r>
          </w:p>
        </w:tc>
        <w:tc>
          <w:tcPr>
            <w:tcW w:type="dxa" w:w="2425"/>
            <w:vAlign w:val="center"/>
            <w:tcMar>
              <w:top w:w="80" w:type="dxa"/>
              <w:start w:w="120" w:type="dxa"/>
              <w:bottom w:w="80" w:type="dxa"/>
              <w:end w:w="120" w:type="dxa"/>
            </w:tcMar>
          </w:tcPr>
          <w:p>
            <w:r>
              <w:rPr>
                <w:sz w:val="16"/>
              </w:rPr>
              <w:t>Framework mappings are not direct evidence of product control effectiveness.</w:t>
            </w:r>
          </w:p>
        </w:tc>
      </w:tr>
      <w:tr>
        <w:tc>
          <w:tcPr>
            <w:tcW w:type="dxa" w:w="718"/>
            <w:vAlign w:val="center"/>
            <w:tcMar>
              <w:top w:w="80" w:type="dxa"/>
              <w:start w:w="120" w:type="dxa"/>
              <w:bottom w:w="80" w:type="dxa"/>
              <w:end w:w="120" w:type="dxa"/>
            </w:tcMar>
          </w:tcPr>
          <w:p>
            <w:r>
              <w:rPr>
                <w:sz w:val="16"/>
              </w:rPr>
              <w:t>EVD-NIST</w:t>
            </w:r>
          </w:p>
        </w:tc>
        <w:tc>
          <w:tcPr>
            <w:tcW w:type="dxa" w:w="1213"/>
            <w:vAlign w:val="center"/>
            <w:tcMar>
              <w:top w:w="80" w:type="dxa"/>
              <w:start w:w="120" w:type="dxa"/>
              <w:bottom w:w="80" w:type="dxa"/>
              <w:end w:w="120" w:type="dxa"/>
            </w:tcMar>
          </w:tcPr>
          <w:p>
            <w:r>
              <w:rPr>
                <w:sz w:val="16"/>
              </w:rPr>
              <w:t>NIST AI risk-management guidance</w:t>
            </w:r>
          </w:p>
        </w:tc>
        <w:tc>
          <w:tcPr>
            <w:tcW w:type="dxa" w:w="2031"/>
            <w:vAlign w:val="center"/>
            <w:tcMar>
              <w:top w:w="80" w:type="dxa"/>
              <w:start w:w="120" w:type="dxa"/>
              <w:bottom w:w="80" w:type="dxa"/>
              <w:end w:w="120" w:type="dxa"/>
            </w:tcMar>
          </w:tcPr>
          <w:p>
            <w:hyperlink w:anchor="REF_014">
              <w:r>
                <w:rPr>
                  <w:rStyle w:val="Hyperlink"/>
                </w:rPr>
                <w:t>REF-014</w:t>
              </w:r>
            </w:hyperlink>
            <w:r>
              <w:rPr>
                <w:sz w:val="16"/>
              </w:rPr>
              <w:t xml:space="preserve"> and </w:t>
            </w:r>
            <w:hyperlink w:anchor="REF_015">
              <w:r>
                <w:rPr>
                  <w:rStyle w:val="Hyperlink"/>
                </w:rPr>
                <w:t>REF-015</w:t>
              </w:r>
            </w:hyperlink>
          </w:p>
        </w:tc>
        <w:tc>
          <w:tcPr>
            <w:tcW w:type="dxa" w:w="1911"/>
            <w:vAlign w:val="center"/>
            <w:tcMar>
              <w:top w:w="80" w:type="dxa"/>
              <w:start w:w="120" w:type="dxa"/>
              <w:bottom w:w="80" w:type="dxa"/>
              <w:end w:w="120" w:type="dxa"/>
            </w:tcMar>
          </w:tcPr>
          <w:p>
            <w:r>
              <w:rPr>
                <w:sz w:val="16"/>
              </w:rPr>
              <w:t>Authoritative control-framework mapping</w:t>
            </w:r>
          </w:p>
        </w:tc>
        <w:tc>
          <w:tcPr>
            <w:tcW w:type="dxa" w:w="1062"/>
            <w:vAlign w:val="center"/>
            <w:tcMar>
              <w:top w:w="80" w:type="dxa"/>
              <w:start w:w="120" w:type="dxa"/>
              <w:bottom w:w="80" w:type="dxa"/>
              <w:end w:w="120" w:type="dxa"/>
            </w:tcMar>
          </w:tcPr>
          <w:p>
            <w:r>
              <w:rPr>
                <w:sz w:val="16"/>
              </w:rPr>
              <w:t>Verified guidance</w:t>
            </w:r>
          </w:p>
        </w:tc>
        <w:tc>
          <w:tcPr>
            <w:tcW w:type="dxa" w:w="2425"/>
            <w:vAlign w:val="center"/>
            <w:tcMar>
              <w:top w:w="80" w:type="dxa"/>
              <w:start w:w="120" w:type="dxa"/>
              <w:bottom w:w="80" w:type="dxa"/>
              <w:end w:w="120" w:type="dxa"/>
            </w:tcMar>
          </w:tcPr>
          <w:p>
            <w:r>
              <w:rPr>
                <w:sz w:val="16"/>
              </w:rPr>
              <w:t>Framework mappings are not direct evidence of product control effectiveness.</w:t>
            </w:r>
          </w:p>
        </w:tc>
      </w:tr>
      <w:tr>
        <w:tc>
          <w:tcPr>
            <w:tcW w:type="dxa" w:w="718"/>
            <w:vAlign w:val="center"/>
            <w:tcMar>
              <w:top w:w="80" w:type="dxa"/>
              <w:start w:w="120" w:type="dxa"/>
              <w:bottom w:w="80" w:type="dxa"/>
              <w:end w:w="120" w:type="dxa"/>
            </w:tcMar>
          </w:tcPr>
          <w:p>
            <w:r>
              <w:rPr>
                <w:sz w:val="16"/>
              </w:rPr>
              <w:t>EVD-ICO</w:t>
            </w:r>
          </w:p>
        </w:tc>
        <w:tc>
          <w:tcPr>
            <w:tcW w:type="dxa" w:w="1213"/>
            <w:vAlign w:val="center"/>
            <w:tcMar>
              <w:top w:w="80" w:type="dxa"/>
              <w:start w:w="120" w:type="dxa"/>
              <w:bottom w:w="80" w:type="dxa"/>
              <w:end w:w="120" w:type="dxa"/>
            </w:tcMar>
          </w:tcPr>
          <w:p>
            <w:r>
              <w:rPr>
                <w:sz w:val="16"/>
              </w:rPr>
              <w:t>ICO AI and data-protection guidance</w:t>
            </w:r>
          </w:p>
        </w:tc>
        <w:tc>
          <w:tcPr>
            <w:tcW w:type="dxa" w:w="2031"/>
            <w:vAlign w:val="center"/>
            <w:tcMar>
              <w:top w:w="80" w:type="dxa"/>
              <w:start w:w="120" w:type="dxa"/>
              <w:bottom w:w="80" w:type="dxa"/>
              <w:end w:w="120" w:type="dxa"/>
            </w:tcMar>
          </w:tcPr>
          <w:p>
            <w:hyperlink w:anchor="REF_016">
              <w:r>
                <w:rPr>
                  <w:rStyle w:val="Hyperlink"/>
                </w:rPr>
                <w:t>REF-016</w:t>
              </w:r>
            </w:hyperlink>
          </w:p>
        </w:tc>
        <w:tc>
          <w:tcPr>
            <w:tcW w:type="dxa" w:w="1911"/>
            <w:vAlign w:val="center"/>
            <w:tcMar>
              <w:top w:w="80" w:type="dxa"/>
              <w:start w:w="120" w:type="dxa"/>
              <w:bottom w:w="80" w:type="dxa"/>
              <w:end w:w="120" w:type="dxa"/>
            </w:tcMar>
          </w:tcPr>
          <w:p>
            <w:r>
              <w:rPr>
                <w:sz w:val="16"/>
              </w:rPr>
              <w:t>Regulatory-guidance review</w:t>
            </w:r>
          </w:p>
        </w:tc>
        <w:tc>
          <w:tcPr>
            <w:tcW w:type="dxa" w:w="1062"/>
            <w:vAlign w:val="center"/>
            <w:tcMar>
              <w:top w:w="80" w:type="dxa"/>
              <w:start w:w="120" w:type="dxa"/>
              <w:bottom w:w="80" w:type="dxa"/>
              <w:end w:w="120" w:type="dxa"/>
            </w:tcMar>
          </w:tcPr>
          <w:p>
            <w:r>
              <w:rPr>
                <w:sz w:val="16"/>
              </w:rPr>
              <w:t>Verified guidance</w:t>
            </w:r>
          </w:p>
        </w:tc>
        <w:tc>
          <w:tcPr>
            <w:tcW w:type="dxa" w:w="2425"/>
            <w:vAlign w:val="center"/>
            <w:tcMar>
              <w:top w:w="80" w:type="dxa"/>
              <w:start w:w="120" w:type="dxa"/>
              <w:bottom w:w="80" w:type="dxa"/>
              <w:end w:w="120" w:type="dxa"/>
            </w:tcMar>
          </w:tcPr>
          <w:p>
            <w:r>
              <w:rPr>
                <w:sz w:val="16"/>
              </w:rPr>
              <w:t>Applicability and compliance require organisation-specific legal assessment.</w:t>
            </w:r>
          </w:p>
        </w:tc>
      </w:tr>
      <w:tr>
        <w:tc>
          <w:tcPr>
            <w:tcW w:type="dxa" w:w="718"/>
            <w:vAlign w:val="center"/>
            <w:tcMar>
              <w:top w:w="80" w:type="dxa"/>
              <w:start w:w="120" w:type="dxa"/>
              <w:bottom w:w="80" w:type="dxa"/>
              <w:end w:w="120" w:type="dxa"/>
            </w:tcMar>
          </w:tcPr>
          <w:p>
            <w:r>
              <w:rPr>
                <w:sz w:val="16"/>
              </w:rPr>
              <w:t>EVD-FCA</w:t>
            </w:r>
          </w:p>
        </w:tc>
        <w:tc>
          <w:tcPr>
            <w:tcW w:type="dxa" w:w="1213"/>
            <w:vAlign w:val="center"/>
            <w:tcMar>
              <w:top w:w="80" w:type="dxa"/>
              <w:start w:w="120" w:type="dxa"/>
              <w:bottom w:w="80" w:type="dxa"/>
              <w:end w:w="120" w:type="dxa"/>
            </w:tcMar>
          </w:tcPr>
          <w:p>
            <w:r>
              <w:rPr>
                <w:sz w:val="16"/>
              </w:rPr>
              <w:t>FCA AI and operational-risk guidance</w:t>
            </w:r>
          </w:p>
        </w:tc>
        <w:tc>
          <w:tcPr>
            <w:tcW w:type="dxa" w:w="2031"/>
            <w:vAlign w:val="center"/>
            <w:tcMar>
              <w:top w:w="80" w:type="dxa"/>
              <w:start w:w="120" w:type="dxa"/>
              <w:bottom w:w="80" w:type="dxa"/>
              <w:end w:w="120" w:type="dxa"/>
            </w:tcMar>
          </w:tcPr>
          <w:p>
            <w:hyperlink w:anchor="REF_017">
              <w:r>
                <w:rPr>
                  <w:rStyle w:val="Hyperlink"/>
                </w:rPr>
                <w:t>REF-017</w:t>
              </w:r>
            </w:hyperlink>
            <w:r>
              <w:rPr>
                <w:sz w:val="16"/>
              </w:rPr>
              <w:t xml:space="preserve"> and </w:t>
            </w:r>
            <w:hyperlink w:anchor="REF_018">
              <w:r>
                <w:rPr>
                  <w:rStyle w:val="Hyperlink"/>
                </w:rPr>
                <w:t>REF-018</w:t>
              </w:r>
            </w:hyperlink>
          </w:p>
        </w:tc>
        <w:tc>
          <w:tcPr>
            <w:tcW w:type="dxa" w:w="1911"/>
            <w:vAlign w:val="center"/>
            <w:tcMar>
              <w:top w:w="80" w:type="dxa"/>
              <w:start w:w="120" w:type="dxa"/>
              <w:bottom w:w="80" w:type="dxa"/>
              <w:end w:w="120" w:type="dxa"/>
            </w:tcMar>
          </w:tcPr>
          <w:p>
            <w:r>
              <w:rPr>
                <w:sz w:val="16"/>
              </w:rPr>
              <w:t>Regulatory-guidance review</w:t>
            </w:r>
          </w:p>
        </w:tc>
        <w:tc>
          <w:tcPr>
            <w:tcW w:type="dxa" w:w="1062"/>
            <w:vAlign w:val="center"/>
            <w:tcMar>
              <w:top w:w="80" w:type="dxa"/>
              <w:start w:w="120" w:type="dxa"/>
              <w:bottom w:w="80" w:type="dxa"/>
              <w:end w:w="120" w:type="dxa"/>
            </w:tcMar>
          </w:tcPr>
          <w:p>
            <w:r>
              <w:rPr>
                <w:sz w:val="16"/>
              </w:rPr>
              <w:t>Verified guidance</w:t>
            </w:r>
          </w:p>
        </w:tc>
        <w:tc>
          <w:tcPr>
            <w:tcW w:type="dxa" w:w="2425"/>
            <w:vAlign w:val="center"/>
            <w:tcMar>
              <w:top w:w="80" w:type="dxa"/>
              <w:start w:w="120" w:type="dxa"/>
              <w:bottom w:w="80" w:type="dxa"/>
              <w:end w:w="120" w:type="dxa"/>
            </w:tcMar>
          </w:tcPr>
          <w:p>
            <w:r>
              <w:rPr>
                <w:sz w:val="16"/>
              </w:rPr>
              <w:t>Applicability and compliance require organisation-specific legal assessment.</w:t>
            </w:r>
          </w:p>
        </w:tc>
      </w:tr>
      <w:tr>
        <w:tc>
          <w:tcPr>
            <w:tcW w:type="dxa" w:w="718"/>
            <w:vAlign w:val="center"/>
            <w:tcMar>
              <w:top w:w="80" w:type="dxa"/>
              <w:start w:w="120" w:type="dxa"/>
              <w:bottom w:w="80" w:type="dxa"/>
              <w:end w:w="120" w:type="dxa"/>
            </w:tcMar>
          </w:tcPr>
          <w:p>
            <w:r>
              <w:rPr>
                <w:sz w:val="16"/>
              </w:rPr>
              <w:t>EVD-CITATION-CORRECTION</w:t>
            </w:r>
          </w:p>
        </w:tc>
        <w:tc>
          <w:tcPr>
            <w:tcW w:type="dxa" w:w="1213"/>
            <w:vAlign w:val="center"/>
            <w:tcMar>
              <w:top w:w="80" w:type="dxa"/>
              <w:start w:w="120" w:type="dxa"/>
              <w:bottom w:w="80" w:type="dxa"/>
              <w:end w:w="120" w:type="dxa"/>
            </w:tcMar>
          </w:tcPr>
          <w:p>
            <w:r>
              <w:rPr>
                <w:sz w:val="16"/>
              </w:rPr>
              <w:t>Citation correction provenance</w:t>
            </w:r>
          </w:p>
        </w:tc>
        <w:tc>
          <w:tcPr>
            <w:tcW w:type="dxa" w:w="2031"/>
            <w:vAlign w:val="center"/>
            <w:tcMar>
              <w:top w:w="80" w:type="dxa"/>
              <w:start w:w="120" w:type="dxa"/>
              <w:bottom w:w="80" w:type="dxa"/>
              <w:end w:w="120" w:type="dxa"/>
            </w:tcMar>
          </w:tcPr>
          <w:p>
            <w:r>
              <w:rPr>
                <w:sz w:val="16"/>
              </w:rPr>
              <w:t>correction-provenance.json</w:t>
            </w:r>
          </w:p>
        </w:tc>
        <w:tc>
          <w:tcPr>
            <w:tcW w:type="dxa" w:w="1911"/>
            <w:vAlign w:val="center"/>
            <w:tcMar>
              <w:top w:w="80" w:type="dxa"/>
              <w:start w:w="120" w:type="dxa"/>
              <w:bottom w:w="80" w:type="dxa"/>
              <w:end w:w="120" w:type="dxa"/>
            </w:tcMar>
          </w:tcPr>
          <w:p>
            <w:r>
              <w:rPr>
                <w:sz w:val="16"/>
              </w:rPr>
              <w:t>Canonical URL verification and report-version comparison</w:t>
            </w:r>
          </w:p>
        </w:tc>
        <w:tc>
          <w:tcPr>
            <w:tcW w:type="dxa" w:w="1062"/>
            <w:vAlign w:val="center"/>
            <w:tcMar>
              <w:top w:w="80" w:type="dxa"/>
              <w:start w:w="120" w:type="dxa"/>
              <w:bottom w:w="80" w:type="dxa"/>
              <w:end w:w="120" w:type="dxa"/>
            </w:tcMar>
          </w:tcPr>
          <w:p>
            <w:r>
              <w:rPr>
                <w:sz w:val="16"/>
              </w:rPr>
              <w:t>Verified</w:t>
            </w:r>
          </w:p>
        </w:tc>
        <w:tc>
          <w:tcPr>
            <w:tcW w:type="dxa" w:w="2425"/>
            <w:vAlign w:val="center"/>
            <w:tcMar>
              <w:top w:w="80" w:type="dxa"/>
              <w:start w:w="120" w:type="dxa"/>
              <w:bottom w:w="80" w:type="dxa"/>
              <w:end w:w="120" w:type="dxa"/>
            </w:tcMar>
          </w:tcPr>
          <w:p>
            <w:r>
              <w:rPr>
                <w:sz w:val="16"/>
              </w:rPr>
              <w:t xml:space="preserve">The correction changes </w:t>
            </w:r>
            <w:hyperlink w:anchor="REF_004">
              <w:r>
                <w:rPr>
                  <w:rStyle w:val="Hyperlink"/>
                </w:rPr>
                <w:t>REF-004</w:t>
              </w:r>
            </w:hyperlink>
            <w:r>
              <w:rPr>
                <w:sz w:val="16"/>
              </w:rPr>
              <w:t xml:space="preserve"> and report/QA metadata only; it adds no runtime evidence and changes no finding, score or decision.</w:t>
            </w:r>
          </w:p>
        </w:tc>
      </w:tr>
    </w:tbl>
    <w:p/>
    <w:p>
      <w:pPr>
        <w:pStyle w:val="Heading1"/>
      </w:pPr>
      <w:r>
        <w:t>References</w:t>
      </w:r>
    </w:p>
    <w:tbl>
      <w:tblPr>
        <w:tblStyle w:val="TableGrid"/>
        <w:tblW w:type="dxa" w:w="9360"/>
        <w:tblLayout w:type="fixed"/>
        <w:tblLook w:firstColumn="1" w:firstRow="1" w:lastColumn="0" w:lastRow="0" w:noHBand="0" w:noVBand="1" w:val="04A0"/>
        <w:tblInd w:w="120" w:type="dxa"/>
      </w:tblPr>
      <w:tblGrid>
        <w:gridCol w:w="663"/>
        <w:gridCol w:w="1807"/>
        <w:gridCol w:w="1065"/>
        <w:gridCol w:w="2581"/>
        <w:gridCol w:w="663"/>
        <w:gridCol w:w="2581"/>
      </w:tblGrid>
      <w:tr>
        <w:trPr>
          <w:tblHeader w:val="true"/>
        </w:trPr>
        <w:tc>
          <w:tcPr>
            <w:tcW w:type="dxa" w:w="663"/>
            <w:shd w:fill="F2F4F7"/>
            <w:tcMar>
              <w:top w:w="80" w:type="dxa"/>
              <w:start w:w="120" w:type="dxa"/>
              <w:bottom w:w="80" w:type="dxa"/>
              <w:end w:w="120" w:type="dxa"/>
            </w:tcMar>
          </w:tcPr>
          <w:p>
            <w:r>
              <w:t>ID</w:t>
            </w:r>
          </w:p>
        </w:tc>
        <w:tc>
          <w:tcPr>
            <w:tcW w:type="dxa" w:w="1807"/>
            <w:shd w:fill="F2F4F7"/>
            <w:tcMar>
              <w:top w:w="80" w:type="dxa"/>
              <w:start w:w="120" w:type="dxa"/>
              <w:bottom w:w="80" w:type="dxa"/>
              <w:end w:w="120" w:type="dxa"/>
            </w:tcMar>
          </w:tcPr>
          <w:p>
            <w:r>
              <w:t>Title</w:t>
            </w:r>
          </w:p>
        </w:tc>
        <w:tc>
          <w:tcPr>
            <w:tcW w:type="dxa" w:w="1065"/>
            <w:shd w:fill="F2F4F7"/>
            <w:tcMar>
              <w:top w:w="80" w:type="dxa"/>
              <w:start w:w="120" w:type="dxa"/>
              <w:bottom w:w="80" w:type="dxa"/>
              <w:end w:w="120" w:type="dxa"/>
            </w:tcMar>
          </w:tcPr>
          <w:p>
            <w:r>
              <w:t>Publisher</w:t>
            </w:r>
          </w:p>
        </w:tc>
        <w:tc>
          <w:tcPr>
            <w:tcW w:type="dxa" w:w="2581"/>
            <w:shd w:fill="F2F4F7"/>
            <w:tcMar>
              <w:top w:w="80" w:type="dxa"/>
              <w:start w:w="120" w:type="dxa"/>
              <w:bottom w:w="80" w:type="dxa"/>
              <w:end w:w="120" w:type="dxa"/>
            </w:tcMar>
          </w:tcPr>
          <w:p>
            <w:r>
              <w:t>Source</w:t>
            </w:r>
          </w:p>
        </w:tc>
        <w:tc>
          <w:tcPr>
            <w:tcW w:type="dxa" w:w="663"/>
            <w:shd w:fill="F2F4F7"/>
            <w:tcMar>
              <w:top w:w="80" w:type="dxa"/>
              <w:start w:w="120" w:type="dxa"/>
              <w:bottom w:w="80" w:type="dxa"/>
              <w:end w:w="120" w:type="dxa"/>
            </w:tcMar>
          </w:tcPr>
          <w:p>
            <w:r>
              <w:t>Accessed</w:t>
            </w:r>
          </w:p>
        </w:tc>
        <w:tc>
          <w:tcPr>
            <w:tcW w:type="dxa" w:w="2581"/>
            <w:shd w:fill="F2F4F7"/>
            <w:tcMar>
              <w:top w:w="80" w:type="dxa"/>
              <w:start w:w="120" w:type="dxa"/>
              <w:bottom w:w="80" w:type="dxa"/>
              <w:end w:w="120" w:type="dxa"/>
            </w:tcMar>
          </w:tcPr>
          <w:p>
            <w:r>
              <w:t>Applicability</w:t>
            </w:r>
          </w:p>
        </w:tc>
      </w:tr>
      <w:tr>
        <w:tc>
          <w:tcPr>
            <w:tcW w:type="dxa" w:w="663"/>
            <w:vAlign w:val="center"/>
            <w:tcMar>
              <w:top w:w="80" w:type="dxa"/>
              <w:start w:w="120" w:type="dxa"/>
              <w:bottom w:w="80" w:type="dxa"/>
              <w:end w:w="120" w:type="dxa"/>
            </w:tcMar>
          </w:tcPr>
          <w:p>
            <w:bookmarkStart w:id="1000" w:name="REF_001"/>
            <w:r>
              <w:rPr>
                <w:b/>
                <w:sz w:val="16"/>
              </w:rPr>
              <w:t>REF-001</w:t>
            </w:r>
            <w:bookmarkEnd w:id="1000"/>
          </w:p>
        </w:tc>
        <w:tc>
          <w:tcPr>
            <w:tcW w:type="dxa" w:w="1807"/>
            <w:vAlign w:val="center"/>
            <w:tcMar>
              <w:top w:w="80" w:type="dxa"/>
              <w:start w:w="120" w:type="dxa"/>
              <w:bottom w:w="80" w:type="dxa"/>
              <w:end w:w="120" w:type="dxa"/>
            </w:tcMar>
          </w:tcPr>
          <w:p>
            <w:r>
              <w:rPr>
                <w:sz w:val="16"/>
              </w:rPr>
              <w:t>Kimi Code - Visual Studio Marketplace</w:t>
            </w:r>
          </w:p>
        </w:tc>
        <w:tc>
          <w:tcPr>
            <w:tcW w:type="dxa" w:w="1065"/>
            <w:vAlign w:val="center"/>
            <w:tcMar>
              <w:top w:w="80" w:type="dxa"/>
              <w:start w:w="120" w:type="dxa"/>
              <w:bottom w:w="80" w:type="dxa"/>
              <w:end w:w="120" w:type="dxa"/>
            </w:tcMar>
          </w:tcPr>
          <w:p>
            <w:r>
              <w:rPr>
                <w:sz w:val="16"/>
              </w:rPr>
              <w:t>Microsoft</w:t>
            </w:r>
          </w:p>
        </w:tc>
        <w:tc>
          <w:tcPr>
            <w:tcW w:type="dxa" w:w="2581"/>
            <w:vAlign w:val="center"/>
            <w:tcMar>
              <w:top w:w="80" w:type="dxa"/>
              <w:start w:w="120" w:type="dxa"/>
              <w:bottom w:w="80" w:type="dxa"/>
              <w:end w:w="120" w:type="dxa"/>
            </w:tcMar>
          </w:tcPr>
          <w:p>
            <w:hyperlink r:id="rId12">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Official extension identity, publisher and product description.</w:t>
            </w:r>
          </w:p>
        </w:tc>
      </w:tr>
      <w:tr>
        <w:tc>
          <w:tcPr>
            <w:tcW w:type="dxa" w:w="663"/>
            <w:vAlign w:val="center"/>
            <w:tcMar>
              <w:top w:w="80" w:type="dxa"/>
              <w:start w:w="120" w:type="dxa"/>
              <w:bottom w:w="80" w:type="dxa"/>
              <w:end w:w="120" w:type="dxa"/>
            </w:tcMar>
          </w:tcPr>
          <w:p>
            <w:bookmarkStart w:id="1001" w:name="REF_002"/>
            <w:r>
              <w:rPr>
                <w:b/>
                <w:sz w:val="16"/>
              </w:rPr>
              <w:t>REF-002</w:t>
            </w:r>
            <w:bookmarkEnd w:id="1001"/>
          </w:p>
        </w:tc>
        <w:tc>
          <w:tcPr>
            <w:tcW w:type="dxa" w:w="1807"/>
            <w:vAlign w:val="center"/>
            <w:tcMar>
              <w:top w:w="80" w:type="dxa"/>
              <w:start w:w="120" w:type="dxa"/>
              <w:bottom w:w="80" w:type="dxa"/>
              <w:end w:w="120" w:type="dxa"/>
            </w:tcMar>
          </w:tcPr>
          <w:p>
            <w:r>
              <w:rPr>
                <w:sz w:val="16"/>
              </w:rPr>
              <w:t>MoonshotAI kimi-code repository</w:t>
            </w:r>
          </w:p>
        </w:tc>
        <w:tc>
          <w:tcPr>
            <w:tcW w:type="dxa" w:w="1065"/>
            <w:vAlign w:val="center"/>
            <w:tcMar>
              <w:top w:w="80" w:type="dxa"/>
              <w:start w:w="120" w:type="dxa"/>
              <w:bottom w:w="80" w:type="dxa"/>
              <w:end w:w="120" w:type="dxa"/>
            </w:tcMar>
          </w:tcPr>
          <w:p>
            <w:r>
              <w:rPr>
                <w:sz w:val="16"/>
              </w:rPr>
              <w:t>Moonshot AI</w:t>
            </w:r>
          </w:p>
        </w:tc>
        <w:tc>
          <w:tcPr>
            <w:tcW w:type="dxa" w:w="2581"/>
            <w:vAlign w:val="center"/>
            <w:tcMar>
              <w:top w:w="80" w:type="dxa"/>
              <w:start w:w="120" w:type="dxa"/>
              <w:bottom w:w="80" w:type="dxa"/>
              <w:end w:w="120" w:type="dxa"/>
            </w:tcMar>
          </w:tcPr>
          <w:p>
            <w:hyperlink r:id="rId13">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Public source, release history and project identity.</w:t>
            </w:r>
          </w:p>
        </w:tc>
      </w:tr>
      <w:tr>
        <w:tc>
          <w:tcPr>
            <w:tcW w:type="dxa" w:w="663"/>
            <w:vAlign w:val="center"/>
            <w:tcMar>
              <w:top w:w="80" w:type="dxa"/>
              <w:start w:w="120" w:type="dxa"/>
              <w:bottom w:w="80" w:type="dxa"/>
              <w:end w:w="120" w:type="dxa"/>
            </w:tcMar>
          </w:tcPr>
          <w:p>
            <w:bookmarkStart w:id="1002" w:name="REF_003"/>
            <w:r>
              <w:rPr>
                <w:b/>
                <w:sz w:val="16"/>
              </w:rPr>
              <w:t>REF-003</w:t>
            </w:r>
            <w:bookmarkEnd w:id="1002"/>
          </w:p>
        </w:tc>
        <w:tc>
          <w:tcPr>
            <w:tcW w:type="dxa" w:w="1807"/>
            <w:vAlign w:val="center"/>
            <w:tcMar>
              <w:top w:w="80" w:type="dxa"/>
              <w:start w:w="120" w:type="dxa"/>
              <w:bottom w:w="80" w:type="dxa"/>
              <w:end w:w="120" w:type="dxa"/>
            </w:tcMar>
          </w:tcPr>
          <w:p>
            <w:r>
              <w:rPr>
                <w:sz w:val="16"/>
              </w:rPr>
              <w:t>Kimi Code security policy</w:t>
            </w:r>
          </w:p>
        </w:tc>
        <w:tc>
          <w:tcPr>
            <w:tcW w:type="dxa" w:w="1065"/>
            <w:vAlign w:val="center"/>
            <w:tcMar>
              <w:top w:w="80" w:type="dxa"/>
              <w:start w:w="120" w:type="dxa"/>
              <w:bottom w:w="80" w:type="dxa"/>
              <w:end w:w="120" w:type="dxa"/>
            </w:tcMar>
          </w:tcPr>
          <w:p>
            <w:r>
              <w:rPr>
                <w:sz w:val="16"/>
              </w:rPr>
              <w:t>Moonshot AI</w:t>
            </w:r>
          </w:p>
        </w:tc>
        <w:tc>
          <w:tcPr>
            <w:tcW w:type="dxa" w:w="2581"/>
            <w:vAlign w:val="center"/>
            <w:tcMar>
              <w:top w:w="80" w:type="dxa"/>
              <w:start w:w="120" w:type="dxa"/>
              <w:bottom w:w="80" w:type="dxa"/>
              <w:end w:w="120" w:type="dxa"/>
            </w:tcMar>
          </w:tcPr>
          <w:p>
            <w:hyperlink r:id="rId14">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Supported version and vulnerability disclosure channels.</w:t>
            </w:r>
          </w:p>
        </w:tc>
      </w:tr>
      <w:tr>
        <w:tc>
          <w:tcPr>
            <w:tcW w:type="dxa" w:w="663"/>
            <w:vAlign w:val="center"/>
            <w:tcMar>
              <w:top w:w="80" w:type="dxa"/>
              <w:start w:w="120" w:type="dxa"/>
              <w:bottom w:w="80" w:type="dxa"/>
              <w:end w:w="120" w:type="dxa"/>
            </w:tcMar>
          </w:tcPr>
          <w:p>
            <w:bookmarkStart w:id="1003" w:name="REF_004"/>
            <w:r>
              <w:rPr>
                <w:b/>
                <w:sz w:val="16"/>
              </w:rPr>
              <w:t>REF-004</w:t>
            </w:r>
            <w:bookmarkEnd w:id="1003"/>
          </w:p>
        </w:tc>
        <w:tc>
          <w:tcPr>
            <w:tcW w:type="dxa" w:w="1807"/>
            <w:vAlign w:val="center"/>
            <w:tcMar>
              <w:top w:w="80" w:type="dxa"/>
              <w:start w:w="120" w:type="dxa"/>
              <w:bottom w:w="80" w:type="dxa"/>
              <w:end w:w="120" w:type="dxa"/>
            </w:tcMar>
          </w:tcPr>
          <w:p>
            <w:r>
              <w:rPr>
                <w:sz w:val="16"/>
              </w:rPr>
              <w:t>Kimi Code for VS Code getting started</w:t>
            </w:r>
          </w:p>
        </w:tc>
        <w:tc>
          <w:tcPr>
            <w:tcW w:type="dxa" w:w="1065"/>
            <w:vAlign w:val="center"/>
            <w:tcMar>
              <w:top w:w="80" w:type="dxa"/>
              <w:start w:w="120" w:type="dxa"/>
              <w:bottom w:w="80" w:type="dxa"/>
              <w:end w:w="120" w:type="dxa"/>
            </w:tcMar>
          </w:tcPr>
          <w:p>
            <w:r>
              <w:rPr>
                <w:sz w:val="16"/>
              </w:rPr>
              <w:t>Moonshot AI</w:t>
            </w:r>
          </w:p>
        </w:tc>
        <w:tc>
          <w:tcPr>
            <w:tcW w:type="dxa" w:w="2581"/>
            <w:vAlign w:val="center"/>
            <w:tcMar>
              <w:top w:w="80" w:type="dxa"/>
              <w:start w:w="120" w:type="dxa"/>
              <w:bottom w:w="80" w:type="dxa"/>
              <w:end w:w="120" w:type="dxa"/>
            </w:tcMar>
          </w:tcPr>
          <w:p>
            <w:hyperlink r:id="rId15">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Official extension architecture, operation and account guidance.</w:t>
            </w:r>
          </w:p>
        </w:tc>
      </w:tr>
      <w:tr>
        <w:tc>
          <w:tcPr>
            <w:tcW w:type="dxa" w:w="663"/>
            <w:vAlign w:val="center"/>
            <w:tcMar>
              <w:top w:w="80" w:type="dxa"/>
              <w:start w:w="120" w:type="dxa"/>
              <w:bottom w:w="80" w:type="dxa"/>
              <w:end w:w="120" w:type="dxa"/>
            </w:tcMar>
          </w:tcPr>
          <w:p>
            <w:bookmarkStart w:id="1004" w:name="REF_005"/>
            <w:r>
              <w:rPr>
                <w:b/>
                <w:sz w:val="16"/>
              </w:rPr>
              <w:t>REF-005</w:t>
            </w:r>
            <w:bookmarkEnd w:id="1004"/>
          </w:p>
        </w:tc>
        <w:tc>
          <w:tcPr>
            <w:tcW w:type="dxa" w:w="1807"/>
            <w:vAlign w:val="center"/>
            <w:tcMar>
              <w:top w:w="80" w:type="dxa"/>
              <w:start w:w="120" w:type="dxa"/>
              <w:bottom w:w="80" w:type="dxa"/>
              <w:end w:w="120" w:type="dxa"/>
            </w:tcMar>
          </w:tcPr>
          <w:p>
            <w:r>
              <w:rPr>
                <w:sz w:val="16"/>
              </w:rPr>
              <w:t>Model Context Protocol in Kimi Code</w:t>
            </w:r>
          </w:p>
        </w:tc>
        <w:tc>
          <w:tcPr>
            <w:tcW w:type="dxa" w:w="1065"/>
            <w:vAlign w:val="center"/>
            <w:tcMar>
              <w:top w:w="80" w:type="dxa"/>
              <w:start w:w="120" w:type="dxa"/>
              <w:bottom w:w="80" w:type="dxa"/>
              <w:end w:w="120" w:type="dxa"/>
            </w:tcMar>
          </w:tcPr>
          <w:p>
            <w:r>
              <w:rPr>
                <w:sz w:val="16"/>
              </w:rPr>
              <w:t>Moonshot AI</w:t>
            </w:r>
          </w:p>
        </w:tc>
        <w:tc>
          <w:tcPr>
            <w:tcW w:type="dxa" w:w="2581"/>
            <w:vAlign w:val="center"/>
            <w:tcMar>
              <w:top w:w="80" w:type="dxa"/>
              <w:start w:w="120" w:type="dxa"/>
              <w:bottom w:w="80" w:type="dxa"/>
              <w:end w:w="120" w:type="dxa"/>
            </w:tcMar>
          </w:tcPr>
          <w:p>
            <w:hyperlink r:id="rId16">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MCP transports, startup, permissions, wildcards, OAuth and YOLO guidance.</w:t>
            </w:r>
          </w:p>
        </w:tc>
      </w:tr>
      <w:tr>
        <w:tc>
          <w:tcPr>
            <w:tcW w:type="dxa" w:w="663"/>
            <w:vAlign w:val="center"/>
            <w:tcMar>
              <w:top w:w="80" w:type="dxa"/>
              <w:start w:w="120" w:type="dxa"/>
              <w:bottom w:w="80" w:type="dxa"/>
              <w:end w:w="120" w:type="dxa"/>
            </w:tcMar>
          </w:tcPr>
          <w:p>
            <w:bookmarkStart w:id="1005" w:name="REF_006"/>
            <w:r>
              <w:rPr>
                <w:b/>
                <w:sz w:val="16"/>
              </w:rPr>
              <w:t>REF-006</w:t>
            </w:r>
            <w:bookmarkEnd w:id="1005"/>
          </w:p>
        </w:tc>
        <w:tc>
          <w:tcPr>
            <w:tcW w:type="dxa" w:w="1807"/>
            <w:vAlign w:val="center"/>
            <w:tcMar>
              <w:top w:w="80" w:type="dxa"/>
              <w:start w:w="120" w:type="dxa"/>
              <w:bottom w:w="80" w:type="dxa"/>
              <w:end w:w="120" w:type="dxa"/>
            </w:tcMar>
          </w:tcPr>
          <w:p>
            <w:r>
              <w:rPr>
                <w:sz w:val="16"/>
              </w:rPr>
              <w:t>Kimi Code contact and feedback</w:t>
            </w:r>
          </w:p>
        </w:tc>
        <w:tc>
          <w:tcPr>
            <w:tcW w:type="dxa" w:w="1065"/>
            <w:vAlign w:val="center"/>
            <w:tcMar>
              <w:top w:w="80" w:type="dxa"/>
              <w:start w:w="120" w:type="dxa"/>
              <w:bottom w:w="80" w:type="dxa"/>
              <w:end w:w="120" w:type="dxa"/>
            </w:tcMar>
          </w:tcPr>
          <w:p>
            <w:r>
              <w:rPr>
                <w:sz w:val="16"/>
              </w:rPr>
              <w:t>Moonshot AI</w:t>
            </w:r>
          </w:p>
        </w:tc>
        <w:tc>
          <w:tcPr>
            <w:tcW w:type="dxa" w:w="2581"/>
            <w:vAlign w:val="center"/>
            <w:tcMar>
              <w:top w:w="80" w:type="dxa"/>
              <w:start w:w="120" w:type="dxa"/>
              <w:bottom w:w="80" w:type="dxa"/>
              <w:end w:w="120" w:type="dxa"/>
            </w:tcMar>
          </w:tcPr>
          <w:p>
            <w:hyperlink r:id="rId17">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Diagnostics, logs and optional codebase feedback handling.</w:t>
            </w:r>
          </w:p>
        </w:tc>
      </w:tr>
      <w:tr>
        <w:tc>
          <w:tcPr>
            <w:tcW w:type="dxa" w:w="663"/>
            <w:vAlign w:val="center"/>
            <w:tcMar>
              <w:top w:w="80" w:type="dxa"/>
              <w:start w:w="120" w:type="dxa"/>
              <w:bottom w:w="80" w:type="dxa"/>
              <w:end w:w="120" w:type="dxa"/>
            </w:tcMar>
          </w:tcPr>
          <w:p>
            <w:bookmarkStart w:id="1006" w:name="REF_007"/>
            <w:r>
              <w:rPr>
                <w:b/>
                <w:sz w:val="16"/>
              </w:rPr>
              <w:t>REF-007</w:t>
            </w:r>
            <w:bookmarkEnd w:id="1006"/>
          </w:p>
        </w:tc>
        <w:tc>
          <w:tcPr>
            <w:tcW w:type="dxa" w:w="1807"/>
            <w:vAlign w:val="center"/>
            <w:tcMar>
              <w:top w:w="80" w:type="dxa"/>
              <w:start w:w="120" w:type="dxa"/>
              <w:bottom w:w="80" w:type="dxa"/>
              <w:end w:w="120" w:type="dxa"/>
            </w:tcMar>
          </w:tcPr>
          <w:p>
            <w:r>
              <w:rPr>
                <w:sz w:val="16"/>
              </w:rPr>
              <w:t>Kimi Code environment variables</w:t>
            </w:r>
          </w:p>
        </w:tc>
        <w:tc>
          <w:tcPr>
            <w:tcW w:type="dxa" w:w="1065"/>
            <w:vAlign w:val="center"/>
            <w:tcMar>
              <w:top w:w="80" w:type="dxa"/>
              <w:start w:w="120" w:type="dxa"/>
              <w:bottom w:w="80" w:type="dxa"/>
              <w:end w:w="120" w:type="dxa"/>
            </w:tcMar>
          </w:tcPr>
          <w:p>
            <w:r>
              <w:rPr>
                <w:sz w:val="16"/>
              </w:rPr>
              <w:t>Moonshot AI</w:t>
            </w:r>
          </w:p>
        </w:tc>
        <w:tc>
          <w:tcPr>
            <w:tcW w:type="dxa" w:w="2581"/>
            <w:vAlign w:val="center"/>
            <w:tcMar>
              <w:top w:w="80" w:type="dxa"/>
              <w:start w:w="120" w:type="dxa"/>
              <w:bottom w:w="80" w:type="dxa"/>
              <w:end w:w="120" w:type="dxa"/>
            </w:tcMar>
          </w:tcPr>
          <w:p>
            <w:hyperlink r:id="rId18">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KIMI_CODE_HOME, telemetry opt-out, provider and credential configuration.</w:t>
            </w:r>
          </w:p>
        </w:tc>
      </w:tr>
      <w:tr>
        <w:tc>
          <w:tcPr>
            <w:tcW w:type="dxa" w:w="663"/>
            <w:vAlign w:val="center"/>
            <w:tcMar>
              <w:top w:w="80" w:type="dxa"/>
              <w:start w:w="120" w:type="dxa"/>
              <w:bottom w:w="80" w:type="dxa"/>
              <w:end w:w="120" w:type="dxa"/>
            </w:tcMar>
          </w:tcPr>
          <w:p>
            <w:bookmarkStart w:id="1007" w:name="REF_008"/>
            <w:r>
              <w:rPr>
                <w:b/>
                <w:sz w:val="16"/>
              </w:rPr>
              <w:t>REF-008</w:t>
            </w:r>
            <w:bookmarkEnd w:id="1007"/>
          </w:p>
        </w:tc>
        <w:tc>
          <w:tcPr>
            <w:tcW w:type="dxa" w:w="1807"/>
            <w:vAlign w:val="center"/>
            <w:tcMar>
              <w:top w:w="80" w:type="dxa"/>
              <w:start w:w="120" w:type="dxa"/>
              <w:bottom w:w="80" w:type="dxa"/>
              <w:end w:w="120" w:type="dxa"/>
            </w:tcMar>
          </w:tcPr>
          <w:p>
            <w:r>
              <w:rPr>
                <w:sz w:val="16"/>
              </w:rPr>
              <w:t>Kimi data usage and sharing</w:t>
            </w:r>
          </w:p>
        </w:tc>
        <w:tc>
          <w:tcPr>
            <w:tcW w:type="dxa" w:w="1065"/>
            <w:vAlign w:val="center"/>
            <w:tcMar>
              <w:top w:w="80" w:type="dxa"/>
              <w:start w:w="120" w:type="dxa"/>
              <w:bottom w:w="80" w:type="dxa"/>
              <w:end w:w="120" w:type="dxa"/>
            </w:tcMar>
          </w:tcPr>
          <w:p>
            <w:r>
              <w:rPr>
                <w:sz w:val="16"/>
              </w:rPr>
              <w:t>Moonshot AI</w:t>
            </w:r>
          </w:p>
        </w:tc>
        <w:tc>
          <w:tcPr>
            <w:tcW w:type="dxa" w:w="2581"/>
            <w:vAlign w:val="center"/>
            <w:tcMar>
              <w:top w:w="80" w:type="dxa"/>
              <w:start w:w="120" w:type="dxa"/>
              <w:bottom w:w="80" w:type="dxa"/>
              <w:end w:w="120" w:type="dxa"/>
            </w:tcMar>
          </w:tcPr>
          <w:p>
            <w:hyperlink r:id="rId19">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Public statements about training, third-party sharing, storage and enterprise data.</w:t>
            </w:r>
          </w:p>
        </w:tc>
      </w:tr>
      <w:tr>
        <w:tc>
          <w:tcPr>
            <w:tcW w:type="dxa" w:w="663"/>
            <w:vAlign w:val="center"/>
            <w:tcMar>
              <w:top w:w="80" w:type="dxa"/>
              <w:start w:w="120" w:type="dxa"/>
              <w:bottom w:w="80" w:type="dxa"/>
              <w:end w:w="120" w:type="dxa"/>
            </w:tcMar>
          </w:tcPr>
          <w:p>
            <w:bookmarkStart w:id="1008" w:name="REF_009"/>
            <w:r>
              <w:rPr>
                <w:b/>
                <w:sz w:val="16"/>
              </w:rPr>
              <w:t>REF-009</w:t>
            </w:r>
            <w:bookmarkEnd w:id="1008"/>
          </w:p>
        </w:tc>
        <w:tc>
          <w:tcPr>
            <w:tcW w:type="dxa" w:w="1807"/>
            <w:vAlign w:val="center"/>
            <w:tcMar>
              <w:top w:w="80" w:type="dxa"/>
              <w:start w:w="120" w:type="dxa"/>
              <w:bottom w:w="80" w:type="dxa"/>
              <w:end w:w="120" w:type="dxa"/>
            </w:tcMar>
          </w:tcPr>
          <w:p>
            <w:r>
              <w:rPr>
                <w:sz w:val="16"/>
              </w:rPr>
              <w:t>Workspace Trust</w:t>
            </w:r>
          </w:p>
        </w:tc>
        <w:tc>
          <w:tcPr>
            <w:tcW w:type="dxa" w:w="1065"/>
            <w:vAlign w:val="center"/>
            <w:tcMar>
              <w:top w:w="80" w:type="dxa"/>
              <w:start w:w="120" w:type="dxa"/>
              <w:bottom w:w="80" w:type="dxa"/>
              <w:end w:w="120" w:type="dxa"/>
            </w:tcMar>
          </w:tcPr>
          <w:p>
            <w:r>
              <w:rPr>
                <w:sz w:val="16"/>
              </w:rPr>
              <w:t>Microsoft</w:t>
            </w:r>
          </w:p>
        </w:tc>
        <w:tc>
          <w:tcPr>
            <w:tcW w:type="dxa" w:w="2581"/>
            <w:vAlign w:val="center"/>
            <w:tcMar>
              <w:top w:w="80" w:type="dxa"/>
              <w:start w:w="120" w:type="dxa"/>
              <w:bottom w:w="80" w:type="dxa"/>
              <w:end w:w="120" w:type="dxa"/>
            </w:tcMar>
          </w:tcPr>
          <w:p>
            <w:hyperlink r:id="rId20">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Restricted Mode, extension and AI-agent trust boundary.</w:t>
            </w:r>
          </w:p>
        </w:tc>
      </w:tr>
      <w:tr>
        <w:tc>
          <w:tcPr>
            <w:tcW w:type="dxa" w:w="663"/>
            <w:vAlign w:val="center"/>
            <w:tcMar>
              <w:top w:w="80" w:type="dxa"/>
              <w:start w:w="120" w:type="dxa"/>
              <w:bottom w:w="80" w:type="dxa"/>
              <w:end w:w="120" w:type="dxa"/>
            </w:tcMar>
          </w:tcPr>
          <w:p>
            <w:bookmarkStart w:id="1009" w:name="REF_010"/>
            <w:r>
              <w:rPr>
                <w:b/>
                <w:sz w:val="16"/>
              </w:rPr>
              <w:t>REF-010</w:t>
            </w:r>
            <w:bookmarkEnd w:id="1009"/>
          </w:p>
        </w:tc>
        <w:tc>
          <w:tcPr>
            <w:tcW w:type="dxa" w:w="1807"/>
            <w:vAlign w:val="center"/>
            <w:tcMar>
              <w:top w:w="80" w:type="dxa"/>
              <w:start w:w="120" w:type="dxa"/>
              <w:bottom w:w="80" w:type="dxa"/>
              <w:end w:w="120" w:type="dxa"/>
            </w:tcMar>
          </w:tcPr>
          <w:p>
            <w:r>
              <w:rPr>
                <w:sz w:val="16"/>
              </w:rPr>
              <w:t>Extension runtime security</w:t>
            </w:r>
          </w:p>
        </w:tc>
        <w:tc>
          <w:tcPr>
            <w:tcW w:type="dxa" w:w="1065"/>
            <w:vAlign w:val="center"/>
            <w:tcMar>
              <w:top w:w="80" w:type="dxa"/>
              <w:start w:w="120" w:type="dxa"/>
              <w:bottom w:w="80" w:type="dxa"/>
              <w:end w:w="120" w:type="dxa"/>
            </w:tcMar>
          </w:tcPr>
          <w:p>
            <w:r>
              <w:rPr>
                <w:sz w:val="16"/>
              </w:rPr>
              <w:t>Microsoft</w:t>
            </w:r>
          </w:p>
        </w:tc>
        <w:tc>
          <w:tcPr>
            <w:tcW w:type="dxa" w:w="2581"/>
            <w:vAlign w:val="center"/>
            <w:tcMar>
              <w:top w:w="80" w:type="dxa"/>
              <w:start w:w="120" w:type="dxa"/>
              <w:bottom w:w="80" w:type="dxa"/>
              <w:end w:w="120" w:type="dxa"/>
            </w:tcMar>
          </w:tcPr>
          <w:p>
            <w:hyperlink r:id="rId21">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Publisher trust, Marketplace signing, scanning and block-list controls.</w:t>
            </w:r>
          </w:p>
        </w:tc>
      </w:tr>
      <w:tr>
        <w:tc>
          <w:tcPr>
            <w:tcW w:type="dxa" w:w="663"/>
            <w:vAlign w:val="center"/>
            <w:tcMar>
              <w:top w:w="80" w:type="dxa"/>
              <w:start w:w="120" w:type="dxa"/>
              <w:bottom w:w="80" w:type="dxa"/>
              <w:end w:w="120" w:type="dxa"/>
            </w:tcMar>
          </w:tcPr>
          <w:p>
            <w:bookmarkStart w:id="1010" w:name="REF_011"/>
            <w:r>
              <w:rPr>
                <w:b/>
                <w:sz w:val="16"/>
              </w:rPr>
              <w:t>REF-011</w:t>
            </w:r>
            <w:bookmarkEnd w:id="1010"/>
          </w:p>
        </w:tc>
        <w:tc>
          <w:tcPr>
            <w:tcW w:type="dxa" w:w="1807"/>
            <w:vAlign w:val="center"/>
            <w:tcMar>
              <w:top w:w="80" w:type="dxa"/>
              <w:start w:w="120" w:type="dxa"/>
              <w:bottom w:w="80" w:type="dxa"/>
              <w:end w:w="120" w:type="dxa"/>
            </w:tcMar>
          </w:tcPr>
          <w:p>
            <w:r>
              <w:rPr>
                <w:sz w:val="16"/>
              </w:rPr>
              <w:t>MCP security best practices</w:t>
            </w:r>
          </w:p>
        </w:tc>
        <w:tc>
          <w:tcPr>
            <w:tcW w:type="dxa" w:w="1065"/>
            <w:vAlign w:val="center"/>
            <w:tcMar>
              <w:top w:w="80" w:type="dxa"/>
              <w:start w:w="120" w:type="dxa"/>
              <w:bottom w:w="80" w:type="dxa"/>
              <w:end w:w="120" w:type="dxa"/>
            </w:tcMar>
          </w:tcPr>
          <w:p>
            <w:r>
              <w:rPr>
                <w:sz w:val="16"/>
              </w:rPr>
              <w:t>Model Context Protocol</w:t>
            </w:r>
          </w:p>
        </w:tc>
        <w:tc>
          <w:tcPr>
            <w:tcW w:type="dxa" w:w="2581"/>
            <w:vAlign w:val="center"/>
            <w:tcMar>
              <w:top w:w="80" w:type="dxa"/>
              <w:start w:w="120" w:type="dxa"/>
              <w:bottom w:w="80" w:type="dxa"/>
              <w:end w:w="120" w:type="dxa"/>
            </w:tcMar>
          </w:tcPr>
          <w:p>
            <w:hyperlink r:id="rId22">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Authorization, token, confused-deputy and transport security.</w:t>
            </w:r>
          </w:p>
        </w:tc>
      </w:tr>
      <w:tr>
        <w:tc>
          <w:tcPr>
            <w:tcW w:type="dxa" w:w="663"/>
            <w:vAlign w:val="center"/>
            <w:tcMar>
              <w:top w:w="80" w:type="dxa"/>
              <w:start w:w="120" w:type="dxa"/>
              <w:bottom w:w="80" w:type="dxa"/>
              <w:end w:w="120" w:type="dxa"/>
            </w:tcMar>
          </w:tcPr>
          <w:p>
            <w:bookmarkStart w:id="1011" w:name="REF_012"/>
            <w:r>
              <w:rPr>
                <w:b/>
                <w:sz w:val="16"/>
              </w:rPr>
              <w:t>REF-012</w:t>
            </w:r>
            <w:bookmarkEnd w:id="1011"/>
          </w:p>
        </w:tc>
        <w:tc>
          <w:tcPr>
            <w:tcW w:type="dxa" w:w="1807"/>
            <w:vAlign w:val="center"/>
            <w:tcMar>
              <w:top w:w="80" w:type="dxa"/>
              <w:start w:w="120" w:type="dxa"/>
              <w:bottom w:w="80" w:type="dxa"/>
              <w:end w:w="120" w:type="dxa"/>
            </w:tcMar>
          </w:tcPr>
          <w:p>
            <w:r>
              <w:rPr>
                <w:sz w:val="16"/>
              </w:rPr>
              <w:t>OWASP Top 10 for Agentic Applications</w:t>
            </w:r>
          </w:p>
        </w:tc>
        <w:tc>
          <w:tcPr>
            <w:tcW w:type="dxa" w:w="1065"/>
            <w:vAlign w:val="center"/>
            <w:tcMar>
              <w:top w:w="80" w:type="dxa"/>
              <w:start w:w="120" w:type="dxa"/>
              <w:bottom w:w="80" w:type="dxa"/>
              <w:end w:w="120" w:type="dxa"/>
            </w:tcMar>
          </w:tcPr>
          <w:p>
            <w:r>
              <w:rPr>
                <w:sz w:val="16"/>
              </w:rPr>
              <w:t>OWASP GenAI Security Project</w:t>
            </w:r>
          </w:p>
        </w:tc>
        <w:tc>
          <w:tcPr>
            <w:tcW w:type="dxa" w:w="2581"/>
            <w:vAlign w:val="center"/>
            <w:tcMar>
              <w:top w:w="80" w:type="dxa"/>
              <w:start w:w="120" w:type="dxa"/>
              <w:bottom w:w="80" w:type="dxa"/>
              <w:end w:w="120" w:type="dxa"/>
            </w:tcMar>
          </w:tcPr>
          <w:p>
            <w:hyperlink r:id="rId23">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Agent goal hijack, tool misuse, privilege, supply chain and unexpected execution.</w:t>
            </w:r>
          </w:p>
        </w:tc>
      </w:tr>
      <w:tr>
        <w:tc>
          <w:tcPr>
            <w:tcW w:type="dxa" w:w="663"/>
            <w:vAlign w:val="center"/>
            <w:tcMar>
              <w:top w:w="80" w:type="dxa"/>
              <w:start w:w="120" w:type="dxa"/>
              <w:bottom w:w="80" w:type="dxa"/>
              <w:end w:w="120" w:type="dxa"/>
            </w:tcMar>
          </w:tcPr>
          <w:p>
            <w:bookmarkStart w:id="1012" w:name="REF_013"/>
            <w:r>
              <w:rPr>
                <w:b/>
                <w:sz w:val="16"/>
              </w:rPr>
              <w:t>REF-013</w:t>
            </w:r>
            <w:bookmarkEnd w:id="1012"/>
          </w:p>
        </w:tc>
        <w:tc>
          <w:tcPr>
            <w:tcW w:type="dxa" w:w="1807"/>
            <w:vAlign w:val="center"/>
            <w:tcMar>
              <w:top w:w="80" w:type="dxa"/>
              <w:start w:w="120" w:type="dxa"/>
              <w:bottom w:w="80" w:type="dxa"/>
              <w:end w:w="120" w:type="dxa"/>
            </w:tcMar>
          </w:tcPr>
          <w:p>
            <w:r>
              <w:rPr>
                <w:sz w:val="16"/>
              </w:rPr>
              <w:t>OWASP MCP Top 10</w:t>
            </w:r>
          </w:p>
        </w:tc>
        <w:tc>
          <w:tcPr>
            <w:tcW w:type="dxa" w:w="1065"/>
            <w:vAlign w:val="center"/>
            <w:tcMar>
              <w:top w:w="80" w:type="dxa"/>
              <w:start w:w="120" w:type="dxa"/>
              <w:bottom w:w="80" w:type="dxa"/>
              <w:end w:w="120" w:type="dxa"/>
            </w:tcMar>
          </w:tcPr>
          <w:p>
            <w:r>
              <w:rPr>
                <w:sz w:val="16"/>
              </w:rPr>
              <w:t>OWASP Foundation</w:t>
            </w:r>
          </w:p>
        </w:tc>
        <w:tc>
          <w:tcPr>
            <w:tcW w:type="dxa" w:w="2581"/>
            <w:vAlign w:val="center"/>
            <w:tcMar>
              <w:top w:w="80" w:type="dxa"/>
              <w:start w:w="120" w:type="dxa"/>
              <w:bottom w:w="80" w:type="dxa"/>
              <w:end w:w="120" w:type="dxa"/>
            </w:tcMar>
          </w:tcPr>
          <w:p>
            <w:hyperlink r:id="rId24">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MCP-specific trust, context, tool and protocol risks.</w:t>
            </w:r>
          </w:p>
        </w:tc>
      </w:tr>
      <w:tr>
        <w:tc>
          <w:tcPr>
            <w:tcW w:type="dxa" w:w="663"/>
            <w:vAlign w:val="center"/>
            <w:tcMar>
              <w:top w:w="80" w:type="dxa"/>
              <w:start w:w="120" w:type="dxa"/>
              <w:bottom w:w="80" w:type="dxa"/>
              <w:end w:w="120" w:type="dxa"/>
            </w:tcMar>
          </w:tcPr>
          <w:p>
            <w:bookmarkStart w:id="1013" w:name="REF_014"/>
            <w:r>
              <w:rPr>
                <w:b/>
                <w:sz w:val="16"/>
              </w:rPr>
              <w:t>REF-014</w:t>
            </w:r>
            <w:bookmarkEnd w:id="1013"/>
          </w:p>
        </w:tc>
        <w:tc>
          <w:tcPr>
            <w:tcW w:type="dxa" w:w="1807"/>
            <w:vAlign w:val="center"/>
            <w:tcMar>
              <w:top w:w="80" w:type="dxa"/>
              <w:start w:w="120" w:type="dxa"/>
              <w:bottom w:w="80" w:type="dxa"/>
              <w:end w:w="120" w:type="dxa"/>
            </w:tcMar>
          </w:tcPr>
          <w:p>
            <w:r>
              <w:rPr>
                <w:sz w:val="16"/>
              </w:rPr>
              <w:t>Artificial Intelligence Risk Management Framework 1.0</w:t>
            </w:r>
          </w:p>
        </w:tc>
        <w:tc>
          <w:tcPr>
            <w:tcW w:type="dxa" w:w="1065"/>
            <w:vAlign w:val="center"/>
            <w:tcMar>
              <w:top w:w="80" w:type="dxa"/>
              <w:start w:w="120" w:type="dxa"/>
              <w:bottom w:w="80" w:type="dxa"/>
              <w:end w:w="120" w:type="dxa"/>
            </w:tcMar>
          </w:tcPr>
          <w:p>
            <w:r>
              <w:rPr>
                <w:sz w:val="16"/>
              </w:rPr>
              <w:t>NIST</w:t>
            </w:r>
          </w:p>
        </w:tc>
        <w:tc>
          <w:tcPr>
            <w:tcW w:type="dxa" w:w="2581"/>
            <w:vAlign w:val="center"/>
            <w:tcMar>
              <w:top w:w="80" w:type="dxa"/>
              <w:start w:w="120" w:type="dxa"/>
              <w:bottom w:w="80" w:type="dxa"/>
              <w:end w:w="120" w:type="dxa"/>
            </w:tcMar>
          </w:tcPr>
          <w:p>
            <w:hyperlink r:id="rId25">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Govern, Map, Measure and Manage risk lifecycle.</w:t>
            </w:r>
          </w:p>
        </w:tc>
      </w:tr>
      <w:tr>
        <w:tc>
          <w:tcPr>
            <w:tcW w:type="dxa" w:w="663"/>
            <w:vAlign w:val="center"/>
            <w:tcMar>
              <w:top w:w="80" w:type="dxa"/>
              <w:start w:w="120" w:type="dxa"/>
              <w:bottom w:w="80" w:type="dxa"/>
              <w:end w:w="120" w:type="dxa"/>
            </w:tcMar>
          </w:tcPr>
          <w:p>
            <w:bookmarkStart w:id="1014" w:name="REF_015"/>
            <w:r>
              <w:rPr>
                <w:b/>
                <w:sz w:val="16"/>
              </w:rPr>
              <w:t>REF-015</w:t>
            </w:r>
            <w:bookmarkEnd w:id="1014"/>
          </w:p>
        </w:tc>
        <w:tc>
          <w:tcPr>
            <w:tcW w:type="dxa" w:w="1807"/>
            <w:vAlign w:val="center"/>
            <w:tcMar>
              <w:top w:w="80" w:type="dxa"/>
              <w:start w:w="120" w:type="dxa"/>
              <w:bottom w:w="80" w:type="dxa"/>
              <w:end w:w="120" w:type="dxa"/>
            </w:tcMar>
          </w:tcPr>
          <w:p>
            <w:r>
              <w:rPr>
                <w:sz w:val="16"/>
              </w:rPr>
              <w:t>Generative Artificial Intelligence Profile NIST AI 600-1</w:t>
            </w:r>
          </w:p>
        </w:tc>
        <w:tc>
          <w:tcPr>
            <w:tcW w:type="dxa" w:w="1065"/>
            <w:vAlign w:val="center"/>
            <w:tcMar>
              <w:top w:w="80" w:type="dxa"/>
              <w:start w:w="120" w:type="dxa"/>
              <w:bottom w:w="80" w:type="dxa"/>
              <w:end w:w="120" w:type="dxa"/>
            </w:tcMar>
          </w:tcPr>
          <w:p>
            <w:r>
              <w:rPr>
                <w:sz w:val="16"/>
              </w:rPr>
              <w:t>NIST</w:t>
            </w:r>
          </w:p>
        </w:tc>
        <w:tc>
          <w:tcPr>
            <w:tcW w:type="dxa" w:w="2581"/>
            <w:vAlign w:val="center"/>
            <w:tcMar>
              <w:top w:w="80" w:type="dxa"/>
              <w:start w:w="120" w:type="dxa"/>
              <w:bottom w:w="80" w:type="dxa"/>
              <w:end w:w="120" w:type="dxa"/>
            </w:tcMar>
          </w:tcPr>
          <w:p>
            <w:hyperlink r:id="rId26">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Generative-AI risk and control considerations.</w:t>
            </w:r>
          </w:p>
        </w:tc>
      </w:tr>
      <w:tr>
        <w:tc>
          <w:tcPr>
            <w:tcW w:type="dxa" w:w="663"/>
            <w:vAlign w:val="center"/>
            <w:tcMar>
              <w:top w:w="80" w:type="dxa"/>
              <w:start w:w="120" w:type="dxa"/>
              <w:bottom w:w="80" w:type="dxa"/>
              <w:end w:w="120" w:type="dxa"/>
            </w:tcMar>
          </w:tcPr>
          <w:p>
            <w:bookmarkStart w:id="1015" w:name="REF_016"/>
            <w:r>
              <w:rPr>
                <w:b/>
                <w:sz w:val="16"/>
              </w:rPr>
              <w:t>REF-016</w:t>
            </w:r>
            <w:bookmarkEnd w:id="1015"/>
          </w:p>
        </w:tc>
        <w:tc>
          <w:tcPr>
            <w:tcW w:type="dxa" w:w="1807"/>
            <w:vAlign w:val="center"/>
            <w:tcMar>
              <w:top w:w="80" w:type="dxa"/>
              <w:start w:w="120" w:type="dxa"/>
              <w:bottom w:w="80" w:type="dxa"/>
              <w:end w:w="120" w:type="dxa"/>
            </w:tcMar>
          </w:tcPr>
          <w:p>
            <w:r>
              <w:rPr>
                <w:sz w:val="16"/>
              </w:rPr>
              <w:t>Guidance on AI and data protection</w:t>
            </w:r>
          </w:p>
        </w:tc>
        <w:tc>
          <w:tcPr>
            <w:tcW w:type="dxa" w:w="1065"/>
            <w:vAlign w:val="center"/>
            <w:tcMar>
              <w:top w:w="80" w:type="dxa"/>
              <w:start w:w="120" w:type="dxa"/>
              <w:bottom w:w="80" w:type="dxa"/>
              <w:end w:w="120" w:type="dxa"/>
            </w:tcMar>
          </w:tcPr>
          <w:p>
            <w:r>
              <w:rPr>
                <w:sz w:val="16"/>
              </w:rPr>
              <w:t>Information Commissioner's Office</w:t>
            </w:r>
          </w:p>
        </w:tc>
        <w:tc>
          <w:tcPr>
            <w:tcW w:type="dxa" w:w="2581"/>
            <w:vAlign w:val="center"/>
            <w:tcMar>
              <w:top w:w="80" w:type="dxa"/>
              <w:start w:w="120" w:type="dxa"/>
              <w:bottom w:w="80" w:type="dxa"/>
              <w:end w:w="120" w:type="dxa"/>
            </w:tcMar>
          </w:tcPr>
          <w:p>
            <w:hyperlink r:id="rId27">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UK data protection accountability, fairness, minimisation, security and DPIA.</w:t>
            </w:r>
          </w:p>
        </w:tc>
      </w:tr>
      <w:tr>
        <w:tc>
          <w:tcPr>
            <w:tcW w:type="dxa" w:w="663"/>
            <w:vAlign w:val="center"/>
            <w:tcMar>
              <w:top w:w="80" w:type="dxa"/>
              <w:start w:w="120" w:type="dxa"/>
              <w:bottom w:w="80" w:type="dxa"/>
              <w:end w:w="120" w:type="dxa"/>
            </w:tcMar>
          </w:tcPr>
          <w:p>
            <w:bookmarkStart w:id="1016" w:name="REF_017"/>
            <w:r>
              <w:rPr>
                <w:b/>
                <w:sz w:val="16"/>
              </w:rPr>
              <w:t>REF-017</w:t>
            </w:r>
            <w:bookmarkEnd w:id="1016"/>
          </w:p>
        </w:tc>
        <w:tc>
          <w:tcPr>
            <w:tcW w:type="dxa" w:w="1807"/>
            <w:vAlign w:val="center"/>
            <w:tcMar>
              <w:top w:w="80" w:type="dxa"/>
              <w:start w:w="120" w:type="dxa"/>
              <w:bottom w:w="80" w:type="dxa"/>
              <w:end w:w="120" w:type="dxa"/>
            </w:tcMar>
          </w:tcPr>
          <w:p>
            <w:r>
              <w:rPr>
                <w:sz w:val="16"/>
              </w:rPr>
              <w:t>AI Update</w:t>
            </w:r>
          </w:p>
        </w:tc>
        <w:tc>
          <w:tcPr>
            <w:tcW w:type="dxa" w:w="1065"/>
            <w:vAlign w:val="center"/>
            <w:tcMar>
              <w:top w:w="80" w:type="dxa"/>
              <w:start w:w="120" w:type="dxa"/>
              <w:bottom w:w="80" w:type="dxa"/>
              <w:end w:w="120" w:type="dxa"/>
            </w:tcMar>
          </w:tcPr>
          <w:p>
            <w:r>
              <w:rPr>
                <w:sz w:val="16"/>
              </w:rPr>
              <w:t>Financial Conduct Authority</w:t>
            </w:r>
          </w:p>
        </w:tc>
        <w:tc>
          <w:tcPr>
            <w:tcW w:type="dxa" w:w="2581"/>
            <w:vAlign w:val="center"/>
            <w:tcMar>
              <w:top w:w="80" w:type="dxa"/>
              <w:start w:w="120" w:type="dxa"/>
              <w:bottom w:w="80" w:type="dxa"/>
              <w:end w:w="120" w:type="dxa"/>
            </w:tcMar>
          </w:tcPr>
          <w:p>
            <w:hyperlink r:id="rId28">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UK financial-services AI, operational resilience and outsourcing context.</w:t>
            </w:r>
          </w:p>
        </w:tc>
      </w:tr>
      <w:tr>
        <w:tc>
          <w:tcPr>
            <w:tcW w:type="dxa" w:w="663"/>
            <w:vAlign w:val="center"/>
            <w:tcMar>
              <w:top w:w="80" w:type="dxa"/>
              <w:start w:w="120" w:type="dxa"/>
              <w:bottom w:w="80" w:type="dxa"/>
              <w:end w:w="120" w:type="dxa"/>
            </w:tcMar>
          </w:tcPr>
          <w:p>
            <w:bookmarkStart w:id="1017" w:name="REF_018"/>
            <w:r>
              <w:rPr>
                <w:b/>
                <w:sz w:val="16"/>
              </w:rPr>
              <w:t>REF-018</w:t>
            </w:r>
            <w:bookmarkEnd w:id="1017"/>
          </w:p>
        </w:tc>
        <w:tc>
          <w:tcPr>
            <w:tcW w:type="dxa" w:w="1807"/>
            <w:vAlign w:val="center"/>
            <w:tcMar>
              <w:top w:w="80" w:type="dxa"/>
              <w:start w:w="120" w:type="dxa"/>
              <w:bottom w:w="80" w:type="dxa"/>
              <w:end w:w="120" w:type="dxa"/>
            </w:tcMar>
          </w:tcPr>
          <w:p>
            <w:r>
              <w:rPr>
                <w:sz w:val="16"/>
              </w:rPr>
              <w:t>SYSC 13 Operational risk for insurers</w:t>
            </w:r>
          </w:p>
        </w:tc>
        <w:tc>
          <w:tcPr>
            <w:tcW w:type="dxa" w:w="1065"/>
            <w:vAlign w:val="center"/>
            <w:tcMar>
              <w:top w:w="80" w:type="dxa"/>
              <w:start w:w="120" w:type="dxa"/>
              <w:bottom w:w="80" w:type="dxa"/>
              <w:end w:w="120" w:type="dxa"/>
            </w:tcMar>
          </w:tcPr>
          <w:p>
            <w:r>
              <w:rPr>
                <w:sz w:val="16"/>
              </w:rPr>
              <w:t>Financial Conduct Authority</w:t>
            </w:r>
          </w:p>
        </w:tc>
        <w:tc>
          <w:tcPr>
            <w:tcW w:type="dxa" w:w="2581"/>
            <w:vAlign w:val="center"/>
            <w:tcMar>
              <w:top w:w="80" w:type="dxa"/>
              <w:start w:w="120" w:type="dxa"/>
              <w:bottom w:w="80" w:type="dxa"/>
              <w:end w:w="120" w:type="dxa"/>
            </w:tcMar>
          </w:tcPr>
          <w:p>
            <w:hyperlink r:id="rId29">
              <w:r>
                <w:rPr>
                  <w:rStyle w:val="Hyperlink"/>
                </w:rPr>
                <w:t>Open source</w:t>
              </w:r>
            </w:hyperlink>
          </w:p>
        </w:tc>
        <w:tc>
          <w:tcPr>
            <w:tcW w:type="dxa" w:w="663"/>
            <w:vAlign w:val="center"/>
            <w:tcMar>
              <w:top w:w="80" w:type="dxa"/>
              <w:start w:w="120" w:type="dxa"/>
              <w:bottom w:w="80" w:type="dxa"/>
              <w:end w:w="120" w:type="dxa"/>
            </w:tcMar>
          </w:tcPr>
          <w:p>
            <w:r>
              <w:rPr>
                <w:sz w:val="16"/>
              </w:rPr>
              <w:t>2026-08-01</w:t>
            </w:r>
          </w:p>
        </w:tc>
        <w:tc>
          <w:tcPr>
            <w:tcW w:type="dxa" w:w="2581"/>
            <w:vAlign w:val="center"/>
            <w:tcMar>
              <w:top w:w="80" w:type="dxa"/>
              <w:start w:w="120" w:type="dxa"/>
              <w:bottom w:w="80" w:type="dxa"/>
              <w:end w:w="120" w:type="dxa"/>
            </w:tcMar>
          </w:tcPr>
          <w:p>
            <w:r>
              <w:rPr>
                <w:sz w:val="16"/>
              </w:rPr>
              <w:t>Insurer operational risk and outsourcing or third-party dependency guidance.</w:t>
            </w:r>
          </w:p>
        </w:tc>
      </w:tr>
    </w:tbl>
    <w:p>
      <w:pPr>
        <w:pStyle w:val="Heading1"/>
      </w:pPr>
      <w:r>
        <w:t>Appendices</w:t>
      </w:r>
    </w:p>
    <w:p>
      <w:pPr>
        <w:pStyle w:val="Heading2"/>
      </w:pPr>
      <w:r>
        <w:t>Appendix A — Analysis Selections and Results</w:t>
      </w:r>
    </w:p>
    <w:p>
      <w: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Microsoft Word closeout remains a separate final gate.</w:t>
      </w:r>
    </w:p>
    <w:p>
      <w:pPr>
        <w:pStyle w:val="Heading2"/>
      </w:pPr>
      <w:r>
        <w:t>Appendix B — Build and Quality-Assurance Contract</w:t>
      </w:r>
    </w:p>
    <w:p>
      <w: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pPr>
        <w:pStyle w:val="Heading1"/>
      </w:pPr>
      <w:r>
        <w:t>Glossary</w:t>
      </w:r>
    </w:p>
    <w:p>
      <w:pPr>
        <w:pStyle w:val="Caption"/>
      </w:pPr>
      <w:r>
        <w:rPr>
          <w:b/>
        </w:rPr>
        <w:t>Glossary</w:t>
      </w:r>
    </w:p>
    <w:tbl>
      <w:tblPr>
        <w:tblStyle w:val="TableGrid"/>
        <w:tblW w:type="dxa" w:w="9360"/>
        <w:tblLayout w:type="fixed"/>
        <w:tblLook w:firstColumn="1" w:firstRow="1" w:lastColumn="0" w:lastRow="0" w:noHBand="0" w:noVBand="1" w:val="04A0"/>
        <w:tblInd w:w="120" w:type="dxa"/>
      </w:tblPr>
      <w:tblGrid>
        <w:gridCol w:w="1478"/>
        <w:gridCol w:w="7882"/>
      </w:tblGrid>
      <w:tr>
        <w:trPr>
          <w:tblHeader w:val="true"/>
        </w:trPr>
        <w:tc>
          <w:tcPr>
            <w:tcW w:type="dxa" w:w="1478"/>
            <w:shd w:fill="F2F4F7"/>
            <w:vAlign w:val="center"/>
            <w:tcMar>
              <w:top w:w="35" w:type="dxa"/>
              <w:start w:w="120" w:type="dxa"/>
              <w:bottom w:w="35" w:type="dxa"/>
              <w:end w:w="120" w:type="dxa"/>
            </w:tcMar>
          </w:tcPr>
          <w:p>
            <w:pPr>
              <w:spacing w:before="0" w:after="0"/>
            </w:pPr>
            <w:r>
              <w:rPr>
                <w:b/>
                <w:sz w:val="16"/>
              </w:rPr>
              <w:t>Term</w:t>
            </w:r>
          </w:p>
        </w:tc>
        <w:tc>
          <w:tcPr>
            <w:tcW w:type="dxa" w:w="7882"/>
            <w:shd w:fill="F2F4F7"/>
            <w:vAlign w:val="center"/>
            <w:tcMar>
              <w:top w:w="35" w:type="dxa"/>
              <w:start w:w="120" w:type="dxa"/>
              <w:bottom w:w="35" w:type="dxa"/>
              <w:end w:w="120" w:type="dxa"/>
            </w:tcMar>
          </w:tcPr>
          <w:p>
            <w:pPr>
              <w:spacing w:before="0" w:after="0"/>
            </w:pPr>
            <w:r>
              <w:rPr>
                <w:b/>
                <w:sz w:val="16"/>
              </w:rPr>
              <w:t>Definition</w:t>
            </w:r>
          </w:p>
        </w:tc>
      </w:tr>
      <w:tr>
        <w:tc>
          <w:tcPr>
            <w:tcW w:type="dxa" w:w="1478"/>
            <w:vAlign w:val="center"/>
            <w:tcMar>
              <w:top w:w="35" w:type="dxa"/>
              <w:start w:w="120" w:type="dxa"/>
              <w:bottom w:w="35" w:type="dxa"/>
              <w:end w:w="120" w:type="dxa"/>
            </w:tcMar>
          </w:tcPr>
          <w:p>
            <w:pPr>
              <w:spacing w:before="0" w:after="0"/>
            </w:pPr>
            <w:r>
              <w:rPr>
                <w:sz w:val="16"/>
              </w:rPr>
              <w:t>Agentic AI</w:t>
            </w:r>
          </w:p>
        </w:tc>
        <w:tc>
          <w:tcPr>
            <w:tcW w:type="dxa" w:w="7882"/>
            <w:vAlign w:val="center"/>
            <w:tcMar>
              <w:top w:w="35" w:type="dxa"/>
              <w:start w:w="120" w:type="dxa"/>
              <w:bottom w:w="35" w:type="dxa"/>
              <w:end w:w="120" w:type="dxa"/>
            </w:tcMar>
          </w:tcPr>
          <w:p>
            <w:pPr>
              <w:spacing w:before="0" w:after="0"/>
            </w:pPr>
            <w:r>
              <w:rPr>
                <w:sz w:val="16"/>
              </w:rPr>
              <w:t>An AI-enabled system that plans and performs multi-step actions through tools or other agents.</w:t>
            </w:r>
          </w:p>
        </w:tc>
      </w:tr>
      <w:tr>
        <w:tc>
          <w:tcPr>
            <w:tcW w:type="dxa" w:w="1478"/>
            <w:vAlign w:val="center"/>
            <w:tcMar>
              <w:top w:w="35" w:type="dxa"/>
              <w:start w:w="120" w:type="dxa"/>
              <w:bottom w:w="35" w:type="dxa"/>
              <w:end w:w="120" w:type="dxa"/>
            </w:tcMar>
          </w:tcPr>
          <w:p>
            <w:pPr>
              <w:spacing w:before="0" w:after="0"/>
            </w:pPr>
            <w:r>
              <w:rPr>
                <w:sz w:val="16"/>
              </w:rPr>
              <w:t>MCP</w:t>
            </w:r>
          </w:p>
        </w:tc>
        <w:tc>
          <w:tcPr>
            <w:tcW w:type="dxa" w:w="7882"/>
            <w:vAlign w:val="center"/>
            <w:tcMar>
              <w:top w:w="35" w:type="dxa"/>
              <w:start w:w="120" w:type="dxa"/>
              <w:bottom w:w="35" w:type="dxa"/>
              <w:end w:w="120" w:type="dxa"/>
            </w:tcMar>
          </w:tcPr>
          <w:p>
            <w:pPr>
              <w:spacing w:before="0" w:after="0"/>
            </w:pPr>
            <w:r>
              <w:rPr>
                <w:sz w:val="16"/>
              </w:rPr>
              <w:t>Model Context Protocol, a protocol through which an AI client discovers and invokes external tools, resources and prompts.</w:t>
            </w:r>
          </w:p>
        </w:tc>
      </w:tr>
      <w:tr>
        <w:tc>
          <w:tcPr>
            <w:tcW w:type="dxa" w:w="1478"/>
            <w:vAlign w:val="center"/>
            <w:tcMar>
              <w:top w:w="35" w:type="dxa"/>
              <w:start w:w="120" w:type="dxa"/>
              <w:bottom w:w="35" w:type="dxa"/>
              <w:end w:w="120" w:type="dxa"/>
            </w:tcMar>
          </w:tcPr>
          <w:p>
            <w:pPr>
              <w:spacing w:before="0" w:after="0"/>
            </w:pPr>
            <w:r>
              <w:rPr>
                <w:sz w:val="16"/>
              </w:rPr>
              <w:t>VSIX</w:t>
            </w:r>
          </w:p>
        </w:tc>
        <w:tc>
          <w:tcPr>
            <w:tcW w:type="dxa" w:w="7882"/>
            <w:vAlign w:val="center"/>
            <w:tcMar>
              <w:top w:w="35" w:type="dxa"/>
              <w:start w:w="120" w:type="dxa"/>
              <w:bottom w:w="35" w:type="dxa"/>
              <w:end w:w="120" w:type="dxa"/>
            </w:tcMar>
          </w:tcPr>
          <w:p>
            <w:pPr>
              <w:spacing w:before="0" w:after="0"/>
            </w:pPr>
            <w:r>
              <w:rPr>
                <w:sz w:val="16"/>
              </w:rPr>
              <w:t>The installable archive format used to distribute Visual Studio Code extensions.</w:t>
            </w:r>
          </w:p>
        </w:tc>
      </w:tr>
      <w:tr>
        <w:tc>
          <w:tcPr>
            <w:tcW w:type="dxa" w:w="1478"/>
            <w:vAlign w:val="center"/>
            <w:tcMar>
              <w:top w:w="35" w:type="dxa"/>
              <w:start w:w="120" w:type="dxa"/>
              <w:bottom w:w="35" w:type="dxa"/>
              <w:end w:w="120" w:type="dxa"/>
            </w:tcMar>
          </w:tcPr>
          <w:p>
            <w:pPr>
              <w:spacing w:before="0" w:after="0"/>
            </w:pPr>
            <w:r>
              <w:rPr>
                <w:sz w:val="16"/>
              </w:rPr>
              <w:t>Workspace Trust</w:t>
            </w:r>
          </w:p>
        </w:tc>
        <w:tc>
          <w:tcPr>
            <w:tcW w:type="dxa" w:w="7882"/>
            <w:vAlign w:val="center"/>
            <w:tcMar>
              <w:top w:w="35" w:type="dxa"/>
              <w:start w:w="120" w:type="dxa"/>
              <w:bottom w:w="35" w:type="dxa"/>
              <w:end w:w="120" w:type="dxa"/>
            </w:tcMar>
          </w:tcPr>
          <w:p>
            <w:pPr>
              <w:spacing w:before="0" w:after="0"/>
            </w:pPr>
            <w:r>
              <w:rPr>
                <w:sz w:val="16"/>
              </w:rPr>
              <w:t>A Visual Studio Code security boundary that limits code execution and agent features in untrusted folders.</w:t>
            </w:r>
          </w:p>
        </w:tc>
      </w:tr>
      <w:tr>
        <w:tc>
          <w:tcPr>
            <w:tcW w:type="dxa" w:w="1478"/>
            <w:vAlign w:val="center"/>
            <w:tcMar>
              <w:top w:w="35" w:type="dxa"/>
              <w:start w:w="120" w:type="dxa"/>
              <w:bottom w:w="35" w:type="dxa"/>
              <w:end w:w="120" w:type="dxa"/>
            </w:tcMar>
          </w:tcPr>
          <w:p>
            <w:pPr>
              <w:spacing w:before="0" w:after="0"/>
            </w:pPr>
            <w:r>
              <w:rPr>
                <w:sz w:val="16"/>
              </w:rPr>
              <w:t>YOLO mode</w:t>
            </w:r>
          </w:p>
        </w:tc>
        <w:tc>
          <w:tcPr>
            <w:tcW w:type="dxa" w:w="7882"/>
            <w:vAlign w:val="center"/>
            <w:tcMar>
              <w:top w:w="35" w:type="dxa"/>
              <w:start w:w="120" w:type="dxa"/>
              <w:bottom w:w="35" w:type="dxa"/>
              <w:end w:w="120" w:type="dxa"/>
            </w:tcMar>
          </w:tcPr>
          <w:p>
            <w:pPr>
              <w:spacing w:before="0" w:after="0"/>
            </w:pPr>
            <w:r>
              <w:rPr>
                <w:sz w:val="16"/>
              </w:rPr>
              <w:t>Kimi's auto-approval permission mode for regular tool actions, including documented automatic approval of MCP tools.</w:t>
            </w:r>
          </w:p>
        </w:tc>
      </w:tr>
      <w:tr>
        <w:tc>
          <w:tcPr>
            <w:tcW w:type="dxa" w:w="1478"/>
            <w:vAlign w:val="center"/>
            <w:tcMar>
              <w:top w:w="35" w:type="dxa"/>
              <w:start w:w="120" w:type="dxa"/>
              <w:bottom w:w="35" w:type="dxa"/>
              <w:end w:w="120" w:type="dxa"/>
            </w:tcMar>
          </w:tcPr>
          <w:p>
            <w:pPr>
              <w:spacing w:before="0" w:after="0"/>
            </w:pPr>
            <w:r>
              <w:rPr>
                <w:sz w:val="16"/>
              </w:rPr>
              <w:t>KIMI_CODE_HOME</w:t>
            </w:r>
          </w:p>
        </w:tc>
        <w:tc>
          <w:tcPr>
            <w:tcW w:type="dxa" w:w="7882"/>
            <w:vAlign w:val="center"/>
            <w:tcMar>
              <w:top w:w="35" w:type="dxa"/>
              <w:start w:w="120" w:type="dxa"/>
              <w:bottom w:w="35" w:type="dxa"/>
              <w:end w:w="120" w:type="dxa"/>
            </w:tcMar>
          </w:tcPr>
          <w:p>
            <w:pPr>
              <w:spacing w:before="0" w:after="0"/>
            </w:pPr>
            <w:r>
              <w:rPr>
                <w:sz w:val="16"/>
              </w:rPr>
              <w:t>The Kimi Code data root that can contain configuration, sessions, logs, credentials and MCP definitions shared by clients.</w:t>
            </w:r>
          </w:p>
        </w:tc>
      </w:tr>
      <w:tr>
        <w:tc>
          <w:tcPr>
            <w:tcW w:type="dxa" w:w="1478"/>
            <w:vAlign w:val="center"/>
            <w:tcMar>
              <w:top w:w="35" w:type="dxa"/>
              <w:start w:w="120" w:type="dxa"/>
              <w:bottom w:w="35" w:type="dxa"/>
              <w:end w:w="120" w:type="dxa"/>
            </w:tcMar>
          </w:tcPr>
          <w:p>
            <w:pPr>
              <w:spacing w:before="0" w:after="0"/>
            </w:pPr>
            <w:r>
              <w:rPr>
                <w:sz w:val="16"/>
              </w:rPr>
              <w:t>SBOM</w:t>
            </w:r>
          </w:p>
        </w:tc>
        <w:tc>
          <w:tcPr>
            <w:tcW w:type="dxa" w:w="7882"/>
            <w:vAlign w:val="center"/>
            <w:tcMar>
              <w:top w:w="35" w:type="dxa"/>
              <w:start w:w="120" w:type="dxa"/>
              <w:bottom w:w="35" w:type="dxa"/>
              <w:end w:w="120" w:type="dxa"/>
            </w:tcMar>
          </w:tcPr>
          <w:p>
            <w:pPr>
              <w:spacing w:before="0" w:after="0"/>
            </w:pPr>
            <w:r>
              <w:rPr>
                <w:sz w:val="16"/>
              </w:rPr>
              <w:t>Software Bill of Materials, a structured inventory of software components and dependency relationships.</w:t>
            </w:r>
          </w:p>
        </w:tc>
      </w:tr>
      <w:tr>
        <w:tc>
          <w:tcPr>
            <w:tcW w:type="dxa" w:w="1478"/>
            <w:vAlign w:val="center"/>
            <w:tcMar>
              <w:top w:w="35" w:type="dxa"/>
              <w:start w:w="120" w:type="dxa"/>
              <w:bottom w:w="35" w:type="dxa"/>
              <w:end w:w="120" w:type="dxa"/>
            </w:tcMar>
          </w:tcPr>
          <w:p>
            <w:pPr>
              <w:spacing w:before="0" w:after="0"/>
            </w:pPr>
            <w:r>
              <w:rPr>
                <w:sz w:val="16"/>
              </w:rPr>
              <w:t>Reachability</w:t>
            </w:r>
          </w:p>
        </w:tc>
        <w:tc>
          <w:tcPr>
            <w:tcW w:type="dxa" w:w="7882"/>
            <w:vAlign w:val="center"/>
            <w:tcMar>
              <w:top w:w="35" w:type="dxa"/>
              <w:start w:w="120" w:type="dxa"/>
              <w:bottom w:w="35" w:type="dxa"/>
              <w:end w:w="120" w:type="dxa"/>
            </w:tcMar>
          </w:tcPr>
          <w:p>
            <w:pPr>
              <w:spacing w:before="0" w:after="0"/>
            </w:pPr>
            <w:r>
              <w:rPr>
                <w:sz w:val="16"/>
              </w:rPr>
              <w:t>Evidence that vulnerable code is included, loaded and can be exercised through a relevant attacker-controlled path.</w:t>
            </w:r>
          </w:p>
        </w:tc>
      </w:tr>
      <w:tr>
        <w:tc>
          <w:tcPr>
            <w:tcW w:type="dxa" w:w="1478"/>
            <w:vAlign w:val="center"/>
            <w:tcMar>
              <w:top w:w="35" w:type="dxa"/>
              <w:start w:w="120" w:type="dxa"/>
              <w:bottom w:w="35" w:type="dxa"/>
              <w:end w:w="120" w:type="dxa"/>
            </w:tcMar>
          </w:tcPr>
          <w:p>
            <w:pPr>
              <w:spacing w:before="0" w:after="0"/>
            </w:pPr>
            <w:r>
              <w:rPr>
                <w:sz w:val="16"/>
              </w:rPr>
              <w:t>Residual risk</w:t>
            </w:r>
          </w:p>
        </w:tc>
        <w:tc>
          <w:tcPr>
            <w:tcW w:type="dxa" w:w="7882"/>
            <w:vAlign w:val="center"/>
            <w:tcMar>
              <w:top w:w="35" w:type="dxa"/>
              <w:start w:w="120" w:type="dxa"/>
              <w:bottom w:w="35" w:type="dxa"/>
              <w:end w:w="120" w:type="dxa"/>
            </w:tcMar>
          </w:tcPr>
          <w:p>
            <w:pPr>
              <w:spacing w:before="0" w:after="0"/>
            </w:pPr>
            <w:r>
              <w:rPr>
                <w:sz w:val="16"/>
              </w:rPr>
              <w:t>Risk remaining after considering existing or required controls and their demonstrated effectiveness.</w:t>
            </w:r>
          </w:p>
        </w:tc>
      </w:tr>
      <w:tr>
        <w:tc>
          <w:tcPr>
            <w:tcW w:type="dxa" w:w="1478"/>
            <w:vAlign w:val="center"/>
            <w:tcMar>
              <w:top w:w="35" w:type="dxa"/>
              <w:start w:w="120" w:type="dxa"/>
              <w:bottom w:w="35" w:type="dxa"/>
              <w:end w:w="120" w:type="dxa"/>
            </w:tcMar>
          </w:tcPr>
          <w:p>
            <w:pPr>
              <w:spacing w:before="0" w:after="0"/>
            </w:pPr>
            <w:r>
              <w:rPr>
                <w:sz w:val="16"/>
              </w:rPr>
              <w:t>Synthetic data</w:t>
            </w:r>
          </w:p>
        </w:tc>
        <w:tc>
          <w:tcPr>
            <w:tcW w:type="dxa" w:w="7882"/>
            <w:vAlign w:val="center"/>
            <w:tcMar>
              <w:top w:w="35" w:type="dxa"/>
              <w:start w:w="120" w:type="dxa"/>
              <w:bottom w:w="35" w:type="dxa"/>
              <w:end w:w="120" w:type="dxa"/>
            </w:tcMar>
          </w:tcPr>
          <w:p>
            <w:pPr>
              <w:spacing w:before="0" w:after="0"/>
            </w:pPr>
            <w:r>
              <w:rPr>
                <w:sz w:val="16"/>
              </w:rPr>
              <w:t>Artificial test information that does not represent real people, customers, credentials or confidential production content.</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PUBLIC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Kimi Code (moonshot-ai.kimi-code) | Security assessment | Classification: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ketplace.visualstudio.com/items?itemName=moonshot-ai.kimi-code" TargetMode="External"/><Relationship Id="rId13" Type="http://schemas.openxmlformats.org/officeDocument/2006/relationships/hyperlink" Target="https://github.com/MoonshotAI/kimi-code" TargetMode="External"/><Relationship Id="rId14" Type="http://schemas.openxmlformats.org/officeDocument/2006/relationships/hyperlink" Target="https://github.com/MoonshotAI/kimi-code/security/policy" TargetMode="External"/><Relationship Id="rId15" Type="http://schemas.openxmlformats.org/officeDocument/2006/relationships/hyperlink" Target="https://www.kimi.com/code/docs/en/kimi-code-for-vscode/getting-started" TargetMode="External"/><Relationship Id="rId16" Type="http://schemas.openxmlformats.org/officeDocument/2006/relationships/hyperlink" Target="https://www.kimi.com/code/docs/en/kimi-code-cli/customization/mcp.html" TargetMode="External"/><Relationship Id="rId17" Type="http://schemas.openxmlformats.org/officeDocument/2006/relationships/hyperlink" Target="https://www.kimi.com/code/docs/en/kimi-code/contact-and-feedback.html" TargetMode="External"/><Relationship Id="rId18" Type="http://schemas.openxmlformats.org/officeDocument/2006/relationships/hyperlink" Target="https://www.kimi.com/code/docs/en/kimi-code-cli/configuration/env-vars" TargetMode="External"/><Relationship Id="rId19" Type="http://schemas.openxmlformats.org/officeDocument/2006/relationships/hyperlink" Target="https://www.kimi.com/help/others/data-usage" TargetMode="External"/><Relationship Id="rId20" Type="http://schemas.openxmlformats.org/officeDocument/2006/relationships/hyperlink" Target="https://code.visualstudio.com/docs/editing/workspaces/workspace-trust" TargetMode="External"/><Relationship Id="rId21" Type="http://schemas.openxmlformats.org/officeDocument/2006/relationships/hyperlink" Target="https://code.visualstudio.com/docs/configure/extensions/extension-runtime-security" TargetMode="External"/><Relationship Id="rId22" Type="http://schemas.openxmlformats.org/officeDocument/2006/relationships/hyperlink" Target="https://modelcontextprotocol.io/specification/2025-06-18/basic/security_best_practices" TargetMode="External"/><Relationship Id="rId23" Type="http://schemas.openxmlformats.org/officeDocument/2006/relationships/hyperlink" Target="https://genai.owasp.org/2025/12/09/owasp-top-10-for-agentic-applications-the-benchmark-for-agentic-security-in-the-age-of-autonomous-ai/" TargetMode="External"/><Relationship Id="rId24" Type="http://schemas.openxmlformats.org/officeDocument/2006/relationships/hyperlink" Target="https://owasp.org/www-project-mcp-top-10/" TargetMode="External"/><Relationship Id="rId25" Type="http://schemas.openxmlformats.org/officeDocument/2006/relationships/hyperlink" Target="https://www.nist.gov/publications/artificial-intelligence-risk-management-framework-ai-rmf-10" TargetMode="External"/><Relationship Id="rId26" Type="http://schemas.openxmlformats.org/officeDocument/2006/relationships/hyperlink" Target="https://nvlpubs.nist.gov/nistpubs/ai/NIST.AI.600-1.pdf" TargetMode="External"/><Relationship Id="rId27" Type="http://schemas.openxmlformats.org/officeDocument/2006/relationships/hyperlink" Target="https://ico.org.uk/for-organisations/uk-gdpr-guidance-and-resources/artificial-intelligence/guidance-on-ai-and-data-protection/about-this-guidance/" TargetMode="External"/><Relationship Id="rId28" Type="http://schemas.openxmlformats.org/officeDocument/2006/relationships/hyperlink" Target="https://www.fca.org.uk/publication/corporate/ai-update.pdf" TargetMode="External"/><Relationship Id="rId29" Type="http://schemas.openxmlformats.org/officeDocument/2006/relationships/hyperlink" Target="https://handbook.fca.org.uk/handbook/sysc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Kimi Code (moonshot-ai.kimi-code) security assessment</dc:title>
  <dc:subject>Evidence-led Microsoft IDE extension security assessment</dc:subject>
  <dc:creator>SoloSentry Assessment Environment</dc:creator>
  <cp:keywords>security assessment, VS Code, AI, OWASP, privacy</cp:keywords>
  <dc:description>Generated from hash-bound validated stage outputs.</dc:description>
  <cp:lastModifiedBy>SoloSentry Assessment Environment</cp:lastModifiedBy>
  <cp:revision>1</cp:revision>
  <dcterms:created xsi:type="dcterms:W3CDTF">2013-12-23T23:15:00Z</dcterms:created>
  <dcterms:modified xsi:type="dcterms:W3CDTF">2013-12-23T23:15:00Z</dcterms:modified>
  <cp:category/>
</cp:coreProperties>
</file>