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4"/>
        </w:rPr>
        <w:t>SECURITY ASSESSMENT</w:t>
      </w:r>
    </w:p>
    <w:p>
      <w:pPr>
        <w:pStyle w:val="Title"/>
        <w:jc w:val="center"/>
      </w:pPr>
      <w:r>
        <w:t>Microsoft Azure DevOps Local MCP 2.8.1</w:t>
      </w:r>
    </w:p>
    <w:p>
      <w:pPr>
        <w:pStyle w:val="Subtitle"/>
        <w:jc w:val="center"/>
      </w:pPr>
      <w:r>
        <w:t>Local npm package | VS Code and Visual Studio | UK financial services</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2400"/>
            <w:vAlign w:val="center"/>
            <w:tcMar>
              <w:top w:w="80" w:type="dxa"/>
              <w:start w:w="120" w:type="dxa"/>
              <w:bottom w:w="80" w:type="dxa"/>
              <w:end w:w="120" w:type="dxa"/>
            </w:tcMar>
            <w:shd w:fill="17365D"/>
          </w:tcPr>
          <w:p>
            <w:pPr>
              <w:spacing w:after="20"/>
            </w:pPr>
            <w:r>
              <w:rPr>
                <w:rFonts w:ascii="Calibri" w:hAnsi="Calibri"/>
                <w:b/>
                <w:color w:val="FFFFFF"/>
                <w:sz w:val="16"/>
              </w:rPr>
              <w:t>Document control</w:t>
            </w:r>
          </w:p>
        </w:tc>
        <w:tc>
          <w:tcPr>
            <w:tcW w:type="dxa" w:w="6960"/>
            <w:vAlign w:val="center"/>
            <w:tcMar>
              <w:top w:w="80" w:type="dxa"/>
              <w:start w:w="120" w:type="dxa"/>
              <w:bottom w:w="80" w:type="dxa"/>
              <w:end w:w="120" w:type="dxa"/>
            </w:tcMar>
            <w:shd w:fill="17365D"/>
          </w:tcPr>
          <w:p>
            <w:pPr>
              <w:spacing w:after="20"/>
            </w:pPr>
            <w:r>
              <w:rPr>
                <w:rFonts w:ascii="Calibri" w:hAnsi="Calibri"/>
                <w:b/>
                <w:color w:val="FFFFFF"/>
                <w:sz w:val="16"/>
              </w:rPr>
              <w:t>Value</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Decision</w:t>
            </w:r>
          </w:p>
        </w:tc>
        <w:tc>
          <w:tcPr>
            <w:tcW w:type="dxa" w:w="6960"/>
            <w:vAlign w:val="center"/>
            <w:tcMar>
              <w:top w:w="80" w:type="dxa"/>
              <w:start w:w="120" w:type="dxa"/>
              <w:bottom w:w="80" w:type="dxa"/>
              <w:end w:w="120" w:type="dxa"/>
            </w:tcMar>
            <w:shd w:fill="FFFFFF"/>
          </w:tcPr>
          <w:p>
            <w:pPr>
              <w:spacing w:after="20"/>
            </w:pPr>
            <w:r>
              <w:rPr>
                <w:rFonts w:ascii="Calibri" w:hAnsi="Calibri"/>
                <w:sz w:val="16"/>
              </w:rPr>
              <w:t>DEFER PENDING EVIDENCE for confidential/production use; controlled read-only pilot only</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Classification</w:t>
            </w:r>
          </w:p>
        </w:tc>
        <w:tc>
          <w:tcPr>
            <w:tcW w:type="dxa" w:w="6960"/>
            <w:vAlign w:val="center"/>
            <w:tcMar>
              <w:top w:w="80" w:type="dxa"/>
              <w:start w:w="120" w:type="dxa"/>
              <w:bottom w:w="80" w:type="dxa"/>
              <w:end w:w="120" w:type="dxa"/>
            </w:tcMar>
            <w:shd w:fill="F2F4F7"/>
          </w:tcPr>
          <w:p>
            <w:pPr>
              <w:spacing w:after="20"/>
            </w:pPr>
            <w:r>
              <w:rPr>
                <w:rFonts w:ascii="Calibri" w:hAnsi="Calibri"/>
                <w:sz w:val="16"/>
              </w:rPr>
              <w:t>PUBLIC</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Assessment date</w:t>
            </w:r>
          </w:p>
        </w:tc>
        <w:tc>
          <w:tcPr>
            <w:tcW w:type="dxa" w:w="6960"/>
            <w:vAlign w:val="center"/>
            <w:tcMar>
              <w:top w:w="80" w:type="dxa"/>
              <w:start w:w="120" w:type="dxa"/>
              <w:bottom w:w="80" w:type="dxa"/>
              <w:end w:w="120" w:type="dxa"/>
            </w:tcMar>
            <w:shd w:fill="FFFFFF"/>
          </w:tcPr>
          <w:p>
            <w:pPr>
              <w:spacing w:after="20"/>
            </w:pPr>
            <w:r>
              <w:rPr>
                <w:rFonts w:ascii="Calibri" w:hAnsi="Calibri"/>
                <w:sz w:val="16"/>
              </w:rPr>
              <w:t>25 July 2026</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Document version</w:t>
            </w:r>
          </w:p>
        </w:tc>
        <w:tc>
          <w:tcPr>
            <w:tcW w:type="dxa" w:w="6960"/>
            <w:vAlign w:val="center"/>
            <w:tcMar>
              <w:top w:w="80" w:type="dxa"/>
              <w:start w:w="120" w:type="dxa"/>
              <w:bottom w:w="80" w:type="dxa"/>
              <w:end w:w="120" w:type="dxa"/>
            </w:tcMar>
            <w:shd w:fill="F2F4F7"/>
          </w:tcPr>
          <w:p>
            <w:pPr>
              <w:spacing w:after="20"/>
            </w:pPr>
            <w:r>
              <w:rPr>
                <w:rFonts w:ascii="Calibri" w:hAnsi="Calibri"/>
                <w:sz w:val="16"/>
              </w:rPr>
              <w:t>1.1 candidate</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Static analysis</w:t>
            </w:r>
          </w:p>
        </w:tc>
        <w:tc>
          <w:tcPr>
            <w:tcW w:type="dxa" w:w="6960"/>
            <w:vAlign w:val="center"/>
            <w:tcMar>
              <w:top w:w="80" w:type="dxa"/>
              <w:start w:w="120" w:type="dxa"/>
              <w:bottom w:w="80" w:type="dxa"/>
              <w:end w:w="120" w:type="dxa"/>
            </w:tcMar>
            <w:shd w:fill="FFFFFF"/>
          </w:tcPr>
          <w:p>
            <w:pPr>
              <w:spacing w:after="20"/>
            </w:pPr>
            <w:r>
              <w:rPr>
                <w:rFonts w:ascii="Calibri" w:hAnsi="Calibri"/>
                <w:sz w:val="16"/>
              </w:rPr>
              <w:t>Yes; exact npm package and matching Microsoft source</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Malware review</w:t>
            </w:r>
          </w:p>
        </w:tc>
        <w:tc>
          <w:tcPr>
            <w:tcW w:type="dxa" w:w="6960"/>
            <w:vAlign w:val="center"/>
            <w:tcMar>
              <w:top w:w="80" w:type="dxa"/>
              <w:start w:w="120" w:type="dxa"/>
              <w:bottom w:w="80" w:type="dxa"/>
              <w:end w:w="120" w:type="dxa"/>
            </w:tcMar>
            <w:shd w:fill="F2F4F7"/>
          </w:tcPr>
          <w:p>
            <w:pPr>
              <w:spacing w:after="20"/>
            </w:pPr>
            <w:r>
              <w:rPr>
                <w:rFonts w:ascii="Calibri" w:hAnsi="Calibri"/>
                <w:sz w:val="16"/>
              </w:rPr>
              <w:t>Yes; package and source static scans, no detonation</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Runtime analysis</w:t>
            </w:r>
          </w:p>
        </w:tc>
        <w:tc>
          <w:tcPr>
            <w:tcW w:type="dxa" w:w="6960"/>
            <w:vAlign w:val="center"/>
            <w:tcMar>
              <w:top w:w="80" w:type="dxa"/>
              <w:start w:w="120" w:type="dxa"/>
              <w:bottom w:w="80" w:type="dxa"/>
              <w:end w:w="120" w:type="dxa"/>
            </w:tcMar>
            <w:shd w:fill="FFFFFF"/>
          </w:tcPr>
          <w:p>
            <w:pPr>
              <w:spacing w:after="20"/>
            </w:pPr>
            <w:r>
              <w:rPr>
                <w:rFonts w:ascii="Calibri" w:hAnsi="Calibri"/>
                <w:sz w:val="16"/>
              </w:rPr>
              <w:t>Selected but blocked; no disposable representative Windows hosts</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Privacy review</w:t>
            </w:r>
          </w:p>
        </w:tc>
        <w:tc>
          <w:tcPr>
            <w:tcW w:type="dxa" w:w="6960"/>
            <w:vAlign w:val="center"/>
            <w:tcMar>
              <w:top w:w="80" w:type="dxa"/>
              <w:start w:w="120" w:type="dxa"/>
              <w:bottom w:w="80" w:type="dxa"/>
              <w:end w:w="120" w:type="dxa"/>
            </w:tcMar>
            <w:shd w:fill="F2F4F7"/>
          </w:tcPr>
          <w:p>
            <w:pPr>
              <w:spacing w:after="20"/>
            </w:pPr>
            <w:r>
              <w:rPr>
                <w:rFonts w:ascii="Calibri" w:hAnsi="Calibri"/>
                <w:sz w:val="16"/>
              </w:rPr>
              <w:t>Yes</w:t>
            </w:r>
          </w:p>
        </w:tc>
      </w:tr>
    </w:tbl>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2400"/>
            <w:vAlign w:val="center"/>
            <w:tcMar>
              <w:top w:w="80" w:type="dxa"/>
              <w:start w:w="120" w:type="dxa"/>
              <w:bottom w:w="80" w:type="dxa"/>
              <w:end w:w="120" w:type="dxa"/>
            </w:tcMar>
            <w:shd w:fill="17365D"/>
          </w:tcPr>
          <w:p>
            <w:pPr>
              <w:spacing w:after="20"/>
            </w:pPr>
            <w:r>
              <w:rPr>
                <w:rFonts w:ascii="Calibri" w:hAnsi="Calibri"/>
                <w:b/>
                <w:color w:val="FFFFFF"/>
                <w:sz w:val="16"/>
              </w:rPr>
              <w:t>Field</w:t>
            </w:r>
          </w:p>
        </w:tc>
        <w:tc>
          <w:tcPr>
            <w:tcW w:type="dxa" w:w="6960"/>
            <w:vAlign w:val="center"/>
            <w:tcMar>
              <w:top w:w="80" w:type="dxa"/>
              <w:start w:w="120" w:type="dxa"/>
              <w:bottom w:w="80" w:type="dxa"/>
              <w:end w:w="120" w:type="dxa"/>
            </w:tcMar>
            <w:shd w:fill="17365D"/>
          </w:tcPr>
          <w:p>
            <w:pPr>
              <w:spacing w:after="20"/>
            </w:pPr>
            <w:r>
              <w:rPr>
                <w:rFonts w:ascii="Calibri" w:hAnsi="Calibri"/>
                <w:b/>
                <w:color w:val="FFFFFF"/>
                <w:sz w:val="16"/>
              </w:rPr>
              <w:t>Value</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Owner</w:t>
            </w:r>
          </w:p>
        </w:tc>
        <w:tc>
          <w:tcPr>
            <w:tcW w:type="dxa" w:w="6960"/>
            <w:vAlign w:val="center"/>
            <w:tcMar>
              <w:top w:w="80" w:type="dxa"/>
              <w:start w:w="120" w:type="dxa"/>
              <w:bottom w:w="80" w:type="dxa"/>
              <w:end w:w="120" w:type="dxa"/>
            </w:tcMar>
            <w:shd w:fill="FFFFFF"/>
          </w:tcPr>
          <w:p>
            <w:pPr>
              <w:spacing w:after="20"/>
            </w:pPr>
            <w:r>
              <w:rPr>
                <w:rFonts w:ascii="Calibri" w:hAnsi="Calibri"/>
                <w:sz w:val="16"/>
              </w:rPr>
              <w:t>Enterprise AI Security</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Audience</w:t>
            </w:r>
          </w:p>
        </w:tc>
        <w:tc>
          <w:tcPr>
            <w:tcW w:type="dxa" w:w="6960"/>
            <w:vAlign w:val="center"/>
            <w:tcMar>
              <w:top w:w="80" w:type="dxa"/>
              <w:start w:w="120" w:type="dxa"/>
              <w:bottom w:w="80" w:type="dxa"/>
              <w:end w:w="120" w:type="dxa"/>
            </w:tcMar>
            <w:shd w:fill="F2F4F7"/>
          </w:tcPr>
          <w:p>
            <w:pPr>
              <w:spacing w:after="20"/>
            </w:pPr>
            <w:r>
              <w:rPr>
                <w:rFonts w:ascii="Calibri" w:hAnsi="Calibri"/>
                <w:sz w:val="16"/>
              </w:rPr>
              <w:t>Security, Engineering, Privacy, Risk and Supplier Assurance</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Review trigger</w:t>
            </w:r>
          </w:p>
        </w:tc>
        <w:tc>
          <w:tcPr>
            <w:tcW w:type="dxa" w:w="6960"/>
            <w:vAlign w:val="center"/>
            <w:tcMar>
              <w:top w:w="80" w:type="dxa"/>
              <w:start w:w="120" w:type="dxa"/>
              <w:bottom w:w="80" w:type="dxa"/>
              <w:end w:w="120" w:type="dxa"/>
            </w:tcMar>
            <w:shd w:fill="FFFFFF"/>
          </w:tcPr>
          <w:p>
            <w:pPr>
              <w:spacing w:after="20"/>
            </w:pPr>
            <w:r>
              <w:rPr>
                <w:rFonts w:ascii="Calibri" w:hAnsi="Calibri"/>
                <w:sz w:val="16"/>
              </w:rPr>
              <w:t>GA, tool/schema drift, service incident, control failure, or 25 October 2026</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Authority</w:t>
            </w:r>
          </w:p>
        </w:tc>
        <w:tc>
          <w:tcPr>
            <w:tcW w:type="dxa" w:w="6960"/>
            <w:vAlign w:val="center"/>
            <w:tcMar>
              <w:top w:w="80" w:type="dxa"/>
              <w:start w:w="120" w:type="dxa"/>
              <w:bottom w:w="80" w:type="dxa"/>
              <w:end w:w="120" w:type="dxa"/>
            </w:tcMar>
            <w:shd w:fill="F2F4F7"/>
          </w:tcPr>
          <w:p>
            <w:pPr>
              <w:spacing w:after="20"/>
            </w:pPr>
            <w:r>
              <w:rPr>
                <w:rFonts w:ascii="Calibri" w:hAnsi="Calibri"/>
                <w:sz w:val="16"/>
              </w:rPr>
              <w:t>Candidate pending reviewed pull request; generation is not approval</w:t>
            </w:r>
          </w:p>
        </w:tc>
      </w:tr>
    </w:tbl>
    <w:p/>
    <w:p>
      <w:pPr>
        <w:pStyle w:val="Heading1"/>
      </w:pPr>
      <w:r>
        <w:t>Revision History</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200"/>
            <w:vAlign w:val="center"/>
            <w:tcMar>
              <w:top w:w="80" w:type="dxa"/>
              <w:start w:w="120" w:type="dxa"/>
              <w:bottom w:w="80" w:type="dxa"/>
              <w:end w:w="120" w:type="dxa"/>
            </w:tcMar>
            <w:shd w:fill="17365D"/>
          </w:tcPr>
          <w:p>
            <w:pPr>
              <w:spacing w:after="20"/>
            </w:pPr>
            <w:r>
              <w:rPr>
                <w:rFonts w:ascii="Calibri" w:hAnsi="Calibri"/>
                <w:b/>
                <w:color w:val="FFFFFF"/>
                <w:sz w:val="16"/>
              </w:rPr>
              <w:t>Version</w:t>
            </w:r>
          </w:p>
        </w:tc>
        <w:tc>
          <w:tcPr>
            <w:tcW w:type="dxa" w:w="1700"/>
            <w:vAlign w:val="center"/>
            <w:tcMar>
              <w:top w:w="80" w:type="dxa"/>
              <w:start w:w="120" w:type="dxa"/>
              <w:bottom w:w="80" w:type="dxa"/>
              <w:end w:w="120" w:type="dxa"/>
            </w:tcMar>
            <w:shd w:fill="17365D"/>
          </w:tcPr>
          <w:p>
            <w:pPr>
              <w:spacing w:after="20"/>
            </w:pPr>
            <w:r>
              <w:rPr>
                <w:rFonts w:ascii="Calibri" w:hAnsi="Calibri"/>
                <w:b/>
                <w:color w:val="FFFFFF"/>
                <w:sz w:val="16"/>
              </w:rPr>
              <w:t>Date</w:t>
            </w:r>
          </w:p>
        </w:tc>
        <w:tc>
          <w:tcPr>
            <w:tcW w:type="dxa" w:w="4600"/>
            <w:vAlign w:val="center"/>
            <w:tcMar>
              <w:top w:w="80" w:type="dxa"/>
              <w:start w:w="120" w:type="dxa"/>
              <w:bottom w:w="80" w:type="dxa"/>
              <w:end w:w="120" w:type="dxa"/>
            </w:tcMar>
            <w:shd w:fill="17365D"/>
          </w:tcPr>
          <w:p>
            <w:pPr>
              <w:spacing w:after="20"/>
            </w:pPr>
            <w:r>
              <w:rPr>
                <w:rFonts w:ascii="Calibri" w:hAnsi="Calibri"/>
                <w:b/>
                <w:color w:val="FFFFFF"/>
                <w:sz w:val="16"/>
              </w:rPr>
              <w:t>Change</w:t>
            </w:r>
          </w:p>
        </w:tc>
        <w:tc>
          <w:tcPr>
            <w:tcW w:type="dxa" w:w="1860"/>
            <w:vAlign w:val="center"/>
            <w:tcMar>
              <w:top w:w="80" w:type="dxa"/>
              <w:start w:w="120" w:type="dxa"/>
              <w:bottom w:w="80" w:type="dxa"/>
              <w:end w:w="120" w:type="dxa"/>
            </w:tcMar>
            <w:shd w:fill="17365D"/>
          </w:tcPr>
          <w:p>
            <w:pPr>
              <w:spacing w:after="20"/>
            </w:pPr>
            <w:r>
              <w:rPr>
                <w:rFonts w:ascii="Calibri" w:hAnsi="Calibri"/>
                <w:b/>
                <w:color w:val="FFFFFF"/>
                <w:sz w:val="16"/>
              </w:rPr>
              <w:t>Status</w:t>
            </w:r>
          </w:p>
        </w:tc>
      </w:tr>
      <w:tr>
        <w:trPr>
          <w:cantSplit/>
        </w:trPr>
        <w:tc>
          <w:tcPr>
            <w:tcW w:type="dxa" w:w="1200"/>
            <w:vAlign w:val="center"/>
            <w:tcMar>
              <w:top w:w="80" w:type="dxa"/>
              <w:start w:w="120" w:type="dxa"/>
              <w:bottom w:w="80" w:type="dxa"/>
              <w:end w:w="120" w:type="dxa"/>
            </w:tcMar>
            <w:shd w:fill="FFFFFF"/>
          </w:tcPr>
          <w:p>
            <w:pPr>
              <w:spacing w:after="20"/>
            </w:pPr>
            <w:r>
              <w:rPr>
                <w:rFonts w:ascii="Calibri" w:hAnsi="Calibri"/>
                <w:sz w:val="16"/>
              </w:rPr>
              <w:t>1.0</w:t>
            </w:r>
          </w:p>
        </w:tc>
        <w:tc>
          <w:tcPr>
            <w:tcW w:type="dxa" w:w="1700"/>
            <w:vAlign w:val="center"/>
            <w:tcMar>
              <w:top w:w="80" w:type="dxa"/>
              <w:start w:w="120" w:type="dxa"/>
              <w:bottom w:w="80" w:type="dxa"/>
              <w:end w:w="120" w:type="dxa"/>
            </w:tcMar>
            <w:shd w:fill="FFFFFF"/>
          </w:tcPr>
          <w:p>
            <w:pPr>
              <w:spacing w:after="20"/>
            </w:pPr>
            <w:r>
              <w:rPr>
                <w:rFonts w:ascii="Calibri" w:hAnsi="Calibri"/>
                <w:sz w:val="16"/>
              </w:rPr>
              <w:t>15 July 2026</w:t>
            </w:r>
          </w:p>
        </w:tc>
        <w:tc>
          <w:tcPr>
            <w:tcW w:type="dxa" w:w="4600"/>
            <w:vAlign w:val="center"/>
            <w:tcMar>
              <w:top w:w="80" w:type="dxa"/>
              <w:start w:w="120" w:type="dxa"/>
              <w:bottom w:w="80" w:type="dxa"/>
              <w:end w:w="120" w:type="dxa"/>
            </w:tcMar>
            <w:shd w:fill="FFFFFF"/>
          </w:tcPr>
          <w:p>
            <w:pPr>
              <w:spacing w:after="20"/>
            </w:pPr>
            <w:r>
              <w:rPr>
                <w:rFonts w:ascii="Calibri" w:hAnsi="Calibri"/>
                <w:sz w:val="16"/>
              </w:rPr>
              <w:t>Historical task-record assessment; original DOCX unavailable</w:t>
            </w:r>
          </w:p>
        </w:tc>
        <w:tc>
          <w:tcPr>
            <w:tcW w:type="dxa" w:w="1860"/>
            <w:vAlign w:val="center"/>
            <w:tcMar>
              <w:top w:w="80" w:type="dxa"/>
              <w:start w:w="120" w:type="dxa"/>
              <w:bottom w:w="80" w:type="dxa"/>
              <w:end w:w="120" w:type="dxa"/>
            </w:tcMar>
            <w:shd w:fill="FFFFFF"/>
          </w:tcPr>
          <w:p>
            <w:pPr>
              <w:spacing w:after="20"/>
            </w:pPr>
            <w:r>
              <w:rPr>
                <w:rFonts w:ascii="Calibri" w:hAnsi="Calibri"/>
                <w:sz w:val="16"/>
              </w:rPr>
              <w:t>Historical</w:t>
            </w:r>
          </w:p>
        </w:tc>
      </w:tr>
      <w:tr>
        <w:trPr>
          <w:cantSplit/>
        </w:trPr>
        <w:tc>
          <w:tcPr>
            <w:tcW w:type="dxa" w:w="1200"/>
            <w:vAlign w:val="center"/>
            <w:tcMar>
              <w:top w:w="80" w:type="dxa"/>
              <w:start w:w="120" w:type="dxa"/>
              <w:bottom w:w="80" w:type="dxa"/>
              <w:end w:w="120" w:type="dxa"/>
            </w:tcMar>
            <w:shd w:fill="F2F4F7"/>
          </w:tcPr>
          <w:p>
            <w:pPr>
              <w:spacing w:after="20"/>
            </w:pPr>
            <w:r>
              <w:rPr>
                <w:rFonts w:ascii="Calibri" w:hAnsi="Calibri"/>
                <w:sz w:val="16"/>
              </w:rPr>
              <w:t>1.1</w:t>
            </w:r>
          </w:p>
        </w:tc>
        <w:tc>
          <w:tcPr>
            <w:tcW w:type="dxa" w:w="1700"/>
            <w:vAlign w:val="center"/>
            <w:tcMar>
              <w:top w:w="80" w:type="dxa"/>
              <w:start w:w="120" w:type="dxa"/>
              <w:bottom w:w="80" w:type="dxa"/>
              <w:end w:w="120" w:type="dxa"/>
            </w:tcMar>
            <w:shd w:fill="F2F4F7"/>
          </w:tcPr>
          <w:p>
            <w:pPr>
              <w:spacing w:after="20"/>
            </w:pPr>
            <w:r>
              <w:rPr>
                <w:rFonts w:ascii="Calibri" w:hAnsi="Calibri"/>
                <w:sz w:val="16"/>
              </w:rPr>
              <w:t>25 July 2026</w:t>
            </w:r>
          </w:p>
        </w:tc>
        <w:tc>
          <w:tcPr>
            <w:tcW w:type="dxa" w:w="4600"/>
            <w:vAlign w:val="center"/>
            <w:tcMar>
              <w:top w:w="80" w:type="dxa"/>
              <w:start w:w="120" w:type="dxa"/>
              <w:bottom w:w="80" w:type="dxa"/>
              <w:end w:w="120" w:type="dxa"/>
            </w:tcMar>
            <w:shd w:fill="F2F4F7"/>
          </w:tcPr>
          <w:p>
            <w:pPr>
              <w:spacing w:after="20"/>
            </w:pPr>
            <w:r>
              <w:rPr>
                <w:rFonts w:ascii="Calibri" w:hAnsi="Calibri"/>
                <w:sz w:val="16"/>
              </w:rPr>
              <w:t>Repository regeneration with current static, malware and QA evidence</w:t>
            </w:r>
          </w:p>
        </w:tc>
        <w:tc>
          <w:tcPr>
            <w:tcW w:type="dxa" w:w="1860"/>
            <w:vAlign w:val="center"/>
            <w:tcMar>
              <w:top w:w="80" w:type="dxa"/>
              <w:start w:w="120" w:type="dxa"/>
              <w:bottom w:w="80" w:type="dxa"/>
              <w:end w:w="120" w:type="dxa"/>
            </w:tcMar>
            <w:shd w:fill="F2F4F7"/>
          </w:tcPr>
          <w:p>
            <w:pPr>
              <w:spacing w:after="20"/>
            </w:pPr>
            <w:r>
              <w:rPr>
                <w:rFonts w:ascii="Calibri" w:hAnsi="Calibri"/>
                <w:sz w:val="16"/>
              </w:rPr>
              <w:t>Candidate</w:t>
            </w:r>
          </w:p>
        </w:tc>
      </w:tr>
    </w:tbl>
    <w:p/>
    <w:p>
      <w:pPr>
        <w:pStyle w:val="Heading1"/>
      </w:pPr>
      <w:r>
        <w:t>Contents</w:t>
      </w:r>
    </w:p>
    <w:p>
      <w:pPr>
        <w:pStyle w:val="ListBullet"/>
      </w:pPr>
      <w:r>
        <w:t>Executive Summary</w:t>
      </w:r>
    </w:p>
    <w:p>
      <w:pPr>
        <w:pStyle w:val="ListBullet"/>
      </w:pPr>
      <w:r>
        <w:t>Purpose and Function Overview</w:t>
      </w:r>
    </w:p>
    <w:p>
      <w:pPr>
        <w:pStyle w:val="ListBullet"/>
      </w:pPr>
      <w:r>
        <w:t>Scope, Assumptions and Methodology</w:t>
      </w:r>
    </w:p>
    <w:p>
      <w:pPr>
        <w:pStyle w:val="ListBullet"/>
      </w:pPr>
      <w:r>
        <w:t>Product Identity and Version</w:t>
      </w:r>
    </w:p>
    <w:p>
      <w:pPr>
        <w:pStyle w:val="ListBullet"/>
      </w:pPr>
      <w:r>
        <w:t>Part I - VS Code</w:t>
      </w:r>
    </w:p>
    <w:p>
      <w:pPr>
        <w:pStyle w:val="ListBullet"/>
      </w:pPr>
      <w:r>
        <w:t>Part II - Visual Studio</w:t>
      </w:r>
    </w:p>
    <w:p>
      <w:pPr>
        <w:pStyle w:val="ListBullet"/>
      </w:pPr>
      <w:r>
        <w:t>Part III - Installed Agent Skills</w:t>
      </w:r>
    </w:p>
    <w:p>
      <w:pPr>
        <w:pStyle w:val="ListBullet"/>
      </w:pPr>
      <w:r>
        <w:t>Consolidated Assessment</w:t>
      </w:r>
    </w:p>
    <w:p>
      <w:pPr>
        <w:pStyle w:val="ListBullet"/>
      </w:pPr>
      <w:r>
        <w:t>Evidence Register</w:t>
      </w:r>
    </w:p>
    <w:p>
      <w:pPr>
        <w:pStyle w:val="ListBullet"/>
      </w:pPr>
      <w:r>
        <w:t>References</w:t>
      </w:r>
    </w:p>
    <w:p>
      <w:pPr>
        <w:pStyle w:val="ListBullet"/>
      </w:pPr>
      <w:r>
        <w:t>Appendices</w:t>
      </w:r>
    </w:p>
    <w:p>
      <w:pPr>
        <w:pStyle w:val="ListBullet"/>
      </w:pPr>
      <w:r>
        <w:t>Glossary</w:t>
      </w:r>
    </w:p>
    <w:p>
      <w:pPr>
        <w:pStyle w:val="Heading1"/>
      </w:pPr>
      <w:r>
        <w:t>Executive Summary</w:t>
      </w:r>
    </w:p>
    <w:p>
      <w:pPr>
        <w:pStyle w:val="ListBullet"/>
      </w:pPr>
      <w:r>
        <w:t>Decision - Defer confidential and production use pending representative runtime evidence; permit only a controlled, read-only pilot with synthetic or non-sensitive data.</w:t>
      </w:r>
    </w:p>
    <w:p>
      <w:pPr>
        <w:pStyle w:val="ListBullet"/>
      </w:pPr>
      <w:r>
        <w:t>Authority - The 91-tool surface can act with the caller's Azure DevOps permissions; domain restriction, exact client allowlisting and human approval are mandatory.</w:t>
      </w:r>
    </w:p>
    <w:p>
      <w:pPr>
        <w:pStyle w:val="ListBullet"/>
      </w:pPr>
      <w:r>
        <w:t>Assurance - The exact 2.8.1 npm tarball and matching Microsoft source commit are retained, but runtime and lifecycle evidence remain blocked.</w:t>
      </w:r>
    </w:p>
    <w:p>
      <w:pPr>
        <w:pStyle w:val="ListBullet"/>
      </w:pPr>
      <w:r>
        <w:t>Data - Azure DevOps content and tool arguments may contain personal, regulated and internal-confidential information.</w:t>
      </w:r>
    </w:p>
    <w:p>
      <w:pPr>
        <w:pStyle w:val="ListBullet"/>
      </w:pPr>
      <w:r>
        <w:t>Runtime - Dynamic analysis was selected but blocked because no disposable representative Windows IDE environment exists.</w:t>
      </w:r>
    </w:p>
    <w:p>
      <w:pPr>
        <w:widowControl/>
      </w:pPr>
      <w:r>
        <w:t>The local Node.js server expands the IDE agent's authority into Azure DevOps and exposes local process, credential, package and file-handling trust boundaries. Version pinning, domain restriction, least privilege, prompt-injection controls and per-invocation approval are required. Scanner output is evidence, not approval.</w:t>
      </w:r>
    </w:p>
    <w:p>
      <w:r>
        <w:t xml:space="preserve">Evidence: </w:t>
      </w:r>
      <w:hyperlink w:anchor="REF_001">
        <w:r>
          <w:rPr>
            <w:color w:val="0563C1"/>
            <w:u w:val="single"/>
          </w:rPr>
          <w:t>[REF-001]</w:t>
        </w:r>
      </w:hyperlink>
      <w:r>
        <w:t xml:space="preserve"> </w:t>
      </w:r>
      <w:hyperlink w:anchor="REF_002">
        <w:r>
          <w:rPr>
            <w:color w:val="0563C1"/>
            <w:u w:val="single"/>
          </w:rPr>
          <w:t>[REF-002]</w:t>
        </w:r>
      </w:hyperlink>
      <w:r>
        <w:t xml:space="preserve"> </w:t>
      </w:r>
      <w:hyperlink w:anchor="REF_004">
        <w:r>
          <w:rPr>
            <w:color w:val="0563C1"/>
            <w:u w:val="single"/>
          </w:rPr>
          <w:t>[REF-004]</w:t>
        </w:r>
      </w:hyperlink>
      <w:r>
        <w:t xml:space="preserve"> </w:t>
      </w:r>
      <w:hyperlink w:anchor="REF_007">
        <w:r>
          <w:rPr>
            <w:color w:val="0563C1"/>
            <w:u w:val="single"/>
          </w:rPr>
          <w:t>[REF-007]</w:t>
        </w:r>
      </w:hyperlink>
      <w:r>
        <w:t xml:space="preserve"> </w:t>
      </w:r>
      <w:hyperlink w:anchor="REF_018">
        <w:r>
          <w:rPr>
            <w:color w:val="0563C1"/>
            <w:u w:val="single"/>
          </w:rPr>
          <w:t>[REF-018]</w:t>
        </w:r>
      </w:hyperlink>
      <w:r>
        <w:t xml:space="preserve"> </w:t>
      </w:r>
      <w:hyperlink w:anchor="REF_019">
        <w:r>
          <w:rPr>
            <w:color w:val="0563C1"/>
            <w:u w:val="single"/>
          </w:rPr>
          <w:t>[REF-019]</w:t>
        </w:r>
      </w:hyperlink>
    </w:p>
    <w:p>
      <w:pPr>
        <w:pStyle w:val="Heading1"/>
      </w:pPr>
      <w:r>
        <w:t>Purpose Function Overview</w:t>
      </w:r>
    </w:p>
    <w:p>
      <w:pPr>
        <w:widowControl/>
      </w:pPr>
      <w:r>
        <w:t>The Microsoft-published @azure-devops/mcp package connects supported AI assistants to Azure DevOps through a local STDIO child process. Version 2.8.1 registers 91 tools covering project, repository, work-item, wiki, pipeline, test, search and advanced-security operations. Authentication can use interactive Entra, Azure CLI, an environment token or PAT.</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400"/>
            <w:vAlign w:val="center"/>
            <w:tcMar>
              <w:top w:w="80" w:type="dxa"/>
              <w:start w:w="120" w:type="dxa"/>
              <w:bottom w:w="80" w:type="dxa"/>
              <w:end w:w="120" w:type="dxa"/>
            </w:tcMar>
            <w:shd w:fill="17365D"/>
          </w:tcPr>
          <w:p>
            <w:pPr>
              <w:spacing w:after="20"/>
            </w:pPr>
            <w:r>
              <w:rPr>
                <w:rFonts w:ascii="Calibri" w:hAnsi="Calibri"/>
                <w:b/>
                <w:color w:val="FFFFFF"/>
                <w:sz w:val="16"/>
              </w:rPr>
              <w:t>Capability</w:t>
            </w:r>
          </w:p>
        </w:tc>
        <w:tc>
          <w:tcPr>
            <w:tcW w:type="dxa" w:w="3000"/>
            <w:vAlign w:val="center"/>
            <w:tcMar>
              <w:top w:w="80" w:type="dxa"/>
              <w:start w:w="120" w:type="dxa"/>
              <w:bottom w:w="80" w:type="dxa"/>
              <w:end w:w="120" w:type="dxa"/>
            </w:tcMar>
            <w:shd w:fill="17365D"/>
          </w:tcPr>
          <w:p>
            <w:pPr>
              <w:spacing w:after="20"/>
            </w:pPr>
            <w:r>
              <w:rPr>
                <w:rFonts w:ascii="Calibri" w:hAnsi="Calibri"/>
                <w:b/>
                <w:color w:val="FFFFFF"/>
                <w:sz w:val="16"/>
              </w:rPr>
              <w:t>Business value</w:t>
            </w:r>
          </w:p>
        </w:tc>
        <w:tc>
          <w:tcPr>
            <w:tcW w:type="dxa" w:w="3960"/>
            <w:vAlign w:val="center"/>
            <w:tcMar>
              <w:top w:w="80" w:type="dxa"/>
              <w:start w:w="120" w:type="dxa"/>
              <w:bottom w:w="80" w:type="dxa"/>
              <w:end w:w="120" w:type="dxa"/>
            </w:tcMar>
            <w:shd w:fill="17365D"/>
          </w:tcPr>
          <w:p>
            <w:pPr>
              <w:spacing w:after="20"/>
            </w:pPr>
            <w:r>
              <w:rPr>
                <w:rFonts w:ascii="Calibri" w:hAnsi="Calibri"/>
                <w:b/>
                <w:color w:val="FFFFFF"/>
                <w:sz w:val="16"/>
              </w:rPr>
              <w:t>Security significance</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Read repositories and work items</w:t>
            </w:r>
          </w:p>
        </w:tc>
        <w:tc>
          <w:tcPr>
            <w:tcW w:type="dxa" w:w="3000"/>
            <w:vAlign w:val="center"/>
            <w:tcMar>
              <w:top w:w="80" w:type="dxa"/>
              <w:start w:w="120" w:type="dxa"/>
              <w:bottom w:w="80" w:type="dxa"/>
              <w:end w:w="120" w:type="dxa"/>
            </w:tcMar>
            <w:shd w:fill="FFFFFF"/>
          </w:tcPr>
          <w:p>
            <w:pPr>
              <w:spacing w:after="20"/>
            </w:pPr>
            <w:r>
              <w:rPr>
                <w:rFonts w:ascii="Calibri" w:hAnsi="Calibri"/>
                <w:sz w:val="16"/>
              </w:rPr>
              <w:t>Contextual assistance</w:t>
            </w:r>
          </w:p>
        </w:tc>
        <w:tc>
          <w:tcPr>
            <w:tcW w:type="dxa" w:w="3960"/>
            <w:vAlign w:val="center"/>
            <w:tcMar>
              <w:top w:w="80" w:type="dxa"/>
              <w:start w:w="120" w:type="dxa"/>
              <w:bottom w:w="80" w:type="dxa"/>
              <w:end w:w="120" w:type="dxa"/>
            </w:tcMar>
            <w:shd w:fill="FFFFFF"/>
          </w:tcPr>
          <w:p>
            <w:pPr>
              <w:spacing w:after="20"/>
            </w:pPr>
            <w:r>
              <w:rPr>
                <w:rFonts w:ascii="Calibri" w:hAnsi="Calibri"/>
                <w:sz w:val="16"/>
              </w:rPr>
              <w:t>Confidential content enters model context</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Search and summarise</w:t>
            </w:r>
          </w:p>
        </w:tc>
        <w:tc>
          <w:tcPr>
            <w:tcW w:type="dxa" w:w="3000"/>
            <w:vAlign w:val="center"/>
            <w:tcMar>
              <w:top w:w="80" w:type="dxa"/>
              <w:start w:w="120" w:type="dxa"/>
              <w:bottom w:w="80" w:type="dxa"/>
              <w:end w:w="120" w:type="dxa"/>
            </w:tcMar>
            <w:shd w:fill="F2F4F7"/>
          </w:tcPr>
          <w:p>
            <w:pPr>
              <w:spacing w:after="20"/>
            </w:pPr>
            <w:r>
              <w:rPr>
                <w:rFonts w:ascii="Calibri" w:hAnsi="Calibri"/>
                <w:sz w:val="16"/>
              </w:rPr>
              <w:t>Faster discovery</w:t>
            </w:r>
          </w:p>
        </w:tc>
        <w:tc>
          <w:tcPr>
            <w:tcW w:type="dxa" w:w="3960"/>
            <w:vAlign w:val="center"/>
            <w:tcMar>
              <w:top w:w="80" w:type="dxa"/>
              <w:start w:w="120" w:type="dxa"/>
              <w:bottom w:w="80" w:type="dxa"/>
              <w:end w:w="120" w:type="dxa"/>
            </w:tcMar>
            <w:shd w:fill="F2F4F7"/>
          </w:tcPr>
          <w:p>
            <w:pPr>
              <w:spacing w:after="20"/>
            </w:pPr>
            <w:r>
              <w:rPr>
                <w:rFonts w:ascii="Calibri" w:hAnsi="Calibri"/>
                <w:sz w:val="16"/>
              </w:rPr>
              <w:t>Untrusted content can steer the agent</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Write-capable tools</w:t>
            </w:r>
          </w:p>
        </w:tc>
        <w:tc>
          <w:tcPr>
            <w:tcW w:type="dxa" w:w="3000"/>
            <w:vAlign w:val="center"/>
            <w:tcMar>
              <w:top w:w="80" w:type="dxa"/>
              <w:start w:w="120" w:type="dxa"/>
              <w:bottom w:w="80" w:type="dxa"/>
              <w:end w:w="120" w:type="dxa"/>
            </w:tcMar>
            <w:shd w:fill="FFFFFF"/>
          </w:tcPr>
          <w:p>
            <w:pPr>
              <w:spacing w:after="20"/>
            </w:pPr>
            <w:r>
              <w:rPr>
                <w:rFonts w:ascii="Calibri" w:hAnsi="Calibri"/>
                <w:sz w:val="16"/>
              </w:rPr>
              <w:t>Automation</w:t>
            </w:r>
          </w:p>
        </w:tc>
        <w:tc>
          <w:tcPr>
            <w:tcW w:type="dxa" w:w="3960"/>
            <w:vAlign w:val="center"/>
            <w:tcMar>
              <w:top w:w="80" w:type="dxa"/>
              <w:start w:w="120" w:type="dxa"/>
              <w:bottom w:w="80" w:type="dxa"/>
              <w:end w:w="120" w:type="dxa"/>
            </w:tcMar>
            <w:shd w:fill="FFFFFF"/>
          </w:tcPr>
          <w:p>
            <w:pPr>
              <w:spacing w:after="20"/>
            </w:pPr>
            <w:r>
              <w:rPr>
                <w:rFonts w:ascii="Calibri" w:hAnsi="Calibri"/>
                <w:sz w:val="16"/>
              </w:rPr>
              <w:t>Could change code, pipelines or records</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Domain filters and client allowlist</w:t>
            </w:r>
          </w:p>
        </w:tc>
        <w:tc>
          <w:tcPr>
            <w:tcW w:type="dxa" w:w="3000"/>
            <w:vAlign w:val="center"/>
            <w:tcMar>
              <w:top w:w="80" w:type="dxa"/>
              <w:start w:w="120" w:type="dxa"/>
              <w:bottom w:w="80" w:type="dxa"/>
              <w:end w:w="120" w:type="dxa"/>
            </w:tcMar>
            <w:shd w:fill="F2F4F7"/>
          </w:tcPr>
          <w:p>
            <w:pPr>
              <w:spacing w:after="20"/>
            </w:pPr>
            <w:r>
              <w:rPr>
                <w:rFonts w:ascii="Calibri" w:hAnsi="Calibri"/>
                <w:sz w:val="16"/>
              </w:rPr>
              <w:t>Least privilege</w:t>
            </w:r>
          </w:p>
        </w:tc>
        <w:tc>
          <w:tcPr>
            <w:tcW w:type="dxa" w:w="3960"/>
            <w:vAlign w:val="center"/>
            <w:tcMar>
              <w:top w:w="80" w:type="dxa"/>
              <w:start w:w="120" w:type="dxa"/>
              <w:bottom w:w="80" w:type="dxa"/>
              <w:end w:w="120" w:type="dxa"/>
            </w:tcMar>
            <w:shd w:fill="F2F4F7"/>
          </w:tcPr>
          <w:p>
            <w:pPr>
              <w:spacing w:after="20"/>
            </w:pPr>
            <w:r>
              <w:rPr>
                <w:rFonts w:ascii="Calibri" w:hAnsi="Calibri"/>
                <w:sz w:val="16"/>
              </w:rPr>
              <w:t>Must be configured and runtime verified</w:t>
            </w:r>
          </w:p>
        </w:tc>
      </w:tr>
    </w:tbl>
    <w:p/>
    <w:p>
      <w:pPr>
        <w:pStyle w:val="Heading1"/>
      </w:pPr>
      <w:r>
        <w:t>Scope Assumptions Methodology</w:t>
      </w:r>
    </w:p>
    <w:p>
      <w:pPr>
        <w:widowControl/>
      </w:pPr>
      <w:r>
        <w:t>Scope covers official Microsoft @azure-devops/mcp 2.8.1 for VS Code on Windows 11 and macOS and Visual Studio on Windows 11, in a UK insurance and financial-services environment handling internal-confidential information. Exact package/source static analysis and malware-focused review were performed. Runtime analysis was selected but blocked. Privacy and regulatory analysis are included.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400"/>
            <w:vAlign w:val="center"/>
            <w:tcMar>
              <w:top w:w="80" w:type="dxa"/>
              <w:start w:w="120" w:type="dxa"/>
              <w:bottom w:w="80" w:type="dxa"/>
              <w:end w:w="120" w:type="dxa"/>
            </w:tcMar>
            <w:shd w:fill="17365D"/>
          </w:tcPr>
          <w:p>
            <w:pPr>
              <w:spacing w:after="20"/>
            </w:pPr>
            <w:r>
              <w:rPr>
                <w:rFonts w:ascii="Calibri" w:hAnsi="Calibri"/>
                <w:b/>
                <w:color w:val="FFFFFF"/>
                <w:sz w:val="16"/>
              </w:rPr>
              <w:t>Branch</w:t>
            </w:r>
          </w:p>
        </w:tc>
        <w:tc>
          <w:tcPr>
            <w:tcW w:type="dxa" w:w="1800"/>
            <w:vAlign w:val="center"/>
            <w:tcMar>
              <w:top w:w="80" w:type="dxa"/>
              <w:start w:w="120" w:type="dxa"/>
              <w:bottom w:w="80" w:type="dxa"/>
              <w:end w:w="120" w:type="dxa"/>
            </w:tcMar>
            <w:shd w:fill="17365D"/>
          </w:tcPr>
          <w:p>
            <w:pPr>
              <w:spacing w:after="20"/>
            </w:pPr>
            <w:r>
              <w:rPr>
                <w:rFonts w:ascii="Calibri" w:hAnsi="Calibri"/>
                <w:b/>
                <w:color w:val="FFFFFF"/>
                <w:sz w:val="16"/>
              </w:rPr>
              <w:t>Selection</w:t>
            </w:r>
          </w:p>
        </w:tc>
        <w:tc>
          <w:tcPr>
            <w:tcW w:type="dxa" w:w="5160"/>
            <w:vAlign w:val="center"/>
            <w:tcMar>
              <w:top w:w="80" w:type="dxa"/>
              <w:start w:w="120" w:type="dxa"/>
              <w:bottom w:w="80" w:type="dxa"/>
              <w:end w:w="120" w:type="dxa"/>
            </w:tcMar>
            <w:shd w:fill="17365D"/>
          </w:tcPr>
          <w:p>
            <w:pPr>
              <w:spacing w:after="20"/>
            </w:pPr>
            <w:r>
              <w:rPr>
                <w:rFonts w:ascii="Calibri" w:hAnsi="Calibri"/>
                <w:b/>
                <w:color w:val="FFFFFF"/>
                <w:sz w:val="16"/>
              </w:rPr>
              <w:t>Result</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Static analysis</w:t>
            </w:r>
          </w:p>
        </w:tc>
        <w:tc>
          <w:tcPr>
            <w:tcW w:type="dxa" w:w="1800"/>
            <w:vAlign w:val="center"/>
            <w:tcMar>
              <w:top w:w="80" w:type="dxa"/>
              <w:start w:w="120" w:type="dxa"/>
              <w:bottom w:w="80" w:type="dxa"/>
              <w:end w:w="120" w:type="dxa"/>
            </w:tcMar>
            <w:shd w:fill="FFFFFF"/>
          </w:tcPr>
          <w:p>
            <w:pPr>
              <w:spacing w:after="20"/>
            </w:pPr>
            <w:r>
              <w:rPr>
                <w:rFonts w:ascii="Calibri" w:hAnsi="Calibri"/>
                <w:sz w:val="16"/>
              </w:rPr>
              <w:t>Yes</w:t>
            </w:r>
          </w:p>
        </w:tc>
        <w:tc>
          <w:tcPr>
            <w:tcW w:type="dxa" w:w="5160"/>
            <w:vAlign w:val="center"/>
            <w:tcMar>
              <w:top w:w="80" w:type="dxa"/>
              <w:start w:w="120" w:type="dxa"/>
              <w:bottom w:w="80" w:type="dxa"/>
              <w:end w:w="120" w:type="dxa"/>
            </w:tcMar>
            <w:shd w:fill="FFFFFF"/>
          </w:tcPr>
          <w:p>
            <w:pPr>
              <w:spacing w:after="20"/>
            </w:pPr>
            <w:r>
              <w:rPr>
                <w:rFonts w:ascii="Calibri" w:hAnsi="Calibri"/>
                <w:sz w:val="16"/>
              </w:rPr>
              <w:t>Exact npm package and matching source commit inspected</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Malware review</w:t>
            </w:r>
          </w:p>
        </w:tc>
        <w:tc>
          <w:tcPr>
            <w:tcW w:type="dxa" w:w="1800"/>
            <w:vAlign w:val="center"/>
            <w:tcMar>
              <w:top w:w="80" w:type="dxa"/>
              <w:start w:w="120" w:type="dxa"/>
              <w:bottom w:w="80" w:type="dxa"/>
              <w:end w:w="120" w:type="dxa"/>
            </w:tcMar>
            <w:shd w:fill="F2F4F7"/>
          </w:tcPr>
          <w:p>
            <w:pPr>
              <w:spacing w:after="20"/>
            </w:pPr>
            <w:r>
              <w:rPr>
                <w:rFonts w:ascii="Calibri" w:hAnsi="Calibri"/>
                <w:sz w:val="16"/>
              </w:rPr>
              <w:t>Yes</w:t>
            </w:r>
          </w:p>
        </w:tc>
        <w:tc>
          <w:tcPr>
            <w:tcW w:type="dxa" w:w="5160"/>
            <w:vAlign w:val="center"/>
            <w:tcMar>
              <w:top w:w="80" w:type="dxa"/>
              <w:start w:w="120" w:type="dxa"/>
              <w:bottom w:w="80" w:type="dxa"/>
              <w:end w:w="120" w:type="dxa"/>
            </w:tcMar>
            <w:shd w:fill="F2F4F7"/>
          </w:tcPr>
          <w:p>
            <w:pPr>
              <w:spacing w:after="20"/>
            </w:pPr>
            <w:r>
              <w:rPr>
                <w:rFonts w:ascii="Calibri" w:hAnsi="Calibri"/>
                <w:sz w:val="16"/>
              </w:rPr>
              <w:t>ClamAV, Semgrep, OSV and Gitleaks; no detonation</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Runtime analysis</w:t>
            </w:r>
          </w:p>
        </w:tc>
        <w:tc>
          <w:tcPr>
            <w:tcW w:type="dxa" w:w="1800"/>
            <w:vAlign w:val="center"/>
            <w:tcMar>
              <w:top w:w="80" w:type="dxa"/>
              <w:start w:w="120" w:type="dxa"/>
              <w:bottom w:w="80" w:type="dxa"/>
              <w:end w:w="120" w:type="dxa"/>
            </w:tcMar>
            <w:shd w:fill="FFFFFF"/>
          </w:tcPr>
          <w:p>
            <w:pPr>
              <w:spacing w:after="20"/>
            </w:pPr>
            <w:r>
              <w:rPr>
                <w:rFonts w:ascii="Calibri" w:hAnsi="Calibri"/>
                <w:sz w:val="16"/>
              </w:rPr>
              <w:t>Yes</w:t>
            </w:r>
          </w:p>
        </w:tc>
        <w:tc>
          <w:tcPr>
            <w:tcW w:type="dxa" w:w="5160"/>
            <w:vAlign w:val="center"/>
            <w:tcMar>
              <w:top w:w="80" w:type="dxa"/>
              <w:start w:w="120" w:type="dxa"/>
              <w:bottom w:w="80" w:type="dxa"/>
              <w:end w:w="120" w:type="dxa"/>
            </w:tcMar>
            <w:shd w:fill="FFFFFF"/>
          </w:tcPr>
          <w:p>
            <w:pPr>
              <w:spacing w:after="20"/>
            </w:pPr>
            <w:r>
              <w:rPr>
                <w:rFonts w:ascii="Calibri" w:hAnsi="Calibri"/>
                <w:sz w:val="16"/>
              </w:rPr>
              <w:t>Blocked; no disposable representative host and tenant</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Privacy assessment</w:t>
            </w:r>
          </w:p>
        </w:tc>
        <w:tc>
          <w:tcPr>
            <w:tcW w:type="dxa" w:w="1800"/>
            <w:vAlign w:val="center"/>
            <w:tcMar>
              <w:top w:w="80" w:type="dxa"/>
              <w:start w:w="120" w:type="dxa"/>
              <w:bottom w:w="80" w:type="dxa"/>
              <w:end w:w="120" w:type="dxa"/>
            </w:tcMar>
            <w:shd w:fill="F2F4F7"/>
          </w:tcPr>
          <w:p>
            <w:pPr>
              <w:spacing w:after="20"/>
            </w:pPr>
            <w:r>
              <w:rPr>
                <w:rFonts w:ascii="Calibri" w:hAnsi="Calibri"/>
                <w:sz w:val="16"/>
              </w:rPr>
              <w:t>Yes</w:t>
            </w:r>
          </w:p>
        </w:tc>
        <w:tc>
          <w:tcPr>
            <w:tcW w:type="dxa" w:w="5160"/>
            <w:vAlign w:val="center"/>
            <w:tcMar>
              <w:top w:w="80" w:type="dxa"/>
              <w:start w:w="120" w:type="dxa"/>
              <w:bottom w:w="80" w:type="dxa"/>
              <w:end w:w="120" w:type="dxa"/>
            </w:tcMar>
            <w:shd w:fill="F2F4F7"/>
          </w:tcPr>
          <w:p>
            <w:pPr>
              <w:spacing w:after="20"/>
            </w:pPr>
            <w:r>
              <w:rPr>
                <w:rFonts w:ascii="Calibri" w:hAnsi="Calibri"/>
                <w:sz w:val="16"/>
              </w:rPr>
              <w:t>UK GDPR, FCA and PRA context assessed</w:t>
            </w:r>
          </w:p>
        </w:tc>
      </w:tr>
    </w:tbl>
    <w:p/>
    <w:p>
      <w:pPr>
        <w:pStyle w:val="Heading1"/>
      </w:pPr>
      <w:r>
        <w:t>Product Identity and Version</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2500"/>
            <w:vAlign w:val="center"/>
            <w:tcMar>
              <w:top w:w="80" w:type="dxa"/>
              <w:start w:w="120" w:type="dxa"/>
              <w:bottom w:w="80" w:type="dxa"/>
              <w:end w:w="120" w:type="dxa"/>
            </w:tcMar>
            <w:shd w:fill="17365D"/>
          </w:tcPr>
          <w:p>
            <w:pPr>
              <w:spacing w:after="20"/>
            </w:pPr>
            <w:r>
              <w:rPr>
                <w:rFonts w:ascii="Calibri" w:hAnsi="Calibri"/>
                <w:b/>
                <w:color w:val="FFFFFF"/>
                <w:sz w:val="16"/>
              </w:rPr>
              <w:t>Field</w:t>
            </w:r>
          </w:p>
        </w:tc>
        <w:tc>
          <w:tcPr>
            <w:tcW w:type="dxa" w:w="6860"/>
            <w:vAlign w:val="center"/>
            <w:tcMar>
              <w:top w:w="80" w:type="dxa"/>
              <w:start w:w="120" w:type="dxa"/>
              <w:bottom w:w="80" w:type="dxa"/>
              <w:end w:w="120" w:type="dxa"/>
            </w:tcMar>
            <w:shd w:fill="17365D"/>
          </w:tcPr>
          <w:p>
            <w:pPr>
              <w:spacing w:after="20"/>
            </w:pPr>
            <w:r>
              <w:rPr>
                <w:rFonts w:ascii="Calibri" w:hAnsi="Calibri"/>
                <w:b/>
                <w:color w:val="FFFFFF"/>
                <w:sz w:val="16"/>
              </w:rPr>
              <w:t>Verified or observed state</w:t>
            </w:r>
          </w:p>
        </w:tc>
      </w:tr>
      <w:tr>
        <w:trPr>
          <w:cantSplit/>
        </w:trPr>
        <w:tc>
          <w:tcPr>
            <w:tcW w:type="dxa" w:w="2500"/>
            <w:vAlign w:val="center"/>
            <w:tcMar>
              <w:top w:w="80" w:type="dxa"/>
              <w:start w:w="120" w:type="dxa"/>
              <w:bottom w:w="80" w:type="dxa"/>
              <w:end w:w="120" w:type="dxa"/>
            </w:tcMar>
            <w:shd w:fill="FFFFFF"/>
          </w:tcPr>
          <w:p>
            <w:pPr>
              <w:spacing w:after="20"/>
            </w:pPr>
            <w:r>
              <w:rPr>
                <w:rFonts w:ascii="Calibri" w:hAnsi="Calibri"/>
                <w:sz w:val="16"/>
              </w:rPr>
              <w:t>Product</w:t>
            </w:r>
          </w:p>
        </w:tc>
        <w:tc>
          <w:tcPr>
            <w:tcW w:type="dxa" w:w="6860"/>
            <w:vAlign w:val="center"/>
            <w:tcMar>
              <w:top w:w="80" w:type="dxa"/>
              <w:start w:w="120" w:type="dxa"/>
              <w:bottom w:w="80" w:type="dxa"/>
              <w:end w:w="120" w:type="dxa"/>
            </w:tcMar>
            <w:shd w:fill="FFFFFF"/>
          </w:tcPr>
          <w:p>
            <w:pPr>
              <w:spacing w:after="20"/>
            </w:pPr>
            <w:r>
              <w:rPr>
                <w:rFonts w:ascii="Calibri" w:hAnsi="Calibri"/>
                <w:sz w:val="16"/>
              </w:rPr>
              <w:t>Microsoft Azure DevOps MCP Server</w:t>
            </w:r>
          </w:p>
        </w:tc>
      </w:tr>
      <w:tr>
        <w:trPr>
          <w:cantSplit/>
        </w:trPr>
        <w:tc>
          <w:tcPr>
            <w:tcW w:type="dxa" w:w="2500"/>
            <w:vAlign w:val="center"/>
            <w:tcMar>
              <w:top w:w="80" w:type="dxa"/>
              <w:start w:w="120" w:type="dxa"/>
              <w:bottom w:w="80" w:type="dxa"/>
              <w:end w:w="120" w:type="dxa"/>
            </w:tcMar>
            <w:shd w:fill="F2F4F7"/>
          </w:tcPr>
          <w:p>
            <w:pPr>
              <w:spacing w:after="20"/>
            </w:pPr>
            <w:r>
              <w:rPr>
                <w:rFonts w:ascii="Calibri" w:hAnsi="Calibri"/>
                <w:sz w:val="16"/>
              </w:rPr>
              <w:t>Publisher/operator</w:t>
            </w:r>
          </w:p>
        </w:tc>
        <w:tc>
          <w:tcPr>
            <w:tcW w:type="dxa" w:w="6860"/>
            <w:vAlign w:val="center"/>
            <w:tcMar>
              <w:top w:w="80" w:type="dxa"/>
              <w:start w:w="120" w:type="dxa"/>
              <w:bottom w:w="80" w:type="dxa"/>
              <w:end w:w="120" w:type="dxa"/>
            </w:tcMar>
            <w:shd w:fill="F2F4F7"/>
          </w:tcPr>
          <w:p>
            <w:pPr>
              <w:spacing w:after="20"/>
            </w:pPr>
            <w:r>
              <w:rPr>
                <w:rFonts w:ascii="Calibri" w:hAnsi="Calibri"/>
                <w:sz w:val="16"/>
              </w:rPr>
              <w:t>Microsoft</w:t>
            </w:r>
          </w:p>
        </w:tc>
      </w:tr>
      <w:tr>
        <w:trPr>
          <w:cantSplit/>
        </w:trPr>
        <w:tc>
          <w:tcPr>
            <w:tcW w:type="dxa" w:w="2500"/>
            <w:vAlign w:val="center"/>
            <w:tcMar>
              <w:top w:w="80" w:type="dxa"/>
              <w:start w:w="120" w:type="dxa"/>
              <w:bottom w:w="80" w:type="dxa"/>
              <w:end w:w="120" w:type="dxa"/>
            </w:tcMar>
            <w:shd w:fill="FFFFFF"/>
          </w:tcPr>
          <w:p>
            <w:pPr>
              <w:spacing w:after="20"/>
            </w:pPr>
            <w:r>
              <w:rPr>
                <w:rFonts w:ascii="Calibri" w:hAnsi="Calibri"/>
                <w:sz w:val="16"/>
              </w:rPr>
              <w:t>Package</w:t>
            </w:r>
          </w:p>
        </w:tc>
        <w:tc>
          <w:tcPr>
            <w:tcW w:type="dxa" w:w="6860"/>
            <w:vAlign w:val="center"/>
            <w:tcMar>
              <w:top w:w="80" w:type="dxa"/>
              <w:start w:w="120" w:type="dxa"/>
              <w:bottom w:w="80" w:type="dxa"/>
              <w:end w:w="120" w:type="dxa"/>
            </w:tcMar>
            <w:shd w:fill="FFFFFF"/>
          </w:tcPr>
          <w:p>
            <w:pPr>
              <w:spacing w:after="20"/>
            </w:pPr>
            <w:r>
              <w:rPr>
                <w:rFonts w:ascii="Calibri" w:hAnsi="Calibri"/>
                <w:sz w:val="16"/>
              </w:rPr>
              <w:t>@azure-devops/mcp</w:t>
            </w:r>
          </w:p>
        </w:tc>
      </w:tr>
      <w:tr>
        <w:trPr>
          <w:cantSplit/>
        </w:trPr>
        <w:tc>
          <w:tcPr>
            <w:tcW w:type="dxa" w:w="2500"/>
            <w:vAlign w:val="center"/>
            <w:tcMar>
              <w:top w:w="80" w:type="dxa"/>
              <w:start w:w="120" w:type="dxa"/>
              <w:bottom w:w="80" w:type="dxa"/>
              <w:end w:w="120" w:type="dxa"/>
            </w:tcMar>
            <w:shd w:fill="F2F4F7"/>
          </w:tcPr>
          <w:p>
            <w:pPr>
              <w:spacing w:after="20"/>
            </w:pPr>
            <w:r>
              <w:rPr>
                <w:rFonts w:ascii="Calibri" w:hAnsi="Calibri"/>
                <w:sz w:val="16"/>
              </w:rPr>
              <w:t>Transport</w:t>
            </w:r>
          </w:p>
        </w:tc>
        <w:tc>
          <w:tcPr>
            <w:tcW w:type="dxa" w:w="6860"/>
            <w:vAlign w:val="center"/>
            <w:tcMar>
              <w:top w:w="80" w:type="dxa"/>
              <w:start w:w="120" w:type="dxa"/>
              <w:bottom w:w="80" w:type="dxa"/>
              <w:end w:w="120" w:type="dxa"/>
            </w:tcMar>
            <w:shd w:fill="F2F4F7"/>
          </w:tcPr>
          <w:p>
            <w:pPr>
              <w:spacing w:after="20"/>
            </w:pPr>
            <w:r>
              <w:rPr>
                <w:rFonts w:ascii="Calibri" w:hAnsi="Calibri"/>
                <w:sz w:val="16"/>
              </w:rPr>
              <w:t>Local STDIO; Azure DevOps REST over HTTPS</w:t>
            </w:r>
          </w:p>
        </w:tc>
      </w:tr>
      <w:tr>
        <w:trPr>
          <w:cantSplit/>
        </w:trPr>
        <w:tc>
          <w:tcPr>
            <w:tcW w:type="dxa" w:w="2500"/>
            <w:vAlign w:val="center"/>
            <w:tcMar>
              <w:top w:w="80" w:type="dxa"/>
              <w:start w:w="120" w:type="dxa"/>
              <w:bottom w:w="80" w:type="dxa"/>
              <w:end w:w="120" w:type="dxa"/>
            </w:tcMar>
            <w:shd w:fill="FFFFFF"/>
          </w:tcPr>
          <w:p>
            <w:pPr>
              <w:spacing w:after="20"/>
            </w:pPr>
            <w:r>
              <w:rPr>
                <w:rFonts w:ascii="Calibri" w:hAnsi="Calibri"/>
                <w:sz w:val="16"/>
              </w:rPr>
              <w:t>Authentication</w:t>
            </w:r>
          </w:p>
        </w:tc>
        <w:tc>
          <w:tcPr>
            <w:tcW w:type="dxa" w:w="6860"/>
            <w:vAlign w:val="center"/>
            <w:tcMar>
              <w:top w:w="80" w:type="dxa"/>
              <w:start w:w="120" w:type="dxa"/>
              <w:bottom w:w="80" w:type="dxa"/>
              <w:end w:w="120" w:type="dxa"/>
            </w:tcMar>
            <w:shd w:fill="FFFFFF"/>
          </w:tcPr>
          <w:p>
            <w:pPr>
              <w:spacing w:after="20"/>
            </w:pPr>
            <w:r>
              <w:rPr>
                <w:rFonts w:ascii="Calibri" w:hAnsi="Calibri"/>
                <w:sz w:val="16"/>
              </w:rPr>
              <w:t>interactive, azcli, env/envvar or PAT</w:t>
            </w:r>
          </w:p>
        </w:tc>
      </w:tr>
      <w:tr>
        <w:trPr>
          <w:cantSplit/>
        </w:trPr>
        <w:tc>
          <w:tcPr>
            <w:tcW w:type="dxa" w:w="2500"/>
            <w:vAlign w:val="center"/>
            <w:tcMar>
              <w:top w:w="80" w:type="dxa"/>
              <w:start w:w="120" w:type="dxa"/>
              <w:bottom w:w="80" w:type="dxa"/>
              <w:end w:w="120" w:type="dxa"/>
            </w:tcMar>
            <w:shd w:fill="F2F4F7"/>
          </w:tcPr>
          <w:p>
            <w:pPr>
              <w:spacing w:after="20"/>
            </w:pPr>
            <w:r>
              <w:rPr>
                <w:rFonts w:ascii="Calibri" w:hAnsi="Calibri"/>
                <w:sz w:val="16"/>
              </w:rPr>
              <w:t>Release state</w:t>
            </w:r>
          </w:p>
        </w:tc>
        <w:tc>
          <w:tcPr>
            <w:tcW w:type="dxa" w:w="6860"/>
            <w:vAlign w:val="center"/>
            <w:tcMar>
              <w:top w:w="80" w:type="dxa"/>
              <w:start w:w="120" w:type="dxa"/>
              <w:bottom w:w="80" w:type="dxa"/>
              <w:end w:w="120" w:type="dxa"/>
            </w:tcMar>
            <w:shd w:fill="F2F4F7"/>
          </w:tcPr>
          <w:p>
            <w:pPr>
              <w:spacing w:after="20"/>
            </w:pPr>
            <w:r>
              <w:rPr>
                <w:rFonts w:ascii="Calibri" w:hAnsi="Calibri"/>
                <w:sz w:val="16"/>
              </w:rPr>
              <w:t>npm release retained by exact bytes</w:t>
            </w:r>
          </w:p>
        </w:tc>
      </w:tr>
      <w:tr>
        <w:trPr>
          <w:cantSplit/>
        </w:trPr>
        <w:tc>
          <w:tcPr>
            <w:tcW w:type="dxa" w:w="2500"/>
            <w:vAlign w:val="center"/>
            <w:tcMar>
              <w:top w:w="80" w:type="dxa"/>
              <w:start w:w="120" w:type="dxa"/>
              <w:bottom w:w="80" w:type="dxa"/>
              <w:end w:w="120" w:type="dxa"/>
            </w:tcMar>
            <w:shd w:fill="FFFFFF"/>
          </w:tcPr>
          <w:p>
            <w:pPr>
              <w:spacing w:after="20"/>
            </w:pPr>
            <w:r>
              <w:rPr>
                <w:rFonts w:ascii="Calibri" w:hAnsi="Calibri"/>
                <w:sz w:val="16"/>
              </w:rPr>
              <w:t>Version</w:t>
            </w:r>
          </w:p>
        </w:tc>
        <w:tc>
          <w:tcPr>
            <w:tcW w:type="dxa" w:w="6860"/>
            <w:vAlign w:val="center"/>
            <w:tcMar>
              <w:top w:w="80" w:type="dxa"/>
              <w:start w:w="120" w:type="dxa"/>
              <w:bottom w:w="80" w:type="dxa"/>
              <w:end w:w="120" w:type="dxa"/>
            </w:tcMar>
            <w:shd w:fill="FFFFFF"/>
          </w:tcPr>
          <w:p>
            <w:pPr>
              <w:spacing w:after="20"/>
            </w:pPr>
            <w:r>
              <w:rPr>
                <w:rFonts w:ascii="Calibri" w:hAnsi="Calibri"/>
                <w:sz w:val="16"/>
              </w:rPr>
              <w:t>2.8.1; package SHA-256 c7790b4958acd56780791fbf47fe0a6ed88b61e7fa3e787a86534242d3c93f19</w:t>
            </w:r>
          </w:p>
        </w:tc>
      </w:tr>
      <w:tr>
        <w:trPr>
          <w:cantSplit/>
        </w:trPr>
        <w:tc>
          <w:tcPr>
            <w:tcW w:type="dxa" w:w="2500"/>
            <w:vAlign w:val="center"/>
            <w:tcMar>
              <w:top w:w="80" w:type="dxa"/>
              <w:start w:w="120" w:type="dxa"/>
              <w:bottom w:w="80" w:type="dxa"/>
              <w:end w:w="120" w:type="dxa"/>
            </w:tcMar>
            <w:shd w:fill="F2F4F7"/>
          </w:tcPr>
          <w:p>
            <w:pPr>
              <w:spacing w:after="20"/>
            </w:pPr>
            <w:r>
              <w:rPr>
                <w:rFonts w:ascii="Calibri" w:hAnsi="Calibri"/>
                <w:sz w:val="16"/>
              </w:rPr>
              <w:t>Source commit</w:t>
            </w:r>
          </w:p>
        </w:tc>
        <w:tc>
          <w:tcPr>
            <w:tcW w:type="dxa" w:w="6860"/>
            <w:vAlign w:val="center"/>
            <w:tcMar>
              <w:top w:w="80" w:type="dxa"/>
              <w:start w:w="120" w:type="dxa"/>
              <w:bottom w:w="80" w:type="dxa"/>
              <w:end w:w="120" w:type="dxa"/>
            </w:tcMar>
            <w:shd w:fill="F2F4F7"/>
          </w:tcPr>
          <w:p>
            <w:pPr>
              <w:spacing w:after="20"/>
            </w:pPr>
            <w:r>
              <w:rPr>
                <w:rFonts w:ascii="Calibri" w:hAnsi="Calibri"/>
                <w:sz w:val="16"/>
              </w:rPr>
              <w:t>37716afa9f8764b689d2c3e76e3598f6ef3955f5</w:t>
            </w:r>
          </w:p>
        </w:tc>
      </w:tr>
    </w:tbl>
    <w:p/>
    <w:p>
      <w:pPr>
        <w:jc w:val="center"/>
      </w:pPr>
      <w:r>
        <w:drawing>
          <wp:inline xmlns:a="http://schemas.openxmlformats.org/drawingml/2006/main" xmlns:pic="http://schemas.openxmlformats.org/drawingml/2006/picture">
            <wp:extent cx="5852160" cy="2779776"/>
            <wp:docPr id="1" name="Picture 1" descr="Trust-boundary diagram showing untrusted Azure DevOps content, IDE clients, local identity and process controls, Azure DevOps authority and model context." title="Azure DevOps Local MCP 2.8.1 trust boundaries"/>
            <wp:cNvGraphicFramePr>
              <a:graphicFrameLocks noChangeAspect="1"/>
            </wp:cNvGraphicFramePr>
            <a:graphic>
              <a:graphicData uri="http://schemas.openxmlformats.org/drawingml/2006/picture">
                <pic:pic>
                  <pic:nvPicPr>
                    <pic:cNvPr id="0" name="local-mcp-trust-boundaries.png"/>
                    <pic:cNvPicPr/>
                  </pic:nvPicPr>
                  <pic:blipFill>
                    <a:blip r:embed="rId11"/>
                    <a:stretch>
                      <a:fillRect/>
                    </a:stretch>
                  </pic:blipFill>
                  <pic:spPr>
                    <a:xfrm>
                      <a:off x="0" y="0"/>
                      <a:ext cx="5852160" cy="2779776"/>
                    </a:xfrm>
                    <a:prstGeom prst="rect"/>
                  </pic:spPr>
                </pic:pic>
              </a:graphicData>
            </a:graphic>
          </wp:inline>
        </w:drawing>
      </w:r>
    </w:p>
    <w:p>
      <w:pPr>
        <w:pStyle w:val="Heading1"/>
      </w:pPr>
      <w:r>
        <w:t>Part I - VS Code Assessment</w:t>
      </w:r>
    </w:p>
    <w:p>
      <w:pPr>
        <w:pStyle w:val="Heading2"/>
      </w:pPr>
      <w:r>
        <w:t>Decision and approval scope</w:t>
      </w:r>
    </w:p>
    <w:p>
      <w:pPr>
        <w:widowControl/>
      </w:pPr>
      <w:r>
        <w:t>For VS Code, the decision is DEFER PENDING EVIDENCE for internal-confidential or production use. A time-limited read-only pilot may proceed only with synthetic or non-sensitive development data, the verified 2.8.1 package digest, selected read-oriented domains, a dedicated least-privilege identity and per-invocation approval. Write-enabled use, unattended execution, customer-outcome decisions and broad organisation access are deferred. Residual risk is High because representative runtime and lifecycle evidence is not observed.</w:t>
      </w:r>
    </w:p>
    <w:p>
      <w:pPr>
        <w:pStyle w:val="Heading2"/>
      </w:pPr>
      <w:r>
        <w:t>Purpose and function</w:t>
      </w:r>
    </w:p>
    <w:p>
      <w:pPr>
        <w:widowControl/>
      </w:pPr>
      <w:r>
        <w:t>The VS Code MCP client launches @azure-devops/mcp 2.8.1 as a local Node.js STDIO server. Static inspection identifies 91 registered tools spanning projects, repositories, work items, wiki, pipelines, search, test plans and advanced security. The value is contextual engineering assistance; the risk is combined untrusted project content, model reasoning, local file access and the caller's Azure DevOps permissions.</w:t>
      </w:r>
    </w:p>
    <w:p>
      <w:pPr>
        <w:pStyle w:val="Heading2"/>
      </w:pPr>
      <w:r>
        <w:t>Architecture, trust boundaries and data flows</w:t>
      </w:r>
    </w:p>
    <w:p>
      <w:pPr>
        <w:widowControl/>
      </w:pPr>
      <w:r>
        <w:t>The principal flow is user prompt to VS Code, agent planning, local STDIO tool selection, Node.js process authentication, Azure DevOps REST execution and tool output returned into model context. Trust boundaries exist between workspace content and the model, the IDE and local child process, local credential sources and the process, the process and Azure DevOps, and tool output and model reasoning. Tool results remain untrusted because contributors, imports and compromised accounts can shape Azure DevOps content.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700"/>
            <w:vAlign w:val="center"/>
            <w:tcMar>
              <w:top w:w="80" w:type="dxa"/>
              <w:start w:w="120" w:type="dxa"/>
              <w:bottom w:w="80" w:type="dxa"/>
              <w:end w:w="120" w:type="dxa"/>
            </w:tcMar>
            <w:shd w:fill="17365D"/>
          </w:tcPr>
          <w:p>
            <w:pPr>
              <w:spacing w:after="20"/>
            </w:pPr>
            <w:r>
              <w:rPr>
                <w:rFonts w:ascii="Calibri" w:hAnsi="Calibri"/>
                <w:b/>
                <w:color w:val="FFFFFF"/>
                <w:sz w:val="16"/>
              </w:rPr>
              <w:t>Boundary</w:t>
            </w:r>
          </w:p>
        </w:tc>
        <w:tc>
          <w:tcPr>
            <w:tcW w:type="dxa" w:w="1900"/>
            <w:vAlign w:val="center"/>
            <w:tcMar>
              <w:top w:w="80" w:type="dxa"/>
              <w:start w:w="120" w:type="dxa"/>
              <w:bottom w:w="80" w:type="dxa"/>
              <w:end w:w="120" w:type="dxa"/>
            </w:tcMar>
            <w:shd w:fill="17365D"/>
          </w:tcPr>
          <w:p>
            <w:pPr>
              <w:spacing w:after="20"/>
            </w:pPr>
            <w:r>
              <w:rPr>
                <w:rFonts w:ascii="Calibri" w:hAnsi="Calibri"/>
                <w:b/>
                <w:color w:val="FFFFFF"/>
                <w:sz w:val="16"/>
              </w:rPr>
              <w:t>Asset</w:t>
            </w:r>
          </w:p>
        </w:tc>
        <w:tc>
          <w:tcPr>
            <w:tcW w:type="dxa" w:w="2600"/>
            <w:vAlign w:val="center"/>
            <w:tcMar>
              <w:top w:w="80" w:type="dxa"/>
              <w:start w:w="120" w:type="dxa"/>
              <w:bottom w:w="80" w:type="dxa"/>
              <w:end w:w="120" w:type="dxa"/>
            </w:tcMar>
            <w:shd w:fill="17365D"/>
          </w:tcPr>
          <w:p>
            <w:pPr>
              <w:spacing w:after="20"/>
            </w:pPr>
            <w:r>
              <w:rPr>
                <w:rFonts w:ascii="Calibri" w:hAnsi="Calibri"/>
                <w:b/>
                <w:color w:val="FFFFFF"/>
                <w:sz w:val="16"/>
              </w:rPr>
              <w:t>Threat</w:t>
            </w:r>
          </w:p>
        </w:tc>
        <w:tc>
          <w:tcPr>
            <w:tcW w:type="dxa" w:w="3160"/>
            <w:vAlign w:val="center"/>
            <w:tcMar>
              <w:top w:w="80" w:type="dxa"/>
              <w:start w:w="120" w:type="dxa"/>
              <w:bottom w:w="80" w:type="dxa"/>
              <w:end w:w="120" w:type="dxa"/>
            </w:tcMar>
            <w:shd w:fill="17365D"/>
          </w:tcPr>
          <w:p>
            <w:pPr>
              <w:spacing w:after="20"/>
            </w:pPr>
            <w:r>
              <w:rPr>
                <w:rFonts w:ascii="Calibri" w:hAnsi="Calibri"/>
                <w:b/>
                <w:color w:val="FFFFFF"/>
                <w:sz w:val="16"/>
              </w:rPr>
              <w:t>Required control</w:t>
            </w:r>
          </w:p>
        </w:tc>
      </w:tr>
      <w:tr>
        <w:trPr>
          <w:cantSplit/>
        </w:trPr>
        <w:tc>
          <w:tcPr>
            <w:tcW w:type="dxa" w:w="1700"/>
            <w:vAlign w:val="center"/>
            <w:tcMar>
              <w:top w:w="80" w:type="dxa"/>
              <w:start w:w="120" w:type="dxa"/>
              <w:bottom w:w="80" w:type="dxa"/>
              <w:end w:w="120" w:type="dxa"/>
            </w:tcMar>
            <w:shd w:fill="FFFFFF"/>
          </w:tcPr>
          <w:p>
            <w:pPr>
              <w:spacing w:after="20"/>
            </w:pPr>
            <w:r>
              <w:rPr>
                <w:rFonts w:ascii="Calibri" w:hAnsi="Calibri"/>
                <w:sz w:val="16"/>
              </w:rPr>
              <w:t>Workspace to agent</w:t>
            </w:r>
          </w:p>
        </w:tc>
        <w:tc>
          <w:tcPr>
            <w:tcW w:type="dxa" w:w="1900"/>
            <w:vAlign w:val="center"/>
            <w:tcMar>
              <w:top w:w="80" w:type="dxa"/>
              <w:start w:w="120" w:type="dxa"/>
              <w:bottom w:w="80" w:type="dxa"/>
              <w:end w:w="120" w:type="dxa"/>
            </w:tcMar>
            <w:shd w:fill="FFFFFF"/>
          </w:tcPr>
          <w:p>
            <w:pPr>
              <w:spacing w:after="20"/>
            </w:pPr>
            <w:r>
              <w:rPr>
                <w:rFonts w:ascii="Calibri" w:hAnsi="Calibri"/>
                <w:sz w:val="16"/>
              </w:rPr>
              <w:t>prompts and source</w:t>
            </w:r>
          </w:p>
        </w:tc>
        <w:tc>
          <w:tcPr>
            <w:tcW w:type="dxa" w:w="2600"/>
            <w:vAlign w:val="center"/>
            <w:tcMar>
              <w:top w:w="80" w:type="dxa"/>
              <w:start w:w="120" w:type="dxa"/>
              <w:bottom w:w="80" w:type="dxa"/>
              <w:end w:w="120" w:type="dxa"/>
            </w:tcMar>
            <w:shd w:fill="FFFFFF"/>
          </w:tcPr>
          <w:p>
            <w:pPr>
              <w:spacing w:after="20"/>
            </w:pPr>
            <w:r>
              <w:rPr>
                <w:rFonts w:ascii="Calibri" w:hAnsi="Calibri"/>
                <w:sz w:val="16"/>
              </w:rPr>
              <w:t>instruction injection</w:t>
            </w:r>
          </w:p>
        </w:tc>
        <w:tc>
          <w:tcPr>
            <w:tcW w:type="dxa" w:w="3160"/>
            <w:vAlign w:val="center"/>
            <w:tcMar>
              <w:top w:w="80" w:type="dxa"/>
              <w:start w:w="120" w:type="dxa"/>
              <w:bottom w:w="80" w:type="dxa"/>
              <w:end w:w="120" w:type="dxa"/>
            </w:tcMar>
            <w:shd w:fill="FFFFFF"/>
          </w:tcPr>
          <w:p>
            <w:pPr>
              <w:spacing w:after="20"/>
            </w:pPr>
            <w:r>
              <w:rPr>
                <w:rFonts w:ascii="Calibri" w:hAnsi="Calibri"/>
                <w:sz w:val="16"/>
              </w:rPr>
              <w:t>content provenance and approval</w:t>
            </w:r>
          </w:p>
        </w:tc>
      </w:tr>
      <w:tr>
        <w:trPr>
          <w:cantSplit/>
        </w:trPr>
        <w:tc>
          <w:tcPr>
            <w:tcW w:type="dxa" w:w="1700"/>
            <w:vAlign w:val="center"/>
            <w:tcMar>
              <w:top w:w="80" w:type="dxa"/>
              <w:start w:w="120" w:type="dxa"/>
              <w:bottom w:w="80" w:type="dxa"/>
              <w:end w:w="120" w:type="dxa"/>
            </w:tcMar>
            <w:shd w:fill="F2F4F7"/>
          </w:tcPr>
          <w:p>
            <w:pPr>
              <w:spacing w:after="20"/>
            </w:pPr>
            <w:r>
              <w:rPr>
                <w:rFonts w:ascii="Calibri" w:hAnsi="Calibri"/>
                <w:sz w:val="16"/>
              </w:rPr>
              <w:t>IDE to local MCP</w:t>
            </w:r>
          </w:p>
        </w:tc>
        <w:tc>
          <w:tcPr>
            <w:tcW w:type="dxa" w:w="1900"/>
            <w:vAlign w:val="center"/>
            <w:tcMar>
              <w:top w:w="80" w:type="dxa"/>
              <w:start w:w="120" w:type="dxa"/>
              <w:bottom w:w="80" w:type="dxa"/>
              <w:end w:w="120" w:type="dxa"/>
            </w:tcMar>
            <w:shd w:fill="F2F4F7"/>
          </w:tcPr>
          <w:p>
            <w:pPr>
              <w:spacing w:after="20"/>
            </w:pPr>
            <w:r>
              <w:rPr>
                <w:rFonts w:ascii="Calibri" w:hAnsi="Calibri"/>
                <w:sz w:val="16"/>
              </w:rPr>
              <w:t>tokens and queries</w:t>
            </w:r>
          </w:p>
        </w:tc>
        <w:tc>
          <w:tcPr>
            <w:tcW w:type="dxa" w:w="2600"/>
            <w:vAlign w:val="center"/>
            <w:tcMar>
              <w:top w:w="80" w:type="dxa"/>
              <w:start w:w="120" w:type="dxa"/>
              <w:bottom w:w="80" w:type="dxa"/>
              <w:end w:w="120" w:type="dxa"/>
            </w:tcMar>
            <w:shd w:fill="F2F4F7"/>
          </w:tcPr>
          <w:p>
            <w:pPr>
              <w:spacing w:after="20"/>
            </w:pPr>
            <w:r>
              <w:rPr>
                <w:rFonts w:ascii="Calibri" w:hAnsi="Calibri"/>
                <w:sz w:val="16"/>
              </w:rPr>
              <w:t>disclosure or process misuse</w:t>
            </w:r>
          </w:p>
        </w:tc>
        <w:tc>
          <w:tcPr>
            <w:tcW w:type="dxa" w:w="3160"/>
            <w:vAlign w:val="center"/>
            <w:tcMar>
              <w:top w:w="80" w:type="dxa"/>
              <w:start w:w="120" w:type="dxa"/>
              <w:bottom w:w="80" w:type="dxa"/>
              <w:end w:w="120" w:type="dxa"/>
            </w:tcMar>
            <w:shd w:fill="F2F4F7"/>
          </w:tcPr>
          <w:p>
            <w:pPr>
              <w:spacing w:after="20"/>
            </w:pPr>
            <w:r>
              <w:rPr>
                <w:rFonts w:ascii="Calibri" w:hAnsi="Calibri"/>
                <w:sz w:val="16"/>
              </w:rPr>
              <w:t>STDIO isolation and least privilege</w:t>
            </w:r>
          </w:p>
        </w:tc>
      </w:tr>
      <w:tr>
        <w:trPr>
          <w:cantSplit/>
        </w:trPr>
        <w:tc>
          <w:tcPr>
            <w:tcW w:type="dxa" w:w="1700"/>
            <w:vAlign w:val="center"/>
            <w:tcMar>
              <w:top w:w="80" w:type="dxa"/>
              <w:start w:w="120" w:type="dxa"/>
              <w:bottom w:w="80" w:type="dxa"/>
              <w:end w:w="120" w:type="dxa"/>
            </w:tcMar>
            <w:shd w:fill="FFFFFF"/>
          </w:tcPr>
          <w:p>
            <w:pPr>
              <w:spacing w:after="20"/>
            </w:pPr>
            <w:r>
              <w:rPr>
                <w:rFonts w:ascii="Calibri" w:hAnsi="Calibri"/>
                <w:sz w:val="16"/>
              </w:rPr>
              <w:t>MCP to Azure DevOps</w:t>
            </w:r>
          </w:p>
        </w:tc>
        <w:tc>
          <w:tcPr>
            <w:tcW w:type="dxa" w:w="1900"/>
            <w:vAlign w:val="center"/>
            <w:tcMar>
              <w:top w:w="80" w:type="dxa"/>
              <w:start w:w="120" w:type="dxa"/>
              <w:bottom w:w="80" w:type="dxa"/>
              <w:end w:w="120" w:type="dxa"/>
            </w:tcMar>
            <w:shd w:fill="FFFFFF"/>
          </w:tcPr>
          <w:p>
            <w:pPr>
              <w:spacing w:after="20"/>
            </w:pPr>
            <w:r>
              <w:rPr>
                <w:rFonts w:ascii="Calibri" w:hAnsi="Calibri"/>
                <w:sz w:val="16"/>
              </w:rPr>
              <w:t>projects and pipelines</w:t>
            </w:r>
          </w:p>
        </w:tc>
        <w:tc>
          <w:tcPr>
            <w:tcW w:type="dxa" w:w="2600"/>
            <w:vAlign w:val="center"/>
            <w:tcMar>
              <w:top w:w="80" w:type="dxa"/>
              <w:start w:w="120" w:type="dxa"/>
              <w:bottom w:w="80" w:type="dxa"/>
              <w:end w:w="120" w:type="dxa"/>
            </w:tcMar>
            <w:shd w:fill="FFFFFF"/>
          </w:tcPr>
          <w:p>
            <w:pPr>
              <w:spacing w:after="20"/>
            </w:pPr>
            <w:r>
              <w:rPr>
                <w:rFonts w:ascii="Calibri" w:hAnsi="Calibri"/>
                <w:sz w:val="16"/>
              </w:rPr>
              <w:t>excessive action</w:t>
            </w:r>
          </w:p>
        </w:tc>
        <w:tc>
          <w:tcPr>
            <w:tcW w:type="dxa" w:w="3160"/>
            <w:vAlign w:val="center"/>
            <w:tcMar>
              <w:top w:w="80" w:type="dxa"/>
              <w:start w:w="120" w:type="dxa"/>
              <w:bottom w:w="80" w:type="dxa"/>
              <w:end w:w="120" w:type="dxa"/>
            </w:tcMar>
            <w:shd w:fill="FFFFFF"/>
          </w:tcPr>
          <w:p>
            <w:pPr>
              <w:spacing w:after="20"/>
            </w:pPr>
            <w:r>
              <w:rPr>
                <w:rFonts w:ascii="Calibri" w:hAnsi="Calibri"/>
                <w:sz w:val="16"/>
              </w:rPr>
              <w:t>read-only and exact tool allowlist</w:t>
            </w:r>
          </w:p>
        </w:tc>
      </w:tr>
      <w:tr>
        <w:trPr>
          <w:cantSplit/>
        </w:trPr>
        <w:tc>
          <w:tcPr>
            <w:tcW w:type="dxa" w:w="1700"/>
            <w:vAlign w:val="center"/>
            <w:tcMar>
              <w:top w:w="80" w:type="dxa"/>
              <w:start w:w="120" w:type="dxa"/>
              <w:bottom w:w="80" w:type="dxa"/>
              <w:end w:w="120" w:type="dxa"/>
            </w:tcMar>
            <w:shd w:fill="F2F4F7"/>
          </w:tcPr>
          <w:p>
            <w:pPr>
              <w:spacing w:after="20"/>
            </w:pPr>
            <w:r>
              <w:rPr>
                <w:rFonts w:ascii="Calibri" w:hAnsi="Calibri"/>
                <w:sz w:val="16"/>
              </w:rPr>
              <w:t>Output to model</w:t>
            </w:r>
          </w:p>
        </w:tc>
        <w:tc>
          <w:tcPr>
            <w:tcW w:type="dxa" w:w="1900"/>
            <w:vAlign w:val="center"/>
            <w:tcMar>
              <w:top w:w="80" w:type="dxa"/>
              <w:start w:w="120" w:type="dxa"/>
              <w:bottom w:w="80" w:type="dxa"/>
              <w:end w:w="120" w:type="dxa"/>
            </w:tcMar>
            <w:shd w:fill="F2F4F7"/>
          </w:tcPr>
          <w:p>
            <w:pPr>
              <w:spacing w:after="20"/>
            </w:pPr>
            <w:r>
              <w:rPr>
                <w:rFonts w:ascii="Calibri" w:hAnsi="Calibri"/>
                <w:sz w:val="16"/>
              </w:rPr>
              <w:t>work items and files</w:t>
            </w:r>
          </w:p>
        </w:tc>
        <w:tc>
          <w:tcPr>
            <w:tcW w:type="dxa" w:w="2600"/>
            <w:vAlign w:val="center"/>
            <w:tcMar>
              <w:top w:w="80" w:type="dxa"/>
              <w:start w:w="120" w:type="dxa"/>
              <w:bottom w:w="80" w:type="dxa"/>
              <w:end w:w="120" w:type="dxa"/>
            </w:tcMar>
            <w:shd w:fill="F2F4F7"/>
          </w:tcPr>
          <w:p>
            <w:pPr>
              <w:spacing w:after="20"/>
            </w:pPr>
            <w:r>
              <w:rPr>
                <w:rFonts w:ascii="Calibri" w:hAnsi="Calibri"/>
                <w:sz w:val="16"/>
              </w:rPr>
              <w:t>indirect prompt injection</w:t>
            </w:r>
          </w:p>
        </w:tc>
        <w:tc>
          <w:tcPr>
            <w:tcW w:type="dxa" w:w="3160"/>
            <w:vAlign w:val="center"/>
            <w:tcMar>
              <w:top w:w="80" w:type="dxa"/>
              <w:start w:w="120" w:type="dxa"/>
              <w:bottom w:w="80" w:type="dxa"/>
              <w:end w:w="120" w:type="dxa"/>
            </w:tcMar>
            <w:shd w:fill="F2F4F7"/>
          </w:tcPr>
          <w:p>
            <w:pPr>
              <w:spacing w:after="20"/>
            </w:pPr>
            <w:r>
              <w:rPr>
                <w:rFonts w:ascii="Calibri" w:hAnsi="Calibri"/>
                <w:sz w:val="16"/>
              </w:rPr>
              <w:t>treat all output as untrusted</w:t>
            </w:r>
          </w:p>
        </w:tc>
      </w:tr>
    </w:tbl>
    <w:p/>
    <w:p>
      <w:pPr>
        <w:pStyle w:val="Heading2"/>
      </w:pPr>
      <w:r>
        <w:t>Installation manifest and uninstall</w:t>
      </w:r>
    </w:p>
    <w:p>
      <w:pPr>
        <w:widowControl/>
      </w:pPr>
      <w:r>
        <w:t>The installation surface is the VS Code MCP configuration, Node.js runtime, npm package or cache, local JavaScript files, authentication state, child process, client approvals and logs. Installation must use verified package bytes and must not resolve a mutable latest tag at startup. Uninstall means removing configuration, package/cache, approvals, credentials and logs, then checking for shadow workspace or user configuration. These lifecycle claims require host verification.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900"/>
            <w:vAlign w:val="center"/>
            <w:tcMar>
              <w:top w:w="80" w:type="dxa"/>
              <w:start w:w="120" w:type="dxa"/>
              <w:bottom w:w="80" w:type="dxa"/>
              <w:end w:w="120" w:type="dxa"/>
            </w:tcMar>
            <w:shd w:fill="17365D"/>
          </w:tcPr>
          <w:p>
            <w:pPr>
              <w:spacing w:after="20"/>
            </w:pPr>
            <w:r>
              <w:rPr>
                <w:rFonts w:ascii="Calibri" w:hAnsi="Calibri"/>
                <w:b/>
                <w:color w:val="FFFFFF"/>
                <w:sz w:val="16"/>
              </w:rPr>
              <w:t>Item</w:t>
            </w:r>
          </w:p>
        </w:tc>
        <w:tc>
          <w:tcPr>
            <w:tcW w:type="dxa" w:w="4200"/>
            <w:vAlign w:val="center"/>
            <w:tcMar>
              <w:top w:w="80" w:type="dxa"/>
              <w:start w:w="120" w:type="dxa"/>
              <w:bottom w:w="80" w:type="dxa"/>
              <w:end w:w="120" w:type="dxa"/>
            </w:tcMar>
            <w:shd w:fill="17365D"/>
          </w:tcPr>
          <w:p>
            <w:pPr>
              <w:spacing w:after="20"/>
            </w:pPr>
            <w:r>
              <w:rPr>
                <w:rFonts w:ascii="Calibri" w:hAnsi="Calibri"/>
                <w:b/>
                <w:color w:val="FFFFFF"/>
                <w:sz w:val="16"/>
              </w:rPr>
              <w:t>Expected state</w:t>
            </w:r>
          </w:p>
        </w:tc>
        <w:tc>
          <w:tcPr>
            <w:tcW w:type="dxa" w:w="3260"/>
            <w:vAlign w:val="center"/>
            <w:tcMar>
              <w:top w:w="80" w:type="dxa"/>
              <w:start w:w="120" w:type="dxa"/>
              <w:bottom w:w="80" w:type="dxa"/>
              <w:end w:w="120" w:type="dxa"/>
            </w:tcMar>
            <w:shd w:fill="17365D"/>
          </w:tcPr>
          <w:p>
            <w:pPr>
              <w:spacing w:after="20"/>
            </w:pPr>
            <w:r>
              <w:rPr>
                <w:rFonts w:ascii="Calibri" w:hAnsi="Calibri"/>
                <w:b/>
                <w:color w:val="FFFFFF"/>
                <w:sz w:val="16"/>
              </w:rPr>
              <w:t>Evidence state</w:t>
            </w:r>
          </w:p>
        </w:tc>
      </w:tr>
      <w:tr>
        <w:trPr>
          <w:cantSplit/>
        </w:trPr>
        <w:tc>
          <w:tcPr>
            <w:tcW w:type="dxa" w:w="1900"/>
            <w:vAlign w:val="center"/>
            <w:tcMar>
              <w:top w:w="80" w:type="dxa"/>
              <w:start w:w="120" w:type="dxa"/>
              <w:bottom w:w="80" w:type="dxa"/>
              <w:end w:w="120" w:type="dxa"/>
            </w:tcMar>
            <w:shd w:fill="FFFFFF"/>
          </w:tcPr>
          <w:p>
            <w:pPr>
              <w:spacing w:after="20"/>
            </w:pPr>
            <w:r>
              <w:rPr>
                <w:rFonts w:ascii="Calibri" w:hAnsi="Calibri"/>
                <w:sz w:val="16"/>
              </w:rPr>
              <w:t>Package</w:t>
            </w:r>
          </w:p>
        </w:tc>
        <w:tc>
          <w:tcPr>
            <w:tcW w:type="dxa" w:w="4200"/>
            <w:vAlign w:val="center"/>
            <w:tcMar>
              <w:top w:w="80" w:type="dxa"/>
              <w:start w:w="120" w:type="dxa"/>
              <w:bottom w:w="80" w:type="dxa"/>
              <w:end w:w="120" w:type="dxa"/>
            </w:tcMar>
            <w:shd w:fill="FFFFFF"/>
          </w:tcPr>
          <w:p>
            <w:pPr>
              <w:spacing w:after="20"/>
            </w:pPr>
            <w:r>
              <w:rPr>
                <w:rFonts w:ascii="Calibri" w:hAnsi="Calibri"/>
                <w:sz w:val="16"/>
              </w:rPr>
              <w:t>@azure-devops/mcp 2.8.1; SHA-256 c7790b...3c93f19</w:t>
            </w:r>
          </w:p>
        </w:tc>
        <w:tc>
          <w:tcPr>
            <w:tcW w:type="dxa" w:w="3260"/>
            <w:vAlign w:val="center"/>
            <w:tcMar>
              <w:top w:w="80" w:type="dxa"/>
              <w:start w:w="120" w:type="dxa"/>
              <w:bottom w:w="80" w:type="dxa"/>
              <w:end w:w="120" w:type="dxa"/>
            </w:tcMar>
            <w:shd w:fill="FFFFFF"/>
          </w:tcPr>
          <w:p>
            <w:pPr>
              <w:spacing w:after="20"/>
            </w:pPr>
            <w:r>
              <w:rPr>
                <w:rFonts w:ascii="Calibri" w:hAnsi="Calibri"/>
                <w:sz w:val="16"/>
              </w:rPr>
              <w:t>Verified registry bytes</w:t>
            </w:r>
          </w:p>
        </w:tc>
      </w:tr>
      <w:tr>
        <w:trPr>
          <w:cantSplit/>
        </w:trPr>
        <w:tc>
          <w:tcPr>
            <w:tcW w:type="dxa" w:w="1900"/>
            <w:vAlign w:val="center"/>
            <w:tcMar>
              <w:top w:w="80" w:type="dxa"/>
              <w:start w:w="120" w:type="dxa"/>
              <w:bottom w:w="80" w:type="dxa"/>
              <w:end w:w="120" w:type="dxa"/>
            </w:tcMar>
            <w:shd w:fill="F2F4F7"/>
          </w:tcPr>
          <w:p>
            <w:pPr>
              <w:spacing w:after="20"/>
            </w:pPr>
            <w:r>
              <w:rPr>
                <w:rFonts w:ascii="Calibri" w:hAnsi="Calibri"/>
                <w:sz w:val="16"/>
              </w:rPr>
              <w:t>Transport</w:t>
            </w:r>
          </w:p>
        </w:tc>
        <w:tc>
          <w:tcPr>
            <w:tcW w:type="dxa" w:w="4200"/>
            <w:vAlign w:val="center"/>
            <w:tcMar>
              <w:top w:w="80" w:type="dxa"/>
              <w:start w:w="120" w:type="dxa"/>
              <w:bottom w:w="80" w:type="dxa"/>
              <w:end w:w="120" w:type="dxa"/>
            </w:tcMar>
            <w:shd w:fill="F2F4F7"/>
          </w:tcPr>
          <w:p>
            <w:pPr>
              <w:spacing w:after="20"/>
            </w:pPr>
            <w:r>
              <w:rPr>
                <w:rFonts w:ascii="Calibri" w:hAnsi="Calibri"/>
                <w:sz w:val="16"/>
              </w:rPr>
              <w:t>Local STDIO child process</w:t>
            </w:r>
          </w:p>
        </w:tc>
        <w:tc>
          <w:tcPr>
            <w:tcW w:type="dxa" w:w="3260"/>
            <w:vAlign w:val="center"/>
            <w:tcMar>
              <w:top w:w="80" w:type="dxa"/>
              <w:start w:w="120" w:type="dxa"/>
              <w:bottom w:w="80" w:type="dxa"/>
              <w:end w:w="120" w:type="dxa"/>
            </w:tcMar>
            <w:shd w:fill="F2F4F7"/>
          </w:tcPr>
          <w:p>
            <w:pPr>
              <w:spacing w:after="20"/>
            </w:pPr>
            <w:r>
              <w:rPr>
                <w:rFonts w:ascii="Calibri" w:hAnsi="Calibri"/>
                <w:sz w:val="16"/>
              </w:rPr>
              <w:t>Verified source and package</w:t>
            </w:r>
          </w:p>
        </w:tc>
      </w:tr>
      <w:tr>
        <w:trPr>
          <w:cantSplit/>
        </w:trPr>
        <w:tc>
          <w:tcPr>
            <w:tcW w:type="dxa" w:w="1900"/>
            <w:vAlign w:val="center"/>
            <w:tcMar>
              <w:top w:w="80" w:type="dxa"/>
              <w:start w:w="120" w:type="dxa"/>
              <w:bottom w:w="80" w:type="dxa"/>
              <w:end w:w="120" w:type="dxa"/>
            </w:tcMar>
            <w:shd w:fill="FFFFFF"/>
          </w:tcPr>
          <w:p>
            <w:pPr>
              <w:spacing w:after="20"/>
            </w:pPr>
            <w:r>
              <w:rPr>
                <w:rFonts w:ascii="Calibri" w:hAnsi="Calibri"/>
                <w:sz w:val="16"/>
              </w:rPr>
              <w:t>Authentication</w:t>
            </w:r>
          </w:p>
        </w:tc>
        <w:tc>
          <w:tcPr>
            <w:tcW w:type="dxa" w:w="4200"/>
            <w:vAlign w:val="center"/>
            <w:tcMar>
              <w:top w:w="80" w:type="dxa"/>
              <w:start w:w="120" w:type="dxa"/>
              <w:bottom w:w="80" w:type="dxa"/>
              <w:end w:w="120" w:type="dxa"/>
            </w:tcMar>
            <w:shd w:fill="FFFFFF"/>
          </w:tcPr>
          <w:p>
            <w:pPr>
              <w:spacing w:after="20"/>
            </w:pPr>
            <w:r>
              <w:rPr>
                <w:rFonts w:ascii="Calibri" w:hAnsi="Calibri"/>
                <w:sz w:val="16"/>
              </w:rPr>
              <w:t>interactive, Azure CLI, environment token or PAT modes</w:t>
            </w:r>
          </w:p>
        </w:tc>
        <w:tc>
          <w:tcPr>
            <w:tcW w:type="dxa" w:w="3260"/>
            <w:vAlign w:val="center"/>
            <w:tcMar>
              <w:top w:w="80" w:type="dxa"/>
              <w:start w:w="120" w:type="dxa"/>
              <w:bottom w:w="80" w:type="dxa"/>
              <w:end w:w="120" w:type="dxa"/>
            </w:tcMar>
            <w:shd w:fill="FFFFFF"/>
          </w:tcPr>
          <w:p>
            <w:pPr>
              <w:spacing w:after="20"/>
            </w:pPr>
            <w:r>
              <w:rPr>
                <w:rFonts w:ascii="Calibri" w:hAnsi="Calibri"/>
                <w:sz w:val="16"/>
              </w:rPr>
              <w:t>Verified source</w:t>
            </w:r>
          </w:p>
        </w:tc>
      </w:tr>
      <w:tr>
        <w:trPr>
          <w:cantSplit/>
        </w:trPr>
        <w:tc>
          <w:tcPr>
            <w:tcW w:type="dxa" w:w="1900"/>
            <w:vAlign w:val="center"/>
            <w:tcMar>
              <w:top w:w="80" w:type="dxa"/>
              <w:start w:w="120" w:type="dxa"/>
              <w:bottom w:w="80" w:type="dxa"/>
              <w:end w:w="120" w:type="dxa"/>
            </w:tcMar>
            <w:shd w:fill="F2F4F7"/>
          </w:tcPr>
          <w:p>
            <w:pPr>
              <w:spacing w:after="20"/>
            </w:pPr>
            <w:r>
              <w:rPr>
                <w:rFonts w:ascii="Calibri" w:hAnsi="Calibri"/>
                <w:sz w:val="16"/>
              </w:rPr>
              <w:t>Tool scope</w:t>
            </w:r>
          </w:p>
        </w:tc>
        <w:tc>
          <w:tcPr>
            <w:tcW w:type="dxa" w:w="4200"/>
            <w:vAlign w:val="center"/>
            <w:tcMar>
              <w:top w:w="80" w:type="dxa"/>
              <w:start w:w="120" w:type="dxa"/>
              <w:bottom w:w="80" w:type="dxa"/>
              <w:end w:w="120" w:type="dxa"/>
            </w:tcMar>
            <w:shd w:fill="F2F4F7"/>
          </w:tcPr>
          <w:p>
            <w:pPr>
              <w:spacing w:after="20"/>
            </w:pPr>
            <w:r>
              <w:rPr>
                <w:rFonts w:ascii="Calibri" w:hAnsi="Calibri"/>
                <w:sz w:val="16"/>
              </w:rPr>
              <w:t>Nine default domains; 91 registered tools</w:t>
            </w:r>
          </w:p>
        </w:tc>
        <w:tc>
          <w:tcPr>
            <w:tcW w:type="dxa" w:w="3260"/>
            <w:vAlign w:val="center"/>
            <w:tcMar>
              <w:top w:w="80" w:type="dxa"/>
              <w:start w:w="120" w:type="dxa"/>
              <w:bottom w:w="80" w:type="dxa"/>
              <w:end w:w="120" w:type="dxa"/>
            </w:tcMar>
            <w:shd w:fill="F2F4F7"/>
          </w:tcPr>
          <w:p>
            <w:pPr>
              <w:spacing w:after="20"/>
            </w:pPr>
            <w:r>
              <w:rPr>
                <w:rFonts w:ascii="Calibri" w:hAnsi="Calibri"/>
                <w:sz w:val="16"/>
              </w:rPr>
              <w:t>Verified static count</w:t>
            </w:r>
          </w:p>
        </w:tc>
      </w:tr>
      <w:tr>
        <w:trPr>
          <w:cantSplit/>
        </w:trPr>
        <w:tc>
          <w:tcPr>
            <w:tcW w:type="dxa" w:w="1900"/>
            <w:vAlign w:val="center"/>
            <w:tcMar>
              <w:top w:w="80" w:type="dxa"/>
              <w:start w:w="120" w:type="dxa"/>
              <w:bottom w:w="80" w:type="dxa"/>
              <w:end w:w="120" w:type="dxa"/>
            </w:tcMar>
            <w:shd w:fill="FFFFFF"/>
          </w:tcPr>
          <w:p>
            <w:pPr>
              <w:spacing w:after="20"/>
            </w:pPr>
            <w:r>
              <w:rPr>
                <w:rFonts w:ascii="Calibri" w:hAnsi="Calibri"/>
                <w:sz w:val="16"/>
              </w:rPr>
              <w:t>Local residue</w:t>
            </w:r>
          </w:p>
        </w:tc>
        <w:tc>
          <w:tcPr>
            <w:tcW w:type="dxa" w:w="4200"/>
            <w:vAlign w:val="center"/>
            <w:tcMar>
              <w:top w:w="80" w:type="dxa"/>
              <w:start w:w="120" w:type="dxa"/>
              <w:bottom w:w="80" w:type="dxa"/>
              <w:end w:w="120" w:type="dxa"/>
            </w:tcMar>
            <w:shd w:fill="FFFFFF"/>
          </w:tcPr>
          <w:p>
            <w:pPr>
              <w:spacing w:after="20"/>
            </w:pPr>
            <w:r>
              <w:rPr>
                <w:rFonts w:ascii="Calibri" w:hAnsi="Calibri"/>
                <w:sz w:val="16"/>
              </w:rPr>
              <w:t>Configuration, package/cache, approvals, token and log state</w:t>
            </w:r>
          </w:p>
        </w:tc>
        <w:tc>
          <w:tcPr>
            <w:tcW w:type="dxa" w:w="3260"/>
            <w:vAlign w:val="center"/>
            <w:tcMar>
              <w:top w:w="80" w:type="dxa"/>
              <w:start w:w="120" w:type="dxa"/>
              <w:bottom w:w="80" w:type="dxa"/>
              <w:end w:w="120" w:type="dxa"/>
            </w:tcMar>
            <w:shd w:fill="FFFFFF"/>
          </w:tcPr>
          <w:p>
            <w:pPr>
              <w:spacing w:after="20"/>
            </w:pPr>
            <w:r>
              <w:rPr>
                <w:rFonts w:ascii="Calibri" w:hAnsi="Calibri"/>
                <w:sz w:val="16"/>
              </w:rPr>
              <w:t>Unknown until runtime</w:t>
            </w:r>
          </w:p>
        </w:tc>
      </w:tr>
    </w:tbl>
    <w:p/>
    <w:p>
      <w:pPr>
        <w:pStyle w:val="Heading2"/>
      </w:pPr>
      <w:r>
        <w:t>Runtime, activation and network</w:t>
      </w:r>
    </w:p>
    <w:p>
      <w:pPr>
        <w:widowControl/>
      </w:pPr>
      <w:r>
        <w:t>Dynamic analysis was selected but blocked. There is no disposable representative Windows 11 VS Code host with a clean IDE profile, synthetic Azure DevOps tenant, controlled identity, process and network capture, and rollback. The current macOS host is not an approved disposable VS Code environment and cannot represent Visual Studio. Installation, activation, child processes, credential storage, REST destinations, proxy behavior, failures, updates and uninstall residue remain Unknown or Not observed. Package code was not executed.</w:t>
      </w:r>
    </w:p>
    <w:p>
      <w:pPr>
        <w:pStyle w:val="Heading2"/>
      </w:pPr>
      <w:r>
        <w:t>Authentication, authorization and excessive agency</w:t>
      </w:r>
    </w:p>
    <w:p>
      <w:pPr>
        <w:widowControl/>
      </w:pPr>
      <w:r>
        <w:t>The server uses the authenticated Azure DevOps identity's permissions. Interactive and Azure CLI modes reduce stored-secret handling compared with PAT or environment-token modes, but all can be excessive for agent operation. A normal engineer may create branches, modify work items, queue pipelines or read broad projects. The pilot must use a dedicated least-privilege identity, enable only required read-oriented domains and deny material actions by default. Persistent auto-approval is prohibited.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800"/>
            <w:vAlign w:val="center"/>
            <w:tcMar>
              <w:top w:w="80" w:type="dxa"/>
              <w:start w:w="120" w:type="dxa"/>
              <w:bottom w:w="80" w:type="dxa"/>
              <w:end w:w="120" w:type="dxa"/>
            </w:tcMar>
            <w:shd w:fill="17365D"/>
          </w:tcPr>
          <w:p>
            <w:pPr>
              <w:spacing w:after="20"/>
            </w:pPr>
            <w:r>
              <w:rPr>
                <w:rFonts w:ascii="Calibri" w:hAnsi="Calibri"/>
                <w:b/>
                <w:color w:val="FFFFFF"/>
                <w:sz w:val="16"/>
              </w:rPr>
              <w:t>Control</w:t>
            </w:r>
          </w:p>
        </w:tc>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Strength</w:t>
            </w:r>
          </w:p>
        </w:tc>
        <w:tc>
          <w:tcPr>
            <w:tcW w:type="dxa" w:w="2700"/>
            <w:vAlign w:val="center"/>
            <w:tcMar>
              <w:top w:w="80" w:type="dxa"/>
              <w:start w:w="120" w:type="dxa"/>
              <w:bottom w:w="80" w:type="dxa"/>
              <w:end w:w="120" w:type="dxa"/>
            </w:tcMar>
            <w:shd w:fill="17365D"/>
          </w:tcPr>
          <w:p>
            <w:pPr>
              <w:spacing w:after="20"/>
            </w:pPr>
            <w:r>
              <w:rPr>
                <w:rFonts w:ascii="Calibri" w:hAnsi="Calibri"/>
                <w:b/>
                <w:color w:val="FFFFFF"/>
                <w:sz w:val="16"/>
              </w:rPr>
              <w:t>Status</w:t>
            </w:r>
          </w:p>
        </w:tc>
        <w:tc>
          <w:tcPr>
            <w:tcW w:type="dxa" w:w="3360"/>
            <w:vAlign w:val="center"/>
            <w:tcMar>
              <w:top w:w="80" w:type="dxa"/>
              <w:start w:w="120" w:type="dxa"/>
              <w:bottom w:w="80" w:type="dxa"/>
              <w:end w:w="120" w:type="dxa"/>
            </w:tcMar>
            <w:shd w:fill="17365D"/>
          </w:tcPr>
          <w:p>
            <w:pPr>
              <w:spacing w:after="20"/>
            </w:pPr>
            <w:r>
              <w:rPr>
                <w:rFonts w:ascii="Calibri" w:hAnsi="Calibri"/>
                <w:b/>
                <w:color w:val="FFFFFF"/>
                <w:sz w:val="16"/>
              </w:rPr>
              <w:t>Verification test</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Entra OAuth</w:t>
            </w:r>
          </w:p>
        </w:tc>
        <w:tc>
          <w:tcPr>
            <w:tcW w:type="dxa" w:w="1500"/>
            <w:vAlign w:val="center"/>
            <w:tcMar>
              <w:top w:w="80" w:type="dxa"/>
              <w:start w:w="120" w:type="dxa"/>
              <w:bottom w:w="80" w:type="dxa"/>
              <w:end w:w="120" w:type="dxa"/>
            </w:tcMar>
            <w:shd w:fill="FFFFFF"/>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FFFFF"/>
          </w:tcPr>
          <w:p>
            <w:pPr>
              <w:spacing w:after="20"/>
            </w:pPr>
            <w:r>
              <w:rPr>
                <w:rFonts w:ascii="Calibri" w:hAnsi="Calibri"/>
                <w:sz w:val="16"/>
              </w:rPr>
              <w:t>Documented</w:t>
            </w:r>
          </w:p>
        </w:tc>
        <w:tc>
          <w:tcPr>
            <w:tcW w:type="dxa" w:w="3360"/>
            <w:vAlign w:val="center"/>
            <w:tcMar>
              <w:top w:w="80" w:type="dxa"/>
              <w:start w:w="120" w:type="dxa"/>
              <w:bottom w:w="80" w:type="dxa"/>
              <w:end w:w="120" w:type="dxa"/>
            </w:tcMar>
            <w:shd w:fill="FFFFFF"/>
          </w:tcPr>
          <w:p>
            <w:pPr>
              <w:spacing w:after="20"/>
            </w:pPr>
            <w:r>
              <w:rPr>
                <w:rFonts w:ascii="Calibri" w:hAnsi="Calibri"/>
                <w:sz w:val="16"/>
              </w:rPr>
              <w:t>Revocation and Conditional Access test</w:t>
            </w:r>
          </w:p>
        </w:tc>
      </w:tr>
      <w:tr>
        <w:trPr>
          <w:cantSplit/>
        </w:trPr>
        <w:tc>
          <w:tcPr>
            <w:tcW w:type="dxa" w:w="1800"/>
            <w:vAlign w:val="center"/>
            <w:tcMar>
              <w:top w:w="80" w:type="dxa"/>
              <w:start w:w="120" w:type="dxa"/>
              <w:bottom w:w="80" w:type="dxa"/>
              <w:end w:w="120" w:type="dxa"/>
            </w:tcMar>
            <w:shd w:fill="F2F4F7"/>
          </w:tcPr>
          <w:p>
            <w:pPr>
              <w:spacing w:after="20"/>
            </w:pPr>
            <w:r>
              <w:rPr>
                <w:rFonts w:ascii="Calibri" w:hAnsi="Calibri"/>
                <w:sz w:val="16"/>
              </w:rPr>
              <w:t>Azure DevOps permissions</w:t>
            </w:r>
          </w:p>
        </w:tc>
        <w:tc>
          <w:tcPr>
            <w:tcW w:type="dxa" w:w="1500"/>
            <w:vAlign w:val="center"/>
            <w:tcMar>
              <w:top w:w="80" w:type="dxa"/>
              <w:start w:w="120" w:type="dxa"/>
              <w:bottom w:w="80" w:type="dxa"/>
              <w:end w:w="120" w:type="dxa"/>
            </w:tcMar>
            <w:shd w:fill="F2F4F7"/>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2F4F7"/>
          </w:tcPr>
          <w:p>
            <w:pPr>
              <w:spacing w:after="20"/>
            </w:pPr>
            <w:r>
              <w:rPr>
                <w:rFonts w:ascii="Calibri" w:hAnsi="Calibri"/>
                <w:sz w:val="16"/>
              </w:rPr>
              <w:t>Environment unknown</w:t>
            </w:r>
          </w:p>
        </w:tc>
        <w:tc>
          <w:tcPr>
            <w:tcW w:type="dxa" w:w="3360"/>
            <w:vAlign w:val="center"/>
            <w:tcMar>
              <w:top w:w="80" w:type="dxa"/>
              <w:start w:w="120" w:type="dxa"/>
              <w:bottom w:w="80" w:type="dxa"/>
              <w:end w:w="120" w:type="dxa"/>
            </w:tcMar>
            <w:shd w:fill="F2F4F7"/>
          </w:tcPr>
          <w:p>
            <w:pPr>
              <w:spacing w:after="20"/>
            </w:pPr>
            <w:r>
              <w:rPr>
                <w:rFonts w:ascii="Calibri" w:hAnsi="Calibri"/>
                <w:sz w:val="16"/>
              </w:rPr>
              <w:t>Enumerate effective permissions</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Domain restriction</w:t>
            </w:r>
          </w:p>
        </w:tc>
        <w:tc>
          <w:tcPr>
            <w:tcW w:type="dxa" w:w="1500"/>
            <w:vAlign w:val="center"/>
            <w:tcMar>
              <w:top w:w="80" w:type="dxa"/>
              <w:start w:w="120" w:type="dxa"/>
              <w:bottom w:w="80" w:type="dxa"/>
              <w:end w:w="120" w:type="dxa"/>
            </w:tcMar>
            <w:shd w:fill="FFFFFF"/>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FFFFF"/>
          </w:tcPr>
          <w:p>
            <w:pPr>
              <w:spacing w:after="20"/>
            </w:pPr>
            <w:r>
              <w:rPr>
                <w:rFonts w:ascii="Calibri" w:hAnsi="Calibri"/>
                <w:sz w:val="16"/>
              </w:rPr>
              <w:t>Source-verified; not runtime verified</w:t>
            </w:r>
          </w:p>
        </w:tc>
        <w:tc>
          <w:tcPr>
            <w:tcW w:type="dxa" w:w="3360"/>
            <w:vAlign w:val="center"/>
            <w:tcMar>
              <w:top w:w="80" w:type="dxa"/>
              <w:start w:w="120" w:type="dxa"/>
              <w:bottom w:w="80" w:type="dxa"/>
              <w:end w:w="120" w:type="dxa"/>
            </w:tcMar>
            <w:shd w:fill="FFFFFF"/>
          </w:tcPr>
          <w:p>
            <w:pPr>
              <w:spacing w:after="20"/>
            </w:pPr>
            <w:r>
              <w:rPr>
                <w:rFonts w:ascii="Calibri" w:hAnsi="Calibri"/>
                <w:sz w:val="16"/>
              </w:rPr>
              <w:t>Attempt disabled domain calls</w:t>
            </w:r>
          </w:p>
        </w:tc>
      </w:tr>
      <w:tr>
        <w:trPr>
          <w:cantSplit/>
        </w:trPr>
        <w:tc>
          <w:tcPr>
            <w:tcW w:type="dxa" w:w="1800"/>
            <w:vAlign w:val="center"/>
            <w:tcMar>
              <w:top w:w="80" w:type="dxa"/>
              <w:start w:w="120" w:type="dxa"/>
              <w:bottom w:w="80" w:type="dxa"/>
              <w:end w:w="120" w:type="dxa"/>
            </w:tcMar>
            <w:shd w:fill="F2F4F7"/>
          </w:tcPr>
          <w:p>
            <w:pPr>
              <w:spacing w:after="20"/>
            </w:pPr>
            <w:r>
              <w:rPr>
                <w:rFonts w:ascii="Calibri" w:hAnsi="Calibri"/>
                <w:sz w:val="16"/>
              </w:rPr>
              <w:t>Exact client tool allowlist</w:t>
            </w:r>
          </w:p>
        </w:tc>
        <w:tc>
          <w:tcPr>
            <w:tcW w:type="dxa" w:w="1500"/>
            <w:vAlign w:val="center"/>
            <w:tcMar>
              <w:top w:w="80" w:type="dxa"/>
              <w:start w:w="120" w:type="dxa"/>
              <w:bottom w:w="80" w:type="dxa"/>
              <w:end w:w="120" w:type="dxa"/>
            </w:tcMar>
            <w:shd w:fill="F2F4F7"/>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2F4F7"/>
          </w:tcPr>
          <w:p>
            <w:pPr>
              <w:spacing w:after="20"/>
            </w:pPr>
            <w:r>
              <w:rPr>
                <w:rFonts w:ascii="Calibri" w:hAnsi="Calibri"/>
                <w:sz w:val="16"/>
              </w:rPr>
              <w:t>Required</w:t>
            </w:r>
          </w:p>
        </w:tc>
        <w:tc>
          <w:tcPr>
            <w:tcW w:type="dxa" w:w="3360"/>
            <w:vAlign w:val="center"/>
            <w:tcMar>
              <w:top w:w="80" w:type="dxa"/>
              <w:start w:w="120" w:type="dxa"/>
              <w:bottom w:w="80" w:type="dxa"/>
              <w:end w:w="120" w:type="dxa"/>
            </w:tcMar>
            <w:shd w:fill="F2F4F7"/>
          </w:tcPr>
          <w:p>
            <w:pPr>
              <w:spacing w:after="20"/>
            </w:pPr>
            <w:r>
              <w:rPr>
                <w:rFonts w:ascii="Calibri" w:hAnsi="Calibri"/>
                <w:sz w:val="16"/>
              </w:rPr>
              <w:t>Compare 91-tool surface to approval record</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Human approval</w:t>
            </w:r>
          </w:p>
        </w:tc>
        <w:tc>
          <w:tcPr>
            <w:tcW w:type="dxa" w:w="1500"/>
            <w:vAlign w:val="center"/>
            <w:tcMar>
              <w:top w:w="80" w:type="dxa"/>
              <w:start w:w="120" w:type="dxa"/>
              <w:bottom w:w="80" w:type="dxa"/>
              <w:end w:w="120" w:type="dxa"/>
            </w:tcMar>
            <w:shd w:fill="FFFFFF"/>
          </w:tcPr>
          <w:p>
            <w:pPr>
              <w:spacing w:after="20"/>
            </w:pPr>
            <w:r>
              <w:rPr>
                <w:rFonts w:ascii="Calibri" w:hAnsi="Calibri"/>
                <w:sz w:val="16"/>
              </w:rPr>
              <w:t>Governance</w:t>
            </w:r>
          </w:p>
        </w:tc>
        <w:tc>
          <w:tcPr>
            <w:tcW w:type="dxa" w:w="2700"/>
            <w:vAlign w:val="center"/>
            <w:tcMar>
              <w:top w:w="80" w:type="dxa"/>
              <w:start w:w="120" w:type="dxa"/>
              <w:bottom w:w="80" w:type="dxa"/>
              <w:end w:w="120" w:type="dxa"/>
            </w:tcMar>
            <w:shd w:fill="FFFFFF"/>
          </w:tcPr>
          <w:p>
            <w:pPr>
              <w:spacing w:after="20"/>
            </w:pPr>
            <w:r>
              <w:rPr>
                <w:rFonts w:ascii="Calibri" w:hAnsi="Calibri"/>
                <w:sz w:val="16"/>
              </w:rPr>
              <w:t>Client dependent</w:t>
            </w:r>
          </w:p>
        </w:tc>
        <w:tc>
          <w:tcPr>
            <w:tcW w:type="dxa" w:w="3360"/>
            <w:vAlign w:val="center"/>
            <w:tcMar>
              <w:top w:w="80" w:type="dxa"/>
              <w:start w:w="120" w:type="dxa"/>
              <w:bottom w:w="80" w:type="dxa"/>
              <w:end w:w="120" w:type="dxa"/>
            </w:tcMar>
            <w:shd w:fill="FFFFFF"/>
          </w:tcPr>
          <w:p>
            <w:pPr>
              <w:spacing w:after="20"/>
            </w:pPr>
            <w:r>
              <w:rPr>
                <w:rFonts w:ascii="Calibri" w:hAnsi="Calibri"/>
                <w:sz w:val="16"/>
              </w:rPr>
              <w:t>Injection canary cannot cause write</w:t>
            </w:r>
          </w:p>
        </w:tc>
      </w:tr>
    </w:tbl>
    <w:p/>
    <w:p>
      <w:pPr>
        <w:pStyle w:val="Heading2"/>
      </w:pPr>
      <w:r>
        <w:t>Telemetry, privacy and data classification</w:t>
      </w:r>
    </w:p>
    <w:p>
      <w:pPr>
        <w:widowControl/>
      </w:pPr>
      <w:r>
        <w:t>Queries, organisation identifiers, project names, work-item text, repository content, code fragments, pipeline logs, security findings and model context can be personal, confidential or regulated data. The local process and IDE may retain configuration, approvals, logs or credential state, while Azure DevOps and identity services receive network requests. Before confidential use, Privacy and Legal must confirm minimisation, retention, diagnostic access, transfers, incident notice and deletion behavior.</w:t>
      </w:r>
    </w:p>
    <w:p>
      <w:pPr>
        <w:pStyle w:val="Heading2"/>
      </w:pPr>
      <w:r>
        <w:t>MCP capabilities and installed Agent Skills</w:t>
      </w:r>
    </w:p>
    <w:p>
      <w:pPr>
        <w:widowControl/>
      </w:pPr>
      <w:r>
        <w:t>The assessed local integration is an MCP server, not an Agent Skill. No bundled Agent Skill was observed in the npm tarball or source snapshot for the VS Code installation surface. This is a Verified static observation with High confidence for the exact bytes, not proof that a client or separate installer cannot add skills. Any subsequently packaged skill, prompt pack or extension requires review.</w:t>
      </w:r>
    </w:p>
    <w:p>
      <w:pPr>
        <w:pStyle w:val="Heading2"/>
      </w:pPr>
      <w:r>
        <w:t>Supply chain, threats and findings</w:t>
      </w:r>
    </w:p>
    <w:p>
      <w:pPr>
        <w:widowControl/>
      </w:pPr>
      <w:r>
        <w:t>The exact npm tarball and matching Microsoft source commit are retained. ClamAV found no known signatures in either artefact, but a clean scan is not proof of safety. Semgrep returned 13 signals, including mutable workflow-action references and possible path-traversal sinks in file-writing tools. OSV reported 22 dependency-advisory entries in the source dependency graph; applicability to the shipped 27-file package requires release-owner triage. Gitleaks reported one mock continuation-token false positive.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3700"/>
            <w:vAlign w:val="center"/>
            <w:tcMar>
              <w:top w:w="80" w:type="dxa"/>
              <w:start w:w="120" w:type="dxa"/>
              <w:bottom w:w="80" w:type="dxa"/>
              <w:end w:w="120" w:type="dxa"/>
            </w:tcMar>
            <w:shd w:fill="17365D"/>
          </w:tcPr>
          <w:p>
            <w:pPr>
              <w:spacing w:after="20"/>
            </w:pPr>
            <w:r>
              <w:rPr>
                <w:rFonts w:ascii="Calibri" w:hAnsi="Calibri"/>
                <w:b/>
                <w:color w:val="FFFFFF"/>
                <w:sz w:val="16"/>
              </w:rPr>
              <w:t>Finding</w:t>
            </w:r>
          </w:p>
        </w:tc>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Inherent</w:t>
            </w:r>
          </w:p>
        </w:tc>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Residual</w:t>
            </w:r>
          </w:p>
        </w:tc>
        <w:tc>
          <w:tcPr>
            <w:tcW w:type="dxa" w:w="2660"/>
            <w:vAlign w:val="center"/>
            <w:tcMar>
              <w:top w:w="80" w:type="dxa"/>
              <w:start w:w="120" w:type="dxa"/>
              <w:bottom w:w="80" w:type="dxa"/>
              <w:end w:w="120" w:type="dxa"/>
            </w:tcMar>
            <w:shd w:fill="17365D"/>
          </w:tcPr>
          <w:p>
            <w:pPr>
              <w:spacing w:after="20"/>
            </w:pPr>
            <w:r>
              <w:rPr>
                <w:rFonts w:ascii="Calibri" w:hAnsi="Calibri"/>
                <w:b/>
                <w:color w:val="FFFFFF"/>
                <w:sz w:val="16"/>
              </w:rPr>
              <w:t>Treatment</w:t>
            </w:r>
          </w:p>
        </w:tc>
      </w:tr>
      <w:tr>
        <w:trPr>
          <w:cantSplit/>
        </w:trPr>
        <w:tc>
          <w:tcPr>
            <w:tcW w:type="dxa" w:w="3700"/>
            <w:vAlign w:val="center"/>
            <w:tcMar>
              <w:top w:w="80" w:type="dxa"/>
              <w:start w:w="120" w:type="dxa"/>
              <w:bottom w:w="80" w:type="dxa"/>
              <w:end w:w="120" w:type="dxa"/>
            </w:tcMar>
            <w:shd w:fill="FFFFFF"/>
          </w:tcPr>
          <w:p>
            <w:pPr>
              <w:spacing w:after="20"/>
            </w:pPr>
            <w:r>
              <w:rPr>
                <w:rFonts w:ascii="Calibri" w:hAnsi="Calibri"/>
                <w:sz w:val="16"/>
              </w:rPr>
              <w:t>F-001 Untrusted Azure DevOps content can steer agent decisions</w:t>
            </w:r>
          </w:p>
        </w:tc>
        <w:tc>
          <w:tcPr>
            <w:tcW w:type="dxa" w:w="1500"/>
            <w:vAlign w:val="center"/>
            <w:tcMar>
              <w:top w:w="80" w:type="dxa"/>
              <w:start w:w="120" w:type="dxa"/>
              <w:bottom w:w="80" w:type="dxa"/>
              <w:end w:w="120" w:type="dxa"/>
            </w:tcMar>
            <w:shd w:fill="FFFFFF"/>
          </w:tcPr>
          <w:p>
            <w:pPr>
              <w:spacing w:after="20"/>
            </w:pPr>
            <w:r>
              <w:rPr>
                <w:rFonts w:ascii="Calibri" w:hAnsi="Calibri"/>
                <w:sz w:val="16"/>
              </w:rPr>
              <w:t>4 x 5 = 20 Critical</w:t>
            </w:r>
          </w:p>
        </w:tc>
        <w:tc>
          <w:tcPr>
            <w:tcW w:type="dxa" w:w="1500"/>
            <w:vAlign w:val="center"/>
            <w:tcMar>
              <w:top w:w="80" w:type="dxa"/>
              <w:start w:w="120" w:type="dxa"/>
              <w:bottom w:w="80" w:type="dxa"/>
              <w:end w:w="120" w:type="dxa"/>
            </w:tcMar>
            <w:shd w:fill="FFFFFF"/>
          </w:tcPr>
          <w:p>
            <w:pPr>
              <w:spacing w:after="20"/>
            </w:pPr>
            <w:r>
              <w:rPr>
                <w:rFonts w:ascii="Calibri" w:hAnsi="Calibri"/>
                <w:sz w:val="16"/>
              </w:rPr>
              <w:t>3 x 5 = 15 High</w:t>
            </w:r>
          </w:p>
        </w:tc>
        <w:tc>
          <w:tcPr>
            <w:tcW w:type="dxa" w:w="2660"/>
            <w:vAlign w:val="center"/>
            <w:tcMar>
              <w:top w:w="80" w:type="dxa"/>
              <w:start w:w="120" w:type="dxa"/>
              <w:bottom w:w="80" w:type="dxa"/>
              <w:end w:w="120" w:type="dxa"/>
            </w:tcMar>
            <w:shd w:fill="FFFFFF"/>
          </w:tcPr>
          <w:p>
            <w:pPr>
              <w:spacing w:after="20"/>
            </w:pPr>
            <w:r>
              <w:rPr>
                <w:rFonts w:ascii="Calibri" w:hAnsi="Calibri"/>
                <w:sz w:val="16"/>
              </w:rPr>
              <w:t>AI Security</w:t>
            </w:r>
          </w:p>
        </w:tc>
      </w:tr>
      <w:tr>
        <w:trPr>
          <w:cantSplit/>
        </w:trPr>
        <w:tc>
          <w:tcPr>
            <w:tcW w:type="dxa" w:w="3700"/>
            <w:vAlign w:val="center"/>
            <w:tcMar>
              <w:top w:w="80" w:type="dxa"/>
              <w:start w:w="120" w:type="dxa"/>
              <w:bottom w:w="80" w:type="dxa"/>
              <w:end w:w="120" w:type="dxa"/>
            </w:tcMar>
            <w:shd w:fill="F2F4F7"/>
          </w:tcPr>
          <w:p>
            <w:pPr>
              <w:spacing w:after="20"/>
            </w:pPr>
            <w:r>
              <w:rPr>
                <w:rFonts w:ascii="Calibri" w:hAnsi="Calibri"/>
                <w:sz w:val="16"/>
              </w:rPr>
              <w:t>F-002 Default 91-tool surface creates excessive agency</w:t>
            </w:r>
          </w:p>
        </w:tc>
        <w:tc>
          <w:tcPr>
            <w:tcW w:type="dxa" w:w="1500"/>
            <w:vAlign w:val="center"/>
            <w:tcMar>
              <w:top w:w="80" w:type="dxa"/>
              <w:start w:w="120" w:type="dxa"/>
              <w:bottom w:w="80" w:type="dxa"/>
              <w:end w:w="120" w:type="dxa"/>
            </w:tcMar>
            <w:shd w:fill="F2F4F7"/>
          </w:tcPr>
          <w:p>
            <w:pPr>
              <w:spacing w:after="20"/>
            </w:pPr>
            <w:r>
              <w:rPr>
                <w:rFonts w:ascii="Calibri" w:hAnsi="Calibri"/>
                <w:sz w:val="16"/>
              </w:rPr>
              <w:t>4 x 5 = 20 Critical</w:t>
            </w:r>
          </w:p>
        </w:tc>
        <w:tc>
          <w:tcPr>
            <w:tcW w:type="dxa" w:w="1500"/>
            <w:vAlign w:val="center"/>
            <w:tcMar>
              <w:top w:w="80" w:type="dxa"/>
              <w:start w:w="120" w:type="dxa"/>
              <w:bottom w:w="80" w:type="dxa"/>
              <w:end w:w="120" w:type="dxa"/>
            </w:tcMar>
            <w:shd w:fill="F2F4F7"/>
          </w:tcPr>
          <w:p>
            <w:pPr>
              <w:spacing w:after="20"/>
            </w:pPr>
            <w:r>
              <w:rPr>
                <w:rFonts w:ascii="Calibri" w:hAnsi="Calibri"/>
                <w:sz w:val="16"/>
              </w:rPr>
              <w:t>2 x 5 = 10 High</w:t>
            </w:r>
          </w:p>
        </w:tc>
        <w:tc>
          <w:tcPr>
            <w:tcW w:type="dxa" w:w="2660"/>
            <w:vAlign w:val="center"/>
            <w:tcMar>
              <w:top w:w="80" w:type="dxa"/>
              <w:start w:w="120" w:type="dxa"/>
              <w:bottom w:w="80" w:type="dxa"/>
              <w:end w:w="120" w:type="dxa"/>
            </w:tcMar>
            <w:shd w:fill="F2F4F7"/>
          </w:tcPr>
          <w:p>
            <w:pPr>
              <w:spacing w:after="20"/>
            </w:pPr>
            <w:r>
              <w:rPr>
                <w:rFonts w:ascii="Calibri" w:hAnsi="Calibri"/>
                <w:sz w:val="16"/>
              </w:rPr>
              <w:t>Azure DevOps Platform</w:t>
            </w:r>
          </w:p>
        </w:tc>
      </w:tr>
      <w:tr>
        <w:trPr>
          <w:cantSplit/>
        </w:trPr>
        <w:tc>
          <w:tcPr>
            <w:tcW w:type="dxa" w:w="3700"/>
            <w:vAlign w:val="center"/>
            <w:tcMar>
              <w:top w:w="80" w:type="dxa"/>
              <w:start w:w="120" w:type="dxa"/>
              <w:bottom w:w="80" w:type="dxa"/>
              <w:end w:w="120" w:type="dxa"/>
            </w:tcMar>
            <w:shd w:fill="FFFFFF"/>
          </w:tcPr>
          <w:p>
            <w:pPr>
              <w:spacing w:after="20"/>
            </w:pPr>
            <w:r>
              <w:rPr>
                <w:rFonts w:ascii="Calibri" w:hAnsi="Calibri"/>
                <w:sz w:val="16"/>
              </w:rPr>
              <w:t>F-003 Mutable npm resolution and unpinned transitive ranges weaken reproducibility</w:t>
            </w:r>
          </w:p>
        </w:tc>
        <w:tc>
          <w:tcPr>
            <w:tcW w:type="dxa" w:w="1500"/>
            <w:vAlign w:val="center"/>
            <w:tcMar>
              <w:top w:w="80" w:type="dxa"/>
              <w:start w:w="120" w:type="dxa"/>
              <w:bottom w:w="80" w:type="dxa"/>
              <w:end w:w="120" w:type="dxa"/>
            </w:tcMar>
            <w:shd w:fill="FFFFFF"/>
          </w:tcPr>
          <w:p>
            <w:pPr>
              <w:spacing w:after="20"/>
            </w:pPr>
            <w:r>
              <w:rPr>
                <w:rFonts w:ascii="Calibri" w:hAnsi="Calibri"/>
                <w:sz w:val="16"/>
              </w:rPr>
              <w:t>4 x 4 = 16 High</w:t>
            </w:r>
          </w:p>
        </w:tc>
        <w:tc>
          <w:tcPr>
            <w:tcW w:type="dxa" w:w="1500"/>
            <w:vAlign w:val="center"/>
            <w:tcMar>
              <w:top w:w="80" w:type="dxa"/>
              <w:start w:w="120" w:type="dxa"/>
              <w:bottom w:w="80" w:type="dxa"/>
              <w:end w:w="120" w:type="dxa"/>
            </w:tcMar>
            <w:shd w:fill="FFFFFF"/>
          </w:tcPr>
          <w:p>
            <w:pPr>
              <w:spacing w:after="20"/>
            </w:pPr>
            <w:r>
              <w:rPr>
                <w:rFonts w:ascii="Calibri" w:hAnsi="Calibri"/>
                <w:sz w:val="16"/>
              </w:rPr>
              <w:t>3 x 4 = 12 High</w:t>
            </w:r>
          </w:p>
        </w:tc>
        <w:tc>
          <w:tcPr>
            <w:tcW w:type="dxa" w:w="2660"/>
            <w:vAlign w:val="center"/>
            <w:tcMar>
              <w:top w:w="80" w:type="dxa"/>
              <w:start w:w="120" w:type="dxa"/>
              <w:bottom w:w="80" w:type="dxa"/>
              <w:end w:w="120" w:type="dxa"/>
            </w:tcMar>
            <w:shd w:fill="FFFFFF"/>
          </w:tcPr>
          <w:p>
            <w:pPr>
              <w:spacing w:after="20"/>
            </w:pPr>
            <w:r>
              <w:rPr>
                <w:rFonts w:ascii="Calibri" w:hAnsi="Calibri"/>
                <w:sz w:val="16"/>
              </w:rPr>
              <w:t>Supplier Risk</w:t>
            </w:r>
          </w:p>
        </w:tc>
      </w:tr>
      <w:tr>
        <w:trPr>
          <w:cantSplit/>
        </w:trPr>
        <w:tc>
          <w:tcPr>
            <w:tcW w:type="dxa" w:w="3700"/>
            <w:vAlign w:val="center"/>
            <w:tcMar>
              <w:top w:w="80" w:type="dxa"/>
              <w:start w:w="120" w:type="dxa"/>
              <w:bottom w:w="80" w:type="dxa"/>
              <w:end w:w="120" w:type="dxa"/>
            </w:tcMar>
            <w:shd w:fill="F2F4F7"/>
          </w:tcPr>
          <w:p>
            <w:pPr>
              <w:spacing w:after="20"/>
            </w:pPr>
            <w:r>
              <w:rPr>
                <w:rFonts w:ascii="Calibri" w:hAnsi="Calibri"/>
                <w:sz w:val="16"/>
              </w:rPr>
              <w:t>F-004 Runtime data routing, credential storage and telemetry are unverified</w:t>
            </w:r>
          </w:p>
        </w:tc>
        <w:tc>
          <w:tcPr>
            <w:tcW w:type="dxa" w:w="1500"/>
            <w:vAlign w:val="center"/>
            <w:tcMar>
              <w:top w:w="80" w:type="dxa"/>
              <w:start w:w="120" w:type="dxa"/>
              <w:bottom w:w="80" w:type="dxa"/>
              <w:end w:w="120" w:type="dxa"/>
            </w:tcMar>
            <w:shd w:fill="F2F4F7"/>
          </w:tcPr>
          <w:p>
            <w:pPr>
              <w:spacing w:after="20"/>
            </w:pPr>
            <w:r>
              <w:rPr>
                <w:rFonts w:ascii="Calibri" w:hAnsi="Calibri"/>
                <w:sz w:val="16"/>
              </w:rPr>
              <w:t>3 x 5 = 15 High</w:t>
            </w:r>
          </w:p>
        </w:tc>
        <w:tc>
          <w:tcPr>
            <w:tcW w:type="dxa" w:w="1500"/>
            <w:vAlign w:val="center"/>
            <w:tcMar>
              <w:top w:w="80" w:type="dxa"/>
              <w:start w:w="120" w:type="dxa"/>
              <w:bottom w:w="80" w:type="dxa"/>
              <w:end w:w="120" w:type="dxa"/>
            </w:tcMar>
            <w:shd w:fill="F2F4F7"/>
          </w:tcPr>
          <w:p>
            <w:pPr>
              <w:spacing w:after="20"/>
            </w:pPr>
            <w:r>
              <w:rPr>
                <w:rFonts w:ascii="Calibri" w:hAnsi="Calibri"/>
                <w:sz w:val="16"/>
              </w:rPr>
              <w:t>3 x 4 = 12 High</w:t>
            </w:r>
          </w:p>
        </w:tc>
        <w:tc>
          <w:tcPr>
            <w:tcW w:type="dxa" w:w="2660"/>
            <w:vAlign w:val="center"/>
            <w:tcMar>
              <w:top w:w="80" w:type="dxa"/>
              <w:start w:w="120" w:type="dxa"/>
              <w:bottom w:w="80" w:type="dxa"/>
              <w:end w:w="120" w:type="dxa"/>
            </w:tcMar>
            <w:shd w:fill="F2F4F7"/>
          </w:tcPr>
          <w:p>
            <w:pPr>
              <w:spacing w:after="20"/>
            </w:pPr>
            <w:r>
              <w:rPr>
                <w:rFonts w:ascii="Calibri" w:hAnsi="Calibri"/>
                <w:sz w:val="16"/>
              </w:rPr>
              <w:t>Privacy and Legal</w:t>
            </w:r>
          </w:p>
        </w:tc>
      </w:tr>
      <w:tr>
        <w:trPr>
          <w:cantSplit/>
        </w:trPr>
        <w:tc>
          <w:tcPr>
            <w:tcW w:type="dxa" w:w="3700"/>
            <w:vAlign w:val="center"/>
            <w:tcMar>
              <w:top w:w="80" w:type="dxa"/>
              <w:start w:w="120" w:type="dxa"/>
              <w:bottom w:w="80" w:type="dxa"/>
              <w:end w:w="120" w:type="dxa"/>
            </w:tcMar>
            <w:shd w:fill="FFFFFF"/>
          </w:tcPr>
          <w:p>
            <w:pPr>
              <w:spacing w:after="20"/>
            </w:pPr>
            <w:r>
              <w:rPr>
                <w:rFonts w:ascii="Calibri" w:hAnsi="Calibri"/>
                <w:sz w:val="16"/>
              </w:rPr>
              <w:t>F-005 Client approval policy can be bypassed by overbroad consent</w:t>
            </w:r>
          </w:p>
        </w:tc>
        <w:tc>
          <w:tcPr>
            <w:tcW w:type="dxa" w:w="1500"/>
            <w:vAlign w:val="center"/>
            <w:tcMar>
              <w:top w:w="80" w:type="dxa"/>
              <w:start w:w="120" w:type="dxa"/>
              <w:bottom w:w="80" w:type="dxa"/>
              <w:end w:w="120" w:type="dxa"/>
            </w:tcMar>
            <w:shd w:fill="FFFFFF"/>
          </w:tcPr>
          <w:p>
            <w:pPr>
              <w:spacing w:after="20"/>
            </w:pPr>
            <w:r>
              <w:rPr>
                <w:rFonts w:ascii="Calibri" w:hAnsi="Calibri"/>
                <w:sz w:val="16"/>
              </w:rPr>
              <w:t>4 x 4 = 16 High</w:t>
            </w:r>
          </w:p>
        </w:tc>
        <w:tc>
          <w:tcPr>
            <w:tcW w:type="dxa" w:w="1500"/>
            <w:vAlign w:val="center"/>
            <w:tcMar>
              <w:top w:w="80" w:type="dxa"/>
              <w:start w:w="120" w:type="dxa"/>
              <w:bottom w:w="80" w:type="dxa"/>
              <w:end w:w="120" w:type="dxa"/>
            </w:tcMar>
            <w:shd w:fill="FFFFFF"/>
          </w:tcPr>
          <w:p>
            <w:pPr>
              <w:spacing w:after="20"/>
            </w:pPr>
            <w:r>
              <w:rPr>
                <w:rFonts w:ascii="Calibri" w:hAnsi="Calibri"/>
                <w:sz w:val="16"/>
              </w:rPr>
              <w:t>2 x 4 = 8 Moderate</w:t>
            </w:r>
          </w:p>
        </w:tc>
        <w:tc>
          <w:tcPr>
            <w:tcW w:type="dxa" w:w="2660"/>
            <w:vAlign w:val="center"/>
            <w:tcMar>
              <w:top w:w="80" w:type="dxa"/>
              <w:start w:w="120" w:type="dxa"/>
              <w:bottom w:w="80" w:type="dxa"/>
              <w:end w:w="120" w:type="dxa"/>
            </w:tcMar>
            <w:shd w:fill="FFFFFF"/>
          </w:tcPr>
          <w:p>
            <w:pPr>
              <w:spacing w:after="20"/>
            </w:pPr>
            <w:r>
              <w:rPr>
                <w:rFonts w:ascii="Calibri" w:hAnsi="Calibri"/>
                <w:sz w:val="16"/>
              </w:rPr>
              <w:t>IDE Engineering</w:t>
            </w:r>
          </w:p>
        </w:tc>
      </w:tr>
    </w:tbl>
    <w:p/>
    <w:p>
      <w:pPr>
        <w:pStyle w:val="Heading2"/>
      </w:pPr>
      <w:r>
        <w:t>Framework disposition</w:t>
      </w:r>
    </w:p>
    <w:p>
      <w:pPr>
        <w:widowControl/>
      </w:pPr>
      <w:r>
        <w:t>Applicable baselines include OWASP LLM Top 10 2025, OWASP Agentic Top 10 2026, OWASP MCP Top 10, NIST AI RMF 1.0, NIST AI 600-1, NCSC secure AI development guidance, CIS Controls v8.1 and ISO/IEC 27001:2022. OWASP ASVS 5.0.0 Level 2 applies to the API, identity and configuration control surface, especially access control, OAuth, communications, validation, logging and supply-chain requirements. The EU AI Act is conditionally applicable by use case; prohibited/high-risk customer-outcome use is outside this approval.</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200"/>
            <w:vAlign w:val="center"/>
            <w:tcMar>
              <w:top w:w="80" w:type="dxa"/>
              <w:start w:w="120" w:type="dxa"/>
              <w:bottom w:w="80" w:type="dxa"/>
              <w:end w:w="120" w:type="dxa"/>
            </w:tcMar>
            <w:shd w:fill="17365D"/>
          </w:tcPr>
          <w:p>
            <w:pPr>
              <w:spacing w:after="20"/>
            </w:pPr>
            <w:r>
              <w:rPr>
                <w:rFonts w:ascii="Calibri" w:hAnsi="Calibri"/>
                <w:b/>
                <w:color w:val="FFFFFF"/>
                <w:sz w:val="16"/>
              </w:rPr>
              <w:t>Framework</w:t>
            </w:r>
          </w:p>
        </w:tc>
        <w:tc>
          <w:tcPr>
            <w:tcW w:type="dxa" w:w="1900"/>
            <w:vAlign w:val="center"/>
            <w:tcMar>
              <w:top w:w="80" w:type="dxa"/>
              <w:start w:w="120" w:type="dxa"/>
              <w:bottom w:w="80" w:type="dxa"/>
              <w:end w:w="120" w:type="dxa"/>
            </w:tcMar>
            <w:shd w:fill="17365D"/>
          </w:tcPr>
          <w:p>
            <w:pPr>
              <w:spacing w:after="20"/>
            </w:pPr>
            <w:r>
              <w:rPr>
                <w:rFonts w:ascii="Calibri" w:hAnsi="Calibri"/>
                <w:b/>
                <w:color w:val="FFFFFF"/>
                <w:sz w:val="16"/>
              </w:rPr>
              <w:t>Disposition</w:t>
            </w:r>
          </w:p>
        </w:tc>
        <w:tc>
          <w:tcPr>
            <w:tcW w:type="dxa" w:w="5260"/>
            <w:vAlign w:val="center"/>
            <w:tcMar>
              <w:top w:w="80" w:type="dxa"/>
              <w:start w:w="120" w:type="dxa"/>
              <w:bottom w:w="80" w:type="dxa"/>
              <w:end w:w="120" w:type="dxa"/>
            </w:tcMar>
            <w:shd w:fill="17365D"/>
          </w:tcPr>
          <w:p>
            <w:pPr>
              <w:spacing w:after="20"/>
            </w:pPr>
            <w:r>
              <w:rPr>
                <w:rFonts w:ascii="Calibri" w:hAnsi="Calibri"/>
                <w:b/>
                <w:color w:val="FFFFFF"/>
                <w:sz w:val="16"/>
              </w:rPr>
              <w:t>Key mapping</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OWASP LLM 2025</w:t>
            </w:r>
          </w:p>
        </w:tc>
        <w:tc>
          <w:tcPr>
            <w:tcW w:type="dxa" w:w="1900"/>
            <w:vAlign w:val="center"/>
            <w:tcMar>
              <w:top w:w="80" w:type="dxa"/>
              <w:start w:w="120" w:type="dxa"/>
              <w:bottom w:w="80" w:type="dxa"/>
              <w:end w:w="120" w:type="dxa"/>
            </w:tcMar>
            <w:shd w:fill="FFFFFF"/>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FFFFF"/>
          </w:tcPr>
          <w:p>
            <w:pPr>
              <w:spacing w:after="20"/>
            </w:pPr>
            <w:r>
              <w:rPr>
                <w:rFonts w:ascii="Calibri" w:hAnsi="Calibri"/>
                <w:sz w:val="16"/>
              </w:rPr>
              <w:t>prompt injection, sensitive disclosure, excessive agency</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OWASP Agentic 2026</w:t>
            </w:r>
          </w:p>
        </w:tc>
        <w:tc>
          <w:tcPr>
            <w:tcW w:type="dxa" w:w="1900"/>
            <w:vAlign w:val="center"/>
            <w:tcMar>
              <w:top w:w="80" w:type="dxa"/>
              <w:start w:w="120" w:type="dxa"/>
              <w:bottom w:w="80" w:type="dxa"/>
              <w:end w:w="120" w:type="dxa"/>
            </w:tcMar>
            <w:shd w:fill="F2F4F7"/>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2F4F7"/>
          </w:tcPr>
          <w:p>
            <w:pPr>
              <w:spacing w:after="20"/>
            </w:pPr>
            <w:r>
              <w:rPr>
                <w:rFonts w:ascii="Calibri" w:hAnsi="Calibri"/>
                <w:sz w:val="16"/>
              </w:rPr>
              <w:t>goal hijack, tool misuse, identity abuse</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OWASP MCP</w:t>
            </w:r>
          </w:p>
        </w:tc>
        <w:tc>
          <w:tcPr>
            <w:tcW w:type="dxa" w:w="1900"/>
            <w:vAlign w:val="center"/>
            <w:tcMar>
              <w:top w:w="80" w:type="dxa"/>
              <w:start w:w="120" w:type="dxa"/>
              <w:bottom w:w="80" w:type="dxa"/>
              <w:end w:w="120" w:type="dxa"/>
            </w:tcMar>
            <w:shd w:fill="FFFFFF"/>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FFFFF"/>
          </w:tcPr>
          <w:p>
            <w:pPr>
              <w:spacing w:after="20"/>
            </w:pPr>
            <w:r>
              <w:rPr>
                <w:rFonts w:ascii="Calibri" w:hAnsi="Calibri"/>
                <w:sz w:val="16"/>
              </w:rPr>
              <w:t>token, tool and supply-chain controls</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OWASP ASVS 5.0 L2</w:t>
            </w:r>
          </w:p>
        </w:tc>
        <w:tc>
          <w:tcPr>
            <w:tcW w:type="dxa" w:w="1900"/>
            <w:vAlign w:val="center"/>
            <w:tcMar>
              <w:top w:w="80" w:type="dxa"/>
              <w:start w:w="120" w:type="dxa"/>
              <w:bottom w:w="80" w:type="dxa"/>
              <w:end w:w="120" w:type="dxa"/>
            </w:tcMar>
            <w:shd w:fill="F2F4F7"/>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2F4F7"/>
          </w:tcPr>
          <w:p>
            <w:pPr>
              <w:spacing w:after="20"/>
            </w:pPr>
            <w:r>
              <w:rPr>
                <w:rFonts w:ascii="Calibri" w:hAnsi="Calibri"/>
                <w:sz w:val="16"/>
              </w:rPr>
              <w:t>V8 authorization, V9 communications, V10 OAuth, V15 supply chain</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NIST AI RMF / 600-1</w:t>
            </w:r>
          </w:p>
        </w:tc>
        <w:tc>
          <w:tcPr>
            <w:tcW w:type="dxa" w:w="1900"/>
            <w:vAlign w:val="center"/>
            <w:tcMar>
              <w:top w:w="80" w:type="dxa"/>
              <w:start w:w="120" w:type="dxa"/>
              <w:bottom w:w="80" w:type="dxa"/>
              <w:end w:w="120" w:type="dxa"/>
            </w:tcMar>
            <w:shd w:fill="FFFFFF"/>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FFFFF"/>
          </w:tcPr>
          <w:p>
            <w:pPr>
              <w:spacing w:after="20"/>
            </w:pPr>
            <w:r>
              <w:rPr>
                <w:rFonts w:ascii="Calibri" w:hAnsi="Calibri"/>
                <w:sz w:val="16"/>
              </w:rPr>
              <w:t>Govern, Map, Measure, Manage</w:t>
            </w:r>
          </w:p>
        </w:tc>
      </w:tr>
    </w:tbl>
    <w:p/>
    <w:p>
      <w:pPr>
        <w:pStyle w:val="Heading2"/>
      </w:pPr>
      <w:r>
        <w:t>Controls, detection and residual risk</w:t>
      </w:r>
    </w:p>
    <w:p>
      <w:pPr>
        <w:widowControl/>
      </w:pPr>
      <w:r>
        <w:t>Before pilot, enforce exact package identity and digest, minimal read-oriented domains, a dedicated identity, deny-by-default project scope, per-invocation approval and payload minimisation. Disable or separately approve file-writing and Azure DevOps mutation tools. Detect package or tool-list drift, unexpected child processes, write attempts, unusual project access, new OAuth grants and backend changes without approved MCP intent.</w:t>
      </w:r>
    </w:p>
    <w:p>
      <w:pPr>
        <w:pStyle w:val="Heading2"/>
      </w:pPr>
      <w:r>
        <w:t>Confidence, limitations, evidence and verification</w:t>
      </w:r>
    </w:p>
    <w:p>
      <w:pPr>
        <w:widowControl/>
      </w:pPr>
      <w:r>
        <w:t>Confidence is High for Microsoft ownership, npm version identity, package digest, source commit, STDIO transport, authentication modes and the 91-tool static count. Confidence is Medium for source-package correspondence and spotlighting coverage. Confidence is Low for client controls, credential persistence, network behavior, file-write containment, updates and uninstall residue. Verification requires disposable hosts, a synthetic tenant and identity, process and network capture, injection canaries, denied write and path tests, token revocation, log correlation and uninstall inspection.</w:t>
      </w:r>
    </w:p>
    <w:p>
      <w:r>
        <w:t xml:space="preserve">Evidence: </w:t>
      </w:r>
      <w:hyperlink w:anchor="REF_001">
        <w:r>
          <w:rPr>
            <w:color w:val="0563C1"/>
            <w:u w:val="single"/>
          </w:rPr>
          <w:t>[REF-001]</w:t>
        </w:r>
      </w:hyperlink>
      <w:r>
        <w:t xml:space="preserve"> </w:t>
      </w:r>
      <w:hyperlink w:anchor="REF_002">
        <w:r>
          <w:rPr>
            <w:color w:val="0563C1"/>
            <w:u w:val="single"/>
          </w:rPr>
          <w:t>[REF-002]</w:t>
        </w:r>
      </w:hyperlink>
      <w:r>
        <w:t xml:space="preserve"> </w:t>
      </w:r>
      <w:hyperlink w:anchor="REF_008">
        <w:r>
          <w:rPr>
            <w:color w:val="0563C1"/>
            <w:u w:val="single"/>
          </w:rPr>
          <w:t>[REF-008]</w:t>
        </w:r>
      </w:hyperlink>
      <w:r>
        <w:t xml:space="preserve"> </w:t>
      </w:r>
      <w:hyperlink w:anchor="REF_010">
        <w:r>
          <w:rPr>
            <w:color w:val="0563C1"/>
            <w:u w:val="single"/>
          </w:rPr>
          <w:t>[REF-010]</w:t>
        </w:r>
      </w:hyperlink>
      <w:r>
        <w:t xml:space="preserve"> </w:t>
      </w:r>
      <w:hyperlink w:anchor="REF_012">
        <w:r>
          <w:rPr>
            <w:color w:val="0563C1"/>
            <w:u w:val="single"/>
          </w:rPr>
          <w:t>[REF-012]</w:t>
        </w:r>
      </w:hyperlink>
    </w:p>
    <w:p>
      <w:pPr>
        <w:pStyle w:val="Heading1"/>
      </w:pPr>
      <w:r>
        <w:t>Part II - Visual Studio Assessment</w:t>
      </w:r>
    </w:p>
    <w:p>
      <w:pPr>
        <w:pStyle w:val="Heading2"/>
      </w:pPr>
      <w:r>
        <w:t>Decision and approval scope</w:t>
      </w:r>
    </w:p>
    <w:p>
      <w:pPr>
        <w:widowControl/>
      </w:pPr>
      <w:r>
        <w:t>For Visual Studio, the decision is DEFER PENDING EVIDENCE for internal-confidential or production use. A time-limited read-only pilot may proceed only with synthetic or non-sensitive development data, the verified 2.8.1 package digest, selected read-oriented domains, a dedicated least-privilege identity and per-invocation approval. Write-enabled use, unattended execution, customer-outcome decisions and broad organisation access are deferred. Residual risk is High because representative runtime and lifecycle evidence is not observed.</w:t>
      </w:r>
    </w:p>
    <w:p>
      <w:pPr>
        <w:pStyle w:val="Heading2"/>
      </w:pPr>
      <w:r>
        <w:t>Purpose and function</w:t>
      </w:r>
    </w:p>
    <w:p>
      <w:pPr>
        <w:widowControl/>
      </w:pPr>
      <w:r>
        <w:t>The Visual Studio MCP client launches @azure-devops/mcp 2.8.1 as a local Node.js STDIO server. Static inspection identifies 91 registered tools spanning projects, repositories, work items, wiki, pipelines, search, test plans and advanced security. The value is contextual engineering assistance; the risk is combined untrusted project content, model reasoning, local file access and the caller's Azure DevOps permissions.</w:t>
      </w:r>
    </w:p>
    <w:p>
      <w:pPr>
        <w:pStyle w:val="Heading2"/>
      </w:pPr>
      <w:r>
        <w:t>Architecture, trust boundaries and data flows</w:t>
      </w:r>
    </w:p>
    <w:p>
      <w:pPr>
        <w:widowControl/>
      </w:pPr>
      <w:r>
        <w:t>The principal flow is user prompt to Visual Studio, agent planning, local STDIO tool selection, Node.js process authentication, Azure DevOps REST execution and tool output returned into model context. Trust boundaries exist between workspace content and the model, the IDE and local child process, local credential sources and the process, the process and Azure DevOps, and tool output and model reasoning. Tool results remain untrusted because contributors, imports and compromised accounts can shape Azure DevOps content.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700"/>
            <w:vAlign w:val="center"/>
            <w:tcMar>
              <w:top w:w="80" w:type="dxa"/>
              <w:start w:w="120" w:type="dxa"/>
              <w:bottom w:w="80" w:type="dxa"/>
              <w:end w:w="120" w:type="dxa"/>
            </w:tcMar>
            <w:shd w:fill="17365D"/>
          </w:tcPr>
          <w:p>
            <w:pPr>
              <w:spacing w:after="20"/>
            </w:pPr>
            <w:r>
              <w:rPr>
                <w:rFonts w:ascii="Calibri" w:hAnsi="Calibri"/>
                <w:b/>
                <w:color w:val="FFFFFF"/>
                <w:sz w:val="16"/>
              </w:rPr>
              <w:t>Boundary</w:t>
            </w:r>
          </w:p>
        </w:tc>
        <w:tc>
          <w:tcPr>
            <w:tcW w:type="dxa" w:w="1900"/>
            <w:vAlign w:val="center"/>
            <w:tcMar>
              <w:top w:w="80" w:type="dxa"/>
              <w:start w:w="120" w:type="dxa"/>
              <w:bottom w:w="80" w:type="dxa"/>
              <w:end w:w="120" w:type="dxa"/>
            </w:tcMar>
            <w:shd w:fill="17365D"/>
          </w:tcPr>
          <w:p>
            <w:pPr>
              <w:spacing w:after="20"/>
            </w:pPr>
            <w:r>
              <w:rPr>
                <w:rFonts w:ascii="Calibri" w:hAnsi="Calibri"/>
                <w:b/>
                <w:color w:val="FFFFFF"/>
                <w:sz w:val="16"/>
              </w:rPr>
              <w:t>Asset</w:t>
            </w:r>
          </w:p>
        </w:tc>
        <w:tc>
          <w:tcPr>
            <w:tcW w:type="dxa" w:w="2600"/>
            <w:vAlign w:val="center"/>
            <w:tcMar>
              <w:top w:w="80" w:type="dxa"/>
              <w:start w:w="120" w:type="dxa"/>
              <w:bottom w:w="80" w:type="dxa"/>
              <w:end w:w="120" w:type="dxa"/>
            </w:tcMar>
            <w:shd w:fill="17365D"/>
          </w:tcPr>
          <w:p>
            <w:pPr>
              <w:spacing w:after="20"/>
            </w:pPr>
            <w:r>
              <w:rPr>
                <w:rFonts w:ascii="Calibri" w:hAnsi="Calibri"/>
                <w:b/>
                <w:color w:val="FFFFFF"/>
                <w:sz w:val="16"/>
              </w:rPr>
              <w:t>Threat</w:t>
            </w:r>
          </w:p>
        </w:tc>
        <w:tc>
          <w:tcPr>
            <w:tcW w:type="dxa" w:w="3160"/>
            <w:vAlign w:val="center"/>
            <w:tcMar>
              <w:top w:w="80" w:type="dxa"/>
              <w:start w:w="120" w:type="dxa"/>
              <w:bottom w:w="80" w:type="dxa"/>
              <w:end w:w="120" w:type="dxa"/>
            </w:tcMar>
            <w:shd w:fill="17365D"/>
          </w:tcPr>
          <w:p>
            <w:pPr>
              <w:spacing w:after="20"/>
            </w:pPr>
            <w:r>
              <w:rPr>
                <w:rFonts w:ascii="Calibri" w:hAnsi="Calibri"/>
                <w:b/>
                <w:color w:val="FFFFFF"/>
                <w:sz w:val="16"/>
              </w:rPr>
              <w:t>Required control</w:t>
            </w:r>
          </w:p>
        </w:tc>
      </w:tr>
      <w:tr>
        <w:trPr>
          <w:cantSplit/>
        </w:trPr>
        <w:tc>
          <w:tcPr>
            <w:tcW w:type="dxa" w:w="1700"/>
            <w:vAlign w:val="center"/>
            <w:tcMar>
              <w:top w:w="80" w:type="dxa"/>
              <w:start w:w="120" w:type="dxa"/>
              <w:bottom w:w="80" w:type="dxa"/>
              <w:end w:w="120" w:type="dxa"/>
            </w:tcMar>
            <w:shd w:fill="FFFFFF"/>
          </w:tcPr>
          <w:p>
            <w:pPr>
              <w:spacing w:after="20"/>
            </w:pPr>
            <w:r>
              <w:rPr>
                <w:rFonts w:ascii="Calibri" w:hAnsi="Calibri"/>
                <w:sz w:val="16"/>
              </w:rPr>
              <w:t>Workspace to agent</w:t>
            </w:r>
          </w:p>
        </w:tc>
        <w:tc>
          <w:tcPr>
            <w:tcW w:type="dxa" w:w="1900"/>
            <w:vAlign w:val="center"/>
            <w:tcMar>
              <w:top w:w="80" w:type="dxa"/>
              <w:start w:w="120" w:type="dxa"/>
              <w:bottom w:w="80" w:type="dxa"/>
              <w:end w:w="120" w:type="dxa"/>
            </w:tcMar>
            <w:shd w:fill="FFFFFF"/>
          </w:tcPr>
          <w:p>
            <w:pPr>
              <w:spacing w:after="20"/>
            </w:pPr>
            <w:r>
              <w:rPr>
                <w:rFonts w:ascii="Calibri" w:hAnsi="Calibri"/>
                <w:sz w:val="16"/>
              </w:rPr>
              <w:t>prompts and source</w:t>
            </w:r>
          </w:p>
        </w:tc>
        <w:tc>
          <w:tcPr>
            <w:tcW w:type="dxa" w:w="2600"/>
            <w:vAlign w:val="center"/>
            <w:tcMar>
              <w:top w:w="80" w:type="dxa"/>
              <w:start w:w="120" w:type="dxa"/>
              <w:bottom w:w="80" w:type="dxa"/>
              <w:end w:w="120" w:type="dxa"/>
            </w:tcMar>
            <w:shd w:fill="FFFFFF"/>
          </w:tcPr>
          <w:p>
            <w:pPr>
              <w:spacing w:after="20"/>
            </w:pPr>
            <w:r>
              <w:rPr>
                <w:rFonts w:ascii="Calibri" w:hAnsi="Calibri"/>
                <w:sz w:val="16"/>
              </w:rPr>
              <w:t>instruction injection</w:t>
            </w:r>
          </w:p>
        </w:tc>
        <w:tc>
          <w:tcPr>
            <w:tcW w:type="dxa" w:w="3160"/>
            <w:vAlign w:val="center"/>
            <w:tcMar>
              <w:top w:w="80" w:type="dxa"/>
              <w:start w:w="120" w:type="dxa"/>
              <w:bottom w:w="80" w:type="dxa"/>
              <w:end w:w="120" w:type="dxa"/>
            </w:tcMar>
            <w:shd w:fill="FFFFFF"/>
          </w:tcPr>
          <w:p>
            <w:pPr>
              <w:spacing w:after="20"/>
            </w:pPr>
            <w:r>
              <w:rPr>
                <w:rFonts w:ascii="Calibri" w:hAnsi="Calibri"/>
                <w:sz w:val="16"/>
              </w:rPr>
              <w:t>content provenance and approval</w:t>
            </w:r>
          </w:p>
        </w:tc>
      </w:tr>
      <w:tr>
        <w:trPr>
          <w:cantSplit/>
        </w:trPr>
        <w:tc>
          <w:tcPr>
            <w:tcW w:type="dxa" w:w="1700"/>
            <w:vAlign w:val="center"/>
            <w:tcMar>
              <w:top w:w="80" w:type="dxa"/>
              <w:start w:w="120" w:type="dxa"/>
              <w:bottom w:w="80" w:type="dxa"/>
              <w:end w:w="120" w:type="dxa"/>
            </w:tcMar>
            <w:shd w:fill="F2F4F7"/>
          </w:tcPr>
          <w:p>
            <w:pPr>
              <w:spacing w:after="20"/>
            </w:pPr>
            <w:r>
              <w:rPr>
                <w:rFonts w:ascii="Calibri" w:hAnsi="Calibri"/>
                <w:sz w:val="16"/>
              </w:rPr>
              <w:t>IDE to local MCP</w:t>
            </w:r>
          </w:p>
        </w:tc>
        <w:tc>
          <w:tcPr>
            <w:tcW w:type="dxa" w:w="1900"/>
            <w:vAlign w:val="center"/>
            <w:tcMar>
              <w:top w:w="80" w:type="dxa"/>
              <w:start w:w="120" w:type="dxa"/>
              <w:bottom w:w="80" w:type="dxa"/>
              <w:end w:w="120" w:type="dxa"/>
            </w:tcMar>
            <w:shd w:fill="F2F4F7"/>
          </w:tcPr>
          <w:p>
            <w:pPr>
              <w:spacing w:after="20"/>
            </w:pPr>
            <w:r>
              <w:rPr>
                <w:rFonts w:ascii="Calibri" w:hAnsi="Calibri"/>
                <w:sz w:val="16"/>
              </w:rPr>
              <w:t>tokens and queries</w:t>
            </w:r>
          </w:p>
        </w:tc>
        <w:tc>
          <w:tcPr>
            <w:tcW w:type="dxa" w:w="2600"/>
            <w:vAlign w:val="center"/>
            <w:tcMar>
              <w:top w:w="80" w:type="dxa"/>
              <w:start w:w="120" w:type="dxa"/>
              <w:bottom w:w="80" w:type="dxa"/>
              <w:end w:w="120" w:type="dxa"/>
            </w:tcMar>
            <w:shd w:fill="F2F4F7"/>
          </w:tcPr>
          <w:p>
            <w:pPr>
              <w:spacing w:after="20"/>
            </w:pPr>
            <w:r>
              <w:rPr>
                <w:rFonts w:ascii="Calibri" w:hAnsi="Calibri"/>
                <w:sz w:val="16"/>
              </w:rPr>
              <w:t>disclosure or process misuse</w:t>
            </w:r>
          </w:p>
        </w:tc>
        <w:tc>
          <w:tcPr>
            <w:tcW w:type="dxa" w:w="3160"/>
            <w:vAlign w:val="center"/>
            <w:tcMar>
              <w:top w:w="80" w:type="dxa"/>
              <w:start w:w="120" w:type="dxa"/>
              <w:bottom w:w="80" w:type="dxa"/>
              <w:end w:w="120" w:type="dxa"/>
            </w:tcMar>
            <w:shd w:fill="F2F4F7"/>
          </w:tcPr>
          <w:p>
            <w:pPr>
              <w:spacing w:after="20"/>
            </w:pPr>
            <w:r>
              <w:rPr>
                <w:rFonts w:ascii="Calibri" w:hAnsi="Calibri"/>
                <w:sz w:val="16"/>
              </w:rPr>
              <w:t>STDIO isolation and least privilege</w:t>
            </w:r>
          </w:p>
        </w:tc>
      </w:tr>
      <w:tr>
        <w:trPr>
          <w:cantSplit/>
        </w:trPr>
        <w:tc>
          <w:tcPr>
            <w:tcW w:type="dxa" w:w="1700"/>
            <w:vAlign w:val="center"/>
            <w:tcMar>
              <w:top w:w="80" w:type="dxa"/>
              <w:start w:w="120" w:type="dxa"/>
              <w:bottom w:w="80" w:type="dxa"/>
              <w:end w:w="120" w:type="dxa"/>
            </w:tcMar>
            <w:shd w:fill="FFFFFF"/>
          </w:tcPr>
          <w:p>
            <w:pPr>
              <w:spacing w:after="20"/>
            </w:pPr>
            <w:r>
              <w:rPr>
                <w:rFonts w:ascii="Calibri" w:hAnsi="Calibri"/>
                <w:sz w:val="16"/>
              </w:rPr>
              <w:t>MCP to Azure DevOps</w:t>
            </w:r>
          </w:p>
        </w:tc>
        <w:tc>
          <w:tcPr>
            <w:tcW w:type="dxa" w:w="1900"/>
            <w:vAlign w:val="center"/>
            <w:tcMar>
              <w:top w:w="80" w:type="dxa"/>
              <w:start w:w="120" w:type="dxa"/>
              <w:bottom w:w="80" w:type="dxa"/>
              <w:end w:w="120" w:type="dxa"/>
            </w:tcMar>
            <w:shd w:fill="FFFFFF"/>
          </w:tcPr>
          <w:p>
            <w:pPr>
              <w:spacing w:after="20"/>
            </w:pPr>
            <w:r>
              <w:rPr>
                <w:rFonts w:ascii="Calibri" w:hAnsi="Calibri"/>
                <w:sz w:val="16"/>
              </w:rPr>
              <w:t>projects and pipelines</w:t>
            </w:r>
          </w:p>
        </w:tc>
        <w:tc>
          <w:tcPr>
            <w:tcW w:type="dxa" w:w="2600"/>
            <w:vAlign w:val="center"/>
            <w:tcMar>
              <w:top w:w="80" w:type="dxa"/>
              <w:start w:w="120" w:type="dxa"/>
              <w:bottom w:w="80" w:type="dxa"/>
              <w:end w:w="120" w:type="dxa"/>
            </w:tcMar>
            <w:shd w:fill="FFFFFF"/>
          </w:tcPr>
          <w:p>
            <w:pPr>
              <w:spacing w:after="20"/>
            </w:pPr>
            <w:r>
              <w:rPr>
                <w:rFonts w:ascii="Calibri" w:hAnsi="Calibri"/>
                <w:sz w:val="16"/>
              </w:rPr>
              <w:t>excessive action</w:t>
            </w:r>
          </w:p>
        </w:tc>
        <w:tc>
          <w:tcPr>
            <w:tcW w:type="dxa" w:w="3160"/>
            <w:vAlign w:val="center"/>
            <w:tcMar>
              <w:top w:w="80" w:type="dxa"/>
              <w:start w:w="120" w:type="dxa"/>
              <w:bottom w:w="80" w:type="dxa"/>
              <w:end w:w="120" w:type="dxa"/>
            </w:tcMar>
            <w:shd w:fill="FFFFFF"/>
          </w:tcPr>
          <w:p>
            <w:pPr>
              <w:spacing w:after="20"/>
            </w:pPr>
            <w:r>
              <w:rPr>
                <w:rFonts w:ascii="Calibri" w:hAnsi="Calibri"/>
                <w:sz w:val="16"/>
              </w:rPr>
              <w:t>read-only and exact tool allowlist</w:t>
            </w:r>
          </w:p>
        </w:tc>
      </w:tr>
      <w:tr>
        <w:trPr>
          <w:cantSplit/>
        </w:trPr>
        <w:tc>
          <w:tcPr>
            <w:tcW w:type="dxa" w:w="1700"/>
            <w:vAlign w:val="center"/>
            <w:tcMar>
              <w:top w:w="80" w:type="dxa"/>
              <w:start w:w="120" w:type="dxa"/>
              <w:bottom w:w="80" w:type="dxa"/>
              <w:end w:w="120" w:type="dxa"/>
            </w:tcMar>
            <w:shd w:fill="F2F4F7"/>
          </w:tcPr>
          <w:p>
            <w:pPr>
              <w:spacing w:after="20"/>
            </w:pPr>
            <w:r>
              <w:rPr>
                <w:rFonts w:ascii="Calibri" w:hAnsi="Calibri"/>
                <w:sz w:val="16"/>
              </w:rPr>
              <w:t>Output to model</w:t>
            </w:r>
          </w:p>
        </w:tc>
        <w:tc>
          <w:tcPr>
            <w:tcW w:type="dxa" w:w="1900"/>
            <w:vAlign w:val="center"/>
            <w:tcMar>
              <w:top w:w="80" w:type="dxa"/>
              <w:start w:w="120" w:type="dxa"/>
              <w:bottom w:w="80" w:type="dxa"/>
              <w:end w:w="120" w:type="dxa"/>
            </w:tcMar>
            <w:shd w:fill="F2F4F7"/>
          </w:tcPr>
          <w:p>
            <w:pPr>
              <w:spacing w:after="20"/>
            </w:pPr>
            <w:r>
              <w:rPr>
                <w:rFonts w:ascii="Calibri" w:hAnsi="Calibri"/>
                <w:sz w:val="16"/>
              </w:rPr>
              <w:t>work items and files</w:t>
            </w:r>
          </w:p>
        </w:tc>
        <w:tc>
          <w:tcPr>
            <w:tcW w:type="dxa" w:w="2600"/>
            <w:vAlign w:val="center"/>
            <w:tcMar>
              <w:top w:w="80" w:type="dxa"/>
              <w:start w:w="120" w:type="dxa"/>
              <w:bottom w:w="80" w:type="dxa"/>
              <w:end w:w="120" w:type="dxa"/>
            </w:tcMar>
            <w:shd w:fill="F2F4F7"/>
          </w:tcPr>
          <w:p>
            <w:pPr>
              <w:spacing w:after="20"/>
            </w:pPr>
            <w:r>
              <w:rPr>
                <w:rFonts w:ascii="Calibri" w:hAnsi="Calibri"/>
                <w:sz w:val="16"/>
              </w:rPr>
              <w:t>indirect prompt injection</w:t>
            </w:r>
          </w:p>
        </w:tc>
        <w:tc>
          <w:tcPr>
            <w:tcW w:type="dxa" w:w="3160"/>
            <w:vAlign w:val="center"/>
            <w:tcMar>
              <w:top w:w="80" w:type="dxa"/>
              <w:start w:w="120" w:type="dxa"/>
              <w:bottom w:w="80" w:type="dxa"/>
              <w:end w:w="120" w:type="dxa"/>
            </w:tcMar>
            <w:shd w:fill="F2F4F7"/>
          </w:tcPr>
          <w:p>
            <w:pPr>
              <w:spacing w:after="20"/>
            </w:pPr>
            <w:r>
              <w:rPr>
                <w:rFonts w:ascii="Calibri" w:hAnsi="Calibri"/>
                <w:sz w:val="16"/>
              </w:rPr>
              <w:t>treat all output as untrusted</w:t>
            </w:r>
          </w:p>
        </w:tc>
      </w:tr>
    </w:tbl>
    <w:p/>
    <w:p>
      <w:pPr>
        <w:pStyle w:val="Heading2"/>
      </w:pPr>
      <w:r>
        <w:t>Installation manifest and uninstall</w:t>
      </w:r>
    </w:p>
    <w:p>
      <w:pPr>
        <w:widowControl/>
      </w:pPr>
      <w:r>
        <w:t>The installation surface is the Visual Studio MCP configuration, Node.js runtime, npm package or cache, local JavaScript files, authentication state, child process, client approvals and logs. Installation must use verified package bytes and must not resolve a mutable latest tag at startup. Uninstall means removing configuration, package/cache, approvals, credentials and logs, then checking for shadow workspace or user configuration. These lifecycle claims require host verification.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1900"/>
            <w:vAlign w:val="center"/>
            <w:tcMar>
              <w:top w:w="80" w:type="dxa"/>
              <w:start w:w="120" w:type="dxa"/>
              <w:bottom w:w="80" w:type="dxa"/>
              <w:end w:w="120" w:type="dxa"/>
            </w:tcMar>
            <w:shd w:fill="17365D"/>
          </w:tcPr>
          <w:p>
            <w:pPr>
              <w:spacing w:after="20"/>
            </w:pPr>
            <w:r>
              <w:rPr>
                <w:rFonts w:ascii="Calibri" w:hAnsi="Calibri"/>
                <w:b/>
                <w:color w:val="FFFFFF"/>
                <w:sz w:val="16"/>
              </w:rPr>
              <w:t>Item</w:t>
            </w:r>
          </w:p>
        </w:tc>
        <w:tc>
          <w:tcPr>
            <w:tcW w:type="dxa" w:w="4200"/>
            <w:vAlign w:val="center"/>
            <w:tcMar>
              <w:top w:w="80" w:type="dxa"/>
              <w:start w:w="120" w:type="dxa"/>
              <w:bottom w:w="80" w:type="dxa"/>
              <w:end w:w="120" w:type="dxa"/>
            </w:tcMar>
            <w:shd w:fill="17365D"/>
          </w:tcPr>
          <w:p>
            <w:pPr>
              <w:spacing w:after="20"/>
            </w:pPr>
            <w:r>
              <w:rPr>
                <w:rFonts w:ascii="Calibri" w:hAnsi="Calibri"/>
                <w:b/>
                <w:color w:val="FFFFFF"/>
                <w:sz w:val="16"/>
              </w:rPr>
              <w:t>Expected state</w:t>
            </w:r>
          </w:p>
        </w:tc>
        <w:tc>
          <w:tcPr>
            <w:tcW w:type="dxa" w:w="3260"/>
            <w:vAlign w:val="center"/>
            <w:tcMar>
              <w:top w:w="80" w:type="dxa"/>
              <w:start w:w="120" w:type="dxa"/>
              <w:bottom w:w="80" w:type="dxa"/>
              <w:end w:w="120" w:type="dxa"/>
            </w:tcMar>
            <w:shd w:fill="17365D"/>
          </w:tcPr>
          <w:p>
            <w:pPr>
              <w:spacing w:after="20"/>
            </w:pPr>
            <w:r>
              <w:rPr>
                <w:rFonts w:ascii="Calibri" w:hAnsi="Calibri"/>
                <w:b/>
                <w:color w:val="FFFFFF"/>
                <w:sz w:val="16"/>
              </w:rPr>
              <w:t>Evidence state</w:t>
            </w:r>
          </w:p>
        </w:tc>
      </w:tr>
      <w:tr>
        <w:trPr>
          <w:cantSplit/>
        </w:trPr>
        <w:tc>
          <w:tcPr>
            <w:tcW w:type="dxa" w:w="1900"/>
            <w:vAlign w:val="center"/>
            <w:tcMar>
              <w:top w:w="80" w:type="dxa"/>
              <w:start w:w="120" w:type="dxa"/>
              <w:bottom w:w="80" w:type="dxa"/>
              <w:end w:w="120" w:type="dxa"/>
            </w:tcMar>
            <w:shd w:fill="FFFFFF"/>
          </w:tcPr>
          <w:p>
            <w:pPr>
              <w:spacing w:after="20"/>
            </w:pPr>
            <w:r>
              <w:rPr>
                <w:rFonts w:ascii="Calibri" w:hAnsi="Calibri"/>
                <w:sz w:val="16"/>
              </w:rPr>
              <w:t>Package</w:t>
            </w:r>
          </w:p>
        </w:tc>
        <w:tc>
          <w:tcPr>
            <w:tcW w:type="dxa" w:w="4200"/>
            <w:vAlign w:val="center"/>
            <w:tcMar>
              <w:top w:w="80" w:type="dxa"/>
              <w:start w:w="120" w:type="dxa"/>
              <w:bottom w:w="80" w:type="dxa"/>
              <w:end w:w="120" w:type="dxa"/>
            </w:tcMar>
            <w:shd w:fill="FFFFFF"/>
          </w:tcPr>
          <w:p>
            <w:pPr>
              <w:spacing w:after="20"/>
            </w:pPr>
            <w:r>
              <w:rPr>
                <w:rFonts w:ascii="Calibri" w:hAnsi="Calibri"/>
                <w:sz w:val="16"/>
              </w:rPr>
              <w:t>@azure-devops/mcp 2.8.1; SHA-256 c7790b...3c93f19</w:t>
            </w:r>
          </w:p>
        </w:tc>
        <w:tc>
          <w:tcPr>
            <w:tcW w:type="dxa" w:w="3260"/>
            <w:vAlign w:val="center"/>
            <w:tcMar>
              <w:top w:w="80" w:type="dxa"/>
              <w:start w:w="120" w:type="dxa"/>
              <w:bottom w:w="80" w:type="dxa"/>
              <w:end w:w="120" w:type="dxa"/>
            </w:tcMar>
            <w:shd w:fill="FFFFFF"/>
          </w:tcPr>
          <w:p>
            <w:pPr>
              <w:spacing w:after="20"/>
            </w:pPr>
            <w:r>
              <w:rPr>
                <w:rFonts w:ascii="Calibri" w:hAnsi="Calibri"/>
                <w:sz w:val="16"/>
              </w:rPr>
              <w:t>Verified registry bytes</w:t>
            </w:r>
          </w:p>
        </w:tc>
      </w:tr>
      <w:tr>
        <w:trPr>
          <w:cantSplit/>
        </w:trPr>
        <w:tc>
          <w:tcPr>
            <w:tcW w:type="dxa" w:w="1900"/>
            <w:vAlign w:val="center"/>
            <w:tcMar>
              <w:top w:w="80" w:type="dxa"/>
              <w:start w:w="120" w:type="dxa"/>
              <w:bottom w:w="80" w:type="dxa"/>
              <w:end w:w="120" w:type="dxa"/>
            </w:tcMar>
            <w:shd w:fill="F2F4F7"/>
          </w:tcPr>
          <w:p>
            <w:pPr>
              <w:spacing w:after="20"/>
            </w:pPr>
            <w:r>
              <w:rPr>
                <w:rFonts w:ascii="Calibri" w:hAnsi="Calibri"/>
                <w:sz w:val="16"/>
              </w:rPr>
              <w:t>Transport</w:t>
            </w:r>
          </w:p>
        </w:tc>
        <w:tc>
          <w:tcPr>
            <w:tcW w:type="dxa" w:w="4200"/>
            <w:vAlign w:val="center"/>
            <w:tcMar>
              <w:top w:w="80" w:type="dxa"/>
              <w:start w:w="120" w:type="dxa"/>
              <w:bottom w:w="80" w:type="dxa"/>
              <w:end w:w="120" w:type="dxa"/>
            </w:tcMar>
            <w:shd w:fill="F2F4F7"/>
          </w:tcPr>
          <w:p>
            <w:pPr>
              <w:spacing w:after="20"/>
            </w:pPr>
            <w:r>
              <w:rPr>
                <w:rFonts w:ascii="Calibri" w:hAnsi="Calibri"/>
                <w:sz w:val="16"/>
              </w:rPr>
              <w:t>Local STDIO child process</w:t>
            </w:r>
          </w:p>
        </w:tc>
        <w:tc>
          <w:tcPr>
            <w:tcW w:type="dxa" w:w="3260"/>
            <w:vAlign w:val="center"/>
            <w:tcMar>
              <w:top w:w="80" w:type="dxa"/>
              <w:start w:w="120" w:type="dxa"/>
              <w:bottom w:w="80" w:type="dxa"/>
              <w:end w:w="120" w:type="dxa"/>
            </w:tcMar>
            <w:shd w:fill="F2F4F7"/>
          </w:tcPr>
          <w:p>
            <w:pPr>
              <w:spacing w:after="20"/>
            </w:pPr>
            <w:r>
              <w:rPr>
                <w:rFonts w:ascii="Calibri" w:hAnsi="Calibri"/>
                <w:sz w:val="16"/>
              </w:rPr>
              <w:t>Verified source and package</w:t>
            </w:r>
          </w:p>
        </w:tc>
      </w:tr>
      <w:tr>
        <w:trPr>
          <w:cantSplit/>
        </w:trPr>
        <w:tc>
          <w:tcPr>
            <w:tcW w:type="dxa" w:w="1900"/>
            <w:vAlign w:val="center"/>
            <w:tcMar>
              <w:top w:w="80" w:type="dxa"/>
              <w:start w:w="120" w:type="dxa"/>
              <w:bottom w:w="80" w:type="dxa"/>
              <w:end w:w="120" w:type="dxa"/>
            </w:tcMar>
            <w:shd w:fill="FFFFFF"/>
          </w:tcPr>
          <w:p>
            <w:pPr>
              <w:spacing w:after="20"/>
            </w:pPr>
            <w:r>
              <w:rPr>
                <w:rFonts w:ascii="Calibri" w:hAnsi="Calibri"/>
                <w:sz w:val="16"/>
              </w:rPr>
              <w:t>Authentication</w:t>
            </w:r>
          </w:p>
        </w:tc>
        <w:tc>
          <w:tcPr>
            <w:tcW w:type="dxa" w:w="4200"/>
            <w:vAlign w:val="center"/>
            <w:tcMar>
              <w:top w:w="80" w:type="dxa"/>
              <w:start w:w="120" w:type="dxa"/>
              <w:bottom w:w="80" w:type="dxa"/>
              <w:end w:w="120" w:type="dxa"/>
            </w:tcMar>
            <w:shd w:fill="FFFFFF"/>
          </w:tcPr>
          <w:p>
            <w:pPr>
              <w:spacing w:after="20"/>
            </w:pPr>
            <w:r>
              <w:rPr>
                <w:rFonts w:ascii="Calibri" w:hAnsi="Calibri"/>
                <w:sz w:val="16"/>
              </w:rPr>
              <w:t>interactive, Azure CLI, environment token or PAT modes</w:t>
            </w:r>
          </w:p>
        </w:tc>
        <w:tc>
          <w:tcPr>
            <w:tcW w:type="dxa" w:w="3260"/>
            <w:vAlign w:val="center"/>
            <w:tcMar>
              <w:top w:w="80" w:type="dxa"/>
              <w:start w:w="120" w:type="dxa"/>
              <w:bottom w:w="80" w:type="dxa"/>
              <w:end w:w="120" w:type="dxa"/>
            </w:tcMar>
            <w:shd w:fill="FFFFFF"/>
          </w:tcPr>
          <w:p>
            <w:pPr>
              <w:spacing w:after="20"/>
            </w:pPr>
            <w:r>
              <w:rPr>
                <w:rFonts w:ascii="Calibri" w:hAnsi="Calibri"/>
                <w:sz w:val="16"/>
              </w:rPr>
              <w:t>Verified source</w:t>
            </w:r>
          </w:p>
        </w:tc>
      </w:tr>
      <w:tr>
        <w:trPr>
          <w:cantSplit/>
        </w:trPr>
        <w:tc>
          <w:tcPr>
            <w:tcW w:type="dxa" w:w="1900"/>
            <w:vAlign w:val="center"/>
            <w:tcMar>
              <w:top w:w="80" w:type="dxa"/>
              <w:start w:w="120" w:type="dxa"/>
              <w:bottom w:w="80" w:type="dxa"/>
              <w:end w:w="120" w:type="dxa"/>
            </w:tcMar>
            <w:shd w:fill="F2F4F7"/>
          </w:tcPr>
          <w:p>
            <w:pPr>
              <w:spacing w:after="20"/>
            </w:pPr>
            <w:r>
              <w:rPr>
                <w:rFonts w:ascii="Calibri" w:hAnsi="Calibri"/>
                <w:sz w:val="16"/>
              </w:rPr>
              <w:t>Tool scope</w:t>
            </w:r>
          </w:p>
        </w:tc>
        <w:tc>
          <w:tcPr>
            <w:tcW w:type="dxa" w:w="4200"/>
            <w:vAlign w:val="center"/>
            <w:tcMar>
              <w:top w:w="80" w:type="dxa"/>
              <w:start w:w="120" w:type="dxa"/>
              <w:bottom w:w="80" w:type="dxa"/>
              <w:end w:w="120" w:type="dxa"/>
            </w:tcMar>
            <w:shd w:fill="F2F4F7"/>
          </w:tcPr>
          <w:p>
            <w:pPr>
              <w:spacing w:after="20"/>
            </w:pPr>
            <w:r>
              <w:rPr>
                <w:rFonts w:ascii="Calibri" w:hAnsi="Calibri"/>
                <w:sz w:val="16"/>
              </w:rPr>
              <w:t>Nine default domains; 91 registered tools</w:t>
            </w:r>
          </w:p>
        </w:tc>
        <w:tc>
          <w:tcPr>
            <w:tcW w:type="dxa" w:w="3260"/>
            <w:vAlign w:val="center"/>
            <w:tcMar>
              <w:top w:w="80" w:type="dxa"/>
              <w:start w:w="120" w:type="dxa"/>
              <w:bottom w:w="80" w:type="dxa"/>
              <w:end w:w="120" w:type="dxa"/>
            </w:tcMar>
            <w:shd w:fill="F2F4F7"/>
          </w:tcPr>
          <w:p>
            <w:pPr>
              <w:spacing w:after="20"/>
            </w:pPr>
            <w:r>
              <w:rPr>
                <w:rFonts w:ascii="Calibri" w:hAnsi="Calibri"/>
                <w:sz w:val="16"/>
              </w:rPr>
              <w:t>Verified static count</w:t>
            </w:r>
          </w:p>
        </w:tc>
      </w:tr>
      <w:tr>
        <w:trPr>
          <w:cantSplit/>
        </w:trPr>
        <w:tc>
          <w:tcPr>
            <w:tcW w:type="dxa" w:w="1900"/>
            <w:vAlign w:val="center"/>
            <w:tcMar>
              <w:top w:w="80" w:type="dxa"/>
              <w:start w:w="120" w:type="dxa"/>
              <w:bottom w:w="80" w:type="dxa"/>
              <w:end w:w="120" w:type="dxa"/>
            </w:tcMar>
            <w:shd w:fill="FFFFFF"/>
          </w:tcPr>
          <w:p>
            <w:pPr>
              <w:spacing w:after="20"/>
            </w:pPr>
            <w:r>
              <w:rPr>
                <w:rFonts w:ascii="Calibri" w:hAnsi="Calibri"/>
                <w:sz w:val="16"/>
              </w:rPr>
              <w:t>Local residue</w:t>
            </w:r>
          </w:p>
        </w:tc>
        <w:tc>
          <w:tcPr>
            <w:tcW w:type="dxa" w:w="4200"/>
            <w:vAlign w:val="center"/>
            <w:tcMar>
              <w:top w:w="80" w:type="dxa"/>
              <w:start w:w="120" w:type="dxa"/>
              <w:bottom w:w="80" w:type="dxa"/>
              <w:end w:w="120" w:type="dxa"/>
            </w:tcMar>
            <w:shd w:fill="FFFFFF"/>
          </w:tcPr>
          <w:p>
            <w:pPr>
              <w:spacing w:after="20"/>
            </w:pPr>
            <w:r>
              <w:rPr>
                <w:rFonts w:ascii="Calibri" w:hAnsi="Calibri"/>
                <w:sz w:val="16"/>
              </w:rPr>
              <w:t>Configuration, package/cache, approvals, token and log state</w:t>
            </w:r>
          </w:p>
        </w:tc>
        <w:tc>
          <w:tcPr>
            <w:tcW w:type="dxa" w:w="3260"/>
            <w:vAlign w:val="center"/>
            <w:tcMar>
              <w:top w:w="80" w:type="dxa"/>
              <w:start w:w="120" w:type="dxa"/>
              <w:bottom w:w="80" w:type="dxa"/>
              <w:end w:w="120" w:type="dxa"/>
            </w:tcMar>
            <w:shd w:fill="FFFFFF"/>
          </w:tcPr>
          <w:p>
            <w:pPr>
              <w:spacing w:after="20"/>
            </w:pPr>
            <w:r>
              <w:rPr>
                <w:rFonts w:ascii="Calibri" w:hAnsi="Calibri"/>
                <w:sz w:val="16"/>
              </w:rPr>
              <w:t>Unknown until runtime</w:t>
            </w:r>
          </w:p>
        </w:tc>
      </w:tr>
    </w:tbl>
    <w:p/>
    <w:p>
      <w:pPr>
        <w:pStyle w:val="Heading2"/>
      </w:pPr>
      <w:r>
        <w:t>Runtime, activation and network</w:t>
      </w:r>
    </w:p>
    <w:p>
      <w:pPr>
        <w:widowControl/>
      </w:pPr>
      <w:r>
        <w:t>Dynamic analysis was selected but blocked. There is no disposable representative Windows 11 Visual Studio host with a clean IDE profile, synthetic Azure DevOps tenant, controlled identity, process and network capture, and rollback. The current macOS host is not an approved disposable VS Code environment and cannot represent Visual Studio. Installation, activation, child processes, credential storage, REST destinations, proxy behavior, failures, updates and uninstall residue remain Unknown or Not observed. Package code was not executed.</w:t>
      </w:r>
    </w:p>
    <w:p>
      <w:pPr>
        <w:pStyle w:val="Heading2"/>
      </w:pPr>
      <w:r>
        <w:t>Authentication, authorization and excessive agency</w:t>
      </w:r>
    </w:p>
    <w:p>
      <w:pPr>
        <w:widowControl/>
      </w:pPr>
      <w:r>
        <w:t>The server uses the authenticated Azure DevOps identity's permissions. Interactive and Azure CLI modes reduce stored-secret handling compared with PAT or environment-token modes, but all can be excessive for agent operation. A normal engineer may create branches, modify work items, queue pipelines or read broad projects. The pilot must use a dedicated least-privilege identity, enable only required read-oriented domains and deny material actions by default. Persistent auto-approval is prohibited.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800"/>
            <w:vAlign w:val="center"/>
            <w:tcMar>
              <w:top w:w="80" w:type="dxa"/>
              <w:start w:w="120" w:type="dxa"/>
              <w:bottom w:w="80" w:type="dxa"/>
              <w:end w:w="120" w:type="dxa"/>
            </w:tcMar>
            <w:shd w:fill="17365D"/>
          </w:tcPr>
          <w:p>
            <w:pPr>
              <w:spacing w:after="20"/>
            </w:pPr>
            <w:r>
              <w:rPr>
                <w:rFonts w:ascii="Calibri" w:hAnsi="Calibri"/>
                <w:b/>
                <w:color w:val="FFFFFF"/>
                <w:sz w:val="16"/>
              </w:rPr>
              <w:t>Control</w:t>
            </w:r>
          </w:p>
        </w:tc>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Strength</w:t>
            </w:r>
          </w:p>
        </w:tc>
        <w:tc>
          <w:tcPr>
            <w:tcW w:type="dxa" w:w="2700"/>
            <w:vAlign w:val="center"/>
            <w:tcMar>
              <w:top w:w="80" w:type="dxa"/>
              <w:start w:w="120" w:type="dxa"/>
              <w:bottom w:w="80" w:type="dxa"/>
              <w:end w:w="120" w:type="dxa"/>
            </w:tcMar>
            <w:shd w:fill="17365D"/>
          </w:tcPr>
          <w:p>
            <w:pPr>
              <w:spacing w:after="20"/>
            </w:pPr>
            <w:r>
              <w:rPr>
                <w:rFonts w:ascii="Calibri" w:hAnsi="Calibri"/>
                <w:b/>
                <w:color w:val="FFFFFF"/>
                <w:sz w:val="16"/>
              </w:rPr>
              <w:t>Status</w:t>
            </w:r>
          </w:p>
        </w:tc>
        <w:tc>
          <w:tcPr>
            <w:tcW w:type="dxa" w:w="3360"/>
            <w:vAlign w:val="center"/>
            <w:tcMar>
              <w:top w:w="80" w:type="dxa"/>
              <w:start w:w="120" w:type="dxa"/>
              <w:bottom w:w="80" w:type="dxa"/>
              <w:end w:w="120" w:type="dxa"/>
            </w:tcMar>
            <w:shd w:fill="17365D"/>
          </w:tcPr>
          <w:p>
            <w:pPr>
              <w:spacing w:after="20"/>
            </w:pPr>
            <w:r>
              <w:rPr>
                <w:rFonts w:ascii="Calibri" w:hAnsi="Calibri"/>
                <w:b/>
                <w:color w:val="FFFFFF"/>
                <w:sz w:val="16"/>
              </w:rPr>
              <w:t>Verification test</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Entra OAuth</w:t>
            </w:r>
          </w:p>
        </w:tc>
        <w:tc>
          <w:tcPr>
            <w:tcW w:type="dxa" w:w="1500"/>
            <w:vAlign w:val="center"/>
            <w:tcMar>
              <w:top w:w="80" w:type="dxa"/>
              <w:start w:w="120" w:type="dxa"/>
              <w:bottom w:w="80" w:type="dxa"/>
              <w:end w:w="120" w:type="dxa"/>
            </w:tcMar>
            <w:shd w:fill="FFFFFF"/>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FFFFF"/>
          </w:tcPr>
          <w:p>
            <w:pPr>
              <w:spacing w:after="20"/>
            </w:pPr>
            <w:r>
              <w:rPr>
                <w:rFonts w:ascii="Calibri" w:hAnsi="Calibri"/>
                <w:sz w:val="16"/>
              </w:rPr>
              <w:t>Documented</w:t>
            </w:r>
          </w:p>
        </w:tc>
        <w:tc>
          <w:tcPr>
            <w:tcW w:type="dxa" w:w="3360"/>
            <w:vAlign w:val="center"/>
            <w:tcMar>
              <w:top w:w="80" w:type="dxa"/>
              <w:start w:w="120" w:type="dxa"/>
              <w:bottom w:w="80" w:type="dxa"/>
              <w:end w:w="120" w:type="dxa"/>
            </w:tcMar>
            <w:shd w:fill="FFFFFF"/>
          </w:tcPr>
          <w:p>
            <w:pPr>
              <w:spacing w:after="20"/>
            </w:pPr>
            <w:r>
              <w:rPr>
                <w:rFonts w:ascii="Calibri" w:hAnsi="Calibri"/>
                <w:sz w:val="16"/>
              </w:rPr>
              <w:t>Revocation and Conditional Access test</w:t>
            </w:r>
          </w:p>
        </w:tc>
      </w:tr>
      <w:tr>
        <w:trPr>
          <w:cantSplit/>
        </w:trPr>
        <w:tc>
          <w:tcPr>
            <w:tcW w:type="dxa" w:w="1800"/>
            <w:vAlign w:val="center"/>
            <w:tcMar>
              <w:top w:w="80" w:type="dxa"/>
              <w:start w:w="120" w:type="dxa"/>
              <w:bottom w:w="80" w:type="dxa"/>
              <w:end w:w="120" w:type="dxa"/>
            </w:tcMar>
            <w:shd w:fill="F2F4F7"/>
          </w:tcPr>
          <w:p>
            <w:pPr>
              <w:spacing w:after="20"/>
            </w:pPr>
            <w:r>
              <w:rPr>
                <w:rFonts w:ascii="Calibri" w:hAnsi="Calibri"/>
                <w:sz w:val="16"/>
              </w:rPr>
              <w:t>Azure DevOps permissions</w:t>
            </w:r>
          </w:p>
        </w:tc>
        <w:tc>
          <w:tcPr>
            <w:tcW w:type="dxa" w:w="1500"/>
            <w:vAlign w:val="center"/>
            <w:tcMar>
              <w:top w:w="80" w:type="dxa"/>
              <w:start w:w="120" w:type="dxa"/>
              <w:bottom w:w="80" w:type="dxa"/>
              <w:end w:w="120" w:type="dxa"/>
            </w:tcMar>
            <w:shd w:fill="F2F4F7"/>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2F4F7"/>
          </w:tcPr>
          <w:p>
            <w:pPr>
              <w:spacing w:after="20"/>
            </w:pPr>
            <w:r>
              <w:rPr>
                <w:rFonts w:ascii="Calibri" w:hAnsi="Calibri"/>
                <w:sz w:val="16"/>
              </w:rPr>
              <w:t>Environment unknown</w:t>
            </w:r>
          </w:p>
        </w:tc>
        <w:tc>
          <w:tcPr>
            <w:tcW w:type="dxa" w:w="3360"/>
            <w:vAlign w:val="center"/>
            <w:tcMar>
              <w:top w:w="80" w:type="dxa"/>
              <w:start w:w="120" w:type="dxa"/>
              <w:bottom w:w="80" w:type="dxa"/>
              <w:end w:w="120" w:type="dxa"/>
            </w:tcMar>
            <w:shd w:fill="F2F4F7"/>
          </w:tcPr>
          <w:p>
            <w:pPr>
              <w:spacing w:after="20"/>
            </w:pPr>
            <w:r>
              <w:rPr>
                <w:rFonts w:ascii="Calibri" w:hAnsi="Calibri"/>
                <w:sz w:val="16"/>
              </w:rPr>
              <w:t>Enumerate effective permissions</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Domain restriction</w:t>
            </w:r>
          </w:p>
        </w:tc>
        <w:tc>
          <w:tcPr>
            <w:tcW w:type="dxa" w:w="1500"/>
            <w:vAlign w:val="center"/>
            <w:tcMar>
              <w:top w:w="80" w:type="dxa"/>
              <w:start w:w="120" w:type="dxa"/>
              <w:bottom w:w="80" w:type="dxa"/>
              <w:end w:w="120" w:type="dxa"/>
            </w:tcMar>
            <w:shd w:fill="FFFFFF"/>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FFFFF"/>
          </w:tcPr>
          <w:p>
            <w:pPr>
              <w:spacing w:after="20"/>
            </w:pPr>
            <w:r>
              <w:rPr>
                <w:rFonts w:ascii="Calibri" w:hAnsi="Calibri"/>
                <w:sz w:val="16"/>
              </w:rPr>
              <w:t>Source-verified; not runtime verified</w:t>
            </w:r>
          </w:p>
        </w:tc>
        <w:tc>
          <w:tcPr>
            <w:tcW w:type="dxa" w:w="3360"/>
            <w:vAlign w:val="center"/>
            <w:tcMar>
              <w:top w:w="80" w:type="dxa"/>
              <w:start w:w="120" w:type="dxa"/>
              <w:bottom w:w="80" w:type="dxa"/>
              <w:end w:w="120" w:type="dxa"/>
            </w:tcMar>
            <w:shd w:fill="FFFFFF"/>
          </w:tcPr>
          <w:p>
            <w:pPr>
              <w:spacing w:after="20"/>
            </w:pPr>
            <w:r>
              <w:rPr>
                <w:rFonts w:ascii="Calibri" w:hAnsi="Calibri"/>
                <w:sz w:val="16"/>
              </w:rPr>
              <w:t>Attempt disabled domain calls</w:t>
            </w:r>
          </w:p>
        </w:tc>
      </w:tr>
      <w:tr>
        <w:trPr>
          <w:cantSplit/>
        </w:trPr>
        <w:tc>
          <w:tcPr>
            <w:tcW w:type="dxa" w:w="1800"/>
            <w:vAlign w:val="center"/>
            <w:tcMar>
              <w:top w:w="80" w:type="dxa"/>
              <w:start w:w="120" w:type="dxa"/>
              <w:bottom w:w="80" w:type="dxa"/>
              <w:end w:w="120" w:type="dxa"/>
            </w:tcMar>
            <w:shd w:fill="F2F4F7"/>
          </w:tcPr>
          <w:p>
            <w:pPr>
              <w:spacing w:after="20"/>
            </w:pPr>
            <w:r>
              <w:rPr>
                <w:rFonts w:ascii="Calibri" w:hAnsi="Calibri"/>
                <w:sz w:val="16"/>
              </w:rPr>
              <w:t>Exact client tool allowlist</w:t>
            </w:r>
          </w:p>
        </w:tc>
        <w:tc>
          <w:tcPr>
            <w:tcW w:type="dxa" w:w="1500"/>
            <w:vAlign w:val="center"/>
            <w:tcMar>
              <w:top w:w="80" w:type="dxa"/>
              <w:start w:w="120" w:type="dxa"/>
              <w:bottom w:w="80" w:type="dxa"/>
              <w:end w:w="120" w:type="dxa"/>
            </w:tcMar>
            <w:shd w:fill="F2F4F7"/>
          </w:tcPr>
          <w:p>
            <w:pPr>
              <w:spacing w:after="20"/>
            </w:pPr>
            <w:r>
              <w:rPr>
                <w:rFonts w:ascii="Calibri" w:hAnsi="Calibri"/>
                <w:sz w:val="16"/>
              </w:rPr>
              <w:t>Preventive</w:t>
            </w:r>
          </w:p>
        </w:tc>
        <w:tc>
          <w:tcPr>
            <w:tcW w:type="dxa" w:w="2700"/>
            <w:vAlign w:val="center"/>
            <w:tcMar>
              <w:top w:w="80" w:type="dxa"/>
              <w:start w:w="120" w:type="dxa"/>
              <w:bottom w:w="80" w:type="dxa"/>
              <w:end w:w="120" w:type="dxa"/>
            </w:tcMar>
            <w:shd w:fill="F2F4F7"/>
          </w:tcPr>
          <w:p>
            <w:pPr>
              <w:spacing w:after="20"/>
            </w:pPr>
            <w:r>
              <w:rPr>
                <w:rFonts w:ascii="Calibri" w:hAnsi="Calibri"/>
                <w:sz w:val="16"/>
              </w:rPr>
              <w:t>Required</w:t>
            </w:r>
          </w:p>
        </w:tc>
        <w:tc>
          <w:tcPr>
            <w:tcW w:type="dxa" w:w="3360"/>
            <w:vAlign w:val="center"/>
            <w:tcMar>
              <w:top w:w="80" w:type="dxa"/>
              <w:start w:w="120" w:type="dxa"/>
              <w:bottom w:w="80" w:type="dxa"/>
              <w:end w:w="120" w:type="dxa"/>
            </w:tcMar>
            <w:shd w:fill="F2F4F7"/>
          </w:tcPr>
          <w:p>
            <w:pPr>
              <w:spacing w:after="20"/>
            </w:pPr>
            <w:r>
              <w:rPr>
                <w:rFonts w:ascii="Calibri" w:hAnsi="Calibri"/>
                <w:sz w:val="16"/>
              </w:rPr>
              <w:t>Compare 91-tool surface to approval record</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Human approval</w:t>
            </w:r>
          </w:p>
        </w:tc>
        <w:tc>
          <w:tcPr>
            <w:tcW w:type="dxa" w:w="1500"/>
            <w:vAlign w:val="center"/>
            <w:tcMar>
              <w:top w:w="80" w:type="dxa"/>
              <w:start w:w="120" w:type="dxa"/>
              <w:bottom w:w="80" w:type="dxa"/>
              <w:end w:w="120" w:type="dxa"/>
            </w:tcMar>
            <w:shd w:fill="FFFFFF"/>
          </w:tcPr>
          <w:p>
            <w:pPr>
              <w:spacing w:after="20"/>
            </w:pPr>
            <w:r>
              <w:rPr>
                <w:rFonts w:ascii="Calibri" w:hAnsi="Calibri"/>
                <w:sz w:val="16"/>
              </w:rPr>
              <w:t>Governance</w:t>
            </w:r>
          </w:p>
        </w:tc>
        <w:tc>
          <w:tcPr>
            <w:tcW w:type="dxa" w:w="2700"/>
            <w:vAlign w:val="center"/>
            <w:tcMar>
              <w:top w:w="80" w:type="dxa"/>
              <w:start w:w="120" w:type="dxa"/>
              <w:bottom w:w="80" w:type="dxa"/>
              <w:end w:w="120" w:type="dxa"/>
            </w:tcMar>
            <w:shd w:fill="FFFFFF"/>
          </w:tcPr>
          <w:p>
            <w:pPr>
              <w:spacing w:after="20"/>
            </w:pPr>
            <w:r>
              <w:rPr>
                <w:rFonts w:ascii="Calibri" w:hAnsi="Calibri"/>
                <w:sz w:val="16"/>
              </w:rPr>
              <w:t>Client dependent</w:t>
            </w:r>
          </w:p>
        </w:tc>
        <w:tc>
          <w:tcPr>
            <w:tcW w:type="dxa" w:w="3360"/>
            <w:vAlign w:val="center"/>
            <w:tcMar>
              <w:top w:w="80" w:type="dxa"/>
              <w:start w:w="120" w:type="dxa"/>
              <w:bottom w:w="80" w:type="dxa"/>
              <w:end w:w="120" w:type="dxa"/>
            </w:tcMar>
            <w:shd w:fill="FFFFFF"/>
          </w:tcPr>
          <w:p>
            <w:pPr>
              <w:spacing w:after="20"/>
            </w:pPr>
            <w:r>
              <w:rPr>
                <w:rFonts w:ascii="Calibri" w:hAnsi="Calibri"/>
                <w:sz w:val="16"/>
              </w:rPr>
              <w:t>Injection canary cannot cause write</w:t>
            </w:r>
          </w:p>
        </w:tc>
      </w:tr>
    </w:tbl>
    <w:p/>
    <w:p>
      <w:pPr>
        <w:pStyle w:val="Heading2"/>
      </w:pPr>
      <w:r>
        <w:t>Telemetry, privacy and data classification</w:t>
      </w:r>
    </w:p>
    <w:p>
      <w:pPr>
        <w:widowControl/>
      </w:pPr>
      <w:r>
        <w:t>Queries, organisation identifiers, project names, work-item text, repository content, code fragments, pipeline logs, security findings and model context can be personal, confidential or regulated data. The local process and IDE may retain configuration, approvals, logs or credential state, while Azure DevOps and identity services receive network requests. Before confidential use, Privacy and Legal must confirm minimisation, retention, diagnostic access, transfers, incident notice and deletion behavior.</w:t>
      </w:r>
    </w:p>
    <w:p>
      <w:pPr>
        <w:pStyle w:val="Heading2"/>
      </w:pPr>
      <w:r>
        <w:t>MCP capabilities and installed Agent Skills</w:t>
      </w:r>
    </w:p>
    <w:p>
      <w:pPr>
        <w:widowControl/>
      </w:pPr>
      <w:r>
        <w:t>The assessed local integration is an MCP server, not an Agent Skill. No bundled Agent Skill was observed in the npm tarball or source snapshot for the Visual Studio installation surface. This is a Verified static observation with High confidence for the exact bytes, not proof that a client or separate installer cannot add skills. Any subsequently packaged skill, prompt pack or extension requires review.</w:t>
      </w:r>
    </w:p>
    <w:p>
      <w:pPr>
        <w:pStyle w:val="Heading2"/>
      </w:pPr>
      <w:r>
        <w:t>Supply chain, threats and findings</w:t>
      </w:r>
    </w:p>
    <w:p>
      <w:pPr>
        <w:widowControl/>
      </w:pPr>
      <w:r>
        <w:t>The exact npm tarball and matching Microsoft source commit are retained. ClamAV found no known signatures in either artefact, but a clean scan is not proof of safety. Semgrep returned 13 signals, including mutable workflow-action references and possible path-traversal sinks in file-writing tools. OSV reported 22 dependency-advisory entries in the source dependency graph; applicability to the shipped 27-file package requires release-owner triage. Gitleaks reported one mock continuation-token false positive.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3700"/>
            <w:vAlign w:val="center"/>
            <w:tcMar>
              <w:top w:w="80" w:type="dxa"/>
              <w:start w:w="120" w:type="dxa"/>
              <w:bottom w:w="80" w:type="dxa"/>
              <w:end w:w="120" w:type="dxa"/>
            </w:tcMar>
            <w:shd w:fill="17365D"/>
          </w:tcPr>
          <w:p>
            <w:pPr>
              <w:spacing w:after="20"/>
            </w:pPr>
            <w:r>
              <w:rPr>
                <w:rFonts w:ascii="Calibri" w:hAnsi="Calibri"/>
                <w:b/>
                <w:color w:val="FFFFFF"/>
                <w:sz w:val="16"/>
              </w:rPr>
              <w:t>Finding</w:t>
            </w:r>
          </w:p>
        </w:tc>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Inherent</w:t>
            </w:r>
          </w:p>
        </w:tc>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Residual</w:t>
            </w:r>
          </w:p>
        </w:tc>
        <w:tc>
          <w:tcPr>
            <w:tcW w:type="dxa" w:w="2660"/>
            <w:vAlign w:val="center"/>
            <w:tcMar>
              <w:top w:w="80" w:type="dxa"/>
              <w:start w:w="120" w:type="dxa"/>
              <w:bottom w:w="80" w:type="dxa"/>
              <w:end w:w="120" w:type="dxa"/>
            </w:tcMar>
            <w:shd w:fill="17365D"/>
          </w:tcPr>
          <w:p>
            <w:pPr>
              <w:spacing w:after="20"/>
            </w:pPr>
            <w:r>
              <w:rPr>
                <w:rFonts w:ascii="Calibri" w:hAnsi="Calibri"/>
                <w:b/>
                <w:color w:val="FFFFFF"/>
                <w:sz w:val="16"/>
              </w:rPr>
              <w:t>Treatment</w:t>
            </w:r>
          </w:p>
        </w:tc>
      </w:tr>
      <w:tr>
        <w:trPr>
          <w:cantSplit/>
        </w:trPr>
        <w:tc>
          <w:tcPr>
            <w:tcW w:type="dxa" w:w="3700"/>
            <w:vAlign w:val="center"/>
            <w:tcMar>
              <w:top w:w="80" w:type="dxa"/>
              <w:start w:w="120" w:type="dxa"/>
              <w:bottom w:w="80" w:type="dxa"/>
              <w:end w:w="120" w:type="dxa"/>
            </w:tcMar>
            <w:shd w:fill="FFFFFF"/>
          </w:tcPr>
          <w:p>
            <w:pPr>
              <w:spacing w:after="20"/>
            </w:pPr>
            <w:r>
              <w:rPr>
                <w:rFonts w:ascii="Calibri" w:hAnsi="Calibri"/>
                <w:sz w:val="16"/>
              </w:rPr>
              <w:t>F-001 Untrusted Azure DevOps content can steer agent decisions</w:t>
            </w:r>
          </w:p>
        </w:tc>
        <w:tc>
          <w:tcPr>
            <w:tcW w:type="dxa" w:w="1500"/>
            <w:vAlign w:val="center"/>
            <w:tcMar>
              <w:top w:w="80" w:type="dxa"/>
              <w:start w:w="120" w:type="dxa"/>
              <w:bottom w:w="80" w:type="dxa"/>
              <w:end w:w="120" w:type="dxa"/>
            </w:tcMar>
            <w:shd w:fill="FFFFFF"/>
          </w:tcPr>
          <w:p>
            <w:pPr>
              <w:spacing w:after="20"/>
            </w:pPr>
            <w:r>
              <w:rPr>
                <w:rFonts w:ascii="Calibri" w:hAnsi="Calibri"/>
                <w:sz w:val="16"/>
              </w:rPr>
              <w:t>4 x 5 = 20 Critical</w:t>
            </w:r>
          </w:p>
        </w:tc>
        <w:tc>
          <w:tcPr>
            <w:tcW w:type="dxa" w:w="1500"/>
            <w:vAlign w:val="center"/>
            <w:tcMar>
              <w:top w:w="80" w:type="dxa"/>
              <w:start w:w="120" w:type="dxa"/>
              <w:bottom w:w="80" w:type="dxa"/>
              <w:end w:w="120" w:type="dxa"/>
            </w:tcMar>
            <w:shd w:fill="FFFFFF"/>
          </w:tcPr>
          <w:p>
            <w:pPr>
              <w:spacing w:after="20"/>
            </w:pPr>
            <w:r>
              <w:rPr>
                <w:rFonts w:ascii="Calibri" w:hAnsi="Calibri"/>
                <w:sz w:val="16"/>
              </w:rPr>
              <w:t>3 x 5 = 15 High</w:t>
            </w:r>
          </w:p>
        </w:tc>
        <w:tc>
          <w:tcPr>
            <w:tcW w:type="dxa" w:w="2660"/>
            <w:vAlign w:val="center"/>
            <w:tcMar>
              <w:top w:w="80" w:type="dxa"/>
              <w:start w:w="120" w:type="dxa"/>
              <w:bottom w:w="80" w:type="dxa"/>
              <w:end w:w="120" w:type="dxa"/>
            </w:tcMar>
            <w:shd w:fill="FFFFFF"/>
          </w:tcPr>
          <w:p>
            <w:pPr>
              <w:spacing w:after="20"/>
            </w:pPr>
            <w:r>
              <w:rPr>
                <w:rFonts w:ascii="Calibri" w:hAnsi="Calibri"/>
                <w:sz w:val="16"/>
              </w:rPr>
              <w:t>AI Security</w:t>
            </w:r>
          </w:p>
        </w:tc>
      </w:tr>
      <w:tr>
        <w:trPr>
          <w:cantSplit/>
        </w:trPr>
        <w:tc>
          <w:tcPr>
            <w:tcW w:type="dxa" w:w="3700"/>
            <w:vAlign w:val="center"/>
            <w:tcMar>
              <w:top w:w="80" w:type="dxa"/>
              <w:start w:w="120" w:type="dxa"/>
              <w:bottom w:w="80" w:type="dxa"/>
              <w:end w:w="120" w:type="dxa"/>
            </w:tcMar>
            <w:shd w:fill="F2F4F7"/>
          </w:tcPr>
          <w:p>
            <w:pPr>
              <w:spacing w:after="20"/>
            </w:pPr>
            <w:r>
              <w:rPr>
                <w:rFonts w:ascii="Calibri" w:hAnsi="Calibri"/>
                <w:sz w:val="16"/>
              </w:rPr>
              <w:t>F-002 Default 91-tool surface creates excessive agency</w:t>
            </w:r>
          </w:p>
        </w:tc>
        <w:tc>
          <w:tcPr>
            <w:tcW w:type="dxa" w:w="1500"/>
            <w:vAlign w:val="center"/>
            <w:tcMar>
              <w:top w:w="80" w:type="dxa"/>
              <w:start w:w="120" w:type="dxa"/>
              <w:bottom w:w="80" w:type="dxa"/>
              <w:end w:w="120" w:type="dxa"/>
            </w:tcMar>
            <w:shd w:fill="F2F4F7"/>
          </w:tcPr>
          <w:p>
            <w:pPr>
              <w:spacing w:after="20"/>
            </w:pPr>
            <w:r>
              <w:rPr>
                <w:rFonts w:ascii="Calibri" w:hAnsi="Calibri"/>
                <w:sz w:val="16"/>
              </w:rPr>
              <w:t>4 x 5 = 20 Critical</w:t>
            </w:r>
          </w:p>
        </w:tc>
        <w:tc>
          <w:tcPr>
            <w:tcW w:type="dxa" w:w="1500"/>
            <w:vAlign w:val="center"/>
            <w:tcMar>
              <w:top w:w="80" w:type="dxa"/>
              <w:start w:w="120" w:type="dxa"/>
              <w:bottom w:w="80" w:type="dxa"/>
              <w:end w:w="120" w:type="dxa"/>
            </w:tcMar>
            <w:shd w:fill="F2F4F7"/>
          </w:tcPr>
          <w:p>
            <w:pPr>
              <w:spacing w:after="20"/>
            </w:pPr>
            <w:r>
              <w:rPr>
                <w:rFonts w:ascii="Calibri" w:hAnsi="Calibri"/>
                <w:sz w:val="16"/>
              </w:rPr>
              <w:t>2 x 5 = 10 High</w:t>
            </w:r>
          </w:p>
        </w:tc>
        <w:tc>
          <w:tcPr>
            <w:tcW w:type="dxa" w:w="2660"/>
            <w:vAlign w:val="center"/>
            <w:tcMar>
              <w:top w:w="80" w:type="dxa"/>
              <w:start w:w="120" w:type="dxa"/>
              <w:bottom w:w="80" w:type="dxa"/>
              <w:end w:w="120" w:type="dxa"/>
            </w:tcMar>
            <w:shd w:fill="F2F4F7"/>
          </w:tcPr>
          <w:p>
            <w:pPr>
              <w:spacing w:after="20"/>
            </w:pPr>
            <w:r>
              <w:rPr>
                <w:rFonts w:ascii="Calibri" w:hAnsi="Calibri"/>
                <w:sz w:val="16"/>
              </w:rPr>
              <w:t>Azure DevOps Platform</w:t>
            </w:r>
          </w:p>
        </w:tc>
      </w:tr>
      <w:tr>
        <w:trPr>
          <w:cantSplit/>
        </w:trPr>
        <w:tc>
          <w:tcPr>
            <w:tcW w:type="dxa" w:w="3700"/>
            <w:vAlign w:val="center"/>
            <w:tcMar>
              <w:top w:w="80" w:type="dxa"/>
              <w:start w:w="120" w:type="dxa"/>
              <w:bottom w:w="80" w:type="dxa"/>
              <w:end w:w="120" w:type="dxa"/>
            </w:tcMar>
            <w:shd w:fill="FFFFFF"/>
          </w:tcPr>
          <w:p>
            <w:pPr>
              <w:spacing w:after="20"/>
            </w:pPr>
            <w:r>
              <w:rPr>
                <w:rFonts w:ascii="Calibri" w:hAnsi="Calibri"/>
                <w:sz w:val="16"/>
              </w:rPr>
              <w:t>F-003 Mutable npm resolution and unpinned transitive ranges weaken reproducibility</w:t>
            </w:r>
          </w:p>
        </w:tc>
        <w:tc>
          <w:tcPr>
            <w:tcW w:type="dxa" w:w="1500"/>
            <w:vAlign w:val="center"/>
            <w:tcMar>
              <w:top w:w="80" w:type="dxa"/>
              <w:start w:w="120" w:type="dxa"/>
              <w:bottom w:w="80" w:type="dxa"/>
              <w:end w:w="120" w:type="dxa"/>
            </w:tcMar>
            <w:shd w:fill="FFFFFF"/>
          </w:tcPr>
          <w:p>
            <w:pPr>
              <w:spacing w:after="20"/>
            </w:pPr>
            <w:r>
              <w:rPr>
                <w:rFonts w:ascii="Calibri" w:hAnsi="Calibri"/>
                <w:sz w:val="16"/>
              </w:rPr>
              <w:t>4 x 4 = 16 High</w:t>
            </w:r>
          </w:p>
        </w:tc>
        <w:tc>
          <w:tcPr>
            <w:tcW w:type="dxa" w:w="1500"/>
            <w:vAlign w:val="center"/>
            <w:tcMar>
              <w:top w:w="80" w:type="dxa"/>
              <w:start w:w="120" w:type="dxa"/>
              <w:bottom w:w="80" w:type="dxa"/>
              <w:end w:w="120" w:type="dxa"/>
            </w:tcMar>
            <w:shd w:fill="FFFFFF"/>
          </w:tcPr>
          <w:p>
            <w:pPr>
              <w:spacing w:after="20"/>
            </w:pPr>
            <w:r>
              <w:rPr>
                <w:rFonts w:ascii="Calibri" w:hAnsi="Calibri"/>
                <w:sz w:val="16"/>
              </w:rPr>
              <w:t>3 x 4 = 12 High</w:t>
            </w:r>
          </w:p>
        </w:tc>
        <w:tc>
          <w:tcPr>
            <w:tcW w:type="dxa" w:w="2660"/>
            <w:vAlign w:val="center"/>
            <w:tcMar>
              <w:top w:w="80" w:type="dxa"/>
              <w:start w:w="120" w:type="dxa"/>
              <w:bottom w:w="80" w:type="dxa"/>
              <w:end w:w="120" w:type="dxa"/>
            </w:tcMar>
            <w:shd w:fill="FFFFFF"/>
          </w:tcPr>
          <w:p>
            <w:pPr>
              <w:spacing w:after="20"/>
            </w:pPr>
            <w:r>
              <w:rPr>
                <w:rFonts w:ascii="Calibri" w:hAnsi="Calibri"/>
                <w:sz w:val="16"/>
              </w:rPr>
              <w:t>Supplier Risk</w:t>
            </w:r>
          </w:p>
        </w:tc>
      </w:tr>
      <w:tr>
        <w:trPr>
          <w:cantSplit/>
        </w:trPr>
        <w:tc>
          <w:tcPr>
            <w:tcW w:type="dxa" w:w="3700"/>
            <w:vAlign w:val="center"/>
            <w:tcMar>
              <w:top w:w="80" w:type="dxa"/>
              <w:start w:w="120" w:type="dxa"/>
              <w:bottom w:w="80" w:type="dxa"/>
              <w:end w:w="120" w:type="dxa"/>
            </w:tcMar>
            <w:shd w:fill="F2F4F7"/>
          </w:tcPr>
          <w:p>
            <w:pPr>
              <w:spacing w:after="20"/>
            </w:pPr>
            <w:r>
              <w:rPr>
                <w:rFonts w:ascii="Calibri" w:hAnsi="Calibri"/>
                <w:sz w:val="16"/>
              </w:rPr>
              <w:t>F-004 Runtime data routing, credential storage and telemetry are unverified</w:t>
            </w:r>
          </w:p>
        </w:tc>
        <w:tc>
          <w:tcPr>
            <w:tcW w:type="dxa" w:w="1500"/>
            <w:vAlign w:val="center"/>
            <w:tcMar>
              <w:top w:w="80" w:type="dxa"/>
              <w:start w:w="120" w:type="dxa"/>
              <w:bottom w:w="80" w:type="dxa"/>
              <w:end w:w="120" w:type="dxa"/>
            </w:tcMar>
            <w:shd w:fill="F2F4F7"/>
          </w:tcPr>
          <w:p>
            <w:pPr>
              <w:spacing w:after="20"/>
            </w:pPr>
            <w:r>
              <w:rPr>
                <w:rFonts w:ascii="Calibri" w:hAnsi="Calibri"/>
                <w:sz w:val="16"/>
              </w:rPr>
              <w:t>3 x 5 = 15 High</w:t>
            </w:r>
          </w:p>
        </w:tc>
        <w:tc>
          <w:tcPr>
            <w:tcW w:type="dxa" w:w="1500"/>
            <w:vAlign w:val="center"/>
            <w:tcMar>
              <w:top w:w="80" w:type="dxa"/>
              <w:start w:w="120" w:type="dxa"/>
              <w:bottom w:w="80" w:type="dxa"/>
              <w:end w:w="120" w:type="dxa"/>
            </w:tcMar>
            <w:shd w:fill="F2F4F7"/>
          </w:tcPr>
          <w:p>
            <w:pPr>
              <w:spacing w:after="20"/>
            </w:pPr>
            <w:r>
              <w:rPr>
                <w:rFonts w:ascii="Calibri" w:hAnsi="Calibri"/>
                <w:sz w:val="16"/>
              </w:rPr>
              <w:t>3 x 4 = 12 High</w:t>
            </w:r>
          </w:p>
        </w:tc>
        <w:tc>
          <w:tcPr>
            <w:tcW w:type="dxa" w:w="2660"/>
            <w:vAlign w:val="center"/>
            <w:tcMar>
              <w:top w:w="80" w:type="dxa"/>
              <w:start w:w="120" w:type="dxa"/>
              <w:bottom w:w="80" w:type="dxa"/>
              <w:end w:w="120" w:type="dxa"/>
            </w:tcMar>
            <w:shd w:fill="F2F4F7"/>
          </w:tcPr>
          <w:p>
            <w:pPr>
              <w:spacing w:after="20"/>
            </w:pPr>
            <w:r>
              <w:rPr>
                <w:rFonts w:ascii="Calibri" w:hAnsi="Calibri"/>
                <w:sz w:val="16"/>
              </w:rPr>
              <w:t>Privacy and Legal</w:t>
            </w:r>
          </w:p>
        </w:tc>
      </w:tr>
      <w:tr>
        <w:trPr>
          <w:cantSplit/>
        </w:trPr>
        <w:tc>
          <w:tcPr>
            <w:tcW w:type="dxa" w:w="3700"/>
            <w:vAlign w:val="center"/>
            <w:tcMar>
              <w:top w:w="80" w:type="dxa"/>
              <w:start w:w="120" w:type="dxa"/>
              <w:bottom w:w="80" w:type="dxa"/>
              <w:end w:w="120" w:type="dxa"/>
            </w:tcMar>
            <w:shd w:fill="FFFFFF"/>
          </w:tcPr>
          <w:p>
            <w:pPr>
              <w:spacing w:after="20"/>
            </w:pPr>
            <w:r>
              <w:rPr>
                <w:rFonts w:ascii="Calibri" w:hAnsi="Calibri"/>
                <w:sz w:val="16"/>
              </w:rPr>
              <w:t>F-005 Client approval policy can be bypassed by overbroad consent</w:t>
            </w:r>
          </w:p>
        </w:tc>
        <w:tc>
          <w:tcPr>
            <w:tcW w:type="dxa" w:w="1500"/>
            <w:vAlign w:val="center"/>
            <w:tcMar>
              <w:top w:w="80" w:type="dxa"/>
              <w:start w:w="120" w:type="dxa"/>
              <w:bottom w:w="80" w:type="dxa"/>
              <w:end w:w="120" w:type="dxa"/>
            </w:tcMar>
            <w:shd w:fill="FFFFFF"/>
          </w:tcPr>
          <w:p>
            <w:pPr>
              <w:spacing w:after="20"/>
            </w:pPr>
            <w:r>
              <w:rPr>
                <w:rFonts w:ascii="Calibri" w:hAnsi="Calibri"/>
                <w:sz w:val="16"/>
              </w:rPr>
              <w:t>4 x 4 = 16 High</w:t>
            </w:r>
          </w:p>
        </w:tc>
        <w:tc>
          <w:tcPr>
            <w:tcW w:type="dxa" w:w="1500"/>
            <w:vAlign w:val="center"/>
            <w:tcMar>
              <w:top w:w="80" w:type="dxa"/>
              <w:start w:w="120" w:type="dxa"/>
              <w:bottom w:w="80" w:type="dxa"/>
              <w:end w:w="120" w:type="dxa"/>
            </w:tcMar>
            <w:shd w:fill="FFFFFF"/>
          </w:tcPr>
          <w:p>
            <w:pPr>
              <w:spacing w:after="20"/>
            </w:pPr>
            <w:r>
              <w:rPr>
                <w:rFonts w:ascii="Calibri" w:hAnsi="Calibri"/>
                <w:sz w:val="16"/>
              </w:rPr>
              <w:t>2 x 4 = 8 Moderate</w:t>
            </w:r>
          </w:p>
        </w:tc>
        <w:tc>
          <w:tcPr>
            <w:tcW w:type="dxa" w:w="2660"/>
            <w:vAlign w:val="center"/>
            <w:tcMar>
              <w:top w:w="80" w:type="dxa"/>
              <w:start w:w="120" w:type="dxa"/>
              <w:bottom w:w="80" w:type="dxa"/>
              <w:end w:w="120" w:type="dxa"/>
            </w:tcMar>
            <w:shd w:fill="FFFFFF"/>
          </w:tcPr>
          <w:p>
            <w:pPr>
              <w:spacing w:after="20"/>
            </w:pPr>
            <w:r>
              <w:rPr>
                <w:rFonts w:ascii="Calibri" w:hAnsi="Calibri"/>
                <w:sz w:val="16"/>
              </w:rPr>
              <w:t>IDE Engineering</w:t>
            </w:r>
          </w:p>
        </w:tc>
      </w:tr>
    </w:tbl>
    <w:p/>
    <w:p>
      <w:pPr>
        <w:pStyle w:val="Heading2"/>
      </w:pPr>
      <w:r>
        <w:t>Framework disposition</w:t>
      </w:r>
    </w:p>
    <w:p>
      <w:pPr>
        <w:widowControl/>
      </w:pPr>
      <w:r>
        <w:t>Applicable baselines include OWASP LLM Top 10 2025, OWASP Agentic Top 10 2026, OWASP MCP Top 10, NIST AI RMF 1.0, NIST AI 600-1, NCSC secure AI development guidance, CIS Controls v8.1 and ISO/IEC 27001:2022. OWASP ASVS 5.0.0 Level 2 applies to the API, identity and configuration control surface, especially access control, OAuth, communications, validation, logging and supply-chain requirements. The EU AI Act is conditionally applicable by use case; prohibited/high-risk customer-outcome use is outside this approval.</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200"/>
            <w:vAlign w:val="center"/>
            <w:tcMar>
              <w:top w:w="80" w:type="dxa"/>
              <w:start w:w="120" w:type="dxa"/>
              <w:bottom w:w="80" w:type="dxa"/>
              <w:end w:w="120" w:type="dxa"/>
            </w:tcMar>
            <w:shd w:fill="17365D"/>
          </w:tcPr>
          <w:p>
            <w:pPr>
              <w:spacing w:after="20"/>
            </w:pPr>
            <w:r>
              <w:rPr>
                <w:rFonts w:ascii="Calibri" w:hAnsi="Calibri"/>
                <w:b/>
                <w:color w:val="FFFFFF"/>
                <w:sz w:val="16"/>
              </w:rPr>
              <w:t>Framework</w:t>
            </w:r>
          </w:p>
        </w:tc>
        <w:tc>
          <w:tcPr>
            <w:tcW w:type="dxa" w:w="1900"/>
            <w:vAlign w:val="center"/>
            <w:tcMar>
              <w:top w:w="80" w:type="dxa"/>
              <w:start w:w="120" w:type="dxa"/>
              <w:bottom w:w="80" w:type="dxa"/>
              <w:end w:w="120" w:type="dxa"/>
            </w:tcMar>
            <w:shd w:fill="17365D"/>
          </w:tcPr>
          <w:p>
            <w:pPr>
              <w:spacing w:after="20"/>
            </w:pPr>
            <w:r>
              <w:rPr>
                <w:rFonts w:ascii="Calibri" w:hAnsi="Calibri"/>
                <w:b/>
                <w:color w:val="FFFFFF"/>
                <w:sz w:val="16"/>
              </w:rPr>
              <w:t>Disposition</w:t>
            </w:r>
          </w:p>
        </w:tc>
        <w:tc>
          <w:tcPr>
            <w:tcW w:type="dxa" w:w="5260"/>
            <w:vAlign w:val="center"/>
            <w:tcMar>
              <w:top w:w="80" w:type="dxa"/>
              <w:start w:w="120" w:type="dxa"/>
              <w:bottom w:w="80" w:type="dxa"/>
              <w:end w:w="120" w:type="dxa"/>
            </w:tcMar>
            <w:shd w:fill="17365D"/>
          </w:tcPr>
          <w:p>
            <w:pPr>
              <w:spacing w:after="20"/>
            </w:pPr>
            <w:r>
              <w:rPr>
                <w:rFonts w:ascii="Calibri" w:hAnsi="Calibri"/>
                <w:b/>
                <w:color w:val="FFFFFF"/>
                <w:sz w:val="16"/>
              </w:rPr>
              <w:t>Key mapping</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OWASP LLM 2025</w:t>
            </w:r>
          </w:p>
        </w:tc>
        <w:tc>
          <w:tcPr>
            <w:tcW w:type="dxa" w:w="1900"/>
            <w:vAlign w:val="center"/>
            <w:tcMar>
              <w:top w:w="80" w:type="dxa"/>
              <w:start w:w="120" w:type="dxa"/>
              <w:bottom w:w="80" w:type="dxa"/>
              <w:end w:w="120" w:type="dxa"/>
            </w:tcMar>
            <w:shd w:fill="FFFFFF"/>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FFFFF"/>
          </w:tcPr>
          <w:p>
            <w:pPr>
              <w:spacing w:after="20"/>
            </w:pPr>
            <w:r>
              <w:rPr>
                <w:rFonts w:ascii="Calibri" w:hAnsi="Calibri"/>
                <w:sz w:val="16"/>
              </w:rPr>
              <w:t>prompt injection, sensitive disclosure, excessive agency</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OWASP Agentic 2026</w:t>
            </w:r>
          </w:p>
        </w:tc>
        <w:tc>
          <w:tcPr>
            <w:tcW w:type="dxa" w:w="1900"/>
            <w:vAlign w:val="center"/>
            <w:tcMar>
              <w:top w:w="80" w:type="dxa"/>
              <w:start w:w="120" w:type="dxa"/>
              <w:bottom w:w="80" w:type="dxa"/>
              <w:end w:w="120" w:type="dxa"/>
            </w:tcMar>
            <w:shd w:fill="F2F4F7"/>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2F4F7"/>
          </w:tcPr>
          <w:p>
            <w:pPr>
              <w:spacing w:after="20"/>
            </w:pPr>
            <w:r>
              <w:rPr>
                <w:rFonts w:ascii="Calibri" w:hAnsi="Calibri"/>
                <w:sz w:val="16"/>
              </w:rPr>
              <w:t>goal hijack, tool misuse, identity abuse</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OWASP MCP</w:t>
            </w:r>
          </w:p>
        </w:tc>
        <w:tc>
          <w:tcPr>
            <w:tcW w:type="dxa" w:w="1900"/>
            <w:vAlign w:val="center"/>
            <w:tcMar>
              <w:top w:w="80" w:type="dxa"/>
              <w:start w:w="120" w:type="dxa"/>
              <w:bottom w:w="80" w:type="dxa"/>
              <w:end w:w="120" w:type="dxa"/>
            </w:tcMar>
            <w:shd w:fill="FFFFFF"/>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FFFFF"/>
          </w:tcPr>
          <w:p>
            <w:pPr>
              <w:spacing w:after="20"/>
            </w:pPr>
            <w:r>
              <w:rPr>
                <w:rFonts w:ascii="Calibri" w:hAnsi="Calibri"/>
                <w:sz w:val="16"/>
              </w:rPr>
              <w:t>token, tool and supply-chain controls</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OWASP ASVS 5.0 L2</w:t>
            </w:r>
          </w:p>
        </w:tc>
        <w:tc>
          <w:tcPr>
            <w:tcW w:type="dxa" w:w="1900"/>
            <w:vAlign w:val="center"/>
            <w:tcMar>
              <w:top w:w="80" w:type="dxa"/>
              <w:start w:w="120" w:type="dxa"/>
              <w:bottom w:w="80" w:type="dxa"/>
              <w:end w:w="120" w:type="dxa"/>
            </w:tcMar>
            <w:shd w:fill="F2F4F7"/>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2F4F7"/>
          </w:tcPr>
          <w:p>
            <w:pPr>
              <w:spacing w:after="20"/>
            </w:pPr>
            <w:r>
              <w:rPr>
                <w:rFonts w:ascii="Calibri" w:hAnsi="Calibri"/>
                <w:sz w:val="16"/>
              </w:rPr>
              <w:t>V8 authorization, V9 communications, V10 OAuth, V15 supply chain</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NIST AI RMF / 600-1</w:t>
            </w:r>
          </w:p>
        </w:tc>
        <w:tc>
          <w:tcPr>
            <w:tcW w:type="dxa" w:w="1900"/>
            <w:vAlign w:val="center"/>
            <w:tcMar>
              <w:top w:w="80" w:type="dxa"/>
              <w:start w:w="120" w:type="dxa"/>
              <w:bottom w:w="80" w:type="dxa"/>
              <w:end w:w="120" w:type="dxa"/>
            </w:tcMar>
            <w:shd w:fill="FFFFFF"/>
          </w:tcPr>
          <w:p>
            <w:pPr>
              <w:spacing w:after="20"/>
            </w:pPr>
            <w:r>
              <w:rPr>
                <w:rFonts w:ascii="Calibri" w:hAnsi="Calibri"/>
                <w:sz w:val="16"/>
              </w:rPr>
              <w:t>Applicable</w:t>
            </w:r>
          </w:p>
        </w:tc>
        <w:tc>
          <w:tcPr>
            <w:tcW w:type="dxa" w:w="5260"/>
            <w:vAlign w:val="center"/>
            <w:tcMar>
              <w:top w:w="80" w:type="dxa"/>
              <w:start w:w="120" w:type="dxa"/>
              <w:bottom w:w="80" w:type="dxa"/>
              <w:end w:w="120" w:type="dxa"/>
            </w:tcMar>
            <w:shd w:fill="FFFFFF"/>
          </w:tcPr>
          <w:p>
            <w:pPr>
              <w:spacing w:after="20"/>
            </w:pPr>
            <w:r>
              <w:rPr>
                <w:rFonts w:ascii="Calibri" w:hAnsi="Calibri"/>
                <w:sz w:val="16"/>
              </w:rPr>
              <w:t>Govern, Map, Measure, Manage</w:t>
            </w:r>
          </w:p>
        </w:tc>
      </w:tr>
    </w:tbl>
    <w:p/>
    <w:p>
      <w:pPr>
        <w:pStyle w:val="Heading2"/>
      </w:pPr>
      <w:r>
        <w:t>Controls, detection and residual risk</w:t>
      </w:r>
    </w:p>
    <w:p>
      <w:pPr>
        <w:widowControl/>
      </w:pPr>
      <w:r>
        <w:t>Before pilot, enforce exact package identity and digest, minimal read-oriented domains, a dedicated identity, deny-by-default project scope, per-invocation approval and payload minimisation. Disable or separately approve file-writing and Azure DevOps mutation tools. Detect package or tool-list drift, unexpected child processes, write attempts, unusual project access, new OAuth grants and backend changes without approved MCP intent.</w:t>
      </w:r>
    </w:p>
    <w:p>
      <w:pPr>
        <w:pStyle w:val="Heading2"/>
      </w:pPr>
      <w:r>
        <w:t>Confidence, limitations, evidence and verification</w:t>
      </w:r>
    </w:p>
    <w:p>
      <w:pPr>
        <w:widowControl/>
      </w:pPr>
      <w:r>
        <w:t>Confidence is High for Microsoft ownership, npm version identity, package digest, source commit, STDIO transport, authentication modes and the 91-tool static count. Confidence is Medium for source-package correspondence and spotlighting coverage. Confidence is Low for client controls, credential persistence, network behavior, file-write containment, updates and uninstall residue. Verification requires disposable hosts, a synthetic tenant and identity, process and network capture, injection canaries, denied write and path tests, token revocation, log correlation and uninstall inspection.</w:t>
      </w:r>
    </w:p>
    <w:p>
      <w:r>
        <w:t xml:space="preserve">Evidence: </w:t>
      </w:r>
      <w:hyperlink w:anchor="REF_001">
        <w:r>
          <w:rPr>
            <w:color w:val="0563C1"/>
            <w:u w:val="single"/>
          </w:rPr>
          <w:t>[REF-001]</w:t>
        </w:r>
      </w:hyperlink>
      <w:r>
        <w:t xml:space="preserve"> </w:t>
      </w:r>
      <w:hyperlink w:anchor="REF_002">
        <w:r>
          <w:rPr>
            <w:color w:val="0563C1"/>
            <w:u w:val="single"/>
          </w:rPr>
          <w:t>[REF-002]</w:t>
        </w:r>
      </w:hyperlink>
      <w:r>
        <w:t xml:space="preserve"> </w:t>
      </w:r>
      <w:hyperlink w:anchor="REF_009">
        <w:r>
          <w:rPr>
            <w:color w:val="0563C1"/>
            <w:u w:val="single"/>
          </w:rPr>
          <w:t>[REF-009]</w:t>
        </w:r>
      </w:hyperlink>
      <w:r>
        <w:t xml:space="preserve"> </w:t>
      </w:r>
      <w:hyperlink w:anchor="REF_010">
        <w:r>
          <w:rPr>
            <w:color w:val="0563C1"/>
            <w:u w:val="single"/>
          </w:rPr>
          <w:t>[REF-010]</w:t>
        </w:r>
      </w:hyperlink>
      <w:r>
        <w:t xml:space="preserve"> </w:t>
      </w:r>
      <w:hyperlink w:anchor="REF_012">
        <w:r>
          <w:rPr>
            <w:color w:val="0563C1"/>
            <w:u w:val="single"/>
          </w:rPr>
          <w:t>[REF-012]</w:t>
        </w:r>
      </w:hyperlink>
    </w:p>
    <w:p>
      <w:pPr>
        <w:pStyle w:val="Heading1"/>
      </w:pPr>
      <w:r>
        <w:t>Part III - Installed Agent Skills</w:t>
      </w:r>
    </w:p>
    <w:p>
      <w:pPr>
        <w:widowControl/>
      </w:pPr>
      <w:r>
        <w:t>No bundled Agent Skill was observed in the exact npm tarball or matching source snapshot. This disposition is Not applicable to the assessed bytes, not a general claim that no IDE client or future package can install skills. Any later bundled skill must be assessed as part of the complete installation surface.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200"/>
            <w:vAlign w:val="center"/>
            <w:tcMar>
              <w:top w:w="80" w:type="dxa"/>
              <w:start w:w="120" w:type="dxa"/>
              <w:bottom w:w="80" w:type="dxa"/>
              <w:end w:w="120" w:type="dxa"/>
            </w:tcMar>
            <w:shd w:fill="17365D"/>
          </w:tcPr>
          <w:p>
            <w:pPr>
              <w:spacing w:after="20"/>
            </w:pPr>
            <w:r>
              <w:rPr>
                <w:rFonts w:ascii="Calibri" w:hAnsi="Calibri"/>
                <w:b/>
                <w:color w:val="FFFFFF"/>
                <w:sz w:val="16"/>
              </w:rPr>
              <w:t>Skill</w:t>
            </w:r>
          </w:p>
        </w:tc>
        <w:tc>
          <w:tcPr>
            <w:tcW w:type="dxa" w:w="2800"/>
            <w:vAlign w:val="center"/>
            <w:tcMar>
              <w:top w:w="80" w:type="dxa"/>
              <w:start w:w="120" w:type="dxa"/>
              <w:bottom w:w="80" w:type="dxa"/>
              <w:end w:w="120" w:type="dxa"/>
            </w:tcMar>
            <w:shd w:fill="17365D"/>
          </w:tcPr>
          <w:p>
            <w:pPr>
              <w:spacing w:after="20"/>
            </w:pPr>
            <w:r>
              <w:rPr>
                <w:rFonts w:ascii="Calibri" w:hAnsi="Calibri"/>
                <w:b/>
                <w:color w:val="FFFFFF"/>
                <w:sz w:val="16"/>
              </w:rPr>
              <w:t>State</w:t>
            </w:r>
          </w:p>
        </w:tc>
        <w:tc>
          <w:tcPr>
            <w:tcW w:type="dxa" w:w="2200"/>
            <w:vAlign w:val="center"/>
            <w:tcMar>
              <w:top w:w="80" w:type="dxa"/>
              <w:start w:w="120" w:type="dxa"/>
              <w:bottom w:w="80" w:type="dxa"/>
              <w:end w:w="120" w:type="dxa"/>
            </w:tcMar>
            <w:shd w:fill="17365D"/>
          </w:tcPr>
          <w:p>
            <w:pPr>
              <w:spacing w:after="20"/>
            </w:pPr>
            <w:r>
              <w:rPr>
                <w:rFonts w:ascii="Calibri" w:hAnsi="Calibri"/>
                <w:b/>
                <w:color w:val="FFFFFF"/>
                <w:sz w:val="16"/>
              </w:rPr>
              <w:t>Decision</w:t>
            </w:r>
          </w:p>
        </w:tc>
        <w:tc>
          <w:tcPr>
            <w:tcW w:type="dxa" w:w="2160"/>
            <w:vAlign w:val="center"/>
            <w:tcMar>
              <w:top w:w="80" w:type="dxa"/>
              <w:start w:w="120" w:type="dxa"/>
              <w:bottom w:w="80" w:type="dxa"/>
              <w:end w:w="120" w:type="dxa"/>
            </w:tcMar>
            <w:shd w:fill="17365D"/>
          </w:tcPr>
          <w:p>
            <w:pPr>
              <w:spacing w:after="20"/>
            </w:pPr>
            <w:r>
              <w:rPr>
                <w:rFonts w:ascii="Calibri" w:hAnsi="Calibri"/>
                <w:b/>
                <w:color w:val="FFFFFF"/>
                <w:sz w:val="16"/>
              </w:rPr>
              <w:t>Verification</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None observed</w:t>
            </w:r>
          </w:p>
        </w:tc>
        <w:tc>
          <w:tcPr>
            <w:tcW w:type="dxa" w:w="2800"/>
            <w:vAlign w:val="center"/>
            <w:tcMar>
              <w:top w:w="80" w:type="dxa"/>
              <w:start w:w="120" w:type="dxa"/>
              <w:bottom w:w="80" w:type="dxa"/>
              <w:end w:w="120" w:type="dxa"/>
            </w:tcMar>
            <w:shd w:fill="FFFFFF"/>
          </w:tcPr>
          <w:p>
            <w:pPr>
              <w:spacing w:after="20"/>
            </w:pPr>
            <w:r>
              <w:rPr>
                <w:rFonts w:ascii="Calibri" w:hAnsi="Calibri"/>
                <w:sz w:val="16"/>
              </w:rPr>
              <w:t>Not applicable to documented install</w:t>
            </w:r>
          </w:p>
        </w:tc>
        <w:tc>
          <w:tcPr>
            <w:tcW w:type="dxa" w:w="2200"/>
            <w:vAlign w:val="center"/>
            <w:tcMar>
              <w:top w:w="80" w:type="dxa"/>
              <w:start w:w="120" w:type="dxa"/>
              <w:bottom w:w="80" w:type="dxa"/>
              <w:end w:w="120" w:type="dxa"/>
            </w:tcMar>
            <w:shd w:fill="FFFFFF"/>
          </w:tcPr>
          <w:p>
            <w:pPr>
              <w:spacing w:after="20"/>
            </w:pPr>
            <w:r>
              <w:rPr>
                <w:rFonts w:ascii="Calibri" w:hAnsi="Calibri"/>
                <w:sz w:val="16"/>
              </w:rPr>
              <w:t>No independent approval</w:t>
            </w:r>
          </w:p>
        </w:tc>
        <w:tc>
          <w:tcPr>
            <w:tcW w:type="dxa" w:w="2160"/>
            <w:vAlign w:val="center"/>
            <w:tcMar>
              <w:top w:w="80" w:type="dxa"/>
              <w:start w:w="120" w:type="dxa"/>
              <w:bottom w:w="80" w:type="dxa"/>
              <w:end w:w="120" w:type="dxa"/>
            </w:tcMar>
            <w:shd w:fill="FFFFFF"/>
          </w:tcPr>
          <w:p>
            <w:pPr>
              <w:spacing w:after="20"/>
            </w:pPr>
            <w:r>
              <w:rPr>
                <w:rFonts w:ascii="Calibri" w:hAnsi="Calibri"/>
                <w:sz w:val="16"/>
              </w:rPr>
              <w:t>Inspect client/package on every release</w:t>
            </w:r>
          </w:p>
        </w:tc>
      </w:tr>
    </w:tbl>
    <w:p/>
    <w:p>
      <w:pPr>
        <w:pStyle w:val="Heading1"/>
      </w:pPr>
      <w:r>
        <w:t>Cross-IDE Comparison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700"/>
            <w:vAlign w:val="center"/>
            <w:tcMar>
              <w:top w:w="80" w:type="dxa"/>
              <w:start w:w="120" w:type="dxa"/>
              <w:bottom w:w="80" w:type="dxa"/>
              <w:end w:w="120" w:type="dxa"/>
            </w:tcMar>
            <w:shd w:fill="17365D"/>
          </w:tcPr>
          <w:p>
            <w:pPr>
              <w:spacing w:after="20"/>
            </w:pPr>
            <w:r>
              <w:rPr>
                <w:rFonts w:ascii="Calibri" w:hAnsi="Calibri"/>
                <w:b/>
                <w:color w:val="FFFFFF"/>
                <w:sz w:val="16"/>
              </w:rPr>
              <w:t>Dimension</w:t>
            </w:r>
          </w:p>
        </w:tc>
        <w:tc>
          <w:tcPr>
            <w:tcW w:type="dxa" w:w="3330"/>
            <w:vAlign w:val="center"/>
            <w:tcMar>
              <w:top w:w="80" w:type="dxa"/>
              <w:start w:w="120" w:type="dxa"/>
              <w:bottom w:w="80" w:type="dxa"/>
              <w:end w:w="120" w:type="dxa"/>
            </w:tcMar>
            <w:shd w:fill="17365D"/>
          </w:tcPr>
          <w:p>
            <w:pPr>
              <w:spacing w:after="20"/>
            </w:pPr>
            <w:r>
              <w:rPr>
                <w:rFonts w:ascii="Calibri" w:hAnsi="Calibri"/>
                <w:b/>
                <w:color w:val="FFFFFF"/>
                <w:sz w:val="16"/>
              </w:rPr>
              <w:t>VS Code Windows/macOS</w:t>
            </w:r>
          </w:p>
        </w:tc>
        <w:tc>
          <w:tcPr>
            <w:tcW w:type="dxa" w:w="3330"/>
            <w:vAlign w:val="center"/>
            <w:tcMar>
              <w:top w:w="80" w:type="dxa"/>
              <w:start w:w="120" w:type="dxa"/>
              <w:bottom w:w="80" w:type="dxa"/>
              <w:end w:w="120" w:type="dxa"/>
            </w:tcMar>
            <w:shd w:fill="17365D"/>
          </w:tcPr>
          <w:p>
            <w:pPr>
              <w:spacing w:after="20"/>
            </w:pPr>
            <w:r>
              <w:rPr>
                <w:rFonts w:ascii="Calibri" w:hAnsi="Calibri"/>
                <w:b/>
                <w:color w:val="FFFFFF"/>
                <w:sz w:val="16"/>
              </w:rPr>
              <w:t>Visual Studio Windows 11</w:t>
            </w:r>
          </w:p>
        </w:tc>
      </w:tr>
      <w:tr>
        <w:trPr>
          <w:cantSplit/>
        </w:trPr>
        <w:tc>
          <w:tcPr>
            <w:tcW w:type="dxa" w:w="2700"/>
            <w:vAlign w:val="center"/>
            <w:tcMar>
              <w:top w:w="80" w:type="dxa"/>
              <w:start w:w="120" w:type="dxa"/>
              <w:bottom w:w="80" w:type="dxa"/>
              <w:end w:w="120" w:type="dxa"/>
            </w:tcMar>
            <w:shd w:fill="FFFFFF"/>
          </w:tcPr>
          <w:p>
            <w:pPr>
              <w:spacing w:after="20"/>
            </w:pPr>
            <w:r>
              <w:rPr>
                <w:rFonts w:ascii="Calibri" w:hAnsi="Calibri"/>
                <w:sz w:val="16"/>
              </w:rPr>
              <w:t>MCP connection</w:t>
            </w:r>
          </w:p>
        </w:tc>
        <w:tc>
          <w:tcPr>
            <w:tcW w:type="dxa" w:w="3330"/>
            <w:vAlign w:val="center"/>
            <w:tcMar>
              <w:top w:w="80" w:type="dxa"/>
              <w:start w:w="120" w:type="dxa"/>
              <w:bottom w:w="80" w:type="dxa"/>
              <w:end w:w="120" w:type="dxa"/>
            </w:tcMar>
            <w:shd w:fill="FFFFFF"/>
          </w:tcPr>
          <w:p>
            <w:pPr>
              <w:spacing w:after="20"/>
            </w:pPr>
            <w:r>
              <w:rPr>
                <w:rFonts w:ascii="Calibri" w:hAnsi="Calibri"/>
                <w:sz w:val="16"/>
              </w:rPr>
              <w:t>Local STDIO child process</w:t>
            </w:r>
          </w:p>
        </w:tc>
        <w:tc>
          <w:tcPr>
            <w:tcW w:type="dxa" w:w="3330"/>
            <w:vAlign w:val="center"/>
            <w:tcMar>
              <w:top w:w="80" w:type="dxa"/>
              <w:start w:w="120" w:type="dxa"/>
              <w:bottom w:w="80" w:type="dxa"/>
              <w:end w:w="120" w:type="dxa"/>
            </w:tcMar>
            <w:shd w:fill="FFFFFF"/>
          </w:tcPr>
          <w:p>
            <w:pPr>
              <w:spacing w:after="20"/>
            </w:pPr>
            <w:r>
              <w:rPr>
                <w:rFonts w:ascii="Calibri" w:hAnsi="Calibri"/>
                <w:sz w:val="16"/>
              </w:rPr>
              <w:t>Local STDIO child process</w:t>
            </w:r>
          </w:p>
        </w:tc>
      </w:tr>
      <w:tr>
        <w:trPr>
          <w:cantSplit/>
        </w:trPr>
        <w:tc>
          <w:tcPr>
            <w:tcW w:type="dxa" w:w="2700"/>
            <w:vAlign w:val="center"/>
            <w:tcMar>
              <w:top w:w="80" w:type="dxa"/>
              <w:start w:w="120" w:type="dxa"/>
              <w:bottom w:w="80" w:type="dxa"/>
              <w:end w:w="120" w:type="dxa"/>
            </w:tcMar>
            <w:shd w:fill="F2F4F7"/>
          </w:tcPr>
          <w:p>
            <w:pPr>
              <w:spacing w:after="20"/>
            </w:pPr>
            <w:r>
              <w:rPr>
                <w:rFonts w:ascii="Calibri" w:hAnsi="Calibri"/>
                <w:sz w:val="16"/>
              </w:rPr>
              <w:t>Authentication</w:t>
            </w:r>
          </w:p>
        </w:tc>
        <w:tc>
          <w:tcPr>
            <w:tcW w:type="dxa" w:w="3330"/>
            <w:vAlign w:val="center"/>
            <w:tcMar>
              <w:top w:w="80" w:type="dxa"/>
              <w:start w:w="120" w:type="dxa"/>
              <w:bottom w:w="80" w:type="dxa"/>
              <w:end w:w="120" w:type="dxa"/>
            </w:tcMar>
            <w:shd w:fill="F2F4F7"/>
          </w:tcPr>
          <w:p>
            <w:pPr>
              <w:spacing w:after="20"/>
            </w:pPr>
            <w:r>
              <w:rPr>
                <w:rFonts w:ascii="Calibri" w:hAnsi="Calibri"/>
                <w:sz w:val="16"/>
              </w:rPr>
              <w:t>interactive/azcli/env/PAT</w:t>
            </w:r>
          </w:p>
        </w:tc>
        <w:tc>
          <w:tcPr>
            <w:tcW w:type="dxa" w:w="3330"/>
            <w:vAlign w:val="center"/>
            <w:tcMar>
              <w:top w:w="80" w:type="dxa"/>
              <w:start w:w="120" w:type="dxa"/>
              <w:bottom w:w="80" w:type="dxa"/>
              <w:end w:w="120" w:type="dxa"/>
            </w:tcMar>
            <w:shd w:fill="F2F4F7"/>
          </w:tcPr>
          <w:p>
            <w:pPr>
              <w:spacing w:after="20"/>
            </w:pPr>
            <w:r>
              <w:rPr>
                <w:rFonts w:ascii="Calibri" w:hAnsi="Calibri"/>
                <w:sz w:val="16"/>
              </w:rPr>
              <w:t>interactive/azcli/env/PAT</w:t>
            </w:r>
          </w:p>
        </w:tc>
      </w:tr>
      <w:tr>
        <w:trPr>
          <w:cantSplit/>
        </w:trPr>
        <w:tc>
          <w:tcPr>
            <w:tcW w:type="dxa" w:w="2700"/>
            <w:vAlign w:val="center"/>
            <w:tcMar>
              <w:top w:w="80" w:type="dxa"/>
              <w:start w:w="120" w:type="dxa"/>
              <w:bottom w:w="80" w:type="dxa"/>
              <w:end w:w="120" w:type="dxa"/>
            </w:tcMar>
            <w:shd w:fill="FFFFFF"/>
          </w:tcPr>
          <w:p>
            <w:pPr>
              <w:spacing w:after="20"/>
            </w:pPr>
            <w:r>
              <w:rPr>
                <w:rFonts w:ascii="Calibri" w:hAnsi="Calibri"/>
                <w:sz w:val="16"/>
              </w:rPr>
              <w:t>Tool approval</w:t>
            </w:r>
          </w:p>
        </w:tc>
        <w:tc>
          <w:tcPr>
            <w:tcW w:type="dxa" w:w="3330"/>
            <w:vAlign w:val="center"/>
            <w:tcMar>
              <w:top w:w="80" w:type="dxa"/>
              <w:start w:w="120" w:type="dxa"/>
              <w:bottom w:w="80" w:type="dxa"/>
              <w:end w:w="120" w:type="dxa"/>
            </w:tcMar>
            <w:shd w:fill="FFFFFF"/>
          </w:tcPr>
          <w:p>
            <w:pPr>
              <w:spacing w:after="20"/>
            </w:pPr>
            <w:r>
              <w:rPr>
                <w:rFonts w:ascii="Calibri" w:hAnsi="Calibri"/>
                <w:sz w:val="16"/>
              </w:rPr>
              <w:t>Client policy and user approval</w:t>
            </w:r>
          </w:p>
        </w:tc>
        <w:tc>
          <w:tcPr>
            <w:tcW w:type="dxa" w:w="3330"/>
            <w:vAlign w:val="center"/>
            <w:tcMar>
              <w:top w:w="80" w:type="dxa"/>
              <w:start w:w="120" w:type="dxa"/>
              <w:bottom w:w="80" w:type="dxa"/>
              <w:end w:w="120" w:type="dxa"/>
            </w:tcMar>
            <w:shd w:fill="FFFFFF"/>
          </w:tcPr>
          <w:p>
            <w:pPr>
              <w:spacing w:after="20"/>
            </w:pPr>
            <w:r>
              <w:rPr>
                <w:rFonts w:ascii="Calibri" w:hAnsi="Calibri"/>
                <w:sz w:val="16"/>
              </w:rPr>
              <w:t>Client policy and user approval</w:t>
            </w:r>
          </w:p>
        </w:tc>
      </w:tr>
      <w:tr>
        <w:trPr>
          <w:cantSplit/>
        </w:trPr>
        <w:tc>
          <w:tcPr>
            <w:tcW w:type="dxa" w:w="2700"/>
            <w:vAlign w:val="center"/>
            <w:tcMar>
              <w:top w:w="80" w:type="dxa"/>
              <w:start w:w="120" w:type="dxa"/>
              <w:bottom w:w="80" w:type="dxa"/>
              <w:end w:w="120" w:type="dxa"/>
            </w:tcMar>
            <w:shd w:fill="F2F4F7"/>
          </w:tcPr>
          <w:p>
            <w:pPr>
              <w:spacing w:after="20"/>
            </w:pPr>
            <w:r>
              <w:rPr>
                <w:rFonts w:ascii="Calibri" w:hAnsi="Calibri"/>
                <w:sz w:val="16"/>
              </w:rPr>
              <w:t>Runtime evidence</w:t>
            </w:r>
          </w:p>
        </w:tc>
        <w:tc>
          <w:tcPr>
            <w:tcW w:type="dxa" w:w="3330"/>
            <w:vAlign w:val="center"/>
            <w:tcMar>
              <w:top w:w="80" w:type="dxa"/>
              <w:start w:w="120" w:type="dxa"/>
              <w:bottom w:w="80" w:type="dxa"/>
              <w:end w:w="120" w:type="dxa"/>
            </w:tcMar>
            <w:shd w:fill="F2F4F7"/>
          </w:tcPr>
          <w:p>
            <w:pPr>
              <w:spacing w:after="20"/>
            </w:pPr>
            <w:r>
              <w:rPr>
                <w:rFonts w:ascii="Calibri" w:hAnsi="Calibri"/>
                <w:sz w:val="16"/>
              </w:rPr>
              <w:t>Blocked</w:t>
            </w:r>
          </w:p>
        </w:tc>
        <w:tc>
          <w:tcPr>
            <w:tcW w:type="dxa" w:w="3330"/>
            <w:vAlign w:val="center"/>
            <w:tcMar>
              <w:top w:w="80" w:type="dxa"/>
              <w:start w:w="120" w:type="dxa"/>
              <w:bottom w:w="80" w:type="dxa"/>
              <w:end w:w="120" w:type="dxa"/>
            </w:tcMar>
            <w:shd w:fill="F2F4F7"/>
          </w:tcPr>
          <w:p>
            <w:pPr>
              <w:spacing w:after="20"/>
            </w:pPr>
            <w:r>
              <w:rPr>
                <w:rFonts w:ascii="Calibri" w:hAnsi="Calibri"/>
                <w:sz w:val="16"/>
              </w:rPr>
              <w:t>Blocked</w:t>
            </w:r>
          </w:p>
        </w:tc>
      </w:tr>
      <w:tr>
        <w:trPr>
          <w:cantSplit/>
        </w:trPr>
        <w:tc>
          <w:tcPr>
            <w:tcW w:type="dxa" w:w="2700"/>
            <w:vAlign w:val="center"/>
            <w:tcMar>
              <w:top w:w="80" w:type="dxa"/>
              <w:start w:w="120" w:type="dxa"/>
              <w:bottom w:w="80" w:type="dxa"/>
              <w:end w:w="120" w:type="dxa"/>
            </w:tcMar>
            <w:shd w:fill="FFFFFF"/>
          </w:tcPr>
          <w:p>
            <w:pPr>
              <w:spacing w:after="20"/>
            </w:pPr>
            <w:r>
              <w:rPr>
                <w:rFonts w:ascii="Calibri" w:hAnsi="Calibri"/>
                <w:sz w:val="16"/>
              </w:rPr>
              <w:t>Decision</w:t>
            </w:r>
          </w:p>
        </w:tc>
        <w:tc>
          <w:tcPr>
            <w:tcW w:type="dxa" w:w="3330"/>
            <w:vAlign w:val="center"/>
            <w:tcMar>
              <w:top w:w="80" w:type="dxa"/>
              <w:start w:w="120" w:type="dxa"/>
              <w:bottom w:w="80" w:type="dxa"/>
              <w:end w:w="120" w:type="dxa"/>
            </w:tcMar>
            <w:shd w:fill="FFFFFF"/>
          </w:tcPr>
          <w:p>
            <w:pPr>
              <w:spacing w:after="20"/>
            </w:pPr>
            <w:r>
              <w:rPr>
                <w:rFonts w:ascii="Calibri" w:hAnsi="Calibri"/>
                <w:sz w:val="16"/>
              </w:rPr>
              <w:t>Conditional read-only pilot</w:t>
            </w:r>
          </w:p>
        </w:tc>
        <w:tc>
          <w:tcPr>
            <w:tcW w:type="dxa" w:w="3330"/>
            <w:vAlign w:val="center"/>
            <w:tcMar>
              <w:top w:w="80" w:type="dxa"/>
              <w:start w:w="120" w:type="dxa"/>
              <w:bottom w:w="80" w:type="dxa"/>
              <w:end w:w="120" w:type="dxa"/>
            </w:tcMar>
            <w:shd w:fill="FFFFFF"/>
          </w:tcPr>
          <w:p>
            <w:pPr>
              <w:spacing w:after="20"/>
            </w:pPr>
            <w:r>
              <w:rPr>
                <w:rFonts w:ascii="Calibri" w:hAnsi="Calibri"/>
                <w:sz w:val="16"/>
              </w:rPr>
              <w:t>Conditional read-only pilot</w:t>
            </w:r>
          </w:p>
        </w:tc>
      </w:tr>
    </w:tbl>
    <w:p/>
    <w:p>
      <w:pPr>
        <w:pStyle w:val="Heading1"/>
      </w:pPr>
      <w:r>
        <w:t>Consolidated Supply Chain Assessment</w:t>
      </w:r>
    </w:p>
    <w:p>
      <w:pPr>
        <w:widowControl/>
      </w:pPr>
      <w:r>
        <w:t>The customer can retain and verify the exact npm package. Registry metadata ties version 2.8.1 to gitHead 37716afa9f8764b689d2c3e76e3598f6ef3955f5 and an npm signature. ClamAV detected zero infected files. Semgrep produced 13 signals and 77 scan errors; path-handling signals in pipeline-log and work-item-attachment file writes require runtime validation. OSV produced 22 advisory entries across the source dependency graph. The Gitleaks signal is a mock-data false positive.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200"/>
            <w:vAlign w:val="center"/>
            <w:tcMar>
              <w:top w:w="80" w:type="dxa"/>
              <w:start w:w="120" w:type="dxa"/>
              <w:bottom w:w="80" w:type="dxa"/>
              <w:end w:w="120" w:type="dxa"/>
            </w:tcMar>
            <w:shd w:fill="17365D"/>
          </w:tcPr>
          <w:p>
            <w:pPr>
              <w:spacing w:after="20"/>
            </w:pPr>
            <w:r>
              <w:rPr>
                <w:rFonts w:ascii="Calibri" w:hAnsi="Calibri"/>
                <w:b/>
                <w:color w:val="FFFFFF"/>
                <w:sz w:val="16"/>
              </w:rPr>
              <w:t>Evidence</w:t>
            </w:r>
          </w:p>
        </w:tc>
        <w:tc>
          <w:tcPr>
            <w:tcW w:type="dxa" w:w="4500"/>
            <w:vAlign w:val="center"/>
            <w:tcMar>
              <w:top w:w="80" w:type="dxa"/>
              <w:start w:w="120" w:type="dxa"/>
              <w:bottom w:w="80" w:type="dxa"/>
              <w:end w:w="120" w:type="dxa"/>
            </w:tcMar>
            <w:shd w:fill="17365D"/>
          </w:tcPr>
          <w:p>
            <w:pPr>
              <w:spacing w:after="20"/>
            </w:pPr>
            <w:r>
              <w:rPr>
                <w:rFonts w:ascii="Calibri" w:hAnsi="Calibri"/>
                <w:b/>
                <w:color w:val="FFFFFF"/>
                <w:sz w:val="16"/>
              </w:rPr>
              <w:t>Result</w:t>
            </w:r>
          </w:p>
        </w:tc>
        <w:tc>
          <w:tcPr>
            <w:tcW w:type="dxa" w:w="2660"/>
            <w:vAlign w:val="center"/>
            <w:tcMar>
              <w:top w:w="80" w:type="dxa"/>
              <w:start w:w="120" w:type="dxa"/>
              <w:bottom w:w="80" w:type="dxa"/>
              <w:end w:w="120" w:type="dxa"/>
            </w:tcMar>
            <w:shd w:fill="17365D"/>
          </w:tcPr>
          <w:p>
            <w:pPr>
              <w:spacing w:after="20"/>
            </w:pPr>
            <w:r>
              <w:rPr>
                <w:rFonts w:ascii="Calibri" w:hAnsi="Calibri"/>
                <w:b/>
                <w:color w:val="FFFFFF"/>
                <w:sz w:val="16"/>
              </w:rPr>
              <w:t>Disposition</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npm tarball</w:t>
            </w:r>
          </w:p>
        </w:tc>
        <w:tc>
          <w:tcPr>
            <w:tcW w:type="dxa" w:w="4500"/>
            <w:vAlign w:val="center"/>
            <w:tcMar>
              <w:top w:w="80" w:type="dxa"/>
              <w:start w:w="120" w:type="dxa"/>
              <w:bottom w:w="80" w:type="dxa"/>
              <w:end w:w="120" w:type="dxa"/>
            </w:tcMar>
            <w:shd w:fill="FFFFFF"/>
          </w:tcPr>
          <w:p>
            <w:pPr>
              <w:spacing w:after="20"/>
            </w:pPr>
            <w:r>
              <w:rPr>
                <w:rFonts w:ascii="Calibri" w:hAnsi="Calibri"/>
                <w:sz w:val="16"/>
              </w:rPr>
              <w:t>SHA-256 c7790b4958acd56780791fbf47fe0a6ed88b61e7fa3e787a86534242d3c93f19</w:t>
            </w:r>
          </w:p>
        </w:tc>
        <w:tc>
          <w:tcPr>
            <w:tcW w:type="dxa" w:w="2660"/>
            <w:vAlign w:val="center"/>
            <w:tcMar>
              <w:top w:w="80" w:type="dxa"/>
              <w:start w:w="120" w:type="dxa"/>
              <w:bottom w:w="80" w:type="dxa"/>
              <w:end w:w="120" w:type="dxa"/>
            </w:tcMar>
            <w:shd w:fill="FFFFFF"/>
          </w:tcPr>
          <w:p>
            <w:pPr>
              <w:spacing w:after="20"/>
            </w:pPr>
            <w:r>
              <w:rPr>
                <w:rFonts w:ascii="Calibri" w:hAnsi="Calibri"/>
                <w:sz w:val="16"/>
              </w:rPr>
              <w:t>Exact assessed package</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Source commit</w:t>
            </w:r>
          </w:p>
        </w:tc>
        <w:tc>
          <w:tcPr>
            <w:tcW w:type="dxa" w:w="4500"/>
            <w:vAlign w:val="center"/>
            <w:tcMar>
              <w:top w:w="80" w:type="dxa"/>
              <w:start w:w="120" w:type="dxa"/>
              <w:bottom w:w="80" w:type="dxa"/>
              <w:end w:w="120" w:type="dxa"/>
            </w:tcMar>
            <w:shd w:fill="F2F4F7"/>
          </w:tcPr>
          <w:p>
            <w:pPr>
              <w:spacing w:after="20"/>
            </w:pPr>
            <w:r>
              <w:rPr>
                <w:rFonts w:ascii="Calibri" w:hAnsi="Calibri"/>
                <w:sz w:val="16"/>
              </w:rPr>
              <w:t>37716afa9f8764b689d2c3e76e3598f6ef3955f5</w:t>
            </w:r>
          </w:p>
        </w:tc>
        <w:tc>
          <w:tcPr>
            <w:tcW w:type="dxa" w:w="2660"/>
            <w:vAlign w:val="center"/>
            <w:tcMar>
              <w:top w:w="80" w:type="dxa"/>
              <w:start w:w="120" w:type="dxa"/>
              <w:bottom w:w="80" w:type="dxa"/>
              <w:end w:w="120" w:type="dxa"/>
            </w:tcMar>
            <w:shd w:fill="F2F4F7"/>
          </w:tcPr>
          <w:p>
            <w:pPr>
              <w:spacing w:after="20"/>
            </w:pPr>
            <w:r>
              <w:rPr>
                <w:rFonts w:ascii="Calibri" w:hAnsi="Calibri"/>
                <w:sz w:val="16"/>
              </w:rPr>
              <w:t>Matches registry gitHead</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ClamAV 1.5.3 DB 28071</w:t>
            </w:r>
          </w:p>
        </w:tc>
        <w:tc>
          <w:tcPr>
            <w:tcW w:type="dxa" w:w="4500"/>
            <w:vAlign w:val="center"/>
            <w:tcMar>
              <w:top w:w="80" w:type="dxa"/>
              <w:start w:w="120" w:type="dxa"/>
              <w:bottom w:w="80" w:type="dxa"/>
              <w:end w:w="120" w:type="dxa"/>
            </w:tcMar>
            <w:shd w:fill="FFFFFF"/>
          </w:tcPr>
          <w:p>
            <w:pPr>
              <w:spacing w:after="20"/>
            </w:pPr>
            <w:r>
              <w:rPr>
                <w:rFonts w:ascii="Calibri" w:hAnsi="Calibri"/>
                <w:sz w:val="16"/>
              </w:rPr>
              <w:t>Package and 100 source files; 0 infected</w:t>
            </w:r>
          </w:p>
        </w:tc>
        <w:tc>
          <w:tcPr>
            <w:tcW w:type="dxa" w:w="2660"/>
            <w:vAlign w:val="center"/>
            <w:tcMar>
              <w:top w:w="80" w:type="dxa"/>
              <w:start w:w="120" w:type="dxa"/>
              <w:bottom w:w="80" w:type="dxa"/>
              <w:end w:w="120" w:type="dxa"/>
            </w:tcMar>
            <w:shd w:fill="FFFFFF"/>
          </w:tcPr>
          <w:p>
            <w:pPr>
              <w:spacing w:after="20"/>
            </w:pPr>
            <w:r>
              <w:rPr>
                <w:rFonts w:ascii="Calibri" w:hAnsi="Calibri"/>
                <w:sz w:val="16"/>
              </w:rPr>
              <w:t>Clean within static scope</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Semgrep / OSV</w:t>
            </w:r>
          </w:p>
        </w:tc>
        <w:tc>
          <w:tcPr>
            <w:tcW w:type="dxa" w:w="4500"/>
            <w:vAlign w:val="center"/>
            <w:tcMar>
              <w:top w:w="80" w:type="dxa"/>
              <w:start w:w="120" w:type="dxa"/>
              <w:bottom w:w="80" w:type="dxa"/>
              <w:end w:w="120" w:type="dxa"/>
            </w:tcMar>
            <w:shd w:fill="F2F4F7"/>
          </w:tcPr>
          <w:p>
            <w:pPr>
              <w:spacing w:after="20"/>
            </w:pPr>
            <w:r>
              <w:rPr>
                <w:rFonts w:ascii="Calibri" w:hAnsi="Calibri"/>
                <w:sz w:val="16"/>
              </w:rPr>
              <w:t>13 signals; 77 scan errors; 22 advisory entries</w:t>
            </w:r>
          </w:p>
        </w:tc>
        <w:tc>
          <w:tcPr>
            <w:tcW w:type="dxa" w:w="2660"/>
            <w:vAlign w:val="center"/>
            <w:tcMar>
              <w:top w:w="80" w:type="dxa"/>
              <w:start w:w="120" w:type="dxa"/>
              <w:bottom w:w="80" w:type="dxa"/>
              <w:end w:w="120" w:type="dxa"/>
            </w:tcMar>
            <w:shd w:fill="F2F4F7"/>
          </w:tcPr>
          <w:p>
            <w:pPr>
              <w:spacing w:after="20"/>
            </w:pPr>
            <w:r>
              <w:rPr>
                <w:rFonts w:ascii="Calibri" w:hAnsi="Calibri"/>
                <w:sz w:val="16"/>
              </w:rPr>
              <w:t>Manual triage and runtime tests required</w:t>
            </w:r>
          </w:p>
        </w:tc>
      </w:tr>
    </w:tbl>
    <w:p/>
    <w:p>
      <w:pPr>
        <w:pStyle w:val="Heading1"/>
      </w:pPr>
      <w:r>
        <w:t>Consolidated Privacy and Data Protection Assessment</w:t>
      </w:r>
    </w:p>
    <w:p>
      <w:pPr>
        <w:widowControl/>
      </w:pPr>
      <w:r>
        <w:t>A pilot can process developer identity, organisation identifiers, code, work-item text, comments, repository metadata, pipeline logs and security findings. Under UK GDPR, the firm must establish purpose, lawful basis, minimisation, transparency, retention, rights handling, security, international-transfer safeguards and processor terms. A DPIA trigger decision is required. FCA and PRA accountability, operational resilience and third-party risk duties remain with the regulated firm even where Microsoft operates the service.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000"/>
            <w:vAlign w:val="center"/>
            <w:tcMar>
              <w:top w:w="80" w:type="dxa"/>
              <w:start w:w="120" w:type="dxa"/>
              <w:bottom w:w="80" w:type="dxa"/>
              <w:end w:w="120" w:type="dxa"/>
            </w:tcMar>
            <w:shd w:fill="17365D"/>
          </w:tcPr>
          <w:p>
            <w:pPr>
              <w:spacing w:after="20"/>
            </w:pPr>
            <w:r>
              <w:rPr>
                <w:rFonts w:ascii="Calibri" w:hAnsi="Calibri"/>
                <w:b/>
                <w:color w:val="FFFFFF"/>
                <w:sz w:val="16"/>
              </w:rPr>
              <w:t>Data class</w:t>
            </w:r>
          </w:p>
        </w:tc>
        <w:tc>
          <w:tcPr>
            <w:tcW w:type="dxa" w:w="3500"/>
            <w:vAlign w:val="center"/>
            <w:tcMar>
              <w:top w:w="80" w:type="dxa"/>
              <w:start w:w="120" w:type="dxa"/>
              <w:bottom w:w="80" w:type="dxa"/>
              <w:end w:w="120" w:type="dxa"/>
            </w:tcMar>
            <w:shd w:fill="17365D"/>
          </w:tcPr>
          <w:p>
            <w:pPr>
              <w:spacing w:after="20"/>
            </w:pPr>
            <w:r>
              <w:rPr>
                <w:rFonts w:ascii="Calibri" w:hAnsi="Calibri"/>
                <w:b/>
                <w:color w:val="FFFFFF"/>
                <w:sz w:val="16"/>
              </w:rPr>
              <w:t>Example</w:t>
            </w:r>
          </w:p>
        </w:tc>
        <w:tc>
          <w:tcPr>
            <w:tcW w:type="dxa" w:w="3860"/>
            <w:vAlign w:val="center"/>
            <w:tcMar>
              <w:top w:w="80" w:type="dxa"/>
              <w:start w:w="120" w:type="dxa"/>
              <w:bottom w:w="80" w:type="dxa"/>
              <w:end w:w="120" w:type="dxa"/>
            </w:tcMar>
            <w:shd w:fill="17365D"/>
          </w:tcPr>
          <w:p>
            <w:pPr>
              <w:spacing w:after="20"/>
            </w:pPr>
            <w:r>
              <w:rPr>
                <w:rFonts w:ascii="Calibri" w:hAnsi="Calibri"/>
                <w:b/>
                <w:color w:val="FFFFFF"/>
                <w:sz w:val="16"/>
              </w:rPr>
              <w:t>Control</w:t>
            </w:r>
          </w:p>
        </w:tc>
      </w:tr>
      <w:tr>
        <w:trPr>
          <w:cantSplit/>
        </w:trPr>
        <w:tc>
          <w:tcPr>
            <w:tcW w:type="dxa" w:w="2000"/>
            <w:vAlign w:val="center"/>
            <w:tcMar>
              <w:top w:w="80" w:type="dxa"/>
              <w:start w:w="120" w:type="dxa"/>
              <w:bottom w:w="80" w:type="dxa"/>
              <w:end w:w="120" w:type="dxa"/>
            </w:tcMar>
            <w:shd w:fill="FFFFFF"/>
          </w:tcPr>
          <w:p>
            <w:pPr>
              <w:spacing w:after="20"/>
            </w:pPr>
            <w:r>
              <w:rPr>
                <w:rFonts w:ascii="Calibri" w:hAnsi="Calibri"/>
                <w:sz w:val="16"/>
              </w:rPr>
              <w:t>Personal data</w:t>
            </w:r>
          </w:p>
        </w:tc>
        <w:tc>
          <w:tcPr>
            <w:tcW w:type="dxa" w:w="3500"/>
            <w:vAlign w:val="center"/>
            <w:tcMar>
              <w:top w:w="80" w:type="dxa"/>
              <w:start w:w="120" w:type="dxa"/>
              <w:bottom w:w="80" w:type="dxa"/>
              <w:end w:w="120" w:type="dxa"/>
            </w:tcMar>
            <w:shd w:fill="FFFFFF"/>
          </w:tcPr>
          <w:p>
            <w:pPr>
              <w:spacing w:after="20"/>
            </w:pPr>
            <w:r>
              <w:rPr>
                <w:rFonts w:ascii="Calibri" w:hAnsi="Calibri"/>
                <w:sz w:val="16"/>
              </w:rPr>
              <w:t>names, comments, work assignments</w:t>
            </w:r>
          </w:p>
        </w:tc>
        <w:tc>
          <w:tcPr>
            <w:tcW w:type="dxa" w:w="3860"/>
            <w:vAlign w:val="center"/>
            <w:tcMar>
              <w:top w:w="80" w:type="dxa"/>
              <w:start w:w="120" w:type="dxa"/>
              <w:bottom w:w="80" w:type="dxa"/>
              <w:end w:w="120" w:type="dxa"/>
            </w:tcMar>
            <w:shd w:fill="FFFFFF"/>
          </w:tcPr>
          <w:p>
            <w:pPr>
              <w:spacing w:after="20"/>
            </w:pPr>
            <w:r>
              <w:rPr>
                <w:rFonts w:ascii="Calibri" w:hAnsi="Calibri"/>
                <w:sz w:val="16"/>
              </w:rPr>
              <w:t>minimise and restrict access</w:t>
            </w:r>
          </w:p>
        </w:tc>
      </w:tr>
      <w:tr>
        <w:trPr>
          <w:cantSplit/>
        </w:trPr>
        <w:tc>
          <w:tcPr>
            <w:tcW w:type="dxa" w:w="2000"/>
            <w:vAlign w:val="center"/>
            <w:tcMar>
              <w:top w:w="80" w:type="dxa"/>
              <w:start w:w="120" w:type="dxa"/>
              <w:bottom w:w="80" w:type="dxa"/>
              <w:end w:w="120" w:type="dxa"/>
            </w:tcMar>
            <w:shd w:fill="F2F4F7"/>
          </w:tcPr>
          <w:p>
            <w:pPr>
              <w:spacing w:after="20"/>
            </w:pPr>
            <w:r>
              <w:rPr>
                <w:rFonts w:ascii="Calibri" w:hAnsi="Calibri"/>
                <w:sz w:val="16"/>
              </w:rPr>
              <w:t>Confidential code</w:t>
            </w:r>
          </w:p>
        </w:tc>
        <w:tc>
          <w:tcPr>
            <w:tcW w:type="dxa" w:w="3500"/>
            <w:vAlign w:val="center"/>
            <w:tcMar>
              <w:top w:w="80" w:type="dxa"/>
              <w:start w:w="120" w:type="dxa"/>
              <w:bottom w:w="80" w:type="dxa"/>
              <w:end w:w="120" w:type="dxa"/>
            </w:tcMar>
            <w:shd w:fill="F2F4F7"/>
          </w:tcPr>
          <w:p>
            <w:pPr>
              <w:spacing w:after="20"/>
            </w:pPr>
            <w:r>
              <w:rPr>
                <w:rFonts w:ascii="Calibri" w:hAnsi="Calibri"/>
                <w:sz w:val="16"/>
              </w:rPr>
              <w:t>repositories and pull requests</w:t>
            </w:r>
          </w:p>
        </w:tc>
        <w:tc>
          <w:tcPr>
            <w:tcW w:type="dxa" w:w="3860"/>
            <w:vAlign w:val="center"/>
            <w:tcMar>
              <w:top w:w="80" w:type="dxa"/>
              <w:start w:w="120" w:type="dxa"/>
              <w:bottom w:w="80" w:type="dxa"/>
              <w:end w:w="120" w:type="dxa"/>
            </w:tcMar>
            <w:shd w:fill="F2F4F7"/>
          </w:tcPr>
          <w:p>
            <w:pPr>
              <w:spacing w:after="20"/>
            </w:pPr>
            <w:r>
              <w:rPr>
                <w:rFonts w:ascii="Calibri" w:hAnsi="Calibri"/>
                <w:sz w:val="16"/>
              </w:rPr>
              <w:t>exclude from pilot</w:t>
            </w:r>
          </w:p>
        </w:tc>
      </w:tr>
      <w:tr>
        <w:trPr>
          <w:cantSplit/>
        </w:trPr>
        <w:tc>
          <w:tcPr>
            <w:tcW w:type="dxa" w:w="2000"/>
            <w:vAlign w:val="center"/>
            <w:tcMar>
              <w:top w:w="80" w:type="dxa"/>
              <w:start w:w="120" w:type="dxa"/>
              <w:bottom w:w="80" w:type="dxa"/>
              <w:end w:w="120" w:type="dxa"/>
            </w:tcMar>
            <w:shd w:fill="FFFFFF"/>
          </w:tcPr>
          <w:p>
            <w:pPr>
              <w:spacing w:after="20"/>
            </w:pPr>
            <w:r>
              <w:rPr>
                <w:rFonts w:ascii="Calibri" w:hAnsi="Calibri"/>
                <w:sz w:val="16"/>
              </w:rPr>
              <w:t>Security data</w:t>
            </w:r>
          </w:p>
        </w:tc>
        <w:tc>
          <w:tcPr>
            <w:tcW w:type="dxa" w:w="3500"/>
            <w:vAlign w:val="center"/>
            <w:tcMar>
              <w:top w:w="80" w:type="dxa"/>
              <w:start w:w="120" w:type="dxa"/>
              <w:bottom w:w="80" w:type="dxa"/>
              <w:end w:w="120" w:type="dxa"/>
            </w:tcMar>
            <w:shd w:fill="FFFFFF"/>
          </w:tcPr>
          <w:p>
            <w:pPr>
              <w:spacing w:after="20"/>
            </w:pPr>
            <w:r>
              <w:rPr>
                <w:rFonts w:ascii="Calibri" w:hAnsi="Calibri"/>
                <w:sz w:val="16"/>
              </w:rPr>
              <w:t>findings, pipeline logs, secrets context</w:t>
            </w:r>
          </w:p>
        </w:tc>
        <w:tc>
          <w:tcPr>
            <w:tcW w:type="dxa" w:w="3860"/>
            <w:vAlign w:val="center"/>
            <w:tcMar>
              <w:top w:w="80" w:type="dxa"/>
              <w:start w:w="120" w:type="dxa"/>
              <w:bottom w:w="80" w:type="dxa"/>
              <w:end w:w="120" w:type="dxa"/>
            </w:tcMar>
            <w:shd w:fill="FFFFFF"/>
          </w:tcPr>
          <w:p>
            <w:pPr>
              <w:spacing w:after="20"/>
            </w:pPr>
            <w:r>
              <w:rPr>
                <w:rFonts w:ascii="Calibri" w:hAnsi="Calibri"/>
                <w:sz w:val="16"/>
              </w:rPr>
              <w:t>redact and DLP</w:t>
            </w:r>
          </w:p>
        </w:tc>
      </w:tr>
      <w:tr>
        <w:trPr>
          <w:cantSplit/>
        </w:trPr>
        <w:tc>
          <w:tcPr>
            <w:tcW w:type="dxa" w:w="2000"/>
            <w:vAlign w:val="center"/>
            <w:tcMar>
              <w:top w:w="80" w:type="dxa"/>
              <w:start w:w="120" w:type="dxa"/>
              <w:bottom w:w="80" w:type="dxa"/>
              <w:end w:w="120" w:type="dxa"/>
            </w:tcMar>
            <w:shd w:fill="F2F4F7"/>
          </w:tcPr>
          <w:p>
            <w:pPr>
              <w:spacing w:after="20"/>
            </w:pPr>
            <w:r>
              <w:rPr>
                <w:rFonts w:ascii="Calibri" w:hAnsi="Calibri"/>
                <w:sz w:val="16"/>
              </w:rPr>
              <w:t>Regulated records</w:t>
            </w:r>
          </w:p>
        </w:tc>
        <w:tc>
          <w:tcPr>
            <w:tcW w:type="dxa" w:w="3500"/>
            <w:vAlign w:val="center"/>
            <w:tcMar>
              <w:top w:w="80" w:type="dxa"/>
              <w:start w:w="120" w:type="dxa"/>
              <w:bottom w:w="80" w:type="dxa"/>
              <w:end w:w="120" w:type="dxa"/>
            </w:tcMar>
            <w:shd w:fill="F2F4F7"/>
          </w:tcPr>
          <w:p>
            <w:pPr>
              <w:spacing w:after="20"/>
            </w:pPr>
            <w:r>
              <w:rPr>
                <w:rFonts w:ascii="Calibri" w:hAnsi="Calibri"/>
                <w:sz w:val="16"/>
              </w:rPr>
              <w:t>claims or customer-linked work items</w:t>
            </w:r>
          </w:p>
        </w:tc>
        <w:tc>
          <w:tcPr>
            <w:tcW w:type="dxa" w:w="3860"/>
            <w:vAlign w:val="center"/>
            <w:tcMar>
              <w:top w:w="80" w:type="dxa"/>
              <w:start w:w="120" w:type="dxa"/>
              <w:bottom w:w="80" w:type="dxa"/>
              <w:end w:w="120" w:type="dxa"/>
            </w:tcMar>
            <w:shd w:fill="F2F4F7"/>
          </w:tcPr>
          <w:p>
            <w:pPr>
              <w:spacing w:after="20"/>
            </w:pPr>
            <w:r>
              <w:rPr>
                <w:rFonts w:ascii="Calibri" w:hAnsi="Calibri"/>
                <w:sz w:val="16"/>
              </w:rPr>
              <w:t>prohibit without separate approval</w:t>
            </w:r>
          </w:p>
        </w:tc>
      </w:tr>
    </w:tbl>
    <w:p/>
    <w:p>
      <w:pPr>
        <w:pStyle w:val="Heading1"/>
      </w:pPr>
      <w:r>
        <w:t>Enterprise Controls Roadmap</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1600"/>
            <w:vAlign w:val="center"/>
            <w:tcMar>
              <w:top w:w="80" w:type="dxa"/>
              <w:start w:w="120" w:type="dxa"/>
              <w:bottom w:w="80" w:type="dxa"/>
              <w:end w:w="120" w:type="dxa"/>
            </w:tcMar>
            <w:shd w:fill="17365D"/>
          </w:tcPr>
          <w:p>
            <w:pPr>
              <w:spacing w:after="20"/>
            </w:pPr>
            <w:r>
              <w:rPr>
                <w:rFonts w:ascii="Calibri" w:hAnsi="Calibri"/>
                <w:b/>
                <w:color w:val="FFFFFF"/>
                <w:sz w:val="16"/>
              </w:rPr>
              <w:t>Milestone</w:t>
            </w:r>
          </w:p>
        </w:tc>
        <w:tc>
          <w:tcPr>
            <w:tcW w:type="dxa" w:w="1600"/>
            <w:vAlign w:val="center"/>
            <w:tcMar>
              <w:top w:w="80" w:type="dxa"/>
              <w:start w:w="120" w:type="dxa"/>
              <w:bottom w:w="80" w:type="dxa"/>
              <w:end w:w="120" w:type="dxa"/>
            </w:tcMar>
            <w:shd w:fill="17365D"/>
          </w:tcPr>
          <w:p>
            <w:pPr>
              <w:spacing w:after="20"/>
            </w:pPr>
            <w:r>
              <w:rPr>
                <w:rFonts w:ascii="Calibri" w:hAnsi="Calibri"/>
                <w:b/>
                <w:color w:val="FFFFFF"/>
                <w:sz w:val="16"/>
              </w:rPr>
              <w:t>Owner</w:t>
            </w:r>
          </w:p>
        </w:tc>
        <w:tc>
          <w:tcPr>
            <w:tcW w:type="dxa" w:w="2900"/>
            <w:vAlign w:val="center"/>
            <w:tcMar>
              <w:top w:w="80" w:type="dxa"/>
              <w:start w:w="120" w:type="dxa"/>
              <w:bottom w:w="80" w:type="dxa"/>
              <w:end w:w="120" w:type="dxa"/>
            </w:tcMar>
            <w:shd w:fill="17365D"/>
          </w:tcPr>
          <w:p>
            <w:pPr>
              <w:spacing w:after="20"/>
            </w:pPr>
            <w:r>
              <w:rPr>
                <w:rFonts w:ascii="Calibri" w:hAnsi="Calibri"/>
                <w:b/>
                <w:color w:val="FFFFFF"/>
                <w:sz w:val="16"/>
              </w:rPr>
              <w:t>Control</w:t>
            </w:r>
          </w:p>
        </w:tc>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Strength</w:t>
            </w:r>
          </w:p>
        </w:tc>
        <w:tc>
          <w:tcPr>
            <w:tcW w:type="dxa" w:w="1760"/>
            <w:vAlign w:val="center"/>
            <w:tcMar>
              <w:top w:w="80" w:type="dxa"/>
              <w:start w:w="120" w:type="dxa"/>
              <w:bottom w:w="80" w:type="dxa"/>
              <w:end w:w="120" w:type="dxa"/>
            </w:tcMar>
            <w:shd w:fill="17365D"/>
          </w:tcPr>
          <w:p>
            <w:pPr>
              <w:spacing w:after="20"/>
            </w:pPr>
            <w:r>
              <w:rPr>
                <w:rFonts w:ascii="Calibri" w:hAnsi="Calibri"/>
                <w:b/>
                <w:color w:val="FFFFFF"/>
                <w:sz w:val="16"/>
              </w:rPr>
              <w:t>Acceptance test</w:t>
            </w:r>
          </w:p>
        </w:tc>
      </w:tr>
      <w:tr>
        <w:trPr>
          <w:cantSplit/>
        </w:trPr>
        <w:tc>
          <w:tcPr>
            <w:tcW w:type="dxa" w:w="1600"/>
            <w:vAlign w:val="center"/>
            <w:tcMar>
              <w:top w:w="80" w:type="dxa"/>
              <w:start w:w="120" w:type="dxa"/>
              <w:bottom w:w="80" w:type="dxa"/>
              <w:end w:w="120" w:type="dxa"/>
            </w:tcMar>
            <w:shd w:fill="FFFFFF"/>
          </w:tcPr>
          <w:p>
            <w:pPr>
              <w:spacing w:after="20"/>
            </w:pPr>
            <w:r>
              <w:rPr>
                <w:rFonts w:ascii="Calibri" w:hAnsi="Calibri"/>
                <w:sz w:val="16"/>
              </w:rPr>
              <w:t>Before pilot</w:t>
            </w:r>
          </w:p>
        </w:tc>
        <w:tc>
          <w:tcPr>
            <w:tcW w:type="dxa" w:w="1600"/>
            <w:vAlign w:val="center"/>
            <w:tcMar>
              <w:top w:w="80" w:type="dxa"/>
              <w:start w:w="120" w:type="dxa"/>
              <w:bottom w:w="80" w:type="dxa"/>
              <w:end w:w="120" w:type="dxa"/>
            </w:tcMar>
            <w:shd w:fill="FFFFFF"/>
          </w:tcPr>
          <w:p>
            <w:pPr>
              <w:spacing w:after="20"/>
            </w:pPr>
            <w:r>
              <w:rPr>
                <w:rFonts w:ascii="Calibri" w:hAnsi="Calibri"/>
                <w:sz w:val="16"/>
              </w:rPr>
              <w:t>Platform</w:t>
            </w:r>
          </w:p>
        </w:tc>
        <w:tc>
          <w:tcPr>
            <w:tcW w:type="dxa" w:w="2900"/>
            <w:vAlign w:val="center"/>
            <w:tcMar>
              <w:top w:w="80" w:type="dxa"/>
              <w:start w:w="120" w:type="dxa"/>
              <w:bottom w:w="80" w:type="dxa"/>
              <w:end w:w="120" w:type="dxa"/>
            </w:tcMar>
            <w:shd w:fill="FFFFFF"/>
          </w:tcPr>
          <w:p>
            <w:pPr>
              <w:spacing w:after="20"/>
            </w:pPr>
            <w:r>
              <w:rPr>
                <w:rFonts w:ascii="Calibri" w:hAnsi="Calibri"/>
                <w:sz w:val="16"/>
              </w:rPr>
              <w:t>Exact digest, read domains and exact tools</w:t>
            </w:r>
          </w:p>
        </w:tc>
        <w:tc>
          <w:tcPr>
            <w:tcW w:type="dxa" w:w="1500"/>
            <w:vAlign w:val="center"/>
            <w:tcMar>
              <w:top w:w="80" w:type="dxa"/>
              <w:start w:w="120" w:type="dxa"/>
              <w:bottom w:w="80" w:type="dxa"/>
              <w:end w:w="120" w:type="dxa"/>
            </w:tcMar>
            <w:shd w:fill="FFFFFF"/>
          </w:tcPr>
          <w:p>
            <w:pPr>
              <w:spacing w:after="20"/>
            </w:pPr>
            <w:r>
              <w:rPr>
                <w:rFonts w:ascii="Calibri" w:hAnsi="Calibri"/>
                <w:sz w:val="16"/>
              </w:rPr>
              <w:t>Strong preventive</w:t>
            </w:r>
          </w:p>
        </w:tc>
        <w:tc>
          <w:tcPr>
            <w:tcW w:type="dxa" w:w="1760"/>
            <w:vAlign w:val="center"/>
            <w:tcMar>
              <w:top w:w="80" w:type="dxa"/>
              <w:start w:w="120" w:type="dxa"/>
              <w:bottom w:w="80" w:type="dxa"/>
              <w:end w:w="120" w:type="dxa"/>
            </w:tcMar>
            <w:shd w:fill="FFFFFF"/>
          </w:tcPr>
          <w:p>
            <w:pPr>
              <w:spacing w:after="20"/>
            </w:pPr>
            <w:r>
              <w:rPr>
                <w:rFonts w:ascii="Calibri" w:hAnsi="Calibri"/>
                <w:sz w:val="16"/>
              </w:rPr>
              <w:t>Write tools absent and denied</w:t>
            </w:r>
          </w:p>
        </w:tc>
      </w:tr>
      <w:tr>
        <w:trPr>
          <w:cantSplit/>
        </w:trPr>
        <w:tc>
          <w:tcPr>
            <w:tcW w:type="dxa" w:w="1600"/>
            <w:vAlign w:val="center"/>
            <w:tcMar>
              <w:top w:w="80" w:type="dxa"/>
              <w:start w:w="120" w:type="dxa"/>
              <w:bottom w:w="80" w:type="dxa"/>
              <w:end w:w="120" w:type="dxa"/>
            </w:tcMar>
            <w:shd w:fill="F2F4F7"/>
          </w:tcPr>
          <w:p>
            <w:pPr>
              <w:spacing w:after="20"/>
            </w:pPr>
            <w:r>
              <w:rPr>
                <w:rFonts w:ascii="Calibri" w:hAnsi="Calibri"/>
                <w:sz w:val="16"/>
              </w:rPr>
              <w:t>Before pilot</w:t>
            </w:r>
          </w:p>
        </w:tc>
        <w:tc>
          <w:tcPr>
            <w:tcW w:type="dxa" w:w="1600"/>
            <w:vAlign w:val="center"/>
            <w:tcMar>
              <w:top w:w="80" w:type="dxa"/>
              <w:start w:w="120" w:type="dxa"/>
              <w:bottom w:w="80" w:type="dxa"/>
              <w:end w:w="120" w:type="dxa"/>
            </w:tcMar>
            <w:shd w:fill="F2F4F7"/>
          </w:tcPr>
          <w:p>
            <w:pPr>
              <w:spacing w:after="20"/>
            </w:pPr>
            <w:r>
              <w:rPr>
                <w:rFonts w:ascii="Calibri" w:hAnsi="Calibri"/>
                <w:sz w:val="16"/>
              </w:rPr>
              <w:t>IAM</w:t>
            </w:r>
          </w:p>
        </w:tc>
        <w:tc>
          <w:tcPr>
            <w:tcW w:type="dxa" w:w="2900"/>
            <w:vAlign w:val="center"/>
            <w:tcMar>
              <w:top w:w="80" w:type="dxa"/>
              <w:start w:w="120" w:type="dxa"/>
              <w:bottom w:w="80" w:type="dxa"/>
              <w:end w:w="120" w:type="dxa"/>
            </w:tcMar>
            <w:shd w:fill="F2F4F7"/>
          </w:tcPr>
          <w:p>
            <w:pPr>
              <w:spacing w:after="20"/>
            </w:pPr>
            <w:r>
              <w:rPr>
                <w:rFonts w:ascii="Calibri" w:hAnsi="Calibri"/>
                <w:sz w:val="16"/>
              </w:rPr>
              <w:t>Dedicated least-privilege Entra identity</w:t>
            </w:r>
          </w:p>
        </w:tc>
        <w:tc>
          <w:tcPr>
            <w:tcW w:type="dxa" w:w="1500"/>
            <w:vAlign w:val="center"/>
            <w:tcMar>
              <w:top w:w="80" w:type="dxa"/>
              <w:start w:w="120" w:type="dxa"/>
              <w:bottom w:w="80" w:type="dxa"/>
              <w:end w:w="120" w:type="dxa"/>
            </w:tcMar>
            <w:shd w:fill="F2F4F7"/>
          </w:tcPr>
          <w:p>
            <w:pPr>
              <w:spacing w:after="20"/>
            </w:pPr>
            <w:r>
              <w:rPr>
                <w:rFonts w:ascii="Calibri" w:hAnsi="Calibri"/>
                <w:sz w:val="16"/>
              </w:rPr>
              <w:t>Strong preventive</w:t>
            </w:r>
          </w:p>
        </w:tc>
        <w:tc>
          <w:tcPr>
            <w:tcW w:type="dxa" w:w="1760"/>
            <w:vAlign w:val="center"/>
            <w:tcMar>
              <w:top w:w="80" w:type="dxa"/>
              <w:start w:w="120" w:type="dxa"/>
              <w:bottom w:w="80" w:type="dxa"/>
              <w:end w:w="120" w:type="dxa"/>
            </w:tcMar>
            <w:shd w:fill="F2F4F7"/>
          </w:tcPr>
          <w:p>
            <w:pPr>
              <w:spacing w:after="20"/>
            </w:pPr>
            <w:r>
              <w:rPr>
                <w:rFonts w:ascii="Calibri" w:hAnsi="Calibri"/>
                <w:sz w:val="16"/>
              </w:rPr>
              <w:t>Effective permissions enumerated</w:t>
            </w:r>
          </w:p>
        </w:tc>
      </w:tr>
      <w:tr>
        <w:trPr>
          <w:cantSplit/>
        </w:trPr>
        <w:tc>
          <w:tcPr>
            <w:tcW w:type="dxa" w:w="1600"/>
            <w:vAlign w:val="center"/>
            <w:tcMar>
              <w:top w:w="80" w:type="dxa"/>
              <w:start w:w="120" w:type="dxa"/>
              <w:bottom w:w="80" w:type="dxa"/>
              <w:end w:w="120" w:type="dxa"/>
            </w:tcMar>
            <w:shd w:fill="FFFFFF"/>
          </w:tcPr>
          <w:p>
            <w:pPr>
              <w:spacing w:after="20"/>
            </w:pPr>
            <w:r>
              <w:rPr>
                <w:rFonts w:ascii="Calibri" w:hAnsi="Calibri"/>
                <w:sz w:val="16"/>
              </w:rPr>
              <w:t>Before pilot</w:t>
            </w:r>
          </w:p>
        </w:tc>
        <w:tc>
          <w:tcPr>
            <w:tcW w:type="dxa" w:w="1600"/>
            <w:vAlign w:val="center"/>
            <w:tcMar>
              <w:top w:w="80" w:type="dxa"/>
              <w:start w:w="120" w:type="dxa"/>
              <w:bottom w:w="80" w:type="dxa"/>
              <w:end w:w="120" w:type="dxa"/>
            </w:tcMar>
            <w:shd w:fill="FFFFFF"/>
          </w:tcPr>
          <w:p>
            <w:pPr>
              <w:spacing w:after="20"/>
            </w:pPr>
            <w:r>
              <w:rPr>
                <w:rFonts w:ascii="Calibri" w:hAnsi="Calibri"/>
                <w:sz w:val="16"/>
              </w:rPr>
              <w:t>IDE Engineering</w:t>
            </w:r>
          </w:p>
        </w:tc>
        <w:tc>
          <w:tcPr>
            <w:tcW w:type="dxa" w:w="2900"/>
            <w:vAlign w:val="center"/>
            <w:tcMar>
              <w:top w:w="80" w:type="dxa"/>
              <w:start w:w="120" w:type="dxa"/>
              <w:bottom w:w="80" w:type="dxa"/>
              <w:end w:w="120" w:type="dxa"/>
            </w:tcMar>
            <w:shd w:fill="FFFFFF"/>
          </w:tcPr>
          <w:p>
            <w:pPr>
              <w:spacing w:after="20"/>
            </w:pPr>
            <w:r>
              <w:rPr>
                <w:rFonts w:ascii="Calibri" w:hAnsi="Calibri"/>
                <w:sz w:val="16"/>
              </w:rPr>
              <w:t>Per-invocation approval; no global auto-approval</w:t>
            </w:r>
          </w:p>
        </w:tc>
        <w:tc>
          <w:tcPr>
            <w:tcW w:type="dxa" w:w="1500"/>
            <w:vAlign w:val="center"/>
            <w:tcMar>
              <w:top w:w="80" w:type="dxa"/>
              <w:start w:w="120" w:type="dxa"/>
              <w:bottom w:w="80" w:type="dxa"/>
              <w:end w:w="120" w:type="dxa"/>
            </w:tcMar>
            <w:shd w:fill="FFFFFF"/>
          </w:tcPr>
          <w:p>
            <w:pPr>
              <w:spacing w:after="20"/>
            </w:pPr>
            <w:r>
              <w:rPr>
                <w:rFonts w:ascii="Calibri" w:hAnsi="Calibri"/>
                <w:sz w:val="16"/>
              </w:rPr>
              <w:t>Preventive</w:t>
            </w:r>
          </w:p>
        </w:tc>
        <w:tc>
          <w:tcPr>
            <w:tcW w:type="dxa" w:w="1760"/>
            <w:vAlign w:val="center"/>
            <w:tcMar>
              <w:top w:w="80" w:type="dxa"/>
              <w:start w:w="120" w:type="dxa"/>
              <w:bottom w:w="80" w:type="dxa"/>
              <w:end w:w="120" w:type="dxa"/>
            </w:tcMar>
            <w:shd w:fill="FFFFFF"/>
          </w:tcPr>
          <w:p>
            <w:pPr>
              <w:spacing w:after="20"/>
            </w:pPr>
            <w:r>
              <w:rPr>
                <w:rFonts w:ascii="Calibri" w:hAnsi="Calibri"/>
                <w:sz w:val="16"/>
              </w:rPr>
              <w:t>Injection canary cannot proceed</w:t>
            </w:r>
          </w:p>
        </w:tc>
      </w:tr>
      <w:tr>
        <w:trPr>
          <w:cantSplit/>
        </w:trPr>
        <w:tc>
          <w:tcPr>
            <w:tcW w:type="dxa" w:w="1600"/>
            <w:vAlign w:val="center"/>
            <w:tcMar>
              <w:top w:w="80" w:type="dxa"/>
              <w:start w:w="120" w:type="dxa"/>
              <w:bottom w:w="80" w:type="dxa"/>
              <w:end w:w="120" w:type="dxa"/>
            </w:tcMar>
            <w:shd w:fill="F2F4F7"/>
          </w:tcPr>
          <w:p>
            <w:pPr>
              <w:spacing w:after="20"/>
            </w:pPr>
            <w:r>
              <w:rPr>
                <w:rFonts w:ascii="Calibri" w:hAnsi="Calibri"/>
                <w:sz w:val="16"/>
              </w:rPr>
              <w:t>Before pilot</w:t>
            </w:r>
          </w:p>
        </w:tc>
        <w:tc>
          <w:tcPr>
            <w:tcW w:type="dxa" w:w="1600"/>
            <w:vAlign w:val="center"/>
            <w:tcMar>
              <w:top w:w="80" w:type="dxa"/>
              <w:start w:w="120" w:type="dxa"/>
              <w:bottom w:w="80" w:type="dxa"/>
              <w:end w:w="120" w:type="dxa"/>
            </w:tcMar>
            <w:shd w:fill="F2F4F7"/>
          </w:tcPr>
          <w:p>
            <w:pPr>
              <w:spacing w:after="20"/>
            </w:pPr>
            <w:r>
              <w:rPr>
                <w:rFonts w:ascii="Calibri" w:hAnsi="Calibri"/>
                <w:sz w:val="16"/>
              </w:rPr>
              <w:t>Network</w:t>
            </w:r>
          </w:p>
        </w:tc>
        <w:tc>
          <w:tcPr>
            <w:tcW w:type="dxa" w:w="2900"/>
            <w:vAlign w:val="center"/>
            <w:tcMar>
              <w:top w:w="80" w:type="dxa"/>
              <w:start w:w="120" w:type="dxa"/>
              <w:bottom w:w="80" w:type="dxa"/>
              <w:end w:w="120" w:type="dxa"/>
            </w:tcMar>
            <w:shd w:fill="F2F4F7"/>
          </w:tcPr>
          <w:p>
            <w:pPr>
              <w:spacing w:after="20"/>
            </w:pPr>
            <w:r>
              <w:rPr>
                <w:rFonts w:ascii="Calibri" w:hAnsi="Calibri"/>
                <w:sz w:val="16"/>
              </w:rPr>
              <w:t>Proxy, TLS and Conditional Access policy</w:t>
            </w:r>
          </w:p>
        </w:tc>
        <w:tc>
          <w:tcPr>
            <w:tcW w:type="dxa" w:w="1500"/>
            <w:vAlign w:val="center"/>
            <w:tcMar>
              <w:top w:w="80" w:type="dxa"/>
              <w:start w:w="120" w:type="dxa"/>
              <w:bottom w:w="80" w:type="dxa"/>
              <w:end w:w="120" w:type="dxa"/>
            </w:tcMar>
            <w:shd w:fill="F2F4F7"/>
          </w:tcPr>
          <w:p>
            <w:pPr>
              <w:spacing w:after="20"/>
            </w:pPr>
            <w:r>
              <w:rPr>
                <w:rFonts w:ascii="Calibri" w:hAnsi="Calibri"/>
                <w:sz w:val="16"/>
              </w:rPr>
              <w:t>Preventive</w:t>
            </w:r>
          </w:p>
        </w:tc>
        <w:tc>
          <w:tcPr>
            <w:tcW w:type="dxa" w:w="1760"/>
            <w:vAlign w:val="center"/>
            <w:tcMar>
              <w:top w:w="80" w:type="dxa"/>
              <w:start w:w="120" w:type="dxa"/>
              <w:bottom w:w="80" w:type="dxa"/>
              <w:end w:w="120" w:type="dxa"/>
            </w:tcMar>
            <w:shd w:fill="F2F4F7"/>
          </w:tcPr>
          <w:p>
            <w:pPr>
              <w:spacing w:after="20"/>
            </w:pPr>
            <w:r>
              <w:rPr>
                <w:rFonts w:ascii="Calibri" w:hAnsi="Calibri"/>
                <w:sz w:val="16"/>
              </w:rPr>
              <w:t>Unapproved destinations blocked</w:t>
            </w:r>
          </w:p>
        </w:tc>
      </w:tr>
      <w:tr>
        <w:trPr>
          <w:cantSplit/>
        </w:trPr>
        <w:tc>
          <w:tcPr>
            <w:tcW w:type="dxa" w:w="1600"/>
            <w:vAlign w:val="center"/>
            <w:tcMar>
              <w:top w:w="80" w:type="dxa"/>
              <w:start w:w="120" w:type="dxa"/>
              <w:bottom w:w="80" w:type="dxa"/>
              <w:end w:w="120" w:type="dxa"/>
            </w:tcMar>
            <w:shd w:fill="FFFFFF"/>
          </w:tcPr>
          <w:p>
            <w:pPr>
              <w:spacing w:after="20"/>
            </w:pPr>
            <w:r>
              <w:rPr>
                <w:rFonts w:ascii="Calibri" w:hAnsi="Calibri"/>
                <w:sz w:val="16"/>
              </w:rPr>
              <w:t>0-30 days</w:t>
            </w:r>
          </w:p>
        </w:tc>
        <w:tc>
          <w:tcPr>
            <w:tcW w:type="dxa" w:w="1600"/>
            <w:vAlign w:val="center"/>
            <w:tcMar>
              <w:top w:w="80" w:type="dxa"/>
              <w:start w:w="120" w:type="dxa"/>
              <w:bottom w:w="80" w:type="dxa"/>
              <w:end w:w="120" w:type="dxa"/>
            </w:tcMar>
            <w:shd w:fill="FFFFFF"/>
          </w:tcPr>
          <w:p>
            <w:pPr>
              <w:spacing w:after="20"/>
            </w:pPr>
            <w:r>
              <w:rPr>
                <w:rFonts w:ascii="Calibri" w:hAnsi="Calibri"/>
                <w:sz w:val="16"/>
              </w:rPr>
              <w:t>Privacy/Legal</w:t>
            </w:r>
          </w:p>
        </w:tc>
        <w:tc>
          <w:tcPr>
            <w:tcW w:type="dxa" w:w="2900"/>
            <w:vAlign w:val="center"/>
            <w:tcMar>
              <w:top w:w="80" w:type="dxa"/>
              <w:start w:w="120" w:type="dxa"/>
              <w:bottom w:w="80" w:type="dxa"/>
              <w:end w:w="120" w:type="dxa"/>
            </w:tcMar>
            <w:shd w:fill="FFFFFF"/>
          </w:tcPr>
          <w:p>
            <w:pPr>
              <w:spacing w:after="20"/>
            </w:pPr>
            <w:r>
              <w:rPr>
                <w:rFonts w:ascii="Calibri" w:hAnsi="Calibri"/>
                <w:sz w:val="16"/>
              </w:rPr>
              <w:t>DPIA and contractual boundary</w:t>
            </w:r>
          </w:p>
        </w:tc>
        <w:tc>
          <w:tcPr>
            <w:tcW w:type="dxa" w:w="1500"/>
            <w:vAlign w:val="center"/>
            <w:tcMar>
              <w:top w:w="80" w:type="dxa"/>
              <w:start w:w="120" w:type="dxa"/>
              <w:bottom w:w="80" w:type="dxa"/>
              <w:end w:w="120" w:type="dxa"/>
            </w:tcMar>
            <w:shd w:fill="FFFFFF"/>
          </w:tcPr>
          <w:p>
            <w:pPr>
              <w:spacing w:after="20"/>
            </w:pPr>
            <w:r>
              <w:rPr>
                <w:rFonts w:ascii="Calibri" w:hAnsi="Calibri"/>
                <w:sz w:val="16"/>
              </w:rPr>
              <w:t>Governance</w:t>
            </w:r>
          </w:p>
        </w:tc>
        <w:tc>
          <w:tcPr>
            <w:tcW w:type="dxa" w:w="1760"/>
            <w:vAlign w:val="center"/>
            <w:tcMar>
              <w:top w:w="80" w:type="dxa"/>
              <w:start w:w="120" w:type="dxa"/>
              <w:bottom w:w="80" w:type="dxa"/>
              <w:end w:w="120" w:type="dxa"/>
            </w:tcMar>
            <w:shd w:fill="FFFFFF"/>
          </w:tcPr>
          <w:p>
            <w:pPr>
              <w:spacing w:after="20"/>
            </w:pPr>
            <w:r>
              <w:rPr>
                <w:rFonts w:ascii="Calibri" w:hAnsi="Calibri"/>
                <w:sz w:val="16"/>
              </w:rPr>
              <w:t>Recorded accountable approval</w:t>
            </w:r>
          </w:p>
        </w:tc>
      </w:tr>
      <w:tr>
        <w:trPr>
          <w:cantSplit/>
        </w:trPr>
        <w:tc>
          <w:tcPr>
            <w:tcW w:type="dxa" w:w="1600"/>
            <w:vAlign w:val="center"/>
            <w:tcMar>
              <w:top w:w="80" w:type="dxa"/>
              <w:start w:w="120" w:type="dxa"/>
              <w:bottom w:w="80" w:type="dxa"/>
              <w:end w:w="120" w:type="dxa"/>
            </w:tcMar>
            <w:shd w:fill="F2F4F7"/>
          </w:tcPr>
          <w:p>
            <w:pPr>
              <w:spacing w:after="20"/>
            </w:pPr>
            <w:r>
              <w:rPr>
                <w:rFonts w:ascii="Calibri" w:hAnsi="Calibri"/>
                <w:sz w:val="16"/>
              </w:rPr>
              <w:t>31-90 days</w:t>
            </w:r>
          </w:p>
        </w:tc>
        <w:tc>
          <w:tcPr>
            <w:tcW w:type="dxa" w:w="1600"/>
            <w:vAlign w:val="center"/>
            <w:tcMar>
              <w:top w:w="80" w:type="dxa"/>
              <w:start w:w="120" w:type="dxa"/>
              <w:bottom w:w="80" w:type="dxa"/>
              <w:end w:w="120" w:type="dxa"/>
            </w:tcMar>
            <w:shd w:fill="F2F4F7"/>
          </w:tcPr>
          <w:p>
            <w:pPr>
              <w:spacing w:after="20"/>
            </w:pPr>
            <w:r>
              <w:rPr>
                <w:rFonts w:ascii="Calibri" w:hAnsi="Calibri"/>
                <w:sz w:val="16"/>
              </w:rPr>
              <w:t>Security Testing</w:t>
            </w:r>
          </w:p>
        </w:tc>
        <w:tc>
          <w:tcPr>
            <w:tcW w:type="dxa" w:w="2900"/>
            <w:vAlign w:val="center"/>
            <w:tcMar>
              <w:top w:w="80" w:type="dxa"/>
              <w:start w:w="120" w:type="dxa"/>
              <w:bottom w:w="80" w:type="dxa"/>
              <w:end w:w="120" w:type="dxa"/>
            </w:tcMar>
            <w:shd w:fill="F2F4F7"/>
          </w:tcPr>
          <w:p>
            <w:pPr>
              <w:spacing w:after="20"/>
            </w:pPr>
            <w:r>
              <w:rPr>
                <w:rFonts w:ascii="Calibri" w:hAnsi="Calibri"/>
                <w:sz w:val="16"/>
              </w:rPr>
              <w:t>Disposable-host runtime protocol</w:t>
            </w:r>
          </w:p>
        </w:tc>
        <w:tc>
          <w:tcPr>
            <w:tcW w:type="dxa" w:w="1500"/>
            <w:vAlign w:val="center"/>
            <w:tcMar>
              <w:top w:w="80" w:type="dxa"/>
              <w:start w:w="120" w:type="dxa"/>
              <w:bottom w:w="80" w:type="dxa"/>
              <w:end w:w="120" w:type="dxa"/>
            </w:tcMar>
            <w:shd w:fill="F2F4F7"/>
          </w:tcPr>
          <w:p>
            <w:pPr>
              <w:spacing w:after="20"/>
            </w:pPr>
            <w:r>
              <w:rPr>
                <w:rFonts w:ascii="Calibri" w:hAnsi="Calibri"/>
                <w:sz w:val="16"/>
              </w:rPr>
              <w:t>Verification</w:t>
            </w:r>
          </w:p>
        </w:tc>
        <w:tc>
          <w:tcPr>
            <w:tcW w:type="dxa" w:w="1760"/>
            <w:vAlign w:val="center"/>
            <w:tcMar>
              <w:top w:w="80" w:type="dxa"/>
              <w:start w:w="120" w:type="dxa"/>
              <w:bottom w:w="80" w:type="dxa"/>
              <w:end w:w="120" w:type="dxa"/>
            </w:tcMar>
            <w:shd w:fill="F2F4F7"/>
          </w:tcPr>
          <w:p>
            <w:pPr>
              <w:spacing w:after="20"/>
            </w:pPr>
            <w:r>
              <w:rPr>
                <w:rFonts w:ascii="Calibri" w:hAnsi="Calibri"/>
                <w:sz w:val="16"/>
              </w:rPr>
              <w:t>Lifecycle and misuse tests pass</w:t>
            </w:r>
          </w:p>
        </w:tc>
      </w:tr>
    </w:tbl>
    <w:p/>
    <w:p>
      <w:pPr>
        <w:pStyle w:val="Heading1"/>
      </w:pPr>
      <w:r>
        <w:t>Detection Opportunities and Monitoring Plan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800"/>
            <w:vAlign w:val="center"/>
            <w:tcMar>
              <w:top w:w="80" w:type="dxa"/>
              <w:start w:w="120" w:type="dxa"/>
              <w:bottom w:w="80" w:type="dxa"/>
              <w:end w:w="120" w:type="dxa"/>
            </w:tcMar>
            <w:shd w:fill="17365D"/>
          </w:tcPr>
          <w:p>
            <w:pPr>
              <w:spacing w:after="20"/>
            </w:pPr>
            <w:r>
              <w:rPr>
                <w:rFonts w:ascii="Calibri" w:hAnsi="Calibri"/>
                <w:b/>
                <w:color w:val="FFFFFF"/>
                <w:sz w:val="16"/>
              </w:rPr>
              <w:t>Signal</w:t>
            </w:r>
          </w:p>
        </w:tc>
        <w:tc>
          <w:tcPr>
            <w:tcW w:type="dxa" w:w="2900"/>
            <w:vAlign w:val="center"/>
            <w:tcMar>
              <w:top w:w="80" w:type="dxa"/>
              <w:start w:w="120" w:type="dxa"/>
              <w:bottom w:w="80" w:type="dxa"/>
              <w:end w:w="120" w:type="dxa"/>
            </w:tcMar>
            <w:shd w:fill="17365D"/>
          </w:tcPr>
          <w:p>
            <w:pPr>
              <w:spacing w:after="20"/>
            </w:pPr>
            <w:r>
              <w:rPr>
                <w:rFonts w:ascii="Calibri" w:hAnsi="Calibri"/>
                <w:b/>
                <w:color w:val="FFFFFF"/>
                <w:sz w:val="16"/>
              </w:rPr>
              <w:t>Detection</w:t>
            </w:r>
          </w:p>
        </w:tc>
        <w:tc>
          <w:tcPr>
            <w:tcW w:type="dxa" w:w="2800"/>
            <w:vAlign w:val="center"/>
            <w:tcMar>
              <w:top w:w="80" w:type="dxa"/>
              <w:start w:w="120" w:type="dxa"/>
              <w:bottom w:w="80" w:type="dxa"/>
              <w:end w:w="120" w:type="dxa"/>
            </w:tcMar>
            <w:shd w:fill="17365D"/>
          </w:tcPr>
          <w:p>
            <w:pPr>
              <w:spacing w:after="20"/>
            </w:pPr>
            <w:r>
              <w:rPr>
                <w:rFonts w:ascii="Calibri" w:hAnsi="Calibri"/>
                <w:b/>
                <w:color w:val="FFFFFF"/>
                <w:sz w:val="16"/>
              </w:rPr>
              <w:t>Response</w:t>
            </w:r>
          </w:p>
        </w:tc>
        <w:tc>
          <w:tcPr>
            <w:tcW w:type="dxa" w:w="1860"/>
            <w:vAlign w:val="center"/>
            <w:tcMar>
              <w:top w:w="80" w:type="dxa"/>
              <w:start w:w="120" w:type="dxa"/>
              <w:bottom w:w="80" w:type="dxa"/>
              <w:end w:w="120" w:type="dxa"/>
            </w:tcMar>
            <w:shd w:fill="17365D"/>
          </w:tcPr>
          <w:p>
            <w:pPr>
              <w:spacing w:after="20"/>
            </w:pPr>
            <w:r>
              <w:rPr>
                <w:rFonts w:ascii="Calibri" w:hAnsi="Calibri"/>
                <w:b/>
                <w:color w:val="FFFFFF"/>
                <w:sz w:val="16"/>
              </w:rPr>
              <w:t>Strength</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Tool list</w:t>
            </w:r>
          </w:p>
        </w:tc>
        <w:tc>
          <w:tcPr>
            <w:tcW w:type="dxa" w:w="2900"/>
            <w:vAlign w:val="center"/>
            <w:tcMar>
              <w:top w:w="80" w:type="dxa"/>
              <w:start w:w="120" w:type="dxa"/>
              <w:bottom w:w="80" w:type="dxa"/>
              <w:end w:w="120" w:type="dxa"/>
            </w:tcMar>
            <w:shd w:fill="FFFFFF"/>
          </w:tcPr>
          <w:p>
            <w:pPr>
              <w:spacing w:after="20"/>
            </w:pPr>
            <w:r>
              <w:rPr>
                <w:rFonts w:ascii="Calibri" w:hAnsi="Calibri"/>
                <w:sz w:val="16"/>
              </w:rPr>
              <w:t>Schema or allowlist drift</w:t>
            </w:r>
          </w:p>
        </w:tc>
        <w:tc>
          <w:tcPr>
            <w:tcW w:type="dxa" w:w="2800"/>
            <w:vAlign w:val="center"/>
            <w:tcMar>
              <w:top w:w="80" w:type="dxa"/>
              <w:start w:w="120" w:type="dxa"/>
              <w:bottom w:w="80" w:type="dxa"/>
              <w:end w:w="120" w:type="dxa"/>
            </w:tcMar>
            <w:shd w:fill="FFFFFF"/>
          </w:tcPr>
          <w:p>
            <w:pPr>
              <w:spacing w:after="20"/>
            </w:pPr>
            <w:r>
              <w:rPr>
                <w:rFonts w:ascii="Calibri" w:hAnsi="Calibri"/>
                <w:sz w:val="16"/>
              </w:rPr>
              <w:t>Disable pending review</w:t>
            </w:r>
          </w:p>
        </w:tc>
        <w:tc>
          <w:tcPr>
            <w:tcW w:type="dxa" w:w="1860"/>
            <w:vAlign w:val="center"/>
            <w:tcMar>
              <w:top w:w="80" w:type="dxa"/>
              <w:start w:w="120" w:type="dxa"/>
              <w:bottom w:w="80" w:type="dxa"/>
              <w:end w:w="120" w:type="dxa"/>
            </w:tcMar>
            <w:shd w:fill="FFFFFF"/>
          </w:tcPr>
          <w:p>
            <w:pPr>
              <w:spacing w:after="20"/>
            </w:pPr>
            <w:r>
              <w:rPr>
                <w:rFonts w:ascii="Calibri" w:hAnsi="Calibri"/>
                <w:sz w:val="16"/>
              </w:rPr>
              <w:t>Preventive</w:t>
            </w:r>
          </w:p>
        </w:tc>
      </w:tr>
      <w:tr>
        <w:trPr>
          <w:cantSplit/>
        </w:trPr>
        <w:tc>
          <w:tcPr>
            <w:tcW w:type="dxa" w:w="1800"/>
            <w:vAlign w:val="center"/>
            <w:tcMar>
              <w:top w:w="80" w:type="dxa"/>
              <w:start w:w="120" w:type="dxa"/>
              <w:bottom w:w="80" w:type="dxa"/>
              <w:end w:w="120" w:type="dxa"/>
            </w:tcMar>
            <w:shd w:fill="F2F4F7"/>
          </w:tcPr>
          <w:p>
            <w:pPr>
              <w:spacing w:after="20"/>
            </w:pPr>
            <w:r>
              <w:rPr>
                <w:rFonts w:ascii="Calibri" w:hAnsi="Calibri"/>
                <w:sz w:val="16"/>
              </w:rPr>
              <w:t>Azure DevOps audit</w:t>
            </w:r>
          </w:p>
        </w:tc>
        <w:tc>
          <w:tcPr>
            <w:tcW w:type="dxa" w:w="2900"/>
            <w:vAlign w:val="center"/>
            <w:tcMar>
              <w:top w:w="80" w:type="dxa"/>
              <w:start w:w="120" w:type="dxa"/>
              <w:bottom w:w="80" w:type="dxa"/>
              <w:end w:w="120" w:type="dxa"/>
            </w:tcMar>
            <w:shd w:fill="F2F4F7"/>
          </w:tcPr>
          <w:p>
            <w:pPr>
              <w:spacing w:after="20"/>
            </w:pPr>
            <w:r>
              <w:rPr>
                <w:rFonts w:ascii="Calibri" w:hAnsi="Calibri"/>
                <w:sz w:val="16"/>
              </w:rPr>
              <w:t>Write without correlated approved intent</w:t>
            </w:r>
          </w:p>
        </w:tc>
        <w:tc>
          <w:tcPr>
            <w:tcW w:type="dxa" w:w="2800"/>
            <w:vAlign w:val="center"/>
            <w:tcMar>
              <w:top w:w="80" w:type="dxa"/>
              <w:start w:w="120" w:type="dxa"/>
              <w:bottom w:w="80" w:type="dxa"/>
              <w:end w:w="120" w:type="dxa"/>
            </w:tcMar>
            <w:shd w:fill="F2F4F7"/>
          </w:tcPr>
          <w:p>
            <w:pPr>
              <w:spacing w:after="20"/>
            </w:pPr>
            <w:r>
              <w:rPr>
                <w:rFonts w:ascii="Calibri" w:hAnsi="Calibri"/>
                <w:sz w:val="16"/>
              </w:rPr>
              <w:t>Investigate and revoke</w:t>
            </w:r>
          </w:p>
        </w:tc>
        <w:tc>
          <w:tcPr>
            <w:tcW w:type="dxa" w:w="1860"/>
            <w:vAlign w:val="center"/>
            <w:tcMar>
              <w:top w:w="80" w:type="dxa"/>
              <w:start w:w="120" w:type="dxa"/>
              <w:bottom w:w="80" w:type="dxa"/>
              <w:end w:w="120" w:type="dxa"/>
            </w:tcMar>
            <w:shd w:fill="F2F4F7"/>
          </w:tcPr>
          <w:p>
            <w:pPr>
              <w:spacing w:after="20"/>
            </w:pPr>
            <w:r>
              <w:rPr>
                <w:rFonts w:ascii="Calibri" w:hAnsi="Calibri"/>
                <w:sz w:val="16"/>
              </w:rPr>
              <w:t>Detective</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Identity</w:t>
            </w:r>
          </w:p>
        </w:tc>
        <w:tc>
          <w:tcPr>
            <w:tcW w:type="dxa" w:w="2900"/>
            <w:vAlign w:val="center"/>
            <w:tcMar>
              <w:top w:w="80" w:type="dxa"/>
              <w:start w:w="120" w:type="dxa"/>
              <w:bottom w:w="80" w:type="dxa"/>
              <w:end w:w="120" w:type="dxa"/>
            </w:tcMar>
            <w:shd w:fill="FFFFFF"/>
          </w:tcPr>
          <w:p>
            <w:pPr>
              <w:spacing w:after="20"/>
            </w:pPr>
            <w:r>
              <w:rPr>
                <w:rFonts w:ascii="Calibri" w:hAnsi="Calibri"/>
                <w:sz w:val="16"/>
              </w:rPr>
              <w:t>New grant or scope expansion</w:t>
            </w:r>
          </w:p>
        </w:tc>
        <w:tc>
          <w:tcPr>
            <w:tcW w:type="dxa" w:w="2800"/>
            <w:vAlign w:val="center"/>
            <w:tcMar>
              <w:top w:w="80" w:type="dxa"/>
              <w:start w:w="120" w:type="dxa"/>
              <w:bottom w:w="80" w:type="dxa"/>
              <w:end w:w="120" w:type="dxa"/>
            </w:tcMar>
            <w:shd w:fill="FFFFFF"/>
          </w:tcPr>
          <w:p>
            <w:pPr>
              <w:spacing w:after="20"/>
            </w:pPr>
            <w:r>
              <w:rPr>
                <w:rFonts w:ascii="Calibri" w:hAnsi="Calibri"/>
                <w:sz w:val="16"/>
              </w:rPr>
              <w:t>Block or revoke</w:t>
            </w:r>
          </w:p>
        </w:tc>
        <w:tc>
          <w:tcPr>
            <w:tcW w:type="dxa" w:w="1860"/>
            <w:vAlign w:val="center"/>
            <w:tcMar>
              <w:top w:w="80" w:type="dxa"/>
              <w:start w:w="120" w:type="dxa"/>
              <w:bottom w:w="80" w:type="dxa"/>
              <w:end w:w="120" w:type="dxa"/>
            </w:tcMar>
            <w:shd w:fill="FFFFFF"/>
          </w:tcPr>
          <w:p>
            <w:pPr>
              <w:spacing w:after="20"/>
            </w:pPr>
            <w:r>
              <w:rPr>
                <w:rFonts w:ascii="Calibri" w:hAnsi="Calibri"/>
                <w:sz w:val="16"/>
              </w:rPr>
              <w:t>Preventive</w:t>
            </w:r>
          </w:p>
        </w:tc>
      </w:tr>
      <w:tr>
        <w:trPr>
          <w:cantSplit/>
        </w:trPr>
        <w:tc>
          <w:tcPr>
            <w:tcW w:type="dxa" w:w="1800"/>
            <w:vAlign w:val="center"/>
            <w:tcMar>
              <w:top w:w="80" w:type="dxa"/>
              <w:start w:w="120" w:type="dxa"/>
              <w:bottom w:w="80" w:type="dxa"/>
              <w:end w:w="120" w:type="dxa"/>
            </w:tcMar>
            <w:shd w:fill="F2F4F7"/>
          </w:tcPr>
          <w:p>
            <w:pPr>
              <w:spacing w:after="20"/>
            </w:pPr>
            <w:r>
              <w:rPr>
                <w:rFonts w:ascii="Calibri" w:hAnsi="Calibri"/>
                <w:sz w:val="16"/>
              </w:rPr>
              <w:t>Network</w:t>
            </w:r>
          </w:p>
        </w:tc>
        <w:tc>
          <w:tcPr>
            <w:tcW w:type="dxa" w:w="2900"/>
            <w:vAlign w:val="center"/>
            <w:tcMar>
              <w:top w:w="80" w:type="dxa"/>
              <w:start w:w="120" w:type="dxa"/>
              <w:bottom w:w="80" w:type="dxa"/>
              <w:end w:w="120" w:type="dxa"/>
            </w:tcMar>
            <w:shd w:fill="F2F4F7"/>
          </w:tcPr>
          <w:p>
            <w:pPr>
              <w:spacing w:after="20"/>
            </w:pPr>
            <w:r>
              <w:rPr>
                <w:rFonts w:ascii="Calibri" w:hAnsi="Calibri"/>
                <w:sz w:val="16"/>
              </w:rPr>
              <w:t>Unexpected endpoint or IP behavior</w:t>
            </w:r>
          </w:p>
        </w:tc>
        <w:tc>
          <w:tcPr>
            <w:tcW w:type="dxa" w:w="2800"/>
            <w:vAlign w:val="center"/>
            <w:tcMar>
              <w:top w:w="80" w:type="dxa"/>
              <w:start w:w="120" w:type="dxa"/>
              <w:bottom w:w="80" w:type="dxa"/>
              <w:end w:w="120" w:type="dxa"/>
            </w:tcMar>
            <w:shd w:fill="F2F4F7"/>
          </w:tcPr>
          <w:p>
            <w:pPr>
              <w:spacing w:after="20"/>
            </w:pPr>
            <w:r>
              <w:rPr>
                <w:rFonts w:ascii="Calibri" w:hAnsi="Calibri"/>
                <w:sz w:val="16"/>
              </w:rPr>
              <w:t>Terminate session</w:t>
            </w:r>
          </w:p>
        </w:tc>
        <w:tc>
          <w:tcPr>
            <w:tcW w:type="dxa" w:w="1860"/>
            <w:vAlign w:val="center"/>
            <w:tcMar>
              <w:top w:w="80" w:type="dxa"/>
              <w:start w:w="120" w:type="dxa"/>
              <w:bottom w:w="80" w:type="dxa"/>
              <w:end w:w="120" w:type="dxa"/>
            </w:tcMar>
            <w:shd w:fill="F2F4F7"/>
          </w:tcPr>
          <w:p>
            <w:pPr>
              <w:spacing w:after="20"/>
            </w:pPr>
            <w:r>
              <w:rPr>
                <w:rFonts w:ascii="Calibri" w:hAnsi="Calibri"/>
                <w:sz w:val="16"/>
              </w:rPr>
              <w:t>Preventive</w:t>
            </w:r>
          </w:p>
        </w:tc>
      </w:tr>
      <w:tr>
        <w:trPr>
          <w:cantSplit/>
        </w:trPr>
        <w:tc>
          <w:tcPr>
            <w:tcW w:type="dxa" w:w="1800"/>
            <w:vAlign w:val="center"/>
            <w:tcMar>
              <w:top w:w="80" w:type="dxa"/>
              <w:start w:w="120" w:type="dxa"/>
              <w:bottom w:w="80" w:type="dxa"/>
              <w:end w:w="120" w:type="dxa"/>
            </w:tcMar>
            <w:shd w:fill="FFFFFF"/>
          </w:tcPr>
          <w:p>
            <w:pPr>
              <w:spacing w:after="20"/>
            </w:pPr>
            <w:r>
              <w:rPr>
                <w:rFonts w:ascii="Calibri" w:hAnsi="Calibri"/>
                <w:sz w:val="16"/>
              </w:rPr>
              <w:t>Content</w:t>
            </w:r>
          </w:p>
        </w:tc>
        <w:tc>
          <w:tcPr>
            <w:tcW w:type="dxa" w:w="2900"/>
            <w:vAlign w:val="center"/>
            <w:tcMar>
              <w:top w:w="80" w:type="dxa"/>
              <w:start w:w="120" w:type="dxa"/>
              <w:bottom w:w="80" w:type="dxa"/>
              <w:end w:w="120" w:type="dxa"/>
            </w:tcMar>
            <w:shd w:fill="FFFFFF"/>
          </w:tcPr>
          <w:p>
            <w:pPr>
              <w:spacing w:after="20"/>
            </w:pPr>
            <w:r>
              <w:rPr>
                <w:rFonts w:ascii="Calibri" w:hAnsi="Calibri"/>
                <w:sz w:val="16"/>
              </w:rPr>
              <w:t>Prompt-injection canary</w:t>
            </w:r>
          </w:p>
        </w:tc>
        <w:tc>
          <w:tcPr>
            <w:tcW w:type="dxa" w:w="2800"/>
            <w:vAlign w:val="center"/>
            <w:tcMar>
              <w:top w:w="80" w:type="dxa"/>
              <w:start w:w="120" w:type="dxa"/>
              <w:bottom w:w="80" w:type="dxa"/>
              <w:end w:w="120" w:type="dxa"/>
            </w:tcMar>
            <w:shd w:fill="FFFFFF"/>
          </w:tcPr>
          <w:p>
            <w:pPr>
              <w:spacing w:after="20"/>
            </w:pPr>
            <w:r>
              <w:rPr>
                <w:rFonts w:ascii="Calibri" w:hAnsi="Calibri"/>
                <w:sz w:val="16"/>
              </w:rPr>
              <w:t>Block tool chain</w:t>
            </w:r>
          </w:p>
        </w:tc>
        <w:tc>
          <w:tcPr>
            <w:tcW w:type="dxa" w:w="1860"/>
            <w:vAlign w:val="center"/>
            <w:tcMar>
              <w:top w:w="80" w:type="dxa"/>
              <w:start w:w="120" w:type="dxa"/>
              <w:bottom w:w="80" w:type="dxa"/>
              <w:end w:w="120" w:type="dxa"/>
            </w:tcMar>
            <w:shd w:fill="FFFFFF"/>
          </w:tcPr>
          <w:p>
            <w:pPr>
              <w:spacing w:after="20"/>
            </w:pPr>
            <w:r>
              <w:rPr>
                <w:rFonts w:ascii="Calibri" w:hAnsi="Calibri"/>
                <w:sz w:val="16"/>
              </w:rPr>
              <w:t>Detective</w:t>
            </w:r>
          </w:p>
        </w:tc>
      </w:tr>
    </w:tbl>
    <w:p/>
    <w:p>
      <w:pPr>
        <w:pStyle w:val="Heading1"/>
      </w:pPr>
      <w:r>
        <w:t>Consolidated Risk Register</w:t>
      </w:r>
    </w:p>
    <w:p>
      <w:pPr>
        <w:widowControl/>
      </w:pPr>
      <w:r>
        <w:t>Legend: ID is the unique finding identifier. Risk is the adverse scenario. Inherent is likelihood (L) x impact (I) before controls. Residual uses residual likelihood (rL) x residual impact (rI) after verified controls. Treatment is the required response; Owner is accountable. Rating bands: 1-4 Low, 5-9 Moderate, 10-16 High, 17-25 Critical.</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900"/>
            <w:vAlign w:val="center"/>
            <w:tcMar>
              <w:top w:w="80" w:type="dxa"/>
              <w:start w:w="120" w:type="dxa"/>
              <w:bottom w:w="80" w:type="dxa"/>
              <w:end w:w="120" w:type="dxa"/>
            </w:tcMar>
            <w:shd w:fill="17365D"/>
          </w:tcPr>
          <w:p>
            <w:pPr>
              <w:spacing w:after="20"/>
            </w:pPr>
            <w:r>
              <w:rPr>
                <w:rFonts w:ascii="Calibri" w:hAnsi="Calibri"/>
                <w:b/>
                <w:color w:val="FFFFFF"/>
                <w:sz w:val="16"/>
              </w:rPr>
              <w:t>ID</w:t>
            </w:r>
          </w:p>
        </w:tc>
        <w:tc>
          <w:tcPr>
            <w:tcW w:type="dxa" w:w="3000"/>
            <w:vAlign w:val="center"/>
            <w:tcMar>
              <w:top w:w="80" w:type="dxa"/>
              <w:start w:w="120" w:type="dxa"/>
              <w:bottom w:w="80" w:type="dxa"/>
              <w:end w:w="120" w:type="dxa"/>
            </w:tcMar>
            <w:shd w:fill="17365D"/>
          </w:tcPr>
          <w:p>
            <w:pPr>
              <w:spacing w:after="20"/>
            </w:pPr>
            <w:r>
              <w:rPr>
                <w:rFonts w:ascii="Calibri" w:hAnsi="Calibri"/>
                <w:b/>
                <w:color w:val="FFFFFF"/>
                <w:sz w:val="16"/>
              </w:rPr>
              <w:t>Risk</w:t>
            </w:r>
          </w:p>
        </w:tc>
        <w:tc>
          <w:tcPr>
            <w:tcW w:type="dxa" w:w="1400"/>
            <w:vAlign w:val="center"/>
            <w:tcMar>
              <w:top w:w="80" w:type="dxa"/>
              <w:start w:w="120" w:type="dxa"/>
              <w:bottom w:w="80" w:type="dxa"/>
              <w:end w:w="120" w:type="dxa"/>
            </w:tcMar>
            <w:shd w:fill="17365D"/>
          </w:tcPr>
          <w:p>
            <w:pPr>
              <w:spacing w:after="20"/>
            </w:pPr>
            <w:r>
              <w:rPr>
                <w:rFonts w:ascii="Calibri" w:hAnsi="Calibri"/>
                <w:b/>
                <w:color w:val="FFFFFF"/>
                <w:sz w:val="16"/>
              </w:rPr>
              <w:t>Inherent</w:t>
            </w:r>
          </w:p>
        </w:tc>
        <w:tc>
          <w:tcPr>
            <w:tcW w:type="dxa" w:w="1400"/>
            <w:vAlign w:val="center"/>
            <w:tcMar>
              <w:top w:w="80" w:type="dxa"/>
              <w:start w:w="120" w:type="dxa"/>
              <w:bottom w:w="80" w:type="dxa"/>
              <w:end w:w="120" w:type="dxa"/>
            </w:tcMar>
            <w:shd w:fill="17365D"/>
          </w:tcPr>
          <w:p>
            <w:pPr>
              <w:spacing w:after="20"/>
            </w:pPr>
            <w:r>
              <w:rPr>
                <w:rFonts w:ascii="Calibri" w:hAnsi="Calibri"/>
                <w:b/>
                <w:color w:val="FFFFFF"/>
                <w:sz w:val="16"/>
              </w:rPr>
              <w:t>Residual</w:t>
            </w:r>
          </w:p>
        </w:tc>
        <w:tc>
          <w:tcPr>
            <w:tcW w:type="dxa" w:w="1700"/>
            <w:vAlign w:val="center"/>
            <w:tcMar>
              <w:top w:w="80" w:type="dxa"/>
              <w:start w:w="120" w:type="dxa"/>
              <w:bottom w:w="80" w:type="dxa"/>
              <w:end w:w="120" w:type="dxa"/>
            </w:tcMar>
            <w:shd w:fill="17365D"/>
          </w:tcPr>
          <w:p>
            <w:pPr>
              <w:spacing w:after="20"/>
            </w:pPr>
            <w:r>
              <w:rPr>
                <w:rFonts w:ascii="Calibri" w:hAnsi="Calibri"/>
                <w:b/>
                <w:color w:val="FFFFFF"/>
                <w:sz w:val="16"/>
              </w:rPr>
              <w:t>Treatment / Owner</w:t>
            </w:r>
          </w:p>
        </w:tc>
        <w:tc>
          <w:tcPr>
            <w:tcW w:type="dxa" w:w="960"/>
            <w:vAlign w:val="center"/>
            <w:tcMar>
              <w:top w:w="80" w:type="dxa"/>
              <w:start w:w="120" w:type="dxa"/>
              <w:bottom w:w="80" w:type="dxa"/>
              <w:end w:w="120" w:type="dxa"/>
            </w:tcMar>
            <w:shd w:fill="17365D"/>
          </w:tcPr>
          <w:p>
            <w:pPr>
              <w:spacing w:after="20"/>
            </w:pPr>
            <w:r>
              <w:rPr>
                <w:rFonts w:ascii="Calibri" w:hAnsi="Calibri"/>
                <w:b/>
                <w:color w:val="FFFFFF"/>
                <w:sz w:val="16"/>
              </w:rPr>
              <w:t>Target date</w:t>
            </w:r>
          </w:p>
        </w:tc>
      </w:tr>
      <w:tr>
        <w:trPr>
          <w:cantSplit/>
        </w:trPr>
        <w:tc>
          <w:tcPr>
            <w:tcW w:type="dxa" w:w="900"/>
            <w:vAlign w:val="center"/>
            <w:tcMar>
              <w:top w:w="80" w:type="dxa"/>
              <w:start w:w="120" w:type="dxa"/>
              <w:bottom w:w="80" w:type="dxa"/>
              <w:end w:w="120" w:type="dxa"/>
            </w:tcMar>
            <w:shd w:fill="FFFFFF"/>
          </w:tcPr>
          <w:p>
            <w:pPr>
              <w:spacing w:after="20"/>
            </w:pPr>
            <w:r>
              <w:rPr>
                <w:rFonts w:ascii="Calibri" w:hAnsi="Calibri"/>
                <w:sz w:val="16"/>
              </w:rPr>
              <w:t>F-001</w:t>
            </w:r>
          </w:p>
        </w:tc>
        <w:tc>
          <w:tcPr>
            <w:tcW w:type="dxa" w:w="3000"/>
            <w:vAlign w:val="center"/>
            <w:tcMar>
              <w:top w:w="80" w:type="dxa"/>
              <w:start w:w="120" w:type="dxa"/>
              <w:bottom w:w="80" w:type="dxa"/>
              <w:end w:w="120" w:type="dxa"/>
            </w:tcMar>
            <w:shd w:fill="FFFFFF"/>
          </w:tcPr>
          <w:p>
            <w:pPr>
              <w:spacing w:after="20"/>
            </w:pPr>
            <w:r>
              <w:rPr>
                <w:rFonts w:ascii="Calibri" w:hAnsi="Calibri"/>
                <w:sz w:val="16"/>
              </w:rPr>
              <w:t>Untrusted Azure DevOps content can steer agent decisions</w:t>
            </w:r>
          </w:p>
        </w:tc>
        <w:tc>
          <w:tcPr>
            <w:tcW w:type="dxa" w:w="1400"/>
            <w:vAlign w:val="center"/>
            <w:tcMar>
              <w:top w:w="80" w:type="dxa"/>
              <w:start w:w="120" w:type="dxa"/>
              <w:bottom w:w="80" w:type="dxa"/>
              <w:end w:w="120" w:type="dxa"/>
            </w:tcMar>
            <w:shd w:fill="FFFFFF"/>
          </w:tcPr>
          <w:p>
            <w:pPr>
              <w:spacing w:after="20"/>
            </w:pPr>
            <w:r>
              <w:rPr>
                <w:rFonts w:ascii="Calibri" w:hAnsi="Calibri"/>
                <w:sz w:val="16"/>
              </w:rPr>
              <w:t>4 x 5 = 20 Critical</w:t>
            </w:r>
          </w:p>
        </w:tc>
        <w:tc>
          <w:tcPr>
            <w:tcW w:type="dxa" w:w="1400"/>
            <w:vAlign w:val="center"/>
            <w:tcMar>
              <w:top w:w="80" w:type="dxa"/>
              <w:start w:w="120" w:type="dxa"/>
              <w:bottom w:w="80" w:type="dxa"/>
              <w:end w:w="120" w:type="dxa"/>
            </w:tcMar>
            <w:shd w:fill="FFFFFF"/>
          </w:tcPr>
          <w:p>
            <w:pPr>
              <w:spacing w:after="20"/>
            </w:pPr>
            <w:r>
              <w:rPr>
                <w:rFonts w:ascii="Calibri" w:hAnsi="Calibri"/>
                <w:sz w:val="16"/>
              </w:rPr>
              <w:t>3 x 5 = 15 High</w:t>
            </w:r>
          </w:p>
        </w:tc>
        <w:tc>
          <w:tcPr>
            <w:tcW w:type="dxa" w:w="1700"/>
            <w:vAlign w:val="center"/>
            <w:tcMar>
              <w:top w:w="80" w:type="dxa"/>
              <w:start w:w="120" w:type="dxa"/>
              <w:bottom w:w="80" w:type="dxa"/>
              <w:end w:w="120" w:type="dxa"/>
            </w:tcMar>
            <w:shd w:fill="FFFFFF"/>
          </w:tcPr>
          <w:p>
            <w:pPr>
              <w:spacing w:after="20"/>
            </w:pPr>
            <w:r>
              <w:rPr>
                <w:rFonts w:ascii="Calibri" w:hAnsi="Calibri"/>
                <w:sz w:val="16"/>
              </w:rPr>
              <w:t>AI Security</w:t>
            </w:r>
          </w:p>
        </w:tc>
        <w:tc>
          <w:tcPr>
            <w:tcW w:type="dxa" w:w="960"/>
            <w:vAlign w:val="center"/>
            <w:tcMar>
              <w:top w:w="80" w:type="dxa"/>
              <w:start w:w="120" w:type="dxa"/>
              <w:bottom w:w="80" w:type="dxa"/>
              <w:end w:w="120" w:type="dxa"/>
            </w:tcMar>
            <w:shd w:fill="FFFFFF"/>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2F4F7"/>
          </w:tcPr>
          <w:p>
            <w:pPr>
              <w:spacing w:after="20"/>
            </w:pPr>
            <w:r>
              <w:rPr>
                <w:rFonts w:ascii="Calibri" w:hAnsi="Calibri"/>
                <w:sz w:val="16"/>
              </w:rPr>
              <w:t>F-002</w:t>
            </w:r>
          </w:p>
        </w:tc>
        <w:tc>
          <w:tcPr>
            <w:tcW w:type="dxa" w:w="3000"/>
            <w:vAlign w:val="center"/>
            <w:tcMar>
              <w:top w:w="80" w:type="dxa"/>
              <w:start w:w="120" w:type="dxa"/>
              <w:bottom w:w="80" w:type="dxa"/>
              <w:end w:w="120" w:type="dxa"/>
            </w:tcMar>
            <w:shd w:fill="F2F4F7"/>
          </w:tcPr>
          <w:p>
            <w:pPr>
              <w:spacing w:after="20"/>
            </w:pPr>
            <w:r>
              <w:rPr>
                <w:rFonts w:ascii="Calibri" w:hAnsi="Calibri"/>
                <w:sz w:val="16"/>
              </w:rPr>
              <w:t>Default 91-tool surface creates excessive agency</w:t>
            </w:r>
          </w:p>
        </w:tc>
        <w:tc>
          <w:tcPr>
            <w:tcW w:type="dxa" w:w="1400"/>
            <w:vAlign w:val="center"/>
            <w:tcMar>
              <w:top w:w="80" w:type="dxa"/>
              <w:start w:w="120" w:type="dxa"/>
              <w:bottom w:w="80" w:type="dxa"/>
              <w:end w:w="120" w:type="dxa"/>
            </w:tcMar>
            <w:shd w:fill="F2F4F7"/>
          </w:tcPr>
          <w:p>
            <w:pPr>
              <w:spacing w:after="20"/>
            </w:pPr>
            <w:r>
              <w:rPr>
                <w:rFonts w:ascii="Calibri" w:hAnsi="Calibri"/>
                <w:sz w:val="16"/>
              </w:rPr>
              <w:t>4 x 5 = 20 Critical</w:t>
            </w:r>
          </w:p>
        </w:tc>
        <w:tc>
          <w:tcPr>
            <w:tcW w:type="dxa" w:w="1400"/>
            <w:vAlign w:val="center"/>
            <w:tcMar>
              <w:top w:w="80" w:type="dxa"/>
              <w:start w:w="120" w:type="dxa"/>
              <w:bottom w:w="80" w:type="dxa"/>
              <w:end w:w="120" w:type="dxa"/>
            </w:tcMar>
            <w:shd w:fill="F2F4F7"/>
          </w:tcPr>
          <w:p>
            <w:pPr>
              <w:spacing w:after="20"/>
            </w:pPr>
            <w:r>
              <w:rPr>
                <w:rFonts w:ascii="Calibri" w:hAnsi="Calibri"/>
                <w:sz w:val="16"/>
              </w:rPr>
              <w:t>2 x 5 = 10 High</w:t>
            </w:r>
          </w:p>
        </w:tc>
        <w:tc>
          <w:tcPr>
            <w:tcW w:type="dxa" w:w="1700"/>
            <w:vAlign w:val="center"/>
            <w:tcMar>
              <w:top w:w="80" w:type="dxa"/>
              <w:start w:w="120" w:type="dxa"/>
              <w:bottom w:w="80" w:type="dxa"/>
              <w:end w:w="120" w:type="dxa"/>
            </w:tcMar>
            <w:shd w:fill="F2F4F7"/>
          </w:tcPr>
          <w:p>
            <w:pPr>
              <w:spacing w:after="20"/>
            </w:pPr>
            <w:r>
              <w:rPr>
                <w:rFonts w:ascii="Calibri" w:hAnsi="Calibri"/>
                <w:sz w:val="16"/>
              </w:rPr>
              <w:t>Azure DevOps Platform</w:t>
            </w:r>
          </w:p>
        </w:tc>
        <w:tc>
          <w:tcPr>
            <w:tcW w:type="dxa" w:w="960"/>
            <w:vAlign w:val="center"/>
            <w:tcMar>
              <w:top w:w="80" w:type="dxa"/>
              <w:start w:w="120" w:type="dxa"/>
              <w:bottom w:w="80" w:type="dxa"/>
              <w:end w:w="120" w:type="dxa"/>
            </w:tcMar>
            <w:shd w:fill="F2F4F7"/>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FFFFF"/>
          </w:tcPr>
          <w:p>
            <w:pPr>
              <w:spacing w:after="20"/>
            </w:pPr>
            <w:r>
              <w:rPr>
                <w:rFonts w:ascii="Calibri" w:hAnsi="Calibri"/>
                <w:sz w:val="16"/>
              </w:rPr>
              <w:t>F-003</w:t>
            </w:r>
          </w:p>
        </w:tc>
        <w:tc>
          <w:tcPr>
            <w:tcW w:type="dxa" w:w="3000"/>
            <w:vAlign w:val="center"/>
            <w:tcMar>
              <w:top w:w="80" w:type="dxa"/>
              <w:start w:w="120" w:type="dxa"/>
              <w:bottom w:w="80" w:type="dxa"/>
              <w:end w:w="120" w:type="dxa"/>
            </w:tcMar>
            <w:shd w:fill="FFFFFF"/>
          </w:tcPr>
          <w:p>
            <w:pPr>
              <w:spacing w:after="20"/>
            </w:pPr>
            <w:r>
              <w:rPr>
                <w:rFonts w:ascii="Calibri" w:hAnsi="Calibri"/>
                <w:sz w:val="16"/>
              </w:rPr>
              <w:t>Mutable npm resolution and unpinned transitive ranges weaken reproducibility</w:t>
            </w:r>
          </w:p>
        </w:tc>
        <w:tc>
          <w:tcPr>
            <w:tcW w:type="dxa" w:w="1400"/>
            <w:vAlign w:val="center"/>
            <w:tcMar>
              <w:top w:w="80" w:type="dxa"/>
              <w:start w:w="120" w:type="dxa"/>
              <w:bottom w:w="80" w:type="dxa"/>
              <w:end w:w="120" w:type="dxa"/>
            </w:tcMar>
            <w:shd w:fill="FFFFFF"/>
          </w:tcPr>
          <w:p>
            <w:pPr>
              <w:spacing w:after="20"/>
            </w:pPr>
            <w:r>
              <w:rPr>
                <w:rFonts w:ascii="Calibri" w:hAnsi="Calibri"/>
                <w:sz w:val="16"/>
              </w:rPr>
              <w:t>4 x 4 = 16 High</w:t>
            </w:r>
          </w:p>
        </w:tc>
        <w:tc>
          <w:tcPr>
            <w:tcW w:type="dxa" w:w="1400"/>
            <w:vAlign w:val="center"/>
            <w:tcMar>
              <w:top w:w="80" w:type="dxa"/>
              <w:start w:w="120" w:type="dxa"/>
              <w:bottom w:w="80" w:type="dxa"/>
              <w:end w:w="120" w:type="dxa"/>
            </w:tcMar>
            <w:shd w:fill="FFFFFF"/>
          </w:tcPr>
          <w:p>
            <w:pPr>
              <w:spacing w:after="20"/>
            </w:pPr>
            <w:r>
              <w:rPr>
                <w:rFonts w:ascii="Calibri" w:hAnsi="Calibri"/>
                <w:sz w:val="16"/>
              </w:rPr>
              <w:t>3 x 4 = 12 High</w:t>
            </w:r>
          </w:p>
        </w:tc>
        <w:tc>
          <w:tcPr>
            <w:tcW w:type="dxa" w:w="1700"/>
            <w:vAlign w:val="center"/>
            <w:tcMar>
              <w:top w:w="80" w:type="dxa"/>
              <w:start w:w="120" w:type="dxa"/>
              <w:bottom w:w="80" w:type="dxa"/>
              <w:end w:w="120" w:type="dxa"/>
            </w:tcMar>
            <w:shd w:fill="FFFFFF"/>
          </w:tcPr>
          <w:p>
            <w:pPr>
              <w:spacing w:after="20"/>
            </w:pPr>
            <w:r>
              <w:rPr>
                <w:rFonts w:ascii="Calibri" w:hAnsi="Calibri"/>
                <w:sz w:val="16"/>
              </w:rPr>
              <w:t>Supplier Risk</w:t>
            </w:r>
          </w:p>
        </w:tc>
        <w:tc>
          <w:tcPr>
            <w:tcW w:type="dxa" w:w="960"/>
            <w:vAlign w:val="center"/>
            <w:tcMar>
              <w:top w:w="80" w:type="dxa"/>
              <w:start w:w="120" w:type="dxa"/>
              <w:bottom w:w="80" w:type="dxa"/>
              <w:end w:w="120" w:type="dxa"/>
            </w:tcMar>
            <w:shd w:fill="FFFFFF"/>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2F4F7"/>
          </w:tcPr>
          <w:p>
            <w:pPr>
              <w:spacing w:after="20"/>
            </w:pPr>
            <w:r>
              <w:rPr>
                <w:rFonts w:ascii="Calibri" w:hAnsi="Calibri"/>
                <w:sz w:val="16"/>
              </w:rPr>
              <w:t>F-004</w:t>
            </w:r>
          </w:p>
        </w:tc>
        <w:tc>
          <w:tcPr>
            <w:tcW w:type="dxa" w:w="3000"/>
            <w:vAlign w:val="center"/>
            <w:tcMar>
              <w:top w:w="80" w:type="dxa"/>
              <w:start w:w="120" w:type="dxa"/>
              <w:bottom w:w="80" w:type="dxa"/>
              <w:end w:w="120" w:type="dxa"/>
            </w:tcMar>
            <w:shd w:fill="F2F4F7"/>
          </w:tcPr>
          <w:p>
            <w:pPr>
              <w:spacing w:after="20"/>
            </w:pPr>
            <w:r>
              <w:rPr>
                <w:rFonts w:ascii="Calibri" w:hAnsi="Calibri"/>
                <w:sz w:val="16"/>
              </w:rPr>
              <w:t>Runtime data routing, credential storage and telemetry are unverified</w:t>
            </w:r>
          </w:p>
        </w:tc>
        <w:tc>
          <w:tcPr>
            <w:tcW w:type="dxa" w:w="1400"/>
            <w:vAlign w:val="center"/>
            <w:tcMar>
              <w:top w:w="80" w:type="dxa"/>
              <w:start w:w="120" w:type="dxa"/>
              <w:bottom w:w="80" w:type="dxa"/>
              <w:end w:w="120" w:type="dxa"/>
            </w:tcMar>
            <w:shd w:fill="F2F4F7"/>
          </w:tcPr>
          <w:p>
            <w:pPr>
              <w:spacing w:after="20"/>
            </w:pPr>
            <w:r>
              <w:rPr>
                <w:rFonts w:ascii="Calibri" w:hAnsi="Calibri"/>
                <w:sz w:val="16"/>
              </w:rPr>
              <w:t>3 x 5 = 15 High</w:t>
            </w:r>
          </w:p>
        </w:tc>
        <w:tc>
          <w:tcPr>
            <w:tcW w:type="dxa" w:w="1400"/>
            <w:vAlign w:val="center"/>
            <w:tcMar>
              <w:top w:w="80" w:type="dxa"/>
              <w:start w:w="120" w:type="dxa"/>
              <w:bottom w:w="80" w:type="dxa"/>
              <w:end w:w="120" w:type="dxa"/>
            </w:tcMar>
            <w:shd w:fill="F2F4F7"/>
          </w:tcPr>
          <w:p>
            <w:pPr>
              <w:spacing w:after="20"/>
            </w:pPr>
            <w:r>
              <w:rPr>
                <w:rFonts w:ascii="Calibri" w:hAnsi="Calibri"/>
                <w:sz w:val="16"/>
              </w:rPr>
              <w:t>3 x 4 = 12 High</w:t>
            </w:r>
          </w:p>
        </w:tc>
        <w:tc>
          <w:tcPr>
            <w:tcW w:type="dxa" w:w="1700"/>
            <w:vAlign w:val="center"/>
            <w:tcMar>
              <w:top w:w="80" w:type="dxa"/>
              <w:start w:w="120" w:type="dxa"/>
              <w:bottom w:w="80" w:type="dxa"/>
              <w:end w:w="120" w:type="dxa"/>
            </w:tcMar>
            <w:shd w:fill="F2F4F7"/>
          </w:tcPr>
          <w:p>
            <w:pPr>
              <w:spacing w:after="20"/>
            </w:pPr>
            <w:r>
              <w:rPr>
                <w:rFonts w:ascii="Calibri" w:hAnsi="Calibri"/>
                <w:sz w:val="16"/>
              </w:rPr>
              <w:t>Privacy and Legal</w:t>
            </w:r>
          </w:p>
        </w:tc>
        <w:tc>
          <w:tcPr>
            <w:tcW w:type="dxa" w:w="960"/>
            <w:vAlign w:val="center"/>
            <w:tcMar>
              <w:top w:w="80" w:type="dxa"/>
              <w:start w:w="120" w:type="dxa"/>
              <w:bottom w:w="80" w:type="dxa"/>
              <w:end w:w="120" w:type="dxa"/>
            </w:tcMar>
            <w:shd w:fill="F2F4F7"/>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FFFFF"/>
          </w:tcPr>
          <w:p>
            <w:pPr>
              <w:spacing w:after="20"/>
            </w:pPr>
            <w:r>
              <w:rPr>
                <w:rFonts w:ascii="Calibri" w:hAnsi="Calibri"/>
                <w:sz w:val="16"/>
              </w:rPr>
              <w:t>F-005</w:t>
            </w:r>
          </w:p>
        </w:tc>
        <w:tc>
          <w:tcPr>
            <w:tcW w:type="dxa" w:w="3000"/>
            <w:vAlign w:val="center"/>
            <w:tcMar>
              <w:top w:w="80" w:type="dxa"/>
              <w:start w:w="120" w:type="dxa"/>
              <w:bottom w:w="80" w:type="dxa"/>
              <w:end w:w="120" w:type="dxa"/>
            </w:tcMar>
            <w:shd w:fill="FFFFFF"/>
          </w:tcPr>
          <w:p>
            <w:pPr>
              <w:spacing w:after="20"/>
            </w:pPr>
            <w:r>
              <w:rPr>
                <w:rFonts w:ascii="Calibri" w:hAnsi="Calibri"/>
                <w:sz w:val="16"/>
              </w:rPr>
              <w:t>Client approval policy can be bypassed by overbroad consent</w:t>
            </w:r>
          </w:p>
        </w:tc>
        <w:tc>
          <w:tcPr>
            <w:tcW w:type="dxa" w:w="1400"/>
            <w:vAlign w:val="center"/>
            <w:tcMar>
              <w:top w:w="80" w:type="dxa"/>
              <w:start w:w="120" w:type="dxa"/>
              <w:bottom w:w="80" w:type="dxa"/>
              <w:end w:w="120" w:type="dxa"/>
            </w:tcMar>
            <w:shd w:fill="FFFFFF"/>
          </w:tcPr>
          <w:p>
            <w:pPr>
              <w:spacing w:after="20"/>
            </w:pPr>
            <w:r>
              <w:rPr>
                <w:rFonts w:ascii="Calibri" w:hAnsi="Calibri"/>
                <w:sz w:val="16"/>
              </w:rPr>
              <w:t>4 x 4 = 16 High</w:t>
            </w:r>
          </w:p>
        </w:tc>
        <w:tc>
          <w:tcPr>
            <w:tcW w:type="dxa" w:w="1400"/>
            <w:vAlign w:val="center"/>
            <w:tcMar>
              <w:top w:w="80" w:type="dxa"/>
              <w:start w:w="120" w:type="dxa"/>
              <w:bottom w:w="80" w:type="dxa"/>
              <w:end w:w="120" w:type="dxa"/>
            </w:tcMar>
            <w:shd w:fill="FFFFFF"/>
          </w:tcPr>
          <w:p>
            <w:pPr>
              <w:spacing w:after="20"/>
            </w:pPr>
            <w:r>
              <w:rPr>
                <w:rFonts w:ascii="Calibri" w:hAnsi="Calibri"/>
                <w:sz w:val="16"/>
              </w:rPr>
              <w:t>2 x 4 = 8 Moderate</w:t>
            </w:r>
          </w:p>
        </w:tc>
        <w:tc>
          <w:tcPr>
            <w:tcW w:type="dxa" w:w="1700"/>
            <w:vAlign w:val="center"/>
            <w:tcMar>
              <w:top w:w="80" w:type="dxa"/>
              <w:start w:w="120" w:type="dxa"/>
              <w:bottom w:w="80" w:type="dxa"/>
              <w:end w:w="120" w:type="dxa"/>
            </w:tcMar>
            <w:shd w:fill="FFFFFF"/>
          </w:tcPr>
          <w:p>
            <w:pPr>
              <w:spacing w:after="20"/>
            </w:pPr>
            <w:r>
              <w:rPr>
                <w:rFonts w:ascii="Calibri" w:hAnsi="Calibri"/>
                <w:sz w:val="16"/>
              </w:rPr>
              <w:t>IDE Engineering</w:t>
            </w:r>
          </w:p>
        </w:tc>
        <w:tc>
          <w:tcPr>
            <w:tcW w:type="dxa" w:w="960"/>
            <w:vAlign w:val="center"/>
            <w:tcMar>
              <w:top w:w="80" w:type="dxa"/>
              <w:start w:w="120" w:type="dxa"/>
              <w:bottom w:w="80" w:type="dxa"/>
              <w:end w:w="120" w:type="dxa"/>
            </w:tcMar>
            <w:shd w:fill="FFFFFF"/>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2F4F7"/>
          </w:tcPr>
          <w:p>
            <w:pPr>
              <w:spacing w:after="20"/>
            </w:pPr>
            <w:r>
              <w:rPr>
                <w:rFonts w:ascii="Calibri" w:hAnsi="Calibri"/>
                <w:sz w:val="16"/>
              </w:rPr>
              <w:t>F-006</w:t>
            </w:r>
          </w:p>
        </w:tc>
        <w:tc>
          <w:tcPr>
            <w:tcW w:type="dxa" w:w="3000"/>
            <w:vAlign w:val="center"/>
            <w:tcMar>
              <w:top w:w="80" w:type="dxa"/>
              <w:start w:w="120" w:type="dxa"/>
              <w:bottom w:w="80" w:type="dxa"/>
              <w:end w:w="120" w:type="dxa"/>
            </w:tcMar>
            <w:shd w:fill="F2F4F7"/>
          </w:tcPr>
          <w:p>
            <w:pPr>
              <w:spacing w:after="20"/>
            </w:pPr>
            <w:r>
              <w:rPr>
                <w:rFonts w:ascii="Calibri" w:hAnsi="Calibri"/>
                <w:sz w:val="16"/>
              </w:rPr>
              <w:t>PAT and environment-token modes expand credential exposure</w:t>
            </w:r>
          </w:p>
        </w:tc>
        <w:tc>
          <w:tcPr>
            <w:tcW w:type="dxa" w:w="1400"/>
            <w:vAlign w:val="center"/>
            <w:tcMar>
              <w:top w:w="80" w:type="dxa"/>
              <w:start w:w="120" w:type="dxa"/>
              <w:bottom w:w="80" w:type="dxa"/>
              <w:end w:w="120" w:type="dxa"/>
            </w:tcMar>
            <w:shd w:fill="F2F4F7"/>
          </w:tcPr>
          <w:p>
            <w:pPr>
              <w:spacing w:after="20"/>
            </w:pPr>
            <w:r>
              <w:rPr>
                <w:rFonts w:ascii="Calibri" w:hAnsi="Calibri"/>
                <w:sz w:val="16"/>
              </w:rPr>
              <w:t>3 x 5 = 15 High</w:t>
            </w:r>
          </w:p>
        </w:tc>
        <w:tc>
          <w:tcPr>
            <w:tcW w:type="dxa" w:w="1400"/>
            <w:vAlign w:val="center"/>
            <w:tcMar>
              <w:top w:w="80" w:type="dxa"/>
              <w:start w:w="120" w:type="dxa"/>
              <w:bottom w:w="80" w:type="dxa"/>
              <w:end w:w="120" w:type="dxa"/>
            </w:tcMar>
            <w:shd w:fill="F2F4F7"/>
          </w:tcPr>
          <w:p>
            <w:pPr>
              <w:spacing w:after="20"/>
            </w:pPr>
            <w:r>
              <w:rPr>
                <w:rFonts w:ascii="Calibri" w:hAnsi="Calibri"/>
                <w:sz w:val="16"/>
              </w:rPr>
              <w:t>2 x 5 = 10 High</w:t>
            </w:r>
          </w:p>
        </w:tc>
        <w:tc>
          <w:tcPr>
            <w:tcW w:type="dxa" w:w="1700"/>
            <w:vAlign w:val="center"/>
            <w:tcMar>
              <w:top w:w="80" w:type="dxa"/>
              <w:start w:w="120" w:type="dxa"/>
              <w:bottom w:w="80" w:type="dxa"/>
              <w:end w:w="120" w:type="dxa"/>
            </w:tcMar>
            <w:shd w:fill="F2F4F7"/>
          </w:tcPr>
          <w:p>
            <w:pPr>
              <w:spacing w:after="20"/>
            </w:pPr>
            <w:r>
              <w:rPr>
                <w:rFonts w:ascii="Calibri" w:hAnsi="Calibri"/>
                <w:sz w:val="16"/>
              </w:rPr>
              <w:t>Identity and Network</w:t>
            </w:r>
          </w:p>
        </w:tc>
        <w:tc>
          <w:tcPr>
            <w:tcW w:type="dxa" w:w="960"/>
            <w:vAlign w:val="center"/>
            <w:tcMar>
              <w:top w:w="80" w:type="dxa"/>
              <w:start w:w="120" w:type="dxa"/>
              <w:bottom w:w="80" w:type="dxa"/>
              <w:end w:w="120" w:type="dxa"/>
            </w:tcMar>
            <w:shd w:fill="F2F4F7"/>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FFFFF"/>
          </w:tcPr>
          <w:p>
            <w:pPr>
              <w:spacing w:after="20"/>
            </w:pPr>
            <w:r>
              <w:rPr>
                <w:rFonts w:ascii="Calibri" w:hAnsi="Calibri"/>
                <w:sz w:val="16"/>
              </w:rPr>
              <w:t>F-007</w:t>
            </w:r>
          </w:p>
        </w:tc>
        <w:tc>
          <w:tcPr>
            <w:tcW w:type="dxa" w:w="3000"/>
            <w:vAlign w:val="center"/>
            <w:tcMar>
              <w:top w:w="80" w:type="dxa"/>
              <w:start w:w="120" w:type="dxa"/>
              <w:bottom w:w="80" w:type="dxa"/>
              <w:end w:w="120" w:type="dxa"/>
            </w:tcMar>
            <w:shd w:fill="FFFFFF"/>
          </w:tcPr>
          <w:p>
            <w:pPr>
              <w:spacing w:after="20"/>
            </w:pPr>
            <w:r>
              <w:rPr>
                <w:rFonts w:ascii="Calibri" w:hAnsi="Calibri"/>
                <w:sz w:val="16"/>
              </w:rPr>
              <w:t>File-writing tools expose path and content-handling risk</w:t>
            </w:r>
          </w:p>
        </w:tc>
        <w:tc>
          <w:tcPr>
            <w:tcW w:type="dxa" w:w="1400"/>
            <w:vAlign w:val="center"/>
            <w:tcMar>
              <w:top w:w="80" w:type="dxa"/>
              <w:start w:w="120" w:type="dxa"/>
              <w:bottom w:w="80" w:type="dxa"/>
              <w:end w:w="120" w:type="dxa"/>
            </w:tcMar>
            <w:shd w:fill="FFFFFF"/>
          </w:tcPr>
          <w:p>
            <w:pPr>
              <w:spacing w:after="20"/>
            </w:pPr>
            <w:r>
              <w:rPr>
                <w:rFonts w:ascii="Calibri" w:hAnsi="Calibri"/>
                <w:sz w:val="16"/>
              </w:rPr>
              <w:t>3 x 4 = 12 High</w:t>
            </w:r>
          </w:p>
        </w:tc>
        <w:tc>
          <w:tcPr>
            <w:tcW w:type="dxa" w:w="1400"/>
            <w:vAlign w:val="center"/>
            <w:tcMar>
              <w:top w:w="80" w:type="dxa"/>
              <w:start w:w="120" w:type="dxa"/>
              <w:bottom w:w="80" w:type="dxa"/>
              <w:end w:w="120" w:type="dxa"/>
            </w:tcMar>
            <w:shd w:fill="FFFFFF"/>
          </w:tcPr>
          <w:p>
            <w:pPr>
              <w:spacing w:after="20"/>
            </w:pPr>
            <w:r>
              <w:rPr>
                <w:rFonts w:ascii="Calibri" w:hAnsi="Calibri"/>
                <w:sz w:val="16"/>
              </w:rPr>
              <w:t>3 x 4 = 12 High</w:t>
            </w:r>
          </w:p>
        </w:tc>
        <w:tc>
          <w:tcPr>
            <w:tcW w:type="dxa" w:w="1700"/>
            <w:vAlign w:val="center"/>
            <w:tcMar>
              <w:top w:w="80" w:type="dxa"/>
              <w:start w:w="120" w:type="dxa"/>
              <w:bottom w:w="80" w:type="dxa"/>
              <w:end w:w="120" w:type="dxa"/>
            </w:tcMar>
            <w:shd w:fill="FFFFFF"/>
          </w:tcPr>
          <w:p>
            <w:pPr>
              <w:spacing w:after="20"/>
            </w:pPr>
            <w:r>
              <w:rPr>
                <w:rFonts w:ascii="Calibri" w:hAnsi="Calibri"/>
                <w:sz w:val="16"/>
              </w:rPr>
              <w:t>Endpoint Engineering</w:t>
            </w:r>
          </w:p>
        </w:tc>
        <w:tc>
          <w:tcPr>
            <w:tcW w:type="dxa" w:w="960"/>
            <w:vAlign w:val="center"/>
            <w:tcMar>
              <w:top w:w="80" w:type="dxa"/>
              <w:start w:w="120" w:type="dxa"/>
              <w:bottom w:w="80" w:type="dxa"/>
              <w:end w:w="120" w:type="dxa"/>
            </w:tcMar>
            <w:shd w:fill="FFFFFF"/>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2F4F7"/>
          </w:tcPr>
          <w:p>
            <w:pPr>
              <w:spacing w:after="20"/>
            </w:pPr>
            <w:r>
              <w:rPr>
                <w:rFonts w:ascii="Calibri" w:hAnsi="Calibri"/>
                <w:sz w:val="16"/>
              </w:rPr>
              <w:t>F-008</w:t>
            </w:r>
          </w:p>
        </w:tc>
        <w:tc>
          <w:tcPr>
            <w:tcW w:type="dxa" w:w="3000"/>
            <w:vAlign w:val="center"/>
            <w:tcMar>
              <w:top w:w="80" w:type="dxa"/>
              <w:start w:w="120" w:type="dxa"/>
              <w:bottom w:w="80" w:type="dxa"/>
              <w:end w:w="120" w:type="dxa"/>
            </w:tcMar>
            <w:shd w:fill="F2F4F7"/>
          </w:tcPr>
          <w:p>
            <w:pPr>
              <w:spacing w:after="20"/>
            </w:pPr>
            <w:r>
              <w:rPr>
                <w:rFonts w:ascii="Calibri" w:hAnsi="Calibri"/>
                <w:sz w:val="16"/>
              </w:rPr>
              <w:t>Cross-IDE lifecycle and control parity are unverified</w:t>
            </w:r>
          </w:p>
        </w:tc>
        <w:tc>
          <w:tcPr>
            <w:tcW w:type="dxa" w:w="1400"/>
            <w:vAlign w:val="center"/>
            <w:tcMar>
              <w:top w:w="80" w:type="dxa"/>
              <w:start w:w="120" w:type="dxa"/>
              <w:bottom w:w="80" w:type="dxa"/>
              <w:end w:w="120" w:type="dxa"/>
            </w:tcMar>
            <w:shd w:fill="F2F4F7"/>
          </w:tcPr>
          <w:p>
            <w:pPr>
              <w:spacing w:after="20"/>
            </w:pPr>
            <w:r>
              <w:rPr>
                <w:rFonts w:ascii="Calibri" w:hAnsi="Calibri"/>
                <w:sz w:val="16"/>
              </w:rPr>
              <w:t>3 x 4 = 12 High</w:t>
            </w:r>
          </w:p>
        </w:tc>
        <w:tc>
          <w:tcPr>
            <w:tcW w:type="dxa" w:w="1400"/>
            <w:vAlign w:val="center"/>
            <w:tcMar>
              <w:top w:w="80" w:type="dxa"/>
              <w:start w:w="120" w:type="dxa"/>
              <w:bottom w:w="80" w:type="dxa"/>
              <w:end w:w="120" w:type="dxa"/>
            </w:tcMar>
            <w:shd w:fill="F2F4F7"/>
          </w:tcPr>
          <w:p>
            <w:pPr>
              <w:spacing w:after="20"/>
            </w:pPr>
            <w:r>
              <w:rPr>
                <w:rFonts w:ascii="Calibri" w:hAnsi="Calibri"/>
                <w:sz w:val="16"/>
              </w:rPr>
              <w:t>3 x 4 = 12 High</w:t>
            </w:r>
          </w:p>
        </w:tc>
        <w:tc>
          <w:tcPr>
            <w:tcW w:type="dxa" w:w="1700"/>
            <w:vAlign w:val="center"/>
            <w:tcMar>
              <w:top w:w="80" w:type="dxa"/>
              <w:start w:w="120" w:type="dxa"/>
              <w:bottom w:w="80" w:type="dxa"/>
              <w:end w:w="120" w:type="dxa"/>
            </w:tcMar>
            <w:shd w:fill="F2F4F7"/>
          </w:tcPr>
          <w:p>
            <w:pPr>
              <w:spacing w:after="20"/>
            </w:pPr>
            <w:r>
              <w:rPr>
                <w:rFonts w:ascii="Calibri" w:hAnsi="Calibri"/>
                <w:sz w:val="16"/>
              </w:rPr>
              <w:t>Endpoint Engineering</w:t>
            </w:r>
          </w:p>
        </w:tc>
        <w:tc>
          <w:tcPr>
            <w:tcW w:type="dxa" w:w="960"/>
            <w:vAlign w:val="center"/>
            <w:tcMar>
              <w:top w:w="80" w:type="dxa"/>
              <w:start w:w="120" w:type="dxa"/>
              <w:bottom w:w="80" w:type="dxa"/>
              <w:end w:w="120" w:type="dxa"/>
            </w:tcMar>
            <w:shd w:fill="F2F4F7"/>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FFFFF"/>
          </w:tcPr>
          <w:p>
            <w:pPr>
              <w:spacing w:after="20"/>
            </w:pPr>
            <w:r>
              <w:rPr>
                <w:rFonts w:ascii="Calibri" w:hAnsi="Calibri"/>
                <w:sz w:val="16"/>
              </w:rPr>
              <w:t>F-009</w:t>
            </w:r>
          </w:p>
        </w:tc>
        <w:tc>
          <w:tcPr>
            <w:tcW w:type="dxa" w:w="3000"/>
            <w:vAlign w:val="center"/>
            <w:tcMar>
              <w:top w:w="80" w:type="dxa"/>
              <w:start w:w="120" w:type="dxa"/>
              <w:bottom w:w="80" w:type="dxa"/>
              <w:end w:w="120" w:type="dxa"/>
            </w:tcMar>
            <w:shd w:fill="FFFFFF"/>
          </w:tcPr>
          <w:p>
            <w:pPr>
              <w:spacing w:after="20"/>
            </w:pPr>
            <w:r>
              <w:rPr>
                <w:rFonts w:ascii="Calibri" w:hAnsi="Calibri"/>
                <w:sz w:val="16"/>
              </w:rPr>
              <w:t>Dependency advisories and scanner signals require release triage</w:t>
            </w:r>
          </w:p>
        </w:tc>
        <w:tc>
          <w:tcPr>
            <w:tcW w:type="dxa" w:w="1400"/>
            <w:vAlign w:val="center"/>
            <w:tcMar>
              <w:top w:w="80" w:type="dxa"/>
              <w:start w:w="120" w:type="dxa"/>
              <w:bottom w:w="80" w:type="dxa"/>
              <w:end w:w="120" w:type="dxa"/>
            </w:tcMar>
            <w:shd w:fill="FFFFFF"/>
          </w:tcPr>
          <w:p>
            <w:pPr>
              <w:spacing w:after="20"/>
            </w:pPr>
            <w:r>
              <w:rPr>
                <w:rFonts w:ascii="Calibri" w:hAnsi="Calibri"/>
                <w:sz w:val="16"/>
              </w:rPr>
              <w:t>3 x 4 = 12 High</w:t>
            </w:r>
          </w:p>
        </w:tc>
        <w:tc>
          <w:tcPr>
            <w:tcW w:type="dxa" w:w="1400"/>
            <w:vAlign w:val="center"/>
            <w:tcMar>
              <w:top w:w="80" w:type="dxa"/>
              <w:start w:w="120" w:type="dxa"/>
              <w:bottom w:w="80" w:type="dxa"/>
              <w:end w:w="120" w:type="dxa"/>
            </w:tcMar>
            <w:shd w:fill="FFFFFF"/>
          </w:tcPr>
          <w:p>
            <w:pPr>
              <w:spacing w:after="20"/>
            </w:pPr>
            <w:r>
              <w:rPr>
                <w:rFonts w:ascii="Calibri" w:hAnsi="Calibri"/>
                <w:sz w:val="16"/>
              </w:rPr>
              <w:t>3 x 3 = 9 Moderate</w:t>
            </w:r>
          </w:p>
        </w:tc>
        <w:tc>
          <w:tcPr>
            <w:tcW w:type="dxa" w:w="1700"/>
            <w:vAlign w:val="center"/>
            <w:tcMar>
              <w:top w:w="80" w:type="dxa"/>
              <w:start w:w="120" w:type="dxa"/>
              <w:bottom w:w="80" w:type="dxa"/>
              <w:end w:w="120" w:type="dxa"/>
            </w:tcMar>
            <w:shd w:fill="FFFFFF"/>
          </w:tcPr>
          <w:p>
            <w:pPr>
              <w:spacing w:after="20"/>
            </w:pPr>
            <w:r>
              <w:rPr>
                <w:rFonts w:ascii="Calibri" w:hAnsi="Calibri"/>
                <w:sz w:val="16"/>
              </w:rPr>
              <w:t>Supplier Risk</w:t>
            </w:r>
          </w:p>
        </w:tc>
        <w:tc>
          <w:tcPr>
            <w:tcW w:type="dxa" w:w="960"/>
            <w:vAlign w:val="center"/>
            <w:tcMar>
              <w:top w:w="80" w:type="dxa"/>
              <w:start w:w="120" w:type="dxa"/>
              <w:bottom w:w="80" w:type="dxa"/>
              <w:end w:w="120" w:type="dxa"/>
            </w:tcMar>
            <w:shd w:fill="FFFFFF"/>
          </w:tcPr>
          <w:p>
            <w:pPr>
              <w:spacing w:after="20"/>
            </w:pPr>
            <w:r>
              <w:rPr>
                <w:rFonts w:ascii="Calibri" w:hAnsi="Calibri"/>
                <w:sz w:val="16"/>
              </w:rPr>
              <w:t>Before pilot</w:t>
            </w:r>
          </w:p>
        </w:tc>
      </w:tr>
      <w:tr>
        <w:trPr>
          <w:cantSplit/>
        </w:trPr>
        <w:tc>
          <w:tcPr>
            <w:tcW w:type="dxa" w:w="900"/>
            <w:vAlign w:val="center"/>
            <w:tcMar>
              <w:top w:w="80" w:type="dxa"/>
              <w:start w:w="120" w:type="dxa"/>
              <w:bottom w:w="80" w:type="dxa"/>
              <w:end w:w="120" w:type="dxa"/>
            </w:tcMar>
            <w:shd w:fill="F2F4F7"/>
          </w:tcPr>
          <w:p>
            <w:pPr>
              <w:spacing w:after="20"/>
            </w:pPr>
            <w:r>
              <w:rPr>
                <w:rFonts w:ascii="Calibri" w:hAnsi="Calibri"/>
                <w:sz w:val="16"/>
              </w:rPr>
              <w:t>F-010</w:t>
            </w:r>
          </w:p>
        </w:tc>
        <w:tc>
          <w:tcPr>
            <w:tcW w:type="dxa" w:w="3000"/>
            <w:vAlign w:val="center"/>
            <w:tcMar>
              <w:top w:w="80" w:type="dxa"/>
              <w:start w:w="120" w:type="dxa"/>
              <w:bottom w:w="80" w:type="dxa"/>
              <w:end w:w="120" w:type="dxa"/>
            </w:tcMar>
            <w:shd w:fill="F2F4F7"/>
          </w:tcPr>
          <w:p>
            <w:pPr>
              <w:spacing w:after="20"/>
            </w:pPr>
            <w:r>
              <w:rPr>
                <w:rFonts w:ascii="Calibri" w:hAnsi="Calibri"/>
                <w:sz w:val="16"/>
              </w:rPr>
              <w:t>Customer-outcome use could create regulatory and model risk</w:t>
            </w:r>
          </w:p>
        </w:tc>
        <w:tc>
          <w:tcPr>
            <w:tcW w:type="dxa" w:w="1400"/>
            <w:vAlign w:val="center"/>
            <w:tcMar>
              <w:top w:w="80" w:type="dxa"/>
              <w:start w:w="120" w:type="dxa"/>
              <w:bottom w:w="80" w:type="dxa"/>
              <w:end w:w="120" w:type="dxa"/>
            </w:tcMar>
            <w:shd w:fill="F2F4F7"/>
          </w:tcPr>
          <w:p>
            <w:pPr>
              <w:spacing w:after="20"/>
            </w:pPr>
            <w:r>
              <w:rPr>
                <w:rFonts w:ascii="Calibri" w:hAnsi="Calibri"/>
                <w:sz w:val="16"/>
              </w:rPr>
              <w:t>3 x 5 = 15 High</w:t>
            </w:r>
          </w:p>
        </w:tc>
        <w:tc>
          <w:tcPr>
            <w:tcW w:type="dxa" w:w="1400"/>
            <w:vAlign w:val="center"/>
            <w:tcMar>
              <w:top w:w="80" w:type="dxa"/>
              <w:start w:w="120" w:type="dxa"/>
              <w:bottom w:w="80" w:type="dxa"/>
              <w:end w:w="120" w:type="dxa"/>
            </w:tcMar>
            <w:shd w:fill="F2F4F7"/>
          </w:tcPr>
          <w:p>
            <w:pPr>
              <w:spacing w:after="20"/>
            </w:pPr>
            <w:r>
              <w:rPr>
                <w:rFonts w:ascii="Calibri" w:hAnsi="Calibri"/>
                <w:sz w:val="16"/>
              </w:rPr>
              <w:t>2 x 5 = 10 High</w:t>
            </w:r>
          </w:p>
        </w:tc>
        <w:tc>
          <w:tcPr>
            <w:tcW w:type="dxa" w:w="1700"/>
            <w:vAlign w:val="center"/>
            <w:tcMar>
              <w:top w:w="80" w:type="dxa"/>
              <w:start w:w="120" w:type="dxa"/>
              <w:bottom w:w="80" w:type="dxa"/>
              <w:end w:w="120" w:type="dxa"/>
            </w:tcMar>
            <w:shd w:fill="F2F4F7"/>
          </w:tcPr>
          <w:p>
            <w:pPr>
              <w:spacing w:after="20"/>
            </w:pPr>
            <w:r>
              <w:rPr>
                <w:rFonts w:ascii="Calibri" w:hAnsi="Calibri"/>
                <w:sz w:val="16"/>
              </w:rPr>
              <w:t>Business Risk Owner</w:t>
            </w:r>
          </w:p>
        </w:tc>
        <w:tc>
          <w:tcPr>
            <w:tcW w:type="dxa" w:w="960"/>
            <w:vAlign w:val="center"/>
            <w:tcMar>
              <w:top w:w="80" w:type="dxa"/>
              <w:start w:w="120" w:type="dxa"/>
              <w:bottom w:w="80" w:type="dxa"/>
              <w:end w:w="120" w:type="dxa"/>
            </w:tcMar>
            <w:shd w:fill="F2F4F7"/>
          </w:tcPr>
          <w:p>
            <w:pPr>
              <w:spacing w:after="20"/>
            </w:pPr>
            <w:r>
              <w:rPr>
                <w:rFonts w:ascii="Calibri" w:hAnsi="Calibri"/>
                <w:sz w:val="16"/>
              </w:rPr>
              <w:t>Before any such use</w:t>
            </w:r>
          </w:p>
        </w:tc>
      </w:tr>
    </w:tbl>
    <w:p/>
    <w:p>
      <w:pPr>
        <w:pStyle w:val="Heading1"/>
      </w:pPr>
      <w:r>
        <w:t>Residual Risk and Approval Recommendation</w:t>
      </w:r>
    </w:p>
    <w:p>
      <w:pPr>
        <w:widowControl/>
      </w:pPr>
      <w:r>
        <w:t>DEFER PENDING EVIDENCE for internal-confidential and production use. A short, read-only, non-production pilot using synthetic or non-sensitive data may proceed only with the mandatory controls. Defer write-enabled use, broad organisation access, unattended automation, customer-outcome processing and shared privileged identities. Residual risk remains High until representative runtime, dependency, privacy and audit-correlation evidence is accepted.</w:t>
      </w:r>
    </w:p>
    <w:p>
      <w:pPr>
        <w:pStyle w:val="Heading1"/>
      </w:pPr>
      <w:r>
        <w:t>Limitations and Confidence Levels</w:t>
      </w:r>
    </w:p>
    <w:p>
      <w:pPr>
        <w:widowControl/>
      </w:pPr>
      <w:r>
        <w:t>The original 15 July 2026 report bytes were not available. Historical task records preserve its scope, 27-page QA result and controlled read-only-pilot decision. This v1.1 report is a fresh authoritative regeneration, not a byte-identical revision. No package execution, IDE activation, live authentication, process/network capture, failure test, update test or uninstall test occurred. Runtime controls and residue remain Unknown and are not treated as passed.</w:t>
      </w:r>
    </w:p>
    <w:p>
      <w:pPr>
        <w:pStyle w:val="Heading1"/>
      </w:pPr>
      <w:r>
        <w:t>Evidence Register</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500"/>
            <w:vAlign w:val="center"/>
            <w:tcMar>
              <w:top w:w="80" w:type="dxa"/>
              <w:start w:w="120" w:type="dxa"/>
              <w:bottom w:w="80" w:type="dxa"/>
              <w:end w:w="120" w:type="dxa"/>
            </w:tcMar>
            <w:shd w:fill="17365D"/>
          </w:tcPr>
          <w:p>
            <w:pPr>
              <w:spacing w:after="20"/>
            </w:pPr>
            <w:r>
              <w:rPr>
                <w:rFonts w:ascii="Calibri" w:hAnsi="Calibri"/>
                <w:b/>
                <w:color w:val="FFFFFF"/>
                <w:sz w:val="16"/>
              </w:rPr>
              <w:t>Evidence ID</w:t>
            </w:r>
          </w:p>
        </w:tc>
        <w:tc>
          <w:tcPr>
            <w:tcW w:type="dxa" w:w="2900"/>
            <w:vAlign w:val="center"/>
            <w:tcMar>
              <w:top w:w="80" w:type="dxa"/>
              <w:start w:w="120" w:type="dxa"/>
              <w:bottom w:w="80" w:type="dxa"/>
              <w:end w:w="120" w:type="dxa"/>
            </w:tcMar>
            <w:shd w:fill="17365D"/>
          </w:tcPr>
          <w:p>
            <w:pPr>
              <w:spacing w:after="20"/>
            </w:pPr>
            <w:r>
              <w:rPr>
                <w:rFonts w:ascii="Calibri" w:hAnsi="Calibri"/>
                <w:b/>
                <w:color w:val="FFFFFF"/>
                <w:sz w:val="16"/>
              </w:rPr>
              <w:t>Item</w:t>
            </w:r>
          </w:p>
        </w:tc>
        <w:tc>
          <w:tcPr>
            <w:tcW w:type="dxa" w:w="2500"/>
            <w:vAlign w:val="center"/>
            <w:tcMar>
              <w:top w:w="80" w:type="dxa"/>
              <w:start w:w="120" w:type="dxa"/>
              <w:bottom w:w="80" w:type="dxa"/>
              <w:end w:w="120" w:type="dxa"/>
            </w:tcMar>
            <w:shd w:fill="17365D"/>
          </w:tcPr>
          <w:p>
            <w:pPr>
              <w:spacing w:after="20"/>
            </w:pPr>
            <w:r>
              <w:rPr>
                <w:rFonts w:ascii="Calibri" w:hAnsi="Calibri"/>
                <w:b/>
                <w:color w:val="FFFFFF"/>
                <w:sz w:val="16"/>
              </w:rPr>
              <w:t>State</w:t>
            </w:r>
          </w:p>
        </w:tc>
        <w:tc>
          <w:tcPr>
            <w:tcW w:type="dxa" w:w="2460"/>
            <w:vAlign w:val="center"/>
            <w:tcMar>
              <w:top w:w="80" w:type="dxa"/>
              <w:start w:w="120" w:type="dxa"/>
              <w:bottom w:w="80" w:type="dxa"/>
              <w:end w:w="120" w:type="dxa"/>
            </w:tcMar>
            <w:shd w:fill="17365D"/>
          </w:tcPr>
          <w:p>
            <w:pPr>
              <w:spacing w:after="20"/>
            </w:pPr>
            <w:r>
              <w:rPr>
                <w:rFonts w:ascii="Calibri" w:hAnsi="Calibri"/>
                <w:b/>
                <w:color w:val="FFFFFF"/>
                <w:sz w:val="16"/>
              </w:rPr>
              <w:t>Retention</w:t>
            </w:r>
          </w:p>
        </w:tc>
      </w:tr>
      <w:tr>
        <w:trPr>
          <w:cantSplit/>
        </w:trPr>
        <w:tc>
          <w:tcPr>
            <w:tcW w:type="dxa" w:w="1500"/>
            <w:vAlign w:val="center"/>
            <w:tcMar>
              <w:top w:w="80" w:type="dxa"/>
              <w:start w:w="120" w:type="dxa"/>
              <w:bottom w:w="80" w:type="dxa"/>
              <w:end w:w="120" w:type="dxa"/>
            </w:tcMar>
            <w:shd w:fill="FFFFFF"/>
          </w:tcPr>
          <w:p>
            <w:pPr>
              <w:spacing w:after="20"/>
            </w:pPr>
            <w:r>
              <w:rPr>
                <w:rFonts w:ascii="Calibri" w:hAnsi="Calibri"/>
                <w:sz w:val="16"/>
              </w:rPr>
              <w:t>EVD-001</w:t>
            </w:r>
          </w:p>
        </w:tc>
        <w:tc>
          <w:tcPr>
            <w:tcW w:type="dxa" w:w="2900"/>
            <w:vAlign w:val="center"/>
            <w:tcMar>
              <w:top w:w="80" w:type="dxa"/>
              <w:start w:w="120" w:type="dxa"/>
              <w:bottom w:w="80" w:type="dxa"/>
              <w:end w:w="120" w:type="dxa"/>
            </w:tcMar>
            <w:shd w:fill="FFFFFF"/>
          </w:tcPr>
          <w:p>
            <w:pPr>
              <w:spacing w:after="20"/>
            </w:pPr>
            <w:r>
              <w:rPr>
                <w:rFonts w:ascii="Calibri" w:hAnsi="Calibri"/>
                <w:sz w:val="16"/>
              </w:rPr>
              <w:t>npm registry metadata</w:t>
            </w:r>
          </w:p>
        </w:tc>
        <w:tc>
          <w:tcPr>
            <w:tcW w:type="dxa" w:w="2500"/>
            <w:vAlign w:val="center"/>
            <w:tcMar>
              <w:top w:w="80" w:type="dxa"/>
              <w:start w:w="120" w:type="dxa"/>
              <w:bottom w:w="80" w:type="dxa"/>
              <w:end w:w="120" w:type="dxa"/>
            </w:tcMar>
            <w:shd w:fill="FFFFFF"/>
          </w:tcPr>
          <w:p>
            <w:pPr>
              <w:spacing w:after="20"/>
            </w:pPr>
            <w:r>
              <w:rPr>
                <w:rFonts w:ascii="Calibri" w:hAnsi="Calibri"/>
                <w:sz w:val="16"/>
              </w:rPr>
              <w:t>Verified version and npm signature</w:t>
            </w:r>
          </w:p>
        </w:tc>
        <w:tc>
          <w:tcPr>
            <w:tcW w:type="dxa" w:w="2460"/>
            <w:vAlign w:val="center"/>
            <w:tcMar>
              <w:top w:w="80" w:type="dxa"/>
              <w:start w:w="120" w:type="dxa"/>
              <w:bottom w:w="80" w:type="dxa"/>
              <w:end w:w="120" w:type="dxa"/>
            </w:tcMar>
            <w:shd w:fill="FFFFFF"/>
          </w:tcPr>
          <w:p>
            <w:pPr>
              <w:spacing w:after="20"/>
            </w:pPr>
            <w:r>
              <w:rPr>
                <w:rFonts w:ascii="Calibri" w:hAnsi="Calibri"/>
                <w:sz w:val="16"/>
              </w:rPr>
              <w:t>JSON retained</w:t>
            </w:r>
          </w:p>
        </w:tc>
      </w:tr>
      <w:tr>
        <w:trPr>
          <w:cantSplit/>
        </w:trPr>
        <w:tc>
          <w:tcPr>
            <w:tcW w:type="dxa" w:w="1500"/>
            <w:vAlign w:val="center"/>
            <w:tcMar>
              <w:top w:w="80" w:type="dxa"/>
              <w:start w:w="120" w:type="dxa"/>
              <w:bottom w:w="80" w:type="dxa"/>
              <w:end w:w="120" w:type="dxa"/>
            </w:tcMar>
            <w:shd w:fill="F2F4F7"/>
          </w:tcPr>
          <w:p>
            <w:pPr>
              <w:spacing w:after="20"/>
            </w:pPr>
            <w:r>
              <w:rPr>
                <w:rFonts w:ascii="Calibri" w:hAnsi="Calibri"/>
                <w:sz w:val="16"/>
              </w:rPr>
              <w:t>EVD-002</w:t>
            </w:r>
          </w:p>
        </w:tc>
        <w:tc>
          <w:tcPr>
            <w:tcW w:type="dxa" w:w="2900"/>
            <w:vAlign w:val="center"/>
            <w:tcMar>
              <w:top w:w="80" w:type="dxa"/>
              <w:start w:w="120" w:type="dxa"/>
              <w:bottom w:w="80" w:type="dxa"/>
              <w:end w:w="120" w:type="dxa"/>
            </w:tcMar>
            <w:shd w:fill="F2F4F7"/>
          </w:tcPr>
          <w:p>
            <w:pPr>
              <w:spacing w:after="20"/>
            </w:pPr>
            <w:r>
              <w:rPr>
                <w:rFonts w:ascii="Calibri" w:hAnsi="Calibri"/>
                <w:sz w:val="16"/>
              </w:rPr>
              <w:t>npm package 2.8.1</w:t>
            </w:r>
          </w:p>
        </w:tc>
        <w:tc>
          <w:tcPr>
            <w:tcW w:type="dxa" w:w="2500"/>
            <w:vAlign w:val="center"/>
            <w:tcMar>
              <w:top w:w="80" w:type="dxa"/>
              <w:start w:w="120" w:type="dxa"/>
              <w:bottom w:w="80" w:type="dxa"/>
              <w:end w:w="120" w:type="dxa"/>
            </w:tcMar>
            <w:shd w:fill="F2F4F7"/>
          </w:tcPr>
          <w:p>
            <w:pPr>
              <w:spacing w:after="20"/>
            </w:pPr>
            <w:r>
              <w:rPr>
                <w:rFonts w:ascii="Calibri" w:hAnsi="Calibri"/>
                <w:sz w:val="16"/>
              </w:rPr>
              <w:t>Verified SHA-256 and integrity metadata</w:t>
            </w:r>
          </w:p>
        </w:tc>
        <w:tc>
          <w:tcPr>
            <w:tcW w:type="dxa" w:w="2460"/>
            <w:vAlign w:val="center"/>
            <w:tcMar>
              <w:top w:w="80" w:type="dxa"/>
              <w:start w:w="120" w:type="dxa"/>
              <w:bottom w:w="80" w:type="dxa"/>
              <w:end w:w="120" w:type="dxa"/>
            </w:tcMar>
            <w:shd w:fill="F2F4F7"/>
          </w:tcPr>
          <w:p>
            <w:pPr>
              <w:spacing w:after="20"/>
            </w:pPr>
            <w:r>
              <w:rPr>
                <w:rFonts w:ascii="Calibri" w:hAnsi="Calibri"/>
                <w:sz w:val="16"/>
              </w:rPr>
              <w:t>Original tarball retained</w:t>
            </w:r>
          </w:p>
        </w:tc>
      </w:tr>
      <w:tr>
        <w:trPr>
          <w:cantSplit/>
        </w:trPr>
        <w:tc>
          <w:tcPr>
            <w:tcW w:type="dxa" w:w="1500"/>
            <w:vAlign w:val="center"/>
            <w:tcMar>
              <w:top w:w="80" w:type="dxa"/>
              <w:start w:w="120" w:type="dxa"/>
              <w:bottom w:w="80" w:type="dxa"/>
              <w:end w:w="120" w:type="dxa"/>
            </w:tcMar>
            <w:shd w:fill="FFFFFF"/>
          </w:tcPr>
          <w:p>
            <w:pPr>
              <w:spacing w:after="20"/>
            </w:pPr>
            <w:r>
              <w:rPr>
                <w:rFonts w:ascii="Calibri" w:hAnsi="Calibri"/>
                <w:sz w:val="16"/>
              </w:rPr>
              <w:t>EVD-003</w:t>
            </w:r>
          </w:p>
        </w:tc>
        <w:tc>
          <w:tcPr>
            <w:tcW w:type="dxa" w:w="2900"/>
            <w:vAlign w:val="center"/>
            <w:tcMar>
              <w:top w:w="80" w:type="dxa"/>
              <w:start w:w="120" w:type="dxa"/>
              <w:bottom w:w="80" w:type="dxa"/>
              <w:end w:w="120" w:type="dxa"/>
            </w:tcMar>
            <w:shd w:fill="FFFFFF"/>
          </w:tcPr>
          <w:p>
            <w:pPr>
              <w:spacing w:after="20"/>
            </w:pPr>
            <w:r>
              <w:rPr>
                <w:rFonts w:ascii="Calibri" w:hAnsi="Calibri"/>
                <w:sz w:val="16"/>
              </w:rPr>
              <w:t>Microsoft source commit</w:t>
            </w:r>
          </w:p>
        </w:tc>
        <w:tc>
          <w:tcPr>
            <w:tcW w:type="dxa" w:w="2500"/>
            <w:vAlign w:val="center"/>
            <w:tcMar>
              <w:top w:w="80" w:type="dxa"/>
              <w:start w:w="120" w:type="dxa"/>
              <w:bottom w:w="80" w:type="dxa"/>
              <w:end w:w="120" w:type="dxa"/>
            </w:tcMar>
            <w:shd w:fill="FFFFFF"/>
          </w:tcPr>
          <w:p>
            <w:pPr>
              <w:spacing w:after="20"/>
            </w:pPr>
            <w:r>
              <w:rPr>
                <w:rFonts w:ascii="Calibri" w:hAnsi="Calibri"/>
                <w:sz w:val="16"/>
              </w:rPr>
              <w:t>Verified registry gitHead</w:t>
            </w:r>
          </w:p>
        </w:tc>
        <w:tc>
          <w:tcPr>
            <w:tcW w:type="dxa" w:w="2460"/>
            <w:vAlign w:val="center"/>
            <w:tcMar>
              <w:top w:w="80" w:type="dxa"/>
              <w:start w:w="120" w:type="dxa"/>
              <w:bottom w:w="80" w:type="dxa"/>
              <w:end w:w="120" w:type="dxa"/>
            </w:tcMar>
            <w:shd w:fill="FFFFFF"/>
          </w:tcPr>
          <w:p>
            <w:pPr>
              <w:spacing w:after="20"/>
            </w:pPr>
            <w:r>
              <w:rPr>
                <w:rFonts w:ascii="Calibri" w:hAnsi="Calibri"/>
                <w:sz w:val="16"/>
              </w:rPr>
              <w:t>Unlinked snapshot retained</w:t>
            </w:r>
          </w:p>
        </w:tc>
      </w:tr>
      <w:tr>
        <w:trPr>
          <w:cantSplit/>
        </w:trPr>
        <w:tc>
          <w:tcPr>
            <w:tcW w:type="dxa" w:w="1500"/>
            <w:vAlign w:val="center"/>
            <w:tcMar>
              <w:top w:w="80" w:type="dxa"/>
              <w:start w:w="120" w:type="dxa"/>
              <w:bottom w:w="80" w:type="dxa"/>
              <w:end w:w="120" w:type="dxa"/>
            </w:tcMar>
            <w:shd w:fill="F2F4F7"/>
          </w:tcPr>
          <w:p>
            <w:pPr>
              <w:spacing w:after="20"/>
            </w:pPr>
            <w:r>
              <w:rPr>
                <w:rFonts w:ascii="Calibri" w:hAnsi="Calibri"/>
                <w:sz w:val="16"/>
              </w:rPr>
              <w:t>EVD-004</w:t>
            </w:r>
          </w:p>
        </w:tc>
        <w:tc>
          <w:tcPr>
            <w:tcW w:type="dxa" w:w="2900"/>
            <w:vAlign w:val="center"/>
            <w:tcMar>
              <w:top w:w="80" w:type="dxa"/>
              <w:start w:w="120" w:type="dxa"/>
              <w:bottom w:w="80" w:type="dxa"/>
              <w:end w:w="120" w:type="dxa"/>
            </w:tcMar>
            <w:shd w:fill="F2F4F7"/>
          </w:tcPr>
          <w:p>
            <w:pPr>
              <w:spacing w:after="20"/>
            </w:pPr>
            <w:r>
              <w:rPr>
                <w:rFonts w:ascii="Calibri" w:hAnsi="Calibri"/>
                <w:sz w:val="16"/>
              </w:rPr>
              <w:t>Source archive</w:t>
            </w:r>
          </w:p>
        </w:tc>
        <w:tc>
          <w:tcPr>
            <w:tcW w:type="dxa" w:w="2500"/>
            <w:vAlign w:val="center"/>
            <w:tcMar>
              <w:top w:w="80" w:type="dxa"/>
              <w:start w:w="120" w:type="dxa"/>
              <w:bottom w:w="80" w:type="dxa"/>
              <w:end w:w="120" w:type="dxa"/>
            </w:tcMar>
            <w:shd w:fill="F2F4F7"/>
          </w:tcPr>
          <w:p>
            <w:pPr>
              <w:spacing w:after="20"/>
            </w:pPr>
            <w:r>
              <w:rPr>
                <w:rFonts w:ascii="Calibri" w:hAnsi="Calibri"/>
                <w:sz w:val="16"/>
              </w:rPr>
              <w:t>Verified commit archive</w:t>
            </w:r>
          </w:p>
        </w:tc>
        <w:tc>
          <w:tcPr>
            <w:tcW w:type="dxa" w:w="2460"/>
            <w:vAlign w:val="center"/>
            <w:tcMar>
              <w:top w:w="80" w:type="dxa"/>
              <w:start w:w="120" w:type="dxa"/>
              <w:bottom w:w="80" w:type="dxa"/>
              <w:end w:w="120" w:type="dxa"/>
            </w:tcMar>
            <w:shd w:fill="F2F4F7"/>
          </w:tcPr>
          <w:p>
            <w:pPr>
              <w:spacing w:after="20"/>
            </w:pPr>
            <w:r>
              <w:rPr>
                <w:rFonts w:ascii="Calibri" w:hAnsi="Calibri"/>
                <w:sz w:val="16"/>
              </w:rPr>
              <w:t>Original archive retained</w:t>
            </w:r>
          </w:p>
        </w:tc>
      </w:tr>
      <w:tr>
        <w:trPr>
          <w:cantSplit/>
        </w:trPr>
        <w:tc>
          <w:tcPr>
            <w:tcW w:type="dxa" w:w="1500"/>
            <w:vAlign w:val="center"/>
            <w:tcMar>
              <w:top w:w="80" w:type="dxa"/>
              <w:start w:w="120" w:type="dxa"/>
              <w:bottom w:w="80" w:type="dxa"/>
              <w:end w:w="120" w:type="dxa"/>
            </w:tcMar>
            <w:shd w:fill="FFFFFF"/>
          </w:tcPr>
          <w:p>
            <w:pPr>
              <w:spacing w:after="20"/>
            </w:pPr>
            <w:r>
              <w:rPr>
                <w:rFonts w:ascii="Calibri" w:hAnsi="Calibri"/>
                <w:sz w:val="16"/>
              </w:rPr>
              <w:t>EVD-005</w:t>
            </w:r>
          </w:p>
        </w:tc>
        <w:tc>
          <w:tcPr>
            <w:tcW w:type="dxa" w:w="2900"/>
            <w:vAlign w:val="center"/>
            <w:tcMar>
              <w:top w:w="80" w:type="dxa"/>
              <w:start w:w="120" w:type="dxa"/>
              <w:bottom w:w="80" w:type="dxa"/>
              <w:end w:w="120" w:type="dxa"/>
            </w:tcMar>
            <w:shd w:fill="FFFFFF"/>
          </w:tcPr>
          <w:p>
            <w:pPr>
              <w:spacing w:after="20"/>
            </w:pPr>
            <w:r>
              <w:rPr>
                <w:rFonts w:ascii="Calibri" w:hAnsi="Calibri"/>
                <w:sz w:val="16"/>
              </w:rPr>
              <w:t>ClamAV, Semgrep, OSV and Gitleaks</w:t>
            </w:r>
          </w:p>
        </w:tc>
        <w:tc>
          <w:tcPr>
            <w:tcW w:type="dxa" w:w="2500"/>
            <w:vAlign w:val="center"/>
            <w:tcMar>
              <w:top w:w="80" w:type="dxa"/>
              <w:start w:w="120" w:type="dxa"/>
              <w:bottom w:w="80" w:type="dxa"/>
              <w:end w:w="120" w:type="dxa"/>
            </w:tcMar>
            <w:shd w:fill="FFFFFF"/>
          </w:tcPr>
          <w:p>
            <w:pPr>
              <w:spacing w:after="20"/>
            </w:pPr>
            <w:r>
              <w:rPr>
                <w:rFonts w:ascii="Calibri" w:hAnsi="Calibri"/>
                <w:sz w:val="16"/>
              </w:rPr>
              <w:t>Current with limitations</w:t>
            </w:r>
          </w:p>
        </w:tc>
        <w:tc>
          <w:tcPr>
            <w:tcW w:type="dxa" w:w="2460"/>
            <w:vAlign w:val="center"/>
            <w:tcMar>
              <w:top w:w="80" w:type="dxa"/>
              <w:start w:w="120" w:type="dxa"/>
              <w:bottom w:w="80" w:type="dxa"/>
              <w:end w:w="120" w:type="dxa"/>
            </w:tcMar>
            <w:shd w:fill="FFFFFF"/>
          </w:tcPr>
          <w:p>
            <w:pPr>
              <w:spacing w:after="20"/>
            </w:pPr>
            <w:r>
              <w:rPr>
                <w:rFonts w:ascii="Calibri" w:hAnsi="Calibri"/>
                <w:sz w:val="16"/>
              </w:rPr>
              <w:t>Machine-readable/log evidence</w:t>
            </w:r>
          </w:p>
        </w:tc>
      </w:tr>
      <w:tr>
        <w:trPr>
          <w:cantSplit/>
        </w:trPr>
        <w:tc>
          <w:tcPr>
            <w:tcW w:type="dxa" w:w="1500"/>
            <w:vAlign w:val="center"/>
            <w:tcMar>
              <w:top w:w="80" w:type="dxa"/>
              <w:start w:w="120" w:type="dxa"/>
              <w:bottom w:w="80" w:type="dxa"/>
              <w:end w:w="120" w:type="dxa"/>
            </w:tcMar>
            <w:shd w:fill="F2F4F7"/>
          </w:tcPr>
          <w:p>
            <w:pPr>
              <w:spacing w:after="20"/>
            </w:pPr>
            <w:r>
              <w:rPr>
                <w:rFonts w:ascii="Calibri" w:hAnsi="Calibri"/>
                <w:sz w:val="16"/>
              </w:rPr>
              <w:t>EVD-006</w:t>
            </w:r>
          </w:p>
        </w:tc>
        <w:tc>
          <w:tcPr>
            <w:tcW w:type="dxa" w:w="2900"/>
            <w:vAlign w:val="center"/>
            <w:tcMar>
              <w:top w:w="80" w:type="dxa"/>
              <w:start w:w="120" w:type="dxa"/>
              <w:bottom w:w="80" w:type="dxa"/>
              <w:end w:w="120" w:type="dxa"/>
            </w:tcMar>
            <w:shd w:fill="F2F4F7"/>
          </w:tcPr>
          <w:p>
            <w:pPr>
              <w:spacing w:after="20"/>
            </w:pPr>
            <w:r>
              <w:rPr>
                <w:rFonts w:ascii="Calibri" w:hAnsi="Calibri"/>
                <w:sz w:val="16"/>
              </w:rPr>
              <w:t>Representative runtime</w:t>
            </w:r>
          </w:p>
        </w:tc>
        <w:tc>
          <w:tcPr>
            <w:tcW w:type="dxa" w:w="2500"/>
            <w:vAlign w:val="center"/>
            <w:tcMar>
              <w:top w:w="80" w:type="dxa"/>
              <w:start w:w="120" w:type="dxa"/>
              <w:bottom w:w="80" w:type="dxa"/>
              <w:end w:w="120" w:type="dxa"/>
            </w:tcMar>
            <w:shd w:fill="F2F4F7"/>
          </w:tcPr>
          <w:p>
            <w:pPr>
              <w:spacing w:after="20"/>
            </w:pPr>
            <w:r>
              <w:rPr>
                <w:rFonts w:ascii="Calibri" w:hAnsi="Calibri"/>
                <w:sz w:val="16"/>
              </w:rPr>
              <w:t>Blocked / not observed</w:t>
            </w:r>
          </w:p>
        </w:tc>
        <w:tc>
          <w:tcPr>
            <w:tcW w:type="dxa" w:w="2460"/>
            <w:vAlign w:val="center"/>
            <w:tcMar>
              <w:top w:w="80" w:type="dxa"/>
              <w:start w:w="120" w:type="dxa"/>
              <w:bottom w:w="80" w:type="dxa"/>
              <w:end w:w="120" w:type="dxa"/>
            </w:tcMar>
            <w:shd w:fill="F2F4F7"/>
          </w:tcPr>
          <w:p>
            <w:pPr>
              <w:spacing w:after="20"/>
            </w:pPr>
            <w:r>
              <w:rPr>
                <w:rFonts w:ascii="Calibri" w:hAnsi="Calibri"/>
                <w:sz w:val="16"/>
              </w:rPr>
              <w:t>Verification plan retained</w:t>
            </w:r>
          </w:p>
        </w:tc>
      </w:tr>
      <w:tr>
        <w:trPr>
          <w:cantSplit/>
        </w:trPr>
        <w:tc>
          <w:tcPr>
            <w:tcW w:type="dxa" w:w="1500"/>
            <w:vAlign w:val="center"/>
            <w:tcMar>
              <w:top w:w="80" w:type="dxa"/>
              <w:start w:w="120" w:type="dxa"/>
              <w:bottom w:w="80" w:type="dxa"/>
              <w:end w:w="120" w:type="dxa"/>
            </w:tcMar>
            <w:shd w:fill="FFFFFF"/>
          </w:tcPr>
          <w:p>
            <w:pPr>
              <w:spacing w:after="20"/>
            </w:pPr>
            <w:r>
              <w:rPr>
                <w:rFonts w:ascii="Calibri" w:hAnsi="Calibri"/>
                <w:sz w:val="16"/>
              </w:rPr>
              <w:t>EVD-007</w:t>
            </w:r>
          </w:p>
        </w:tc>
        <w:tc>
          <w:tcPr>
            <w:tcW w:type="dxa" w:w="2900"/>
            <w:vAlign w:val="center"/>
            <w:tcMar>
              <w:top w:w="80" w:type="dxa"/>
              <w:start w:w="120" w:type="dxa"/>
              <w:bottom w:w="80" w:type="dxa"/>
              <w:end w:w="120" w:type="dxa"/>
            </w:tcMar>
            <w:shd w:fill="FFFFFF"/>
          </w:tcPr>
          <w:p>
            <w:pPr>
              <w:spacing w:after="20"/>
            </w:pPr>
            <w:r>
              <w:rPr>
                <w:rFonts w:ascii="Calibri" w:hAnsi="Calibri"/>
                <w:sz w:val="16"/>
              </w:rPr>
              <w:t>Historical report</w:t>
            </w:r>
          </w:p>
        </w:tc>
        <w:tc>
          <w:tcPr>
            <w:tcW w:type="dxa" w:w="2500"/>
            <w:vAlign w:val="center"/>
            <w:tcMar>
              <w:top w:w="80" w:type="dxa"/>
              <w:start w:w="120" w:type="dxa"/>
              <w:bottom w:w="80" w:type="dxa"/>
              <w:end w:w="120" w:type="dxa"/>
            </w:tcMar>
            <w:shd w:fill="FFFFFF"/>
          </w:tcPr>
          <w:p>
            <w:pPr>
              <w:spacing w:after="20"/>
            </w:pPr>
            <w:r>
              <w:rPr>
                <w:rFonts w:ascii="Calibri" w:hAnsi="Calibri"/>
                <w:sz w:val="16"/>
              </w:rPr>
              <w:t>Missing</w:t>
            </w:r>
          </w:p>
        </w:tc>
        <w:tc>
          <w:tcPr>
            <w:tcW w:type="dxa" w:w="2460"/>
            <w:vAlign w:val="center"/>
            <w:tcMar>
              <w:top w:w="80" w:type="dxa"/>
              <w:start w:w="120" w:type="dxa"/>
              <w:bottom w:w="80" w:type="dxa"/>
              <w:end w:w="120" w:type="dxa"/>
            </w:tcMar>
            <w:shd w:fill="FFFFFF"/>
          </w:tcPr>
          <w:p>
            <w:pPr>
              <w:spacing w:after="20"/>
            </w:pPr>
            <w:r>
              <w:rPr>
                <w:rFonts w:ascii="Calibri" w:hAnsi="Calibri"/>
                <w:sz w:val="16"/>
              </w:rPr>
              <w:t>Task-record provenance retained</w:t>
            </w:r>
          </w:p>
        </w:tc>
      </w:tr>
    </w:tbl>
    <w:p/>
    <w:p>
      <w:pPr>
        <w:pStyle w:val="Heading1"/>
      </w:pPr>
      <w:r>
        <w:t>References</w:t>
      </w:r>
    </w:p>
    <w:p>
      <w:bookmarkStart w:id="5001" w:name="REF_001"/>
      <w:bookmarkEnd w:id="5001"/>
      <w:r>
        <w:t xml:space="preserve">REF-001 - Azure DevOps MCP Server package. Microsoft. </w:t>
      </w:r>
      <w:hyperlink r:id="rId12">
        <w:r>
          <w:rPr>
            <w:color w:val="0563C1"/>
            <w:u w:val="single"/>
          </w:rPr>
          <w:t>Open primary source</w:t>
        </w:r>
      </w:hyperlink>
      <w:r>
        <w:t xml:space="preserve"> Accessed 25 July 2026.</w:t>
      </w:r>
    </w:p>
    <w:p>
      <w:bookmarkStart w:id="5002" w:name="REF_002"/>
      <w:bookmarkEnd w:id="5002"/>
      <w:r>
        <w:t xml:space="preserve">REF-002 - Azure DevOps MCP Server README. Microsoft. </w:t>
      </w:r>
      <w:hyperlink r:id="rId13">
        <w:r>
          <w:rPr>
            <w:color w:val="0563C1"/>
            <w:u w:val="single"/>
          </w:rPr>
          <w:t>Open primary source</w:t>
        </w:r>
      </w:hyperlink>
      <w:r>
        <w:t xml:space="preserve"> Accessed 25 July 2026.</w:t>
      </w:r>
    </w:p>
    <w:p>
      <w:bookmarkStart w:id="5003" w:name="REF_003"/>
      <w:bookmarkEnd w:id="5003"/>
      <w:r>
        <w:t xml:space="preserve">REF-003 - Azure DevOps MCP source repository. Microsoft. </w:t>
      </w:r>
      <w:hyperlink r:id="rId14">
        <w:r>
          <w:rPr>
            <w:color w:val="0563C1"/>
            <w:u w:val="single"/>
          </w:rPr>
          <w:t>Open primary source</w:t>
        </w:r>
      </w:hyperlink>
      <w:r>
        <w:t xml:space="preserve"> Accessed 25 July 2026.</w:t>
      </w:r>
    </w:p>
    <w:p>
      <w:bookmarkStart w:id="5004" w:name="REF_004"/>
      <w:bookmarkEnd w:id="5004"/>
      <w:r>
        <w:t xml:space="preserve">REF-004 - Azure DevOps data locations. Microsoft. </w:t>
      </w:r>
      <w:hyperlink r:id="rId15">
        <w:r>
          <w:rPr>
            <w:color w:val="0563C1"/>
            <w:u w:val="single"/>
          </w:rPr>
          <w:t>Open primary source</w:t>
        </w:r>
      </w:hyperlink>
      <w:r>
        <w:t xml:space="preserve"> Accessed 25 July 2026.</w:t>
      </w:r>
    </w:p>
    <w:p>
      <w:bookmarkStart w:id="5005" w:name="REF_005"/>
      <w:bookmarkEnd w:id="5005"/>
      <w:r>
        <w:t xml:space="preserve">REF-005 - Azure DevOps data protection overview. Microsoft. </w:t>
      </w:r>
      <w:hyperlink r:id="rId16">
        <w:r>
          <w:rPr>
            <w:color w:val="0563C1"/>
            <w:u w:val="single"/>
          </w:rPr>
          <w:t>Open primary source</w:t>
        </w:r>
      </w:hyperlink>
      <w:r>
        <w:t xml:space="preserve"> Accessed 25 July 2026.</w:t>
      </w:r>
    </w:p>
    <w:p>
      <w:bookmarkStart w:id="5006" w:name="REF_006"/>
      <w:bookmarkEnd w:id="5006"/>
      <w:r>
        <w:t xml:space="preserve">REF-006 - Azure DevOps auditing table. Microsoft. </w:t>
      </w:r>
      <w:hyperlink r:id="rId17">
        <w:r>
          <w:rPr>
            <w:color w:val="0563C1"/>
            <w:u w:val="single"/>
          </w:rPr>
          <w:t>Open primary source</w:t>
        </w:r>
      </w:hyperlink>
      <w:r>
        <w:t xml:space="preserve"> Accessed 25 July 2026.</w:t>
      </w:r>
    </w:p>
    <w:p>
      <w:bookmarkStart w:id="5007" w:name="REF_007"/>
      <w:bookmarkEnd w:id="5007"/>
      <w:r>
        <w:t xml:space="preserve">REF-007 - Microsoft Products and Services DPA. Microsoft. </w:t>
      </w:r>
      <w:hyperlink r:id="rId18">
        <w:r>
          <w:rPr>
            <w:color w:val="0563C1"/>
            <w:u w:val="single"/>
          </w:rPr>
          <w:t>Open primary source</w:t>
        </w:r>
      </w:hyperlink>
      <w:r>
        <w:t xml:space="preserve"> Accessed 25 July 2026.</w:t>
      </w:r>
    </w:p>
    <w:p>
      <w:bookmarkStart w:id="5008" w:name="REF_008"/>
      <w:bookmarkEnd w:id="5008"/>
      <w:r>
        <w:t xml:space="preserve">REF-008 - VS Code MCP servers. Microsoft. </w:t>
      </w:r>
      <w:hyperlink r:id="rId19">
        <w:r>
          <w:rPr>
            <w:color w:val="0563C1"/>
            <w:u w:val="single"/>
          </w:rPr>
          <w:t>Open primary source</w:t>
        </w:r>
      </w:hyperlink>
      <w:r>
        <w:t xml:space="preserve"> Accessed 25 July 2026.</w:t>
      </w:r>
    </w:p>
    <w:p>
      <w:bookmarkStart w:id="5009" w:name="REF_009"/>
      <w:bookmarkEnd w:id="5009"/>
      <w:r>
        <w:t xml:space="preserve">REF-009 - Visual Studio MCP servers. Microsoft. </w:t>
      </w:r>
      <w:hyperlink r:id="rId20">
        <w:r>
          <w:rPr>
            <w:color w:val="0563C1"/>
            <w:u w:val="single"/>
          </w:rPr>
          <w:t>Open primary source</w:t>
        </w:r>
      </w:hyperlink>
      <w:r>
        <w:t xml:space="preserve"> Accessed 25 July 2026.</w:t>
      </w:r>
    </w:p>
    <w:p>
      <w:bookmarkStart w:id="5010" w:name="REF_010"/>
      <w:bookmarkEnd w:id="5010"/>
      <w:r>
        <w:t xml:space="preserve">REF-010 - OWASP Top 10 for LLM Applications 2025. OWASP. </w:t>
      </w:r>
      <w:hyperlink r:id="rId21">
        <w:r>
          <w:rPr>
            <w:color w:val="0563C1"/>
            <w:u w:val="single"/>
          </w:rPr>
          <w:t>Open primary source</w:t>
        </w:r>
      </w:hyperlink>
      <w:r>
        <w:t xml:space="preserve"> Accessed 25 July 2026.</w:t>
      </w:r>
    </w:p>
    <w:p>
      <w:bookmarkStart w:id="5011" w:name="REF_011"/>
      <w:bookmarkEnd w:id="5011"/>
      <w:r>
        <w:t xml:space="preserve">REF-011 - OWASP Top 10 for Agentic Applications 2026. OWASP. </w:t>
      </w:r>
      <w:hyperlink r:id="rId22">
        <w:r>
          <w:rPr>
            <w:color w:val="0563C1"/>
            <w:u w:val="single"/>
          </w:rPr>
          <w:t>Open primary source</w:t>
        </w:r>
      </w:hyperlink>
      <w:r>
        <w:t xml:space="preserve"> Accessed 25 July 2026.</w:t>
      </w:r>
    </w:p>
    <w:p>
      <w:bookmarkStart w:id="5012" w:name="REF_012"/>
      <w:bookmarkEnd w:id="5012"/>
      <w:r>
        <w:t xml:space="preserve">REF-012 - OWASP MCP Top 10. OWASP. </w:t>
      </w:r>
      <w:hyperlink r:id="rId23">
        <w:r>
          <w:rPr>
            <w:color w:val="0563C1"/>
            <w:u w:val="single"/>
          </w:rPr>
          <w:t>Open primary source</w:t>
        </w:r>
      </w:hyperlink>
      <w:r>
        <w:t xml:space="preserve"> Accessed 25 July 2026.</w:t>
      </w:r>
    </w:p>
    <w:p>
      <w:bookmarkStart w:id="5013" w:name="REF_013"/>
      <w:bookmarkEnd w:id="5013"/>
      <w:r>
        <w:t xml:space="preserve">REF-013 - OWASP ASVS 5.0.0. OWASP. </w:t>
      </w:r>
      <w:hyperlink r:id="rId24">
        <w:r>
          <w:rPr>
            <w:color w:val="0563C1"/>
            <w:u w:val="single"/>
          </w:rPr>
          <w:t>Open primary source</w:t>
        </w:r>
      </w:hyperlink>
      <w:r>
        <w:t xml:space="preserve"> Accessed 25 July 2026.</w:t>
      </w:r>
    </w:p>
    <w:p>
      <w:bookmarkStart w:id="5014" w:name="REF_014"/>
      <w:bookmarkEnd w:id="5014"/>
      <w:r>
        <w:t xml:space="preserve">REF-014 - NIST AI Risk Management Framework. NIST. </w:t>
      </w:r>
      <w:hyperlink r:id="rId25">
        <w:r>
          <w:rPr>
            <w:color w:val="0563C1"/>
            <w:u w:val="single"/>
          </w:rPr>
          <w:t>Open primary source</w:t>
        </w:r>
      </w:hyperlink>
      <w:r>
        <w:t xml:space="preserve"> Accessed 25 July 2026.</w:t>
      </w:r>
    </w:p>
    <w:p>
      <w:bookmarkStart w:id="5015" w:name="REF_015"/>
      <w:bookmarkEnd w:id="5015"/>
      <w:r>
        <w:t xml:space="preserve">REF-015 - NIST AI 600-1 Generative AI Profile. NIST. </w:t>
      </w:r>
      <w:hyperlink r:id="rId26">
        <w:r>
          <w:rPr>
            <w:color w:val="0563C1"/>
            <w:u w:val="single"/>
          </w:rPr>
          <w:t>Open primary source</w:t>
        </w:r>
      </w:hyperlink>
      <w:r>
        <w:t xml:space="preserve"> Accessed 25 July 2026.</w:t>
      </w:r>
    </w:p>
    <w:p>
      <w:bookmarkStart w:id="5016" w:name="REF_016"/>
      <w:bookmarkEnd w:id="5016"/>
      <w:r>
        <w:t xml:space="preserve">REF-016 - NCSC secure AI system development. UK NCSC. </w:t>
      </w:r>
      <w:hyperlink r:id="rId27">
        <w:r>
          <w:rPr>
            <w:color w:val="0563C1"/>
            <w:u w:val="single"/>
          </w:rPr>
          <w:t>Open primary source</w:t>
        </w:r>
      </w:hyperlink>
      <w:r>
        <w:t xml:space="preserve"> Accessed 25 July 2026.</w:t>
      </w:r>
    </w:p>
    <w:p>
      <w:bookmarkStart w:id="5017" w:name="REF_017"/>
      <w:bookmarkEnd w:id="5017"/>
      <w:r>
        <w:t xml:space="preserve">REF-017 - ICO AI and data-protection guidance. ICO. </w:t>
      </w:r>
      <w:hyperlink r:id="rId28">
        <w:r>
          <w:rPr>
            <w:color w:val="0563C1"/>
            <w:u w:val="single"/>
          </w:rPr>
          <w:t>Open primary source</w:t>
        </w:r>
      </w:hyperlink>
      <w:r>
        <w:t xml:space="preserve"> Accessed 25 July 2026.</w:t>
      </w:r>
    </w:p>
    <w:p>
      <w:bookmarkStart w:id="5018" w:name="REF_018"/>
      <w:bookmarkEnd w:id="5018"/>
      <w:r>
        <w:t xml:space="preserve">REF-018 - FCA operational resilience. FCA. </w:t>
      </w:r>
      <w:hyperlink r:id="rId29">
        <w:r>
          <w:rPr>
            <w:color w:val="0563C1"/>
            <w:u w:val="single"/>
          </w:rPr>
          <w:t>Open primary source</w:t>
        </w:r>
      </w:hyperlink>
      <w:r>
        <w:t xml:space="preserve"> Accessed 25 July 2026.</w:t>
      </w:r>
    </w:p>
    <w:p>
      <w:bookmarkStart w:id="5019" w:name="REF_019"/>
      <w:bookmarkEnd w:id="5019"/>
      <w:r>
        <w:t xml:space="preserve">REF-019 - PRA SS2/21 third-party risk. PRA. </w:t>
      </w:r>
      <w:hyperlink r:id="rId30">
        <w:r>
          <w:rPr>
            <w:color w:val="0563C1"/>
            <w:u w:val="single"/>
          </w:rPr>
          <w:t>Open primary source</w:t>
        </w:r>
      </w:hyperlink>
      <w:r>
        <w:t xml:space="preserve"> Accessed 25 July 2026.</w:t>
      </w:r>
    </w:p>
    <w:p>
      <w:pPr>
        <w:pStyle w:val="Heading1"/>
      </w:pPr>
      <w:r>
        <w:t>Appendices</w:t>
      </w:r>
    </w:p>
    <w:p>
      <w:pPr>
        <w:pStyle w:val="Heading2"/>
      </w:pPr>
      <w:r>
        <w:t>Appendix A - Host Verification Procedure</w:t>
      </w:r>
    </w:p>
    <w:p>
      <w:pPr>
        <w:widowControl/>
      </w:pPr>
      <w:r>
        <w:t>Provision disposable Windows 11 VS Code and Visual Studio hosts and a disposable macOS VS Code host; use a synthetic Azure DevOps tenant and dedicated Entra identity; baseline configuration, processes, files, token stores, network, logs and tool schemas; configure read-only exact tools; exercise benign and adversarial workflows; capture network and audit correlation; test denied writes, injection canaries, token revocation, schema drift, failure behavior, update and uninstall; destroy tenant data and hosts; retain sanitised evidence and immutable hashes.</w:t>
      </w:r>
    </w:p>
    <w:p>
      <w:pPr>
        <w:pStyle w:val="Heading2"/>
      </w:pPr>
      <w:r>
        <w:t>Appendix B - Secure Configuration Baseline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400"/>
            <w:vAlign w:val="center"/>
            <w:tcMar>
              <w:top w:w="80" w:type="dxa"/>
              <w:start w:w="120" w:type="dxa"/>
              <w:bottom w:w="80" w:type="dxa"/>
              <w:end w:w="120" w:type="dxa"/>
            </w:tcMar>
            <w:shd w:fill="17365D"/>
          </w:tcPr>
          <w:p>
            <w:pPr>
              <w:spacing w:after="20"/>
            </w:pPr>
            <w:r>
              <w:rPr>
                <w:rFonts w:ascii="Calibri" w:hAnsi="Calibri"/>
                <w:b/>
                <w:color w:val="FFFFFF"/>
                <w:sz w:val="16"/>
              </w:rPr>
              <w:t>Setting</w:t>
            </w:r>
          </w:p>
        </w:tc>
        <w:tc>
          <w:tcPr>
            <w:tcW w:type="dxa" w:w="3500"/>
            <w:vAlign w:val="center"/>
            <w:tcMar>
              <w:top w:w="80" w:type="dxa"/>
              <w:start w:w="120" w:type="dxa"/>
              <w:bottom w:w="80" w:type="dxa"/>
              <w:end w:w="120" w:type="dxa"/>
            </w:tcMar>
            <w:shd w:fill="17365D"/>
          </w:tcPr>
          <w:p>
            <w:pPr>
              <w:spacing w:after="20"/>
            </w:pPr>
            <w:r>
              <w:rPr>
                <w:rFonts w:ascii="Calibri" w:hAnsi="Calibri"/>
                <w:b/>
                <w:color w:val="FFFFFF"/>
                <w:sz w:val="16"/>
              </w:rPr>
              <w:t>Required value</w:t>
            </w:r>
          </w:p>
        </w:tc>
        <w:tc>
          <w:tcPr>
            <w:tcW w:type="dxa" w:w="3460"/>
            <w:vAlign w:val="center"/>
            <w:tcMar>
              <w:top w:w="80" w:type="dxa"/>
              <w:start w:w="120" w:type="dxa"/>
              <w:bottom w:w="80" w:type="dxa"/>
              <w:end w:w="120" w:type="dxa"/>
            </w:tcMar>
            <w:shd w:fill="17365D"/>
          </w:tcPr>
          <w:p>
            <w:pPr>
              <w:spacing w:after="20"/>
            </w:pPr>
            <w:r>
              <w:rPr>
                <w:rFonts w:ascii="Calibri" w:hAnsi="Calibri"/>
                <w:b/>
                <w:color w:val="FFFFFF"/>
                <w:sz w:val="16"/>
              </w:rPr>
              <w:t>Failure behavior</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Package</w:t>
            </w:r>
          </w:p>
        </w:tc>
        <w:tc>
          <w:tcPr>
            <w:tcW w:type="dxa" w:w="3500"/>
            <w:vAlign w:val="center"/>
            <w:tcMar>
              <w:top w:w="80" w:type="dxa"/>
              <w:start w:w="120" w:type="dxa"/>
              <w:bottom w:w="80" w:type="dxa"/>
              <w:end w:w="120" w:type="dxa"/>
            </w:tcMar>
            <w:shd w:fill="FFFFFF"/>
          </w:tcPr>
          <w:p>
            <w:pPr>
              <w:spacing w:after="20"/>
            </w:pPr>
            <w:r>
              <w:rPr>
                <w:rFonts w:ascii="Calibri" w:hAnsi="Calibri"/>
                <w:sz w:val="16"/>
              </w:rPr>
              <w:t>Exact 2.8.1 digest</w:t>
            </w:r>
          </w:p>
        </w:tc>
        <w:tc>
          <w:tcPr>
            <w:tcW w:type="dxa" w:w="3460"/>
            <w:vAlign w:val="center"/>
            <w:tcMar>
              <w:top w:w="80" w:type="dxa"/>
              <w:start w:w="120" w:type="dxa"/>
              <w:bottom w:w="80" w:type="dxa"/>
              <w:end w:w="120" w:type="dxa"/>
            </w:tcMar>
            <w:shd w:fill="FFFFFF"/>
          </w:tcPr>
          <w:p>
            <w:pPr>
              <w:spacing w:after="20"/>
            </w:pPr>
            <w:r>
              <w:rPr>
                <w:rFonts w:ascii="Calibri" w:hAnsi="Calibri"/>
                <w:sz w:val="16"/>
              </w:rPr>
              <w:t>Do not launch</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Domains</w:t>
            </w:r>
          </w:p>
        </w:tc>
        <w:tc>
          <w:tcPr>
            <w:tcW w:type="dxa" w:w="3500"/>
            <w:vAlign w:val="center"/>
            <w:tcMar>
              <w:top w:w="80" w:type="dxa"/>
              <w:start w:w="120" w:type="dxa"/>
              <w:bottom w:w="80" w:type="dxa"/>
              <w:end w:w="120" w:type="dxa"/>
            </w:tcMar>
            <w:shd w:fill="F2F4F7"/>
          </w:tcPr>
          <w:p>
            <w:pPr>
              <w:spacing w:after="20"/>
            </w:pPr>
            <w:r>
              <w:rPr>
                <w:rFonts w:ascii="Calibri" w:hAnsi="Calibri"/>
                <w:sz w:val="16"/>
              </w:rPr>
              <w:t>Only approved read-oriented domains</w:t>
            </w:r>
          </w:p>
        </w:tc>
        <w:tc>
          <w:tcPr>
            <w:tcW w:type="dxa" w:w="3460"/>
            <w:vAlign w:val="center"/>
            <w:tcMar>
              <w:top w:w="80" w:type="dxa"/>
              <w:start w:w="120" w:type="dxa"/>
              <w:bottom w:w="80" w:type="dxa"/>
              <w:end w:w="120" w:type="dxa"/>
            </w:tcMar>
            <w:shd w:fill="F2F4F7"/>
          </w:tcPr>
          <w:p>
            <w:pPr>
              <w:spacing w:after="20"/>
            </w:pPr>
            <w:r>
              <w:rPr>
                <w:rFonts w:ascii="Calibri" w:hAnsi="Calibri"/>
                <w:sz w:val="16"/>
              </w:rPr>
              <w:t>No tools</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Tool filter</w:t>
            </w:r>
          </w:p>
        </w:tc>
        <w:tc>
          <w:tcPr>
            <w:tcW w:type="dxa" w:w="3500"/>
            <w:vAlign w:val="center"/>
            <w:tcMar>
              <w:top w:w="80" w:type="dxa"/>
              <w:start w:w="120" w:type="dxa"/>
              <w:bottom w:w="80" w:type="dxa"/>
              <w:end w:w="120" w:type="dxa"/>
            </w:tcMar>
            <w:shd w:fill="FFFFFF"/>
          </w:tcPr>
          <w:p>
            <w:pPr>
              <w:spacing w:after="20"/>
            </w:pPr>
            <w:r>
              <w:rPr>
                <w:rFonts w:ascii="Calibri" w:hAnsi="Calibri"/>
                <w:sz w:val="16"/>
              </w:rPr>
              <w:t>Exact approved client allowlist</w:t>
            </w:r>
          </w:p>
        </w:tc>
        <w:tc>
          <w:tcPr>
            <w:tcW w:type="dxa" w:w="3460"/>
            <w:vAlign w:val="center"/>
            <w:tcMar>
              <w:top w:w="80" w:type="dxa"/>
              <w:start w:w="120" w:type="dxa"/>
              <w:bottom w:w="80" w:type="dxa"/>
              <w:end w:w="120" w:type="dxa"/>
            </w:tcMar>
            <w:shd w:fill="FFFFFF"/>
          </w:tcPr>
          <w:p>
            <w:pPr>
              <w:spacing w:after="20"/>
            </w:pPr>
            <w:r>
              <w:rPr>
                <w:rFonts w:ascii="Calibri" w:hAnsi="Calibri"/>
                <w:sz w:val="16"/>
              </w:rPr>
              <w:t>No tools</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Identity</w:t>
            </w:r>
          </w:p>
        </w:tc>
        <w:tc>
          <w:tcPr>
            <w:tcW w:type="dxa" w:w="3500"/>
            <w:vAlign w:val="center"/>
            <w:tcMar>
              <w:top w:w="80" w:type="dxa"/>
              <w:start w:w="120" w:type="dxa"/>
              <w:bottom w:w="80" w:type="dxa"/>
              <w:end w:w="120" w:type="dxa"/>
            </w:tcMar>
            <w:shd w:fill="F2F4F7"/>
          </w:tcPr>
          <w:p>
            <w:pPr>
              <w:spacing w:after="20"/>
            </w:pPr>
            <w:r>
              <w:rPr>
                <w:rFonts w:ascii="Calibri" w:hAnsi="Calibri"/>
                <w:sz w:val="16"/>
              </w:rPr>
              <w:t>Dedicated least privilege</w:t>
            </w:r>
          </w:p>
        </w:tc>
        <w:tc>
          <w:tcPr>
            <w:tcW w:type="dxa" w:w="3460"/>
            <w:vAlign w:val="center"/>
            <w:tcMar>
              <w:top w:w="80" w:type="dxa"/>
              <w:start w:w="120" w:type="dxa"/>
              <w:bottom w:w="80" w:type="dxa"/>
              <w:end w:w="120" w:type="dxa"/>
            </w:tcMar>
            <w:shd w:fill="F2F4F7"/>
          </w:tcPr>
          <w:p>
            <w:pPr>
              <w:spacing w:after="20"/>
            </w:pPr>
            <w:r>
              <w:rPr>
                <w:rFonts w:ascii="Calibri" w:hAnsi="Calibri"/>
                <w:sz w:val="16"/>
              </w:rPr>
              <w:t>Authentication denied</w:t>
            </w:r>
          </w:p>
        </w:tc>
      </w:tr>
      <w:tr>
        <w:trPr>
          <w:cantSplit/>
        </w:trPr>
        <w:tc>
          <w:tcPr>
            <w:tcW w:type="dxa" w:w="2400"/>
            <w:vAlign w:val="center"/>
            <w:tcMar>
              <w:top w:w="80" w:type="dxa"/>
              <w:start w:w="120" w:type="dxa"/>
              <w:bottom w:w="80" w:type="dxa"/>
              <w:end w:w="120" w:type="dxa"/>
            </w:tcMar>
            <w:shd w:fill="FFFFFF"/>
          </w:tcPr>
          <w:p>
            <w:pPr>
              <w:spacing w:after="20"/>
            </w:pPr>
            <w:r>
              <w:rPr>
                <w:rFonts w:ascii="Calibri" w:hAnsi="Calibri"/>
                <w:sz w:val="16"/>
              </w:rPr>
              <w:t>Approval</w:t>
            </w:r>
          </w:p>
        </w:tc>
        <w:tc>
          <w:tcPr>
            <w:tcW w:type="dxa" w:w="3500"/>
            <w:vAlign w:val="center"/>
            <w:tcMar>
              <w:top w:w="80" w:type="dxa"/>
              <w:start w:w="120" w:type="dxa"/>
              <w:bottom w:w="80" w:type="dxa"/>
              <w:end w:w="120" w:type="dxa"/>
            </w:tcMar>
            <w:shd w:fill="FFFFFF"/>
          </w:tcPr>
          <w:p>
            <w:pPr>
              <w:spacing w:after="20"/>
            </w:pPr>
            <w:r>
              <w:rPr>
                <w:rFonts w:ascii="Calibri" w:hAnsi="Calibri"/>
                <w:sz w:val="16"/>
              </w:rPr>
              <w:t>Per invocation for material actions</w:t>
            </w:r>
          </w:p>
        </w:tc>
        <w:tc>
          <w:tcPr>
            <w:tcW w:type="dxa" w:w="3460"/>
            <w:vAlign w:val="center"/>
            <w:tcMar>
              <w:top w:w="80" w:type="dxa"/>
              <w:start w:w="120" w:type="dxa"/>
              <w:bottom w:w="80" w:type="dxa"/>
              <w:end w:w="120" w:type="dxa"/>
            </w:tcMar>
            <w:shd w:fill="FFFFFF"/>
          </w:tcPr>
          <w:p>
            <w:pPr>
              <w:spacing w:after="20"/>
            </w:pPr>
            <w:r>
              <w:rPr>
                <w:rFonts w:ascii="Calibri" w:hAnsi="Calibri"/>
                <w:sz w:val="16"/>
              </w:rPr>
              <w:t>Action denied</w:t>
            </w:r>
          </w:p>
        </w:tc>
      </w:tr>
      <w:tr>
        <w:trPr>
          <w:cantSplit/>
        </w:trPr>
        <w:tc>
          <w:tcPr>
            <w:tcW w:type="dxa" w:w="2400"/>
            <w:vAlign w:val="center"/>
            <w:tcMar>
              <w:top w:w="80" w:type="dxa"/>
              <w:start w:w="120" w:type="dxa"/>
              <w:bottom w:w="80" w:type="dxa"/>
              <w:end w:w="120" w:type="dxa"/>
            </w:tcMar>
            <w:shd w:fill="F2F4F7"/>
          </w:tcPr>
          <w:p>
            <w:pPr>
              <w:spacing w:after="20"/>
            </w:pPr>
            <w:r>
              <w:rPr>
                <w:rFonts w:ascii="Calibri" w:hAnsi="Calibri"/>
                <w:sz w:val="16"/>
              </w:rPr>
              <w:t>Data</w:t>
            </w:r>
          </w:p>
        </w:tc>
        <w:tc>
          <w:tcPr>
            <w:tcW w:type="dxa" w:w="3500"/>
            <w:vAlign w:val="center"/>
            <w:tcMar>
              <w:top w:w="80" w:type="dxa"/>
              <w:start w:w="120" w:type="dxa"/>
              <w:bottom w:w="80" w:type="dxa"/>
              <w:end w:w="120" w:type="dxa"/>
            </w:tcMar>
            <w:shd w:fill="F2F4F7"/>
          </w:tcPr>
          <w:p>
            <w:pPr>
              <w:spacing w:after="20"/>
            </w:pPr>
            <w:r>
              <w:rPr>
                <w:rFonts w:ascii="Calibri" w:hAnsi="Calibri"/>
                <w:sz w:val="16"/>
              </w:rPr>
              <w:t>Synthetic/non-sensitive</w:t>
            </w:r>
          </w:p>
        </w:tc>
        <w:tc>
          <w:tcPr>
            <w:tcW w:type="dxa" w:w="3460"/>
            <w:vAlign w:val="center"/>
            <w:tcMar>
              <w:top w:w="80" w:type="dxa"/>
              <w:start w:w="120" w:type="dxa"/>
              <w:bottom w:w="80" w:type="dxa"/>
              <w:end w:w="120" w:type="dxa"/>
            </w:tcMar>
            <w:shd w:fill="F2F4F7"/>
          </w:tcPr>
          <w:p>
            <w:pPr>
              <w:spacing w:after="20"/>
            </w:pPr>
            <w:r>
              <w:rPr>
                <w:rFonts w:ascii="Calibri" w:hAnsi="Calibri"/>
                <w:sz w:val="16"/>
              </w:rPr>
              <w:t>Payload blocked</w:t>
            </w:r>
          </w:p>
        </w:tc>
      </w:tr>
    </w:tbl>
    <w:p/>
    <w:p>
      <w:pPr>
        <w:pStyle w:val="Heading2"/>
      </w:pPr>
      <w:r>
        <w:t>Appendix C - Evidence-State Definitions</w:t>
      </w:r>
    </w:p>
    <w:p>
      <w:pPr>
        <w:widowControl/>
      </w:pPr>
      <w:r>
        <w:t>Verified means directly supported by retained evidence. Inferred means a reasoned conclusion from verified evidence. Not observed means the selected observation did not occur. Not applicable means the control or surface does not apply to the assessed installation. Unknown means evidence was unavailable. Blocked means the analysis was selected but prerequisites were absent. These labels prevent missing public evidence from being represented as absence.</w:t>
      </w:r>
    </w:p>
    <w:p>
      <w:pPr>
        <w:pStyle w:val="Heading1"/>
      </w:pPr>
      <w:r>
        <w:t>Glossary</w:t>
      </w:r>
    </w:p>
    <w:tbl>
      <w:tblPr>
        <w:tblStyle w:val="TableGrid"/>
        <w:tblW w:type="auto" w:w="0"/>
        <w:jc w:val="center"/>
        <w:tblLayout w:type="fixed"/>
        <w:tblLook w:firstColumn="1" w:firstRow="1" w:lastColumn="0" w:lastRow="0" w:noHBand="0" w:noVBand="1" w:val="04A0"/>
      </w:tblPr>
      <w:tblGrid>
        <w:gridCol w:w="4680"/>
        <w:gridCol w:w="4680"/>
      </w:tblGrid>
      <w:tr>
        <w:trPr>
          <w:tblHeader/>
          <w:cantSplit/>
        </w:trPr>
        <w:tc>
          <w:tcPr>
            <w:tcW w:type="dxa" w:w="2200"/>
            <w:vAlign w:val="center"/>
            <w:tcMar>
              <w:top w:w="80" w:type="dxa"/>
              <w:start w:w="120" w:type="dxa"/>
              <w:bottom w:w="80" w:type="dxa"/>
              <w:end w:w="120" w:type="dxa"/>
            </w:tcMar>
            <w:shd w:fill="17365D"/>
          </w:tcPr>
          <w:p>
            <w:pPr>
              <w:spacing w:after="20"/>
            </w:pPr>
            <w:r>
              <w:rPr>
                <w:rFonts w:ascii="Calibri" w:hAnsi="Calibri"/>
                <w:b/>
                <w:color w:val="FFFFFF"/>
                <w:sz w:val="16"/>
              </w:rPr>
              <w:t>Term</w:t>
            </w:r>
          </w:p>
        </w:tc>
        <w:tc>
          <w:tcPr>
            <w:tcW w:type="dxa" w:w="7160"/>
            <w:vAlign w:val="center"/>
            <w:tcMar>
              <w:top w:w="80" w:type="dxa"/>
              <w:start w:w="120" w:type="dxa"/>
              <w:bottom w:w="80" w:type="dxa"/>
              <w:end w:w="120" w:type="dxa"/>
            </w:tcMar>
            <w:shd w:fill="17365D"/>
          </w:tcPr>
          <w:p>
            <w:pPr>
              <w:spacing w:after="20"/>
            </w:pPr>
            <w:r>
              <w:rPr>
                <w:rFonts w:ascii="Calibri" w:hAnsi="Calibri"/>
                <w:b/>
                <w:color w:val="FFFFFF"/>
                <w:sz w:val="16"/>
              </w:rPr>
              <w:t>Meaning</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MCP</w:t>
            </w:r>
          </w:p>
        </w:tc>
        <w:tc>
          <w:tcPr>
            <w:tcW w:type="dxa" w:w="7160"/>
            <w:vAlign w:val="center"/>
            <w:tcMar>
              <w:top w:w="80" w:type="dxa"/>
              <w:start w:w="120" w:type="dxa"/>
              <w:bottom w:w="80" w:type="dxa"/>
              <w:end w:w="120" w:type="dxa"/>
            </w:tcMar>
            <w:shd w:fill="FFFFFF"/>
          </w:tcPr>
          <w:p>
            <w:pPr>
              <w:spacing w:after="20"/>
            </w:pPr>
            <w:r>
              <w:rPr>
                <w:rFonts w:ascii="Calibri" w:hAnsi="Calibri"/>
                <w:sz w:val="16"/>
              </w:rPr>
              <w:t>Model Context Protocol</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Entra ID</w:t>
            </w:r>
          </w:p>
        </w:tc>
        <w:tc>
          <w:tcPr>
            <w:tcW w:type="dxa" w:w="7160"/>
            <w:vAlign w:val="center"/>
            <w:tcMar>
              <w:top w:w="80" w:type="dxa"/>
              <w:start w:w="120" w:type="dxa"/>
              <w:bottom w:w="80" w:type="dxa"/>
              <w:end w:w="120" w:type="dxa"/>
            </w:tcMar>
            <w:shd w:fill="F2F4F7"/>
          </w:tcPr>
          <w:p>
            <w:pPr>
              <w:spacing w:after="20"/>
            </w:pPr>
            <w:r>
              <w:rPr>
                <w:rFonts w:ascii="Calibri" w:hAnsi="Calibri"/>
                <w:sz w:val="16"/>
              </w:rPr>
              <w:t>Microsoft cloud identity platform</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Tool allowlist</w:t>
            </w:r>
          </w:p>
        </w:tc>
        <w:tc>
          <w:tcPr>
            <w:tcW w:type="dxa" w:w="7160"/>
            <w:vAlign w:val="center"/>
            <w:tcMar>
              <w:top w:w="80" w:type="dxa"/>
              <w:start w:w="120" w:type="dxa"/>
              <w:bottom w:w="80" w:type="dxa"/>
              <w:end w:w="120" w:type="dxa"/>
            </w:tcMar>
            <w:shd w:fill="FFFFFF"/>
          </w:tcPr>
          <w:p>
            <w:pPr>
              <w:spacing w:after="20"/>
            </w:pPr>
            <w:r>
              <w:rPr>
                <w:rFonts w:ascii="Calibri" w:hAnsi="Calibri"/>
                <w:sz w:val="16"/>
              </w:rPr>
              <w:t>Exact approved MCP tool names</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Prompt injection</w:t>
            </w:r>
          </w:p>
        </w:tc>
        <w:tc>
          <w:tcPr>
            <w:tcW w:type="dxa" w:w="7160"/>
            <w:vAlign w:val="center"/>
            <w:tcMar>
              <w:top w:w="80" w:type="dxa"/>
              <w:start w:w="120" w:type="dxa"/>
              <w:bottom w:w="80" w:type="dxa"/>
              <w:end w:w="120" w:type="dxa"/>
            </w:tcMar>
            <w:shd w:fill="F2F4F7"/>
          </w:tcPr>
          <w:p>
            <w:pPr>
              <w:spacing w:after="20"/>
            </w:pPr>
            <w:r>
              <w:rPr>
                <w:rFonts w:ascii="Calibri" w:hAnsi="Calibri"/>
                <w:sz w:val="16"/>
              </w:rPr>
              <w:t>Untrusted content that attempts to redirect model or agent behavior</w:t>
            </w:r>
          </w:p>
        </w:tc>
      </w:tr>
      <w:tr>
        <w:trPr>
          <w:cantSplit/>
        </w:trPr>
        <w:tc>
          <w:tcPr>
            <w:tcW w:type="dxa" w:w="2200"/>
            <w:vAlign w:val="center"/>
            <w:tcMar>
              <w:top w:w="80" w:type="dxa"/>
              <w:start w:w="120" w:type="dxa"/>
              <w:bottom w:w="80" w:type="dxa"/>
              <w:end w:w="120" w:type="dxa"/>
            </w:tcMar>
            <w:shd w:fill="FFFFFF"/>
          </w:tcPr>
          <w:p>
            <w:pPr>
              <w:spacing w:after="20"/>
            </w:pPr>
            <w:r>
              <w:rPr>
                <w:rFonts w:ascii="Calibri" w:hAnsi="Calibri"/>
                <w:sz w:val="16"/>
              </w:rPr>
              <w:t>Control strength</w:t>
            </w:r>
          </w:p>
        </w:tc>
        <w:tc>
          <w:tcPr>
            <w:tcW w:type="dxa" w:w="7160"/>
            <w:vAlign w:val="center"/>
            <w:tcMar>
              <w:top w:w="80" w:type="dxa"/>
              <w:start w:w="120" w:type="dxa"/>
              <w:bottom w:w="80" w:type="dxa"/>
              <w:end w:w="120" w:type="dxa"/>
            </w:tcMar>
            <w:shd w:fill="FFFFFF"/>
          </w:tcPr>
          <w:p>
            <w:pPr>
              <w:spacing w:after="20"/>
            </w:pPr>
            <w:r>
              <w:rPr>
                <w:rFonts w:ascii="Calibri" w:hAnsi="Calibri"/>
                <w:sz w:val="16"/>
              </w:rPr>
              <w:t>Assurance based on enforcement and verification, not intent</w:t>
            </w:r>
          </w:p>
        </w:tc>
      </w:tr>
      <w:tr>
        <w:trPr>
          <w:cantSplit/>
        </w:trPr>
        <w:tc>
          <w:tcPr>
            <w:tcW w:type="dxa" w:w="2200"/>
            <w:vAlign w:val="center"/>
            <w:tcMar>
              <w:top w:w="80" w:type="dxa"/>
              <w:start w:w="120" w:type="dxa"/>
              <w:bottom w:w="80" w:type="dxa"/>
              <w:end w:w="120" w:type="dxa"/>
            </w:tcMar>
            <w:shd w:fill="F2F4F7"/>
          </w:tcPr>
          <w:p>
            <w:pPr>
              <w:spacing w:after="20"/>
            </w:pPr>
            <w:r>
              <w:rPr>
                <w:rFonts w:ascii="Calibri" w:hAnsi="Calibri"/>
                <w:sz w:val="16"/>
              </w:rPr>
              <w:t>Residual risk</w:t>
            </w:r>
          </w:p>
        </w:tc>
        <w:tc>
          <w:tcPr>
            <w:tcW w:type="dxa" w:w="7160"/>
            <w:vAlign w:val="center"/>
            <w:tcMar>
              <w:top w:w="80" w:type="dxa"/>
              <w:start w:w="120" w:type="dxa"/>
              <w:bottom w:w="80" w:type="dxa"/>
              <w:end w:w="120" w:type="dxa"/>
            </w:tcMar>
            <w:shd w:fill="F2F4F7"/>
          </w:tcPr>
          <w:p>
            <w:pPr>
              <w:spacing w:after="20"/>
            </w:pPr>
            <w:r>
              <w:rPr>
                <w:rFonts w:ascii="Calibri" w:hAnsi="Calibri"/>
                <w:sz w:val="16"/>
              </w:rPr>
              <w:t>Risk remaining after crediting verified controls</w:t>
            </w:r>
          </w:p>
        </w:tc>
      </w:tr>
    </w:tbl>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Assessment Automation  |  25 July 2026  |  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PUBLIC  |  AZURE DEVOPS LOCAL MCP 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2E74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ind w:left="720" w:hanging="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npmjs.com/package/@azure-devops/mcp/v/2.8.1" TargetMode="External"/><Relationship Id="rId13" Type="http://schemas.openxmlformats.org/officeDocument/2006/relationships/hyperlink" Target="https://github.com/microsoft/azure-devops-mcp/tree/37716afa9f8764b689d2c3e76e3598f6ef3955f5" TargetMode="External"/><Relationship Id="rId14" Type="http://schemas.openxmlformats.org/officeDocument/2006/relationships/hyperlink" Target="https://github.com/microsoft/azure-devops-mcp" TargetMode="External"/><Relationship Id="rId15" Type="http://schemas.openxmlformats.org/officeDocument/2006/relationships/hyperlink" Target="https://learn.microsoft.com/en-us/azure/devops/organizations/security/data-location?view=azure-devops" TargetMode="External"/><Relationship Id="rId16" Type="http://schemas.openxmlformats.org/officeDocument/2006/relationships/hyperlink" Target="https://learn.microsoft.com/en-us/azure/devops/organizations/security/data-protection?view=azure-devops" TargetMode="External"/><Relationship Id="rId17" Type="http://schemas.openxmlformats.org/officeDocument/2006/relationships/hyperlink" Target="https://learn.microsoft.com/en-us/azure/azure-monitor/reference/tables/azuredevopsauditing" TargetMode="External"/><Relationship Id="rId18" Type="http://schemas.openxmlformats.org/officeDocument/2006/relationships/hyperlink" Target="https://www.microsoft.com/licensing/docs/view/Microsoft-Products-and-Services-Data-Protection-Addendum-DPA" TargetMode="External"/><Relationship Id="rId19" Type="http://schemas.openxmlformats.org/officeDocument/2006/relationships/hyperlink" Target="https://code.visualstudio.com/docs/agent-customization/mcp-servers" TargetMode="External"/><Relationship Id="rId20" Type="http://schemas.openxmlformats.org/officeDocument/2006/relationships/hyperlink" Target="https://learn.microsoft.com/en-us/visualstudio/ide/mcp-servers?view=visualstudio" TargetMode="External"/><Relationship Id="rId21" Type="http://schemas.openxmlformats.org/officeDocument/2006/relationships/hyperlink" Target="https://genai.owasp.org/resource/owasp-top-10-for-llm-applications-2025/" TargetMode="External"/><Relationship Id="rId22" Type="http://schemas.openxmlformats.org/officeDocument/2006/relationships/hyperlink" Target="https://genai.owasp.org/resource/owasp-top-10-for-agentic-applications-for-2026/" TargetMode="External"/><Relationship Id="rId23" Type="http://schemas.openxmlformats.org/officeDocument/2006/relationships/hyperlink" Target="https://owasp.org/www-project-mcp-top-10/" TargetMode="External"/><Relationship Id="rId24" Type="http://schemas.openxmlformats.org/officeDocument/2006/relationships/hyperlink" Target="https://owasp.org/www-project-application-security-verification-standard/" TargetMode="External"/><Relationship Id="rId25" Type="http://schemas.openxmlformats.org/officeDocument/2006/relationships/hyperlink" Target="https://www.nist.gov/itl/ai-risk-management-framework" TargetMode="External"/><Relationship Id="rId26" Type="http://schemas.openxmlformats.org/officeDocument/2006/relationships/hyperlink" Target="https://doi.org/10.6028/NIST.AI.600-1" TargetMode="External"/><Relationship Id="rId27" Type="http://schemas.openxmlformats.org/officeDocument/2006/relationships/hyperlink" Target="https://www.ncsc.gov.uk/collection/guidelines-secure-ai-system-development" TargetMode="External"/><Relationship Id="rId28" Type="http://schemas.openxmlformats.org/officeDocument/2006/relationships/hyperlink" Target="https://ico.org.uk/for-organisations/uk-gdpr-guidance-and-resources/artificial-intelligence/" TargetMode="External"/><Relationship Id="rId29" Type="http://schemas.openxmlformats.org/officeDocument/2006/relationships/hyperlink" Target="https://www.fca.org.uk/firms/operational-resilience" TargetMode="External"/><Relationship Id="rId30" Type="http://schemas.openxmlformats.org/officeDocument/2006/relationships/hyperlink" Target="https://www.bankofengland.co.uk/prudential-regulation/publication/2021/march/outsourcing-and-third-party-risk-management-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Azure DevOps Local MCP 2.8.1 Security Assessment</dc:title>
  <dc:subject>VS Code and Visual Studio security assessment</dc:subject>
  <dc:creator/>
  <cp:keywords>MCP, Azure DevOps, VS Code, Visual Studio, UK financial services</cp:keywords>
  <dc:description>generated by python-docx</dc:description>
  <cp:lastModifiedBy/>
  <cp:revision>1</cp:revision>
  <dcterms:created xsi:type="dcterms:W3CDTF">2013-12-23T23:15:00Z</dcterms:created>
  <dcterms:modified xsi:type="dcterms:W3CDTF">2013-12-23T23:15:00Z</dcterms:modified>
  <cp:category/>
</cp:coreProperties>
</file>