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SECURITY ASSESSMENT</w:t>
      </w:r>
    </w:p>
    <w:p>
      <w:pPr>
        <w:pStyle w:val="Title"/>
        <w:jc w:val="center"/>
      </w:pPr>
      <w:r>
        <w:t>Microsoft Azure DevOps Remote MCP</w:t>
      </w:r>
    </w:p>
    <w:p>
      <w:pPr>
        <w:pStyle w:val="Subtitle"/>
        <w:jc w:val="center"/>
      </w:pPr>
      <w:r>
        <w:t>Public preview | VS Code and Visual Studio | UK financial services</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Document control</w:t>
            </w:r>
          </w:p>
        </w:tc>
        <w:tc>
          <w:tcPr>
            <w:tcW w:type="dxa" w:w="6960"/>
            <w:vAlign w:val="center"/>
            <w:tcMar>
              <w:top w:w="80" w:type="dxa"/>
              <w:start w:w="120" w:type="dxa"/>
              <w:bottom w:w="80" w:type="dxa"/>
              <w:end w:w="120" w:type="dxa"/>
            </w:tcMar>
            <w:shd w:fill="17365D"/>
          </w:tcPr>
          <w:p>
            <w:pPr>
              <w:spacing w:after="20"/>
            </w:pPr>
            <w:r>
              <w:rPr>
                <w:rFonts w:ascii="Calibri" w:hAnsi="Calibri"/>
                <w:b/>
                <w:color w:val="FFFFFF"/>
                <w:sz w:val="16"/>
              </w:rPr>
              <w:t>Value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Decision</w:t>
            </w:r>
          </w:p>
        </w:tc>
        <w:tc>
          <w:tcPr>
            <w:tcW w:type="dxa" w:w="6960"/>
            <w:vAlign w:val="center"/>
            <w:tcMar>
              <w:top w:w="80" w:type="dxa"/>
              <w:start w:w="120" w:type="dxa"/>
              <w:bottom w:w="80" w:type="dxa"/>
              <w:end w:w="120" w:type="dxa"/>
            </w:tcMar>
            <w:shd w:fill="FFFFFF"/>
          </w:tcPr>
          <w:p>
            <w:pPr>
              <w:spacing w:after="20"/>
            </w:pPr>
            <w:r>
              <w:rPr>
                <w:rFonts w:ascii="Calibri" w:hAnsi="Calibri"/>
                <w:sz w:val="16"/>
              </w:rPr>
              <w:t>APPROVE WITH CONDITIONS for read-only non-production pilot; defer write-enabled production</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Classification</w:t>
            </w:r>
          </w:p>
        </w:tc>
        <w:tc>
          <w:tcPr>
            <w:tcW w:type="dxa" w:w="6960"/>
            <w:vAlign w:val="center"/>
            <w:tcMar>
              <w:top w:w="80" w:type="dxa"/>
              <w:start w:w="120" w:type="dxa"/>
              <w:bottom w:w="80" w:type="dxa"/>
              <w:end w:w="120" w:type="dxa"/>
            </w:tcMar>
            <w:shd w:fill="F2F4F7"/>
          </w:tcPr>
          <w:p>
            <w:pPr>
              <w:spacing w:after="20"/>
            </w:pPr>
            <w:r>
              <w:rPr>
                <w:rFonts w:ascii="Calibri" w:hAnsi="Calibri"/>
                <w:sz w:val="16"/>
              </w:rPr>
              <w:t>PUBLIC</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Assessment date</w:t>
            </w:r>
          </w:p>
        </w:tc>
        <w:tc>
          <w:tcPr>
            <w:tcW w:type="dxa" w:w="6960"/>
            <w:vAlign w:val="center"/>
            <w:tcMar>
              <w:top w:w="80" w:type="dxa"/>
              <w:start w:w="120" w:type="dxa"/>
              <w:bottom w:w="80" w:type="dxa"/>
              <w:end w:w="120" w:type="dxa"/>
            </w:tcMar>
            <w:shd w:fill="FFFFFF"/>
          </w:tcPr>
          <w:p>
            <w:pPr>
              <w:spacing w:after="20"/>
            </w:pPr>
            <w:r>
              <w:rPr>
                <w:rFonts w:ascii="Calibri" w:hAnsi="Calibri"/>
                <w:sz w:val="16"/>
              </w:rPr>
              <w:t>25 July 2026</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Document version</w:t>
            </w:r>
          </w:p>
        </w:tc>
        <w:tc>
          <w:tcPr>
            <w:tcW w:type="dxa" w:w="6960"/>
            <w:vAlign w:val="center"/>
            <w:tcMar>
              <w:top w:w="80" w:type="dxa"/>
              <w:start w:w="120" w:type="dxa"/>
              <w:bottom w:w="80" w:type="dxa"/>
              <w:end w:w="120" w:type="dxa"/>
            </w:tcMar>
            <w:shd w:fill="F2F4F7"/>
          </w:tcPr>
          <w:p>
            <w:pPr>
              <w:spacing w:after="20"/>
            </w:pPr>
            <w:r>
              <w:rPr>
                <w:rFonts w:ascii="Calibri" w:hAnsi="Calibri"/>
                <w:sz w:val="16"/>
              </w:rPr>
              <w:t>1.1 candidate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Static analysis</w:t>
            </w:r>
          </w:p>
        </w:tc>
        <w:tc>
          <w:tcPr>
            <w:tcW w:type="dxa" w:w="6960"/>
            <w:vAlign w:val="center"/>
            <w:tcMar>
              <w:top w:w="80" w:type="dxa"/>
              <w:start w:w="120" w:type="dxa"/>
              <w:bottom w:w="80" w:type="dxa"/>
              <w:end w:w="120" w:type="dxa"/>
            </w:tcMar>
            <w:shd w:fill="FFFFFF"/>
          </w:tcPr>
          <w:p>
            <w:pPr>
              <w:spacing w:after="20"/>
            </w:pPr>
            <w:r>
              <w:rPr>
                <w:rFonts w:ascii="Calibri" w:hAnsi="Calibri"/>
                <w:sz w:val="16"/>
              </w:rPr>
              <w:t>Yes; official documentation and comparator source</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Malware review</w:t>
            </w:r>
          </w:p>
        </w:tc>
        <w:tc>
          <w:tcPr>
            <w:tcW w:type="dxa" w:w="6960"/>
            <w:vAlign w:val="center"/>
            <w:tcMar>
              <w:top w:w="80" w:type="dxa"/>
              <w:start w:w="120" w:type="dxa"/>
              <w:bottom w:w="80" w:type="dxa"/>
              <w:end w:w="120" w:type="dxa"/>
            </w:tcMar>
            <w:shd w:fill="F2F4F7"/>
          </w:tcPr>
          <w:p>
            <w:pPr>
              <w:spacing w:after="20"/>
            </w:pPr>
            <w:r>
              <w:rPr>
                <w:rFonts w:ascii="Calibri" w:hAnsi="Calibri"/>
                <w:sz w:val="16"/>
              </w:rPr>
              <w:t>Yes; comparator source only, no detonation</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Runtime analysis</w:t>
            </w:r>
          </w:p>
        </w:tc>
        <w:tc>
          <w:tcPr>
            <w:tcW w:type="dxa" w:w="6960"/>
            <w:vAlign w:val="center"/>
            <w:tcMar>
              <w:top w:w="80" w:type="dxa"/>
              <w:start w:w="120" w:type="dxa"/>
              <w:bottom w:w="80" w:type="dxa"/>
              <w:end w:w="120" w:type="dxa"/>
            </w:tcMar>
            <w:shd w:fill="FFFFFF"/>
          </w:tcPr>
          <w:p>
            <w:pPr>
              <w:spacing w:after="20"/>
            </w:pPr>
            <w:r>
              <w:rPr>
                <w:rFonts w:ascii="Calibri" w:hAnsi="Calibri"/>
                <w:sz w:val="16"/>
              </w:rPr>
              <w:t>Selected but blocked; no disposable representative Windows hosts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Privacy review</w:t>
            </w:r>
          </w:p>
        </w:tc>
        <w:tc>
          <w:tcPr>
            <w:tcW w:type="dxa" w:w="6960"/>
            <w:vAlign w:val="center"/>
            <w:tcMar>
              <w:top w:w="80" w:type="dxa"/>
              <w:start w:w="120" w:type="dxa"/>
              <w:bottom w:w="80" w:type="dxa"/>
              <w:end w:w="120" w:type="dxa"/>
            </w:tcMar>
            <w:shd w:fill="F2F4F7"/>
          </w:tcPr>
          <w:p>
            <w:pPr>
              <w:spacing w:after="20"/>
            </w:pPr>
            <w:r>
              <w:rPr>
                <w:rFonts w:ascii="Calibri" w:hAnsi="Calibri"/>
                <w:sz w:val="16"/>
              </w:rPr>
              <w:t>Yes</w:t>
            </w:r>
          </w:p>
        </w:tc>
      </w:tr>
    </w:tbl>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Field</w:t>
            </w:r>
          </w:p>
        </w:tc>
        <w:tc>
          <w:tcPr>
            <w:tcW w:type="dxa" w:w="6960"/>
            <w:vAlign w:val="center"/>
            <w:tcMar>
              <w:top w:w="80" w:type="dxa"/>
              <w:start w:w="120" w:type="dxa"/>
              <w:bottom w:w="80" w:type="dxa"/>
              <w:end w:w="120" w:type="dxa"/>
            </w:tcMar>
            <w:shd w:fill="17365D"/>
          </w:tcPr>
          <w:p>
            <w:pPr>
              <w:spacing w:after="20"/>
            </w:pPr>
            <w:r>
              <w:rPr>
                <w:rFonts w:ascii="Calibri" w:hAnsi="Calibri"/>
                <w:b/>
                <w:color w:val="FFFFFF"/>
                <w:sz w:val="16"/>
              </w:rPr>
              <w:t>Value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Owner</w:t>
            </w:r>
          </w:p>
        </w:tc>
        <w:tc>
          <w:tcPr>
            <w:tcW w:type="dxa" w:w="6960"/>
            <w:vAlign w:val="center"/>
            <w:tcMar>
              <w:top w:w="80" w:type="dxa"/>
              <w:start w:w="120" w:type="dxa"/>
              <w:bottom w:w="80" w:type="dxa"/>
              <w:end w:w="120" w:type="dxa"/>
            </w:tcMar>
            <w:shd w:fill="FFFFFF"/>
          </w:tcPr>
          <w:p>
            <w:pPr>
              <w:spacing w:after="20"/>
            </w:pPr>
            <w:r>
              <w:rPr>
                <w:rFonts w:ascii="Calibri" w:hAnsi="Calibri"/>
                <w:sz w:val="16"/>
              </w:rPr>
              <w:t>Enterprise AI Security</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Audience</w:t>
            </w:r>
          </w:p>
        </w:tc>
        <w:tc>
          <w:tcPr>
            <w:tcW w:type="dxa" w:w="6960"/>
            <w:vAlign w:val="center"/>
            <w:tcMar>
              <w:top w:w="80" w:type="dxa"/>
              <w:start w:w="120" w:type="dxa"/>
              <w:bottom w:w="80" w:type="dxa"/>
              <w:end w:w="120" w:type="dxa"/>
            </w:tcMar>
            <w:shd w:fill="F2F4F7"/>
          </w:tcPr>
          <w:p>
            <w:pPr>
              <w:spacing w:after="20"/>
            </w:pPr>
            <w:r>
              <w:rPr>
                <w:rFonts w:ascii="Calibri" w:hAnsi="Calibri"/>
                <w:sz w:val="16"/>
              </w:rPr>
              <w:t>Security, Engineering, Privacy, Risk and Supplier Assurance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Review trigger</w:t>
            </w:r>
          </w:p>
        </w:tc>
        <w:tc>
          <w:tcPr>
            <w:tcW w:type="dxa" w:w="6960"/>
            <w:vAlign w:val="center"/>
            <w:tcMar>
              <w:top w:w="80" w:type="dxa"/>
              <w:start w:w="120" w:type="dxa"/>
              <w:bottom w:w="80" w:type="dxa"/>
              <w:end w:w="120" w:type="dxa"/>
            </w:tcMar>
            <w:shd w:fill="FFFFFF"/>
          </w:tcPr>
          <w:p>
            <w:pPr>
              <w:spacing w:after="20"/>
            </w:pPr>
            <w:r>
              <w:rPr>
                <w:rFonts w:ascii="Calibri" w:hAnsi="Calibri"/>
                <w:sz w:val="16"/>
              </w:rPr>
              <w:t>GA, tool/schema drift, service incident, control failure, or 25 October 2026</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Authority</w:t>
            </w:r>
          </w:p>
        </w:tc>
        <w:tc>
          <w:tcPr>
            <w:tcW w:type="dxa" w:w="6960"/>
            <w:vAlign w:val="center"/>
            <w:tcMar>
              <w:top w:w="80" w:type="dxa"/>
              <w:start w:w="120" w:type="dxa"/>
              <w:bottom w:w="80" w:type="dxa"/>
              <w:end w:w="120" w:type="dxa"/>
            </w:tcMar>
            <w:shd w:fill="F2F4F7"/>
          </w:tcPr>
          <w:p>
            <w:pPr>
              <w:spacing w:after="20"/>
            </w:pPr>
            <w:r>
              <w:rPr>
                <w:rFonts w:ascii="Calibri" w:hAnsi="Calibri"/>
                <w:sz w:val="16"/>
              </w:rPr>
              <w:t>Candidate pending reviewed pull request; generation is not approval</w:t>
            </w:r>
          </w:p>
        </w:tc>
      </w:tr>
    </w:tbl>
    <w:p/>
    <w:p>
      <w:pPr>
        <w:pStyle w:val="Heading1"/>
      </w:pPr>
      <w:r>
        <w:t>Revision History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200"/>
            <w:vAlign w:val="center"/>
            <w:tcMar>
              <w:top w:w="80" w:type="dxa"/>
              <w:start w:w="120" w:type="dxa"/>
              <w:bottom w:w="80" w:type="dxa"/>
              <w:end w:w="120" w:type="dxa"/>
            </w:tcMar>
            <w:shd w:fill="17365D"/>
          </w:tcPr>
          <w:p>
            <w:pPr>
              <w:spacing w:after="20"/>
            </w:pPr>
            <w:r>
              <w:rPr>
                <w:rFonts w:ascii="Calibri" w:hAnsi="Calibri"/>
                <w:b/>
                <w:color w:val="FFFFFF"/>
                <w:sz w:val="16"/>
              </w:rPr>
              <w:t>Version</w:t>
            </w:r>
          </w:p>
        </w:tc>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Date</w:t>
            </w:r>
          </w:p>
        </w:tc>
        <w:tc>
          <w:tcPr>
            <w:tcW w:type="dxa" w:w="4600"/>
            <w:vAlign w:val="center"/>
            <w:tcMar>
              <w:top w:w="80" w:type="dxa"/>
              <w:start w:w="120" w:type="dxa"/>
              <w:bottom w:w="80" w:type="dxa"/>
              <w:end w:w="120" w:type="dxa"/>
            </w:tcMar>
            <w:shd w:fill="17365D"/>
          </w:tcPr>
          <w:p>
            <w:pPr>
              <w:spacing w:after="20"/>
            </w:pPr>
            <w:r>
              <w:rPr>
                <w:rFonts w:ascii="Calibri" w:hAnsi="Calibri"/>
                <w:b/>
                <w:color w:val="FFFFFF"/>
                <w:sz w:val="16"/>
              </w:rPr>
              <w:t>Change</w:t>
            </w:r>
          </w:p>
        </w:tc>
        <w:tc>
          <w:tcPr>
            <w:tcW w:type="dxa" w:w="1860"/>
            <w:vAlign w:val="center"/>
            <w:tcMar>
              <w:top w:w="80" w:type="dxa"/>
              <w:start w:w="120" w:type="dxa"/>
              <w:bottom w:w="80" w:type="dxa"/>
              <w:end w:w="120" w:type="dxa"/>
            </w:tcMar>
            <w:shd w:fill="17365D"/>
          </w:tcPr>
          <w:p>
            <w:pPr>
              <w:spacing w:after="20"/>
            </w:pPr>
            <w:r>
              <w:rPr>
                <w:rFonts w:ascii="Calibri" w:hAnsi="Calibri"/>
                <w:b/>
                <w:color w:val="FFFFFF"/>
                <w:sz w:val="16"/>
              </w:rPr>
              <w:t>Status</w:t>
            </w:r>
          </w:p>
        </w:tc>
      </w:tr>
      <w:tr>
        <w:trPr>
          <w:cantSplit/>
        </w:trPr>
        <w:tc>
          <w:tcPr>
            <w:tcW w:type="dxa" w:w="1200"/>
            <w:vAlign w:val="center"/>
            <w:tcMar>
              <w:top w:w="80" w:type="dxa"/>
              <w:start w:w="120" w:type="dxa"/>
              <w:bottom w:w="80" w:type="dxa"/>
              <w:end w:w="120" w:type="dxa"/>
            </w:tcMar>
            <w:shd w:fill="FFFFFF"/>
          </w:tcPr>
          <w:p>
            <w:pPr>
              <w:spacing w:after="20"/>
            </w:pPr>
            <w:r>
              <w:rPr>
                <w:rFonts w:ascii="Calibri" w:hAnsi="Calibri"/>
                <w:sz w:val="16"/>
              </w:rPr>
              <w:t>1.0</w:t>
            </w:r>
          </w:p>
        </w:tc>
        <w:tc>
          <w:tcPr>
            <w:tcW w:type="dxa" w:w="1700"/>
            <w:vAlign w:val="center"/>
            <w:tcMar>
              <w:top w:w="80" w:type="dxa"/>
              <w:start w:w="120" w:type="dxa"/>
              <w:bottom w:w="80" w:type="dxa"/>
              <w:end w:w="120" w:type="dxa"/>
            </w:tcMar>
            <w:shd w:fill="FFFFFF"/>
          </w:tcPr>
          <w:p>
            <w:pPr>
              <w:spacing w:after="20"/>
            </w:pPr>
            <w:r>
              <w:rPr>
                <w:rFonts w:ascii="Calibri" w:hAnsi="Calibri"/>
                <w:sz w:val="16"/>
              </w:rPr>
              <w:t>15 July 2026</w:t>
            </w:r>
          </w:p>
        </w:tc>
        <w:tc>
          <w:tcPr>
            <w:tcW w:type="dxa" w:w="4600"/>
            <w:vAlign w:val="center"/>
            <w:tcMar>
              <w:top w:w="80" w:type="dxa"/>
              <w:start w:w="120" w:type="dxa"/>
              <w:bottom w:w="80" w:type="dxa"/>
              <w:end w:w="120" w:type="dxa"/>
            </w:tcMar>
            <w:shd w:fill="FFFFFF"/>
          </w:tcPr>
          <w:p>
            <w:pPr>
              <w:spacing w:after="20"/>
            </w:pPr>
            <w:r>
              <w:rPr>
                <w:rFonts w:ascii="Calibri" w:hAnsi="Calibri"/>
                <w:sz w:val="16"/>
              </w:rPr>
              <w:t>Historical task-record assessment; original DOCX unavailable</w:t>
            </w:r>
          </w:p>
        </w:tc>
        <w:tc>
          <w:tcPr>
            <w:tcW w:type="dxa" w:w="1860"/>
            <w:vAlign w:val="center"/>
            <w:tcMar>
              <w:top w:w="80" w:type="dxa"/>
              <w:start w:w="120" w:type="dxa"/>
              <w:bottom w:w="80" w:type="dxa"/>
              <w:end w:w="120" w:type="dxa"/>
            </w:tcMar>
            <w:shd w:fill="FFFFFF"/>
          </w:tcPr>
          <w:p>
            <w:pPr>
              <w:spacing w:after="20"/>
            </w:pPr>
            <w:r>
              <w:rPr>
                <w:rFonts w:ascii="Calibri" w:hAnsi="Calibri"/>
                <w:sz w:val="16"/>
              </w:rPr>
              <w:t>Historical</w:t>
            </w:r>
          </w:p>
        </w:tc>
      </w:tr>
      <w:tr>
        <w:trPr>
          <w:cantSplit/>
        </w:trPr>
        <w:tc>
          <w:tcPr>
            <w:tcW w:type="dxa" w:w="1200"/>
            <w:vAlign w:val="center"/>
            <w:tcMar>
              <w:top w:w="80" w:type="dxa"/>
              <w:start w:w="120" w:type="dxa"/>
              <w:bottom w:w="80" w:type="dxa"/>
              <w:end w:w="120" w:type="dxa"/>
            </w:tcMar>
            <w:shd w:fill="F2F4F7"/>
          </w:tcPr>
          <w:p>
            <w:pPr>
              <w:spacing w:after="20"/>
            </w:pPr>
            <w:r>
              <w:rPr>
                <w:rFonts w:ascii="Calibri" w:hAnsi="Calibri"/>
                <w:sz w:val="16"/>
              </w:rPr>
              <w:t>1.1</w:t>
            </w:r>
          </w:p>
        </w:tc>
        <w:tc>
          <w:tcPr>
            <w:tcW w:type="dxa" w:w="1700"/>
            <w:vAlign w:val="center"/>
            <w:tcMar>
              <w:top w:w="80" w:type="dxa"/>
              <w:start w:w="120" w:type="dxa"/>
              <w:bottom w:w="80" w:type="dxa"/>
              <w:end w:w="120" w:type="dxa"/>
            </w:tcMar>
            <w:shd w:fill="F2F4F7"/>
          </w:tcPr>
          <w:p>
            <w:pPr>
              <w:spacing w:after="20"/>
            </w:pPr>
            <w:r>
              <w:rPr>
                <w:rFonts w:ascii="Calibri" w:hAnsi="Calibri"/>
                <w:sz w:val="16"/>
              </w:rPr>
              <w:t>25 July 2026</w:t>
            </w:r>
          </w:p>
        </w:tc>
        <w:tc>
          <w:tcPr>
            <w:tcW w:type="dxa" w:w="4600"/>
            <w:vAlign w:val="center"/>
            <w:tcMar>
              <w:top w:w="80" w:type="dxa"/>
              <w:start w:w="120" w:type="dxa"/>
              <w:bottom w:w="80" w:type="dxa"/>
              <w:end w:w="120" w:type="dxa"/>
            </w:tcMar>
            <w:shd w:fill="F2F4F7"/>
          </w:tcPr>
          <w:p>
            <w:pPr>
              <w:spacing w:after="20"/>
            </w:pPr>
            <w:r>
              <w:rPr>
                <w:rFonts w:ascii="Calibri" w:hAnsi="Calibri"/>
                <w:sz w:val="16"/>
              </w:rPr>
              <w:t>Repository regeneration with current static, malware and QA evidence</w:t>
            </w:r>
          </w:p>
        </w:tc>
        <w:tc>
          <w:tcPr>
            <w:tcW w:type="dxa" w:w="1860"/>
            <w:vAlign w:val="center"/>
            <w:tcMar>
              <w:top w:w="80" w:type="dxa"/>
              <w:start w:w="120" w:type="dxa"/>
              <w:bottom w:w="80" w:type="dxa"/>
              <w:end w:w="120" w:type="dxa"/>
            </w:tcMar>
            <w:shd w:fill="F2F4F7"/>
          </w:tcPr>
          <w:p>
            <w:pPr>
              <w:spacing w:after="20"/>
            </w:pPr>
            <w:r>
              <w:rPr>
                <w:rFonts w:ascii="Calibri" w:hAnsi="Calibri"/>
                <w:sz w:val="16"/>
              </w:rPr>
              <w:t>Candidate</w:t>
            </w:r>
          </w:p>
        </w:tc>
      </w:tr>
    </w:tbl>
    <w:p/>
    <w:p>
      <w:pPr>
        <w:pStyle w:val="Heading1"/>
      </w:pPr>
      <w:r>
        <w:t>Contents</w:t>
      </w:r>
    </w:p>
    <w:p>
      <w:pPr>
        <w:pStyle w:val="ListBullet"/>
      </w:pPr>
      <w:r>
        <w:t>Executive Summary</w:t>
      </w:r>
    </w:p>
    <w:p>
      <w:pPr>
        <w:pStyle w:val="ListBullet"/>
      </w:pPr>
      <w:r>
        <w:t>Purpose and Function Overview</w:t>
      </w:r>
    </w:p>
    <w:p>
      <w:pPr>
        <w:pStyle w:val="ListBullet"/>
      </w:pPr>
      <w:r>
        <w:t>Scope, Assumptions and Methodology</w:t>
      </w:r>
    </w:p>
    <w:p>
      <w:pPr>
        <w:pStyle w:val="ListBullet"/>
      </w:pPr>
      <w:r>
        <w:t>Product Identity and Version</w:t>
      </w:r>
    </w:p>
    <w:p>
      <w:pPr>
        <w:pStyle w:val="ListBullet"/>
      </w:pPr>
      <w:r>
        <w:t>Part I - VS Code</w:t>
      </w:r>
    </w:p>
    <w:p>
      <w:pPr>
        <w:pStyle w:val="ListBullet"/>
      </w:pPr>
      <w:r>
        <w:t>Part II - Visual Studio</w:t>
      </w:r>
    </w:p>
    <w:p>
      <w:pPr>
        <w:pStyle w:val="ListBullet"/>
      </w:pPr>
      <w:r>
        <w:t>Part III - Installed Agent Skills</w:t>
      </w:r>
    </w:p>
    <w:p>
      <w:pPr>
        <w:pStyle w:val="ListBullet"/>
      </w:pPr>
      <w:r>
        <w:t>Consolidated Assessment</w:t>
      </w:r>
    </w:p>
    <w:p>
      <w:pPr>
        <w:pStyle w:val="ListBullet"/>
      </w:pPr>
      <w:r>
        <w:t>Evidence Register</w:t>
      </w:r>
    </w:p>
    <w:p>
      <w:pPr>
        <w:pStyle w:val="ListBullet"/>
      </w:pPr>
      <w:r>
        <w:t>References</w:t>
      </w:r>
    </w:p>
    <w:p>
      <w:pPr>
        <w:pStyle w:val="ListBullet"/>
      </w:pPr>
      <w:r>
        <w:t>Appendices</w:t>
      </w:r>
    </w:p>
    <w:p>
      <w:pPr>
        <w:pStyle w:val="ListBullet"/>
      </w:pPr>
      <w:r>
        <w:t>Glossary</w:t>
      </w:r>
    </w:p>
    <w:p>
      <w:pPr>
        <w:pStyle w:val="Heading1"/>
      </w:pPr>
      <w:r>
        <w:t>Executive Summary</w:t>
      </w:r>
    </w:p>
    <w:p>
      <w:pPr>
        <w:pStyle w:val="ListBullet"/>
      </w:pPr>
      <w:r>
        <w:t>Decision - Approve with conditions only for a time-limited, read-only, non-production pilot with non-sensitive or synthetic data.</w:t>
      </w:r>
    </w:p>
    <w:p>
      <w:pPr>
        <w:pStyle w:val="ListBullet"/>
      </w:pPr>
      <w:r>
        <w:t>Authority - The service can act with the caller's Azure DevOps permissions; read-only and exact tool filters are mandatory.</w:t>
      </w:r>
    </w:p>
    <w:p>
      <w:pPr>
        <w:pStyle w:val="ListBullet"/>
      </w:pPr>
      <w:r>
        <w:t>Assurance - Public-preview version opacity and independently updated hosted code keep residual risk High.</w:t>
      </w:r>
    </w:p>
    <w:p>
      <w:pPr>
        <w:pStyle w:val="ListBullet"/>
      </w:pPr>
      <w:r>
        <w:t>Data - Azure DevOps content and tool arguments may contain personal, regulated and internal-confidential information.</w:t>
      </w:r>
    </w:p>
    <w:p>
      <w:pPr>
        <w:pStyle w:val="ListBullet"/>
      </w:pPr>
      <w:r>
        <w:t>Runtime - Dynamic analysis was selected but blocked because no disposable representative Windows IDE environment exists.</w:t>
      </w:r>
    </w:p>
    <w:p>
      <w:pPr>
        <w:widowControl/>
      </w:pPr>
      <w:r>
        <w:t>The remote service removes a local executable but does not remove security responsibility. It shifts supply-chain, runtime and telemetry assurance toward Microsoft while retaining client configuration, identity, approval, data-minimisation and monitoring duties. Scanner output against the public local comparator is not approval and is not evidence of hosted source equivalence.</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4">
        <w:r>
          <w:rPr>
            <w:color w:val="0563C1"/>
            <w:u w:val="single"/>
          </w:rPr>
          <w:t>[REF-004]</w:t>
        </w:r>
      </w:hyperlink>
      <w:r>
        <w:t xml:space="preserve"> </w:t>
      </w:r>
      <w:hyperlink w:anchor="REF_007">
        <w:r>
          <w:rPr>
            <w:color w:val="0563C1"/>
            <w:u w:val="single"/>
          </w:rPr>
          <w:t>[REF-007]</w:t>
        </w:r>
      </w:hyperlink>
      <w:r>
        <w:t xml:space="preserve"> </w:t>
      </w:r>
      <w:hyperlink w:anchor="REF_018">
        <w:r>
          <w:rPr>
            <w:color w:val="0563C1"/>
            <w:u w:val="single"/>
          </w:rPr>
          <w:t>[REF-018]</w:t>
        </w:r>
      </w:hyperlink>
      <w:r>
        <w:t xml:space="preserve"> </w:t>
      </w:r>
      <w:hyperlink w:anchor="REF_019">
        <w:r>
          <w:rPr>
            <w:color w:val="0563C1"/>
            <w:u w:val="single"/>
          </w:rPr>
          <w:t>[REF-019]</w:t>
        </w:r>
      </w:hyperlink>
    </w:p>
    <w:p>
      <w:pPr>
        <w:pStyle w:val="Heading1"/>
      </w:pPr>
      <w:r>
        <w:t>Purpose Function Overview</w:t>
      </w:r>
    </w:p>
    <w:p>
      <w:pPr>
        <w:widowControl/>
      </w:pPr>
      <w:r>
        <w:t>The Microsoft-hosted Azure DevOps MCP server connects supported AI assistants to Azure DevOps through a remote Streamable HTTP endpoint. It provides project, repository, work-item, wiki, pipeline and related context as MCP tools. The service is in public preview, may change before general availability and updates independently of the local npm implementation.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Capability</w:t>
            </w:r>
          </w:p>
        </w:tc>
        <w:tc>
          <w:tcPr>
            <w:tcW w:type="dxa" w:w="3000"/>
            <w:vAlign w:val="center"/>
            <w:tcMar>
              <w:top w:w="80" w:type="dxa"/>
              <w:start w:w="120" w:type="dxa"/>
              <w:bottom w:w="80" w:type="dxa"/>
              <w:end w:w="120" w:type="dxa"/>
            </w:tcMar>
            <w:shd w:fill="17365D"/>
          </w:tcPr>
          <w:p>
            <w:pPr>
              <w:spacing w:after="20"/>
            </w:pPr>
            <w:r>
              <w:rPr>
                <w:rFonts w:ascii="Calibri" w:hAnsi="Calibri"/>
                <w:b/>
                <w:color w:val="FFFFFF"/>
                <w:sz w:val="16"/>
              </w:rPr>
              <w:t>Business value</w:t>
            </w:r>
          </w:p>
        </w:tc>
        <w:tc>
          <w:tcPr>
            <w:tcW w:type="dxa" w:w="3960"/>
            <w:vAlign w:val="center"/>
            <w:tcMar>
              <w:top w:w="80" w:type="dxa"/>
              <w:start w:w="120" w:type="dxa"/>
              <w:bottom w:w="80" w:type="dxa"/>
              <w:end w:w="120" w:type="dxa"/>
            </w:tcMar>
            <w:shd w:fill="17365D"/>
          </w:tcPr>
          <w:p>
            <w:pPr>
              <w:spacing w:after="20"/>
            </w:pPr>
            <w:r>
              <w:rPr>
                <w:rFonts w:ascii="Calibri" w:hAnsi="Calibri"/>
                <w:b/>
                <w:color w:val="FFFFFF"/>
                <w:sz w:val="16"/>
              </w:rPr>
              <w:t>Security significance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Read repositories and work items</w:t>
            </w:r>
          </w:p>
        </w:tc>
        <w:tc>
          <w:tcPr>
            <w:tcW w:type="dxa" w:w="3000"/>
            <w:vAlign w:val="center"/>
            <w:tcMar>
              <w:top w:w="80" w:type="dxa"/>
              <w:start w:w="120" w:type="dxa"/>
              <w:bottom w:w="80" w:type="dxa"/>
              <w:end w:w="120" w:type="dxa"/>
            </w:tcMar>
            <w:shd w:fill="FFFFFF"/>
          </w:tcPr>
          <w:p>
            <w:pPr>
              <w:spacing w:after="20"/>
            </w:pPr>
            <w:r>
              <w:rPr>
                <w:rFonts w:ascii="Calibri" w:hAnsi="Calibri"/>
                <w:sz w:val="16"/>
              </w:rPr>
              <w:t>Contextual assistance</w:t>
            </w:r>
          </w:p>
        </w:tc>
        <w:tc>
          <w:tcPr>
            <w:tcW w:type="dxa" w:w="3960"/>
            <w:vAlign w:val="center"/>
            <w:tcMar>
              <w:top w:w="80" w:type="dxa"/>
              <w:start w:w="120" w:type="dxa"/>
              <w:bottom w:w="80" w:type="dxa"/>
              <w:end w:w="120" w:type="dxa"/>
            </w:tcMar>
            <w:shd w:fill="FFFFFF"/>
          </w:tcPr>
          <w:p>
            <w:pPr>
              <w:spacing w:after="20"/>
            </w:pPr>
            <w:r>
              <w:rPr>
                <w:rFonts w:ascii="Calibri" w:hAnsi="Calibri"/>
                <w:sz w:val="16"/>
              </w:rPr>
              <w:t>Confidential content enters model context</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Search and summarise</w:t>
            </w:r>
          </w:p>
        </w:tc>
        <w:tc>
          <w:tcPr>
            <w:tcW w:type="dxa" w:w="3000"/>
            <w:vAlign w:val="center"/>
            <w:tcMar>
              <w:top w:w="80" w:type="dxa"/>
              <w:start w:w="120" w:type="dxa"/>
              <w:bottom w:w="80" w:type="dxa"/>
              <w:end w:w="120" w:type="dxa"/>
            </w:tcMar>
            <w:shd w:fill="F2F4F7"/>
          </w:tcPr>
          <w:p>
            <w:pPr>
              <w:spacing w:after="20"/>
            </w:pPr>
            <w:r>
              <w:rPr>
                <w:rFonts w:ascii="Calibri" w:hAnsi="Calibri"/>
                <w:sz w:val="16"/>
              </w:rPr>
              <w:t>Faster discovery</w:t>
            </w:r>
          </w:p>
        </w:tc>
        <w:tc>
          <w:tcPr>
            <w:tcW w:type="dxa" w:w="3960"/>
            <w:vAlign w:val="center"/>
            <w:tcMar>
              <w:top w:w="80" w:type="dxa"/>
              <w:start w:w="120" w:type="dxa"/>
              <w:bottom w:w="80" w:type="dxa"/>
              <w:end w:w="120" w:type="dxa"/>
            </w:tcMar>
            <w:shd w:fill="F2F4F7"/>
          </w:tcPr>
          <w:p>
            <w:pPr>
              <w:spacing w:after="20"/>
            </w:pPr>
            <w:r>
              <w:rPr>
                <w:rFonts w:ascii="Calibri" w:hAnsi="Calibri"/>
                <w:sz w:val="16"/>
              </w:rPr>
              <w:t>Untrusted content can steer the agent</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Write-capable tools</w:t>
            </w:r>
          </w:p>
        </w:tc>
        <w:tc>
          <w:tcPr>
            <w:tcW w:type="dxa" w:w="3000"/>
            <w:vAlign w:val="center"/>
            <w:tcMar>
              <w:top w:w="80" w:type="dxa"/>
              <w:start w:w="120" w:type="dxa"/>
              <w:bottom w:w="80" w:type="dxa"/>
              <w:end w:w="120" w:type="dxa"/>
            </w:tcMar>
            <w:shd w:fill="FFFFFF"/>
          </w:tcPr>
          <w:p>
            <w:pPr>
              <w:spacing w:after="20"/>
            </w:pPr>
            <w:r>
              <w:rPr>
                <w:rFonts w:ascii="Calibri" w:hAnsi="Calibri"/>
                <w:sz w:val="16"/>
              </w:rPr>
              <w:t>Automation</w:t>
            </w:r>
          </w:p>
        </w:tc>
        <w:tc>
          <w:tcPr>
            <w:tcW w:type="dxa" w:w="3960"/>
            <w:vAlign w:val="center"/>
            <w:tcMar>
              <w:top w:w="80" w:type="dxa"/>
              <w:start w:w="120" w:type="dxa"/>
              <w:bottom w:w="80" w:type="dxa"/>
              <w:end w:w="120" w:type="dxa"/>
            </w:tcMar>
            <w:shd w:fill="FFFFFF"/>
          </w:tcPr>
          <w:p>
            <w:pPr>
              <w:spacing w:after="20"/>
            </w:pPr>
            <w:r>
              <w:rPr>
                <w:rFonts w:ascii="Calibri" w:hAnsi="Calibri"/>
                <w:sz w:val="16"/>
              </w:rPr>
              <w:t>Could change code, pipelines or records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Server-side filters</w:t>
            </w:r>
          </w:p>
        </w:tc>
        <w:tc>
          <w:tcPr>
            <w:tcW w:type="dxa" w:w="3000"/>
            <w:vAlign w:val="center"/>
            <w:tcMar>
              <w:top w:w="80" w:type="dxa"/>
              <w:start w:w="120" w:type="dxa"/>
              <w:bottom w:w="80" w:type="dxa"/>
              <w:end w:w="120" w:type="dxa"/>
            </w:tcMar>
            <w:shd w:fill="F2F4F7"/>
          </w:tcPr>
          <w:p>
            <w:pPr>
              <w:spacing w:after="20"/>
            </w:pPr>
            <w:r>
              <w:rPr>
                <w:rFonts w:ascii="Calibri" w:hAnsi="Calibri"/>
                <w:sz w:val="16"/>
              </w:rPr>
              <w:t>Least privilege</w:t>
            </w:r>
          </w:p>
        </w:tc>
        <w:tc>
          <w:tcPr>
            <w:tcW w:type="dxa" w:w="3960"/>
            <w:vAlign w:val="center"/>
            <w:tcMar>
              <w:top w:w="80" w:type="dxa"/>
              <w:start w:w="120" w:type="dxa"/>
              <w:bottom w:w="80" w:type="dxa"/>
              <w:end w:w="120" w:type="dxa"/>
            </w:tcMar>
            <w:shd w:fill="F2F4F7"/>
          </w:tcPr>
          <w:p>
            <w:pPr>
              <w:spacing w:after="20"/>
            </w:pPr>
            <w:r>
              <w:rPr>
                <w:rFonts w:ascii="Calibri" w:hAnsi="Calibri"/>
                <w:sz w:val="16"/>
              </w:rPr>
              <w:t>Must be configured and runtime verified</w:t>
            </w:r>
          </w:p>
        </w:tc>
      </w:tr>
    </w:tbl>
    <w:p/>
    <w:p>
      <w:pPr>
        <w:pStyle w:val="Heading1"/>
      </w:pPr>
      <w:r>
        <w:t>Scope Assumptions Methodology</w:t>
      </w:r>
    </w:p>
    <w:p>
      <w:pPr>
        <w:widowControl/>
      </w:pPr>
      <w:r>
        <w:t>Scope covers the current Microsoft-hosted remote public-preview service for VS Code on Windows 11 and macOS and Visual Studio on Windows 11, in a UK insurance and financial-services environment handling internal-confidential information. Static research and malware-focused comparator review were performed. Runtime analysis was selected but blocked. Privacy and regulatory analysis are included. Retrieved content was treated as untrusted evidence.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Branch</w:t>
            </w:r>
          </w:p>
        </w:tc>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Selection</w:t>
            </w:r>
          </w:p>
        </w:tc>
        <w:tc>
          <w:tcPr>
            <w:tcW w:type="dxa" w:w="5160"/>
            <w:vAlign w:val="center"/>
            <w:tcMar>
              <w:top w:w="80" w:type="dxa"/>
              <w:start w:w="120" w:type="dxa"/>
              <w:bottom w:w="80" w:type="dxa"/>
              <w:end w:w="120" w:type="dxa"/>
            </w:tcMar>
            <w:shd w:fill="17365D"/>
          </w:tcPr>
          <w:p>
            <w:pPr>
              <w:spacing w:after="20"/>
            </w:pPr>
            <w:r>
              <w:rPr>
                <w:rFonts w:ascii="Calibri" w:hAnsi="Calibri"/>
                <w:b/>
                <w:color w:val="FFFFFF"/>
                <w:sz w:val="16"/>
              </w:rPr>
              <w:t>Result</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Static analysis</w:t>
            </w:r>
          </w:p>
        </w:tc>
        <w:tc>
          <w:tcPr>
            <w:tcW w:type="dxa" w:w="1800"/>
            <w:vAlign w:val="center"/>
            <w:tcMar>
              <w:top w:w="80" w:type="dxa"/>
              <w:start w:w="120" w:type="dxa"/>
              <w:bottom w:w="80" w:type="dxa"/>
              <w:end w:w="120" w:type="dxa"/>
            </w:tcMar>
            <w:shd w:fill="FFFFFF"/>
          </w:tcPr>
          <w:p>
            <w:pPr>
              <w:spacing w:after="20"/>
            </w:pPr>
            <w:r>
              <w:rPr>
                <w:rFonts w:ascii="Calibri" w:hAnsi="Calibri"/>
                <w:sz w:val="16"/>
              </w:rPr>
              <w:t>Yes</w:t>
            </w:r>
          </w:p>
        </w:tc>
        <w:tc>
          <w:tcPr>
            <w:tcW w:type="dxa" w:w="5160"/>
            <w:vAlign w:val="center"/>
            <w:tcMar>
              <w:top w:w="80" w:type="dxa"/>
              <w:start w:w="120" w:type="dxa"/>
              <w:bottom w:w="80" w:type="dxa"/>
              <w:end w:w="120" w:type="dxa"/>
            </w:tcMar>
            <w:shd w:fill="FFFFFF"/>
          </w:tcPr>
          <w:p>
            <w:pPr>
              <w:spacing w:after="20"/>
            </w:pPr>
            <w:r>
              <w:rPr>
                <w:rFonts w:ascii="Calibri" w:hAnsi="Calibri"/>
                <w:sz w:val="16"/>
              </w:rPr>
              <w:t>Official docs and signed public comparator commit inspected</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Malware review</w:t>
            </w:r>
          </w:p>
        </w:tc>
        <w:tc>
          <w:tcPr>
            <w:tcW w:type="dxa" w:w="1800"/>
            <w:vAlign w:val="center"/>
            <w:tcMar>
              <w:top w:w="80" w:type="dxa"/>
              <w:start w:w="120" w:type="dxa"/>
              <w:bottom w:w="80" w:type="dxa"/>
              <w:end w:w="120" w:type="dxa"/>
            </w:tcMar>
            <w:shd w:fill="F2F4F7"/>
          </w:tcPr>
          <w:p>
            <w:pPr>
              <w:spacing w:after="20"/>
            </w:pPr>
            <w:r>
              <w:rPr>
                <w:rFonts w:ascii="Calibri" w:hAnsi="Calibri"/>
                <w:sz w:val="16"/>
              </w:rPr>
              <w:t>Yes</w:t>
            </w:r>
          </w:p>
        </w:tc>
        <w:tc>
          <w:tcPr>
            <w:tcW w:type="dxa" w:w="5160"/>
            <w:vAlign w:val="center"/>
            <w:tcMar>
              <w:top w:w="80" w:type="dxa"/>
              <w:start w:w="120" w:type="dxa"/>
              <w:bottom w:w="80" w:type="dxa"/>
              <w:end w:w="120" w:type="dxa"/>
            </w:tcMar>
            <w:shd w:fill="F2F4F7"/>
          </w:tcPr>
          <w:p>
            <w:pPr>
              <w:spacing w:after="20"/>
            </w:pPr>
            <w:r>
              <w:rPr>
                <w:rFonts w:ascii="Calibri" w:hAnsi="Calibri"/>
                <w:sz w:val="16"/>
              </w:rPr>
              <w:t>ClamAV and Semgrep comparator evidence; no detonation</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Runtime analysis</w:t>
            </w:r>
          </w:p>
        </w:tc>
        <w:tc>
          <w:tcPr>
            <w:tcW w:type="dxa" w:w="1800"/>
            <w:vAlign w:val="center"/>
            <w:tcMar>
              <w:top w:w="80" w:type="dxa"/>
              <w:start w:w="120" w:type="dxa"/>
              <w:bottom w:w="80" w:type="dxa"/>
              <w:end w:w="120" w:type="dxa"/>
            </w:tcMar>
            <w:shd w:fill="FFFFFF"/>
          </w:tcPr>
          <w:p>
            <w:pPr>
              <w:spacing w:after="20"/>
            </w:pPr>
            <w:r>
              <w:rPr>
                <w:rFonts w:ascii="Calibri" w:hAnsi="Calibri"/>
                <w:sz w:val="16"/>
              </w:rPr>
              <w:t>Yes</w:t>
            </w:r>
          </w:p>
        </w:tc>
        <w:tc>
          <w:tcPr>
            <w:tcW w:type="dxa" w:w="5160"/>
            <w:vAlign w:val="center"/>
            <w:tcMar>
              <w:top w:w="80" w:type="dxa"/>
              <w:start w:w="120" w:type="dxa"/>
              <w:bottom w:w="80" w:type="dxa"/>
              <w:end w:w="120" w:type="dxa"/>
            </w:tcMar>
            <w:shd w:fill="FFFFFF"/>
          </w:tcPr>
          <w:p>
            <w:pPr>
              <w:spacing w:after="20"/>
            </w:pPr>
            <w:r>
              <w:rPr>
                <w:rFonts w:ascii="Calibri" w:hAnsi="Calibri"/>
                <w:sz w:val="16"/>
              </w:rPr>
              <w:t>Blocked; no disposable representative host and tenant</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Privacy assessment</w:t>
            </w:r>
          </w:p>
        </w:tc>
        <w:tc>
          <w:tcPr>
            <w:tcW w:type="dxa" w:w="1800"/>
            <w:vAlign w:val="center"/>
            <w:tcMar>
              <w:top w:w="80" w:type="dxa"/>
              <w:start w:w="120" w:type="dxa"/>
              <w:bottom w:w="80" w:type="dxa"/>
              <w:end w:w="120" w:type="dxa"/>
            </w:tcMar>
            <w:shd w:fill="F2F4F7"/>
          </w:tcPr>
          <w:p>
            <w:pPr>
              <w:spacing w:after="20"/>
            </w:pPr>
            <w:r>
              <w:rPr>
                <w:rFonts w:ascii="Calibri" w:hAnsi="Calibri"/>
                <w:sz w:val="16"/>
              </w:rPr>
              <w:t>Yes</w:t>
            </w:r>
          </w:p>
        </w:tc>
        <w:tc>
          <w:tcPr>
            <w:tcW w:type="dxa" w:w="5160"/>
            <w:vAlign w:val="center"/>
            <w:tcMar>
              <w:top w:w="80" w:type="dxa"/>
              <w:start w:w="120" w:type="dxa"/>
              <w:bottom w:w="80" w:type="dxa"/>
              <w:end w:w="120" w:type="dxa"/>
            </w:tcMar>
            <w:shd w:fill="F2F4F7"/>
          </w:tcPr>
          <w:p>
            <w:pPr>
              <w:spacing w:after="20"/>
            </w:pPr>
            <w:r>
              <w:rPr>
                <w:rFonts w:ascii="Calibri" w:hAnsi="Calibri"/>
                <w:sz w:val="16"/>
              </w:rPr>
              <w:t>UK GDPR, FCA and PRA context assessed</w:t>
            </w:r>
          </w:p>
        </w:tc>
      </w:tr>
    </w:tbl>
    <w:p/>
    <w:p>
      <w:pPr>
        <w:pStyle w:val="Heading1"/>
      </w:pPr>
      <w:r>
        <w:t>Product Identity and Version</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00"/>
            <w:vAlign w:val="center"/>
            <w:tcMar>
              <w:top w:w="80" w:type="dxa"/>
              <w:start w:w="120" w:type="dxa"/>
              <w:bottom w:w="80" w:type="dxa"/>
              <w:end w:w="120" w:type="dxa"/>
            </w:tcMar>
            <w:shd w:fill="17365D"/>
          </w:tcPr>
          <w:p>
            <w:pPr>
              <w:spacing w:after="20"/>
            </w:pPr>
            <w:r>
              <w:rPr>
                <w:rFonts w:ascii="Calibri" w:hAnsi="Calibri"/>
                <w:b/>
                <w:color w:val="FFFFFF"/>
                <w:sz w:val="16"/>
              </w:rPr>
              <w:t>Field</w:t>
            </w:r>
          </w:p>
        </w:tc>
        <w:tc>
          <w:tcPr>
            <w:tcW w:type="dxa" w:w="6860"/>
            <w:vAlign w:val="center"/>
            <w:tcMar>
              <w:top w:w="80" w:type="dxa"/>
              <w:start w:w="120" w:type="dxa"/>
              <w:bottom w:w="80" w:type="dxa"/>
              <w:end w:w="120" w:type="dxa"/>
            </w:tcMar>
            <w:shd w:fill="17365D"/>
          </w:tcPr>
          <w:p>
            <w:pPr>
              <w:spacing w:after="20"/>
            </w:pPr>
            <w:r>
              <w:rPr>
                <w:rFonts w:ascii="Calibri" w:hAnsi="Calibri"/>
                <w:b/>
                <w:color w:val="FFFFFF"/>
                <w:sz w:val="16"/>
              </w:rPr>
              <w:t>Verified or observed state</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Product</w:t>
            </w:r>
          </w:p>
        </w:tc>
        <w:tc>
          <w:tcPr>
            <w:tcW w:type="dxa" w:w="6860"/>
            <w:vAlign w:val="center"/>
            <w:tcMar>
              <w:top w:w="80" w:type="dxa"/>
              <w:start w:w="120" w:type="dxa"/>
              <w:bottom w:w="80" w:type="dxa"/>
              <w:end w:w="120" w:type="dxa"/>
            </w:tcMar>
            <w:shd w:fill="FFFFFF"/>
          </w:tcPr>
          <w:p>
            <w:pPr>
              <w:spacing w:after="20"/>
            </w:pPr>
            <w:r>
              <w:rPr>
                <w:rFonts w:ascii="Calibri" w:hAnsi="Calibri"/>
                <w:sz w:val="16"/>
              </w:rPr>
              <w:t>Microsoft Azure DevOps Remote MCP Server</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Publisher/operator</w:t>
            </w:r>
          </w:p>
        </w:tc>
        <w:tc>
          <w:tcPr>
            <w:tcW w:type="dxa" w:w="6860"/>
            <w:vAlign w:val="center"/>
            <w:tcMar>
              <w:top w:w="80" w:type="dxa"/>
              <w:start w:w="120" w:type="dxa"/>
              <w:bottom w:w="80" w:type="dxa"/>
              <w:end w:w="120" w:type="dxa"/>
            </w:tcMar>
            <w:shd w:fill="F2F4F7"/>
          </w:tcPr>
          <w:p>
            <w:pPr>
              <w:spacing w:after="20"/>
            </w:pPr>
            <w:r>
              <w:rPr>
                <w:rFonts w:ascii="Calibri" w:hAnsi="Calibri"/>
                <w:sz w:val="16"/>
              </w:rPr>
              <w:t>Microsoft</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Endpoint</w:t>
            </w:r>
          </w:p>
        </w:tc>
        <w:tc>
          <w:tcPr>
            <w:tcW w:type="dxa" w:w="6860"/>
            <w:vAlign w:val="center"/>
            <w:tcMar>
              <w:top w:w="80" w:type="dxa"/>
              <w:start w:w="120" w:type="dxa"/>
              <w:bottom w:w="80" w:type="dxa"/>
              <w:end w:w="120" w:type="dxa"/>
            </w:tcMar>
            <w:shd w:fill="FFFFFF"/>
          </w:tcPr>
          <w:p>
            <w:pPr>
              <w:spacing w:after="20"/>
            </w:pPr>
            <w:r>
              <w:rPr>
                <w:rFonts w:ascii="Calibri" w:hAnsi="Calibri"/>
                <w:sz w:val="16"/>
              </w:rPr>
              <w:t>https://mcp.dev.azure.com/{organization}</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6860"/>
            <w:vAlign w:val="center"/>
            <w:tcMar>
              <w:top w:w="80" w:type="dxa"/>
              <w:start w:w="120" w:type="dxa"/>
              <w:bottom w:w="80" w:type="dxa"/>
              <w:end w:w="120" w:type="dxa"/>
            </w:tcMar>
            <w:shd w:fill="F2F4F7"/>
          </w:tcPr>
          <w:p>
            <w:pPr>
              <w:spacing w:after="20"/>
            </w:pPr>
            <w:r>
              <w:rPr>
                <w:rFonts w:ascii="Calibri" w:hAnsi="Calibri"/>
                <w:sz w:val="16"/>
              </w:rPr>
              <w:t>Streamable HTTP over HTTPS</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Authentication</w:t>
            </w:r>
          </w:p>
        </w:tc>
        <w:tc>
          <w:tcPr>
            <w:tcW w:type="dxa" w:w="6860"/>
            <w:vAlign w:val="center"/>
            <w:tcMar>
              <w:top w:w="80" w:type="dxa"/>
              <w:start w:w="120" w:type="dxa"/>
              <w:bottom w:w="80" w:type="dxa"/>
              <w:end w:w="120" w:type="dxa"/>
            </w:tcMar>
            <w:shd w:fill="FFFFFF"/>
          </w:tcPr>
          <w:p>
            <w:pPr>
              <w:spacing w:after="20"/>
            </w:pPr>
            <w:r>
              <w:rPr>
                <w:rFonts w:ascii="Calibri" w:hAnsi="Calibri"/>
                <w:sz w:val="16"/>
              </w:rPr>
              <w:t>Microsoft Entra ID OAuth; PAT not supported</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Release state</w:t>
            </w:r>
          </w:p>
        </w:tc>
        <w:tc>
          <w:tcPr>
            <w:tcW w:type="dxa" w:w="6860"/>
            <w:vAlign w:val="center"/>
            <w:tcMar>
              <w:top w:w="80" w:type="dxa"/>
              <w:start w:w="120" w:type="dxa"/>
              <w:bottom w:w="80" w:type="dxa"/>
              <w:end w:w="120" w:type="dxa"/>
            </w:tcMar>
            <w:shd w:fill="F2F4F7"/>
          </w:tcPr>
          <w:p>
            <w:pPr>
              <w:spacing w:after="20"/>
            </w:pPr>
            <w:r>
              <w:rPr>
                <w:rFonts w:ascii="Calibri" w:hAnsi="Calibri"/>
                <w:sz w:val="16"/>
              </w:rPr>
              <w:t>Public preview; gradually rolling out</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Version</w:t>
            </w:r>
          </w:p>
        </w:tc>
        <w:tc>
          <w:tcPr>
            <w:tcW w:type="dxa" w:w="6860"/>
            <w:vAlign w:val="center"/>
            <w:tcMar>
              <w:top w:w="80" w:type="dxa"/>
              <w:start w:w="120" w:type="dxa"/>
              <w:bottom w:w="80" w:type="dxa"/>
              <w:end w:w="120" w:type="dxa"/>
            </w:tcMar>
            <w:shd w:fill="FFFFFF"/>
          </w:tcPr>
          <w:p>
            <w:pPr>
              <w:spacing w:after="20"/>
            </w:pPr>
            <w:r>
              <w:rPr>
                <w:rFonts w:ascii="Calibri" w:hAnsi="Calibri"/>
                <w:sz w:val="16"/>
              </w:rPr>
              <w:t>Hosted version opaque; updates independently of local package</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Comparator commit</w:t>
            </w:r>
          </w:p>
        </w:tc>
        <w:tc>
          <w:tcPr>
            <w:tcW w:type="dxa" w:w="6860"/>
            <w:vAlign w:val="center"/>
            <w:tcMar>
              <w:top w:w="80" w:type="dxa"/>
              <w:start w:w="120" w:type="dxa"/>
              <w:bottom w:w="80" w:type="dxa"/>
              <w:end w:w="120" w:type="dxa"/>
            </w:tcMar>
            <w:shd w:fill="F2F4F7"/>
          </w:tcPr>
          <w:p>
            <w:pPr>
              <w:spacing w:after="20"/>
            </w:pPr>
            <w:r>
              <w:rPr>
                <w:rFonts w:ascii="Calibri" w:hAnsi="Calibri"/>
                <w:sz w:val="16"/>
              </w:rPr>
              <w:t>95e76b8d708cc342dd9759e49e16420e19ddb1e0; verified signature</w:t>
            </w:r>
          </w:p>
        </w:tc>
      </w:tr>
    </w:tbl>
    <w:p/>
    <w:p>
      <w:pPr>
        <w:jc w:val="center"/>
      </w:pPr>
      <w:r>
        <w:drawing>
          <wp:inline xmlns:a="http://schemas.openxmlformats.org/drawingml/2006/main" xmlns:pic="http://schemas.openxmlformats.org/drawingml/2006/picture">
            <wp:extent cx="5852160" cy="2779776"/>
            <wp:docPr id="1" name="Picture 1" descr="Trust-boundary diagram showing untrusted Azure DevOps content, IDE clients, Entra controls, the remote MCP service, Azure DevOps authority and model context." title="Azure DevOps Remote MCP trust boundaries"/>
            <wp:cNvGraphicFramePr>
              <a:graphicFrameLocks noChangeAspect="1"/>
            </wp:cNvGraphicFramePr>
            <a:graphic>
              <a:graphicData uri="http://schemas.openxmlformats.org/drawingml/2006/picture">
                <pic:pic>
                  <pic:nvPicPr>
                    <pic:cNvPr id="0" name="remote-mcp-trust-boundaries.png"/>
                    <pic:cNvPicPr/>
                  </pic:nvPicPr>
                  <pic:blipFill>
                    <a:blip r:embed="rId11"/>
                    <a:stretch>
                      <a:fillRect/>
                    </a:stretch>
                  </pic:blipFill>
                  <pic:spPr>
                    <a:xfrm>
                      <a:off x="0" y="0"/>
                      <a:ext cx="5852160" cy="2779776"/>
                    </a:xfrm>
                    <a:prstGeom prst="rect"/>
                  </pic:spPr>
                </pic:pic>
              </a:graphicData>
            </a:graphic>
          </wp:inline>
        </w:drawing>
      </w:r>
    </w:p>
    <w:p>
      <w:pPr>
        <w:pStyle w:val="Heading1"/>
      </w:pPr>
      <w:r>
        <w:t>Part I - VS Code Assessment</w:t>
      </w:r>
    </w:p>
    <w:p>
      <w:pPr>
        <w:pStyle w:val="Heading2"/>
      </w:pPr>
      <w:r>
        <w:t>Decision and approval scope</w:t>
      </w:r>
    </w:p>
    <w:p>
      <w:pPr>
        <w:widowControl/>
      </w:pPr>
      <w:r>
        <w:t>For VS Code, the decision is APPROVE WITH CONDITIONS for a time-limited read-only pilot using synthetic or non-sensitive development data. Write-enabled production use, internal-confidential repositories, unattended execution, customer-outcome decisions and broad organisation-wide access are deferred. This decision applies to the remote public-preview service state observed on 25 July 2026, not to an immutable server release. Residual risk is High because representative runtime, lifecycle and hosted implementation evidence is not observed.</w:t>
      </w:r>
    </w:p>
    <w:p>
      <w:pPr>
        <w:pStyle w:val="Heading2"/>
      </w:pPr>
      <w:r>
        <w:t>Purpose and function</w:t>
      </w:r>
    </w:p>
    <w:p>
      <w:pPr>
        <w:widowControl/>
      </w:pPr>
      <w:r>
        <w:t>The VS Code MCP client can connect by Streamable HTTP to https://mcp.dev.azure.com/{organization}. The service offers Azure DevOps tools for repositories, work items, wiki, pipelines, search and related resources. The value is contextual engineering assistance; the corresponding risk is that the agent can combine untrusted project content, model reasoning and the caller's Azure DevOps permissions. Client convenience does not change the enterprise data classification or approval boundary.</w:t>
      </w:r>
    </w:p>
    <w:p>
      <w:pPr>
        <w:pStyle w:val="Heading2"/>
      </w:pPr>
      <w:r>
        <w:t>Architecture, trust boundaries and data flows</w:t>
      </w:r>
    </w:p>
    <w:p>
      <w:pPr>
        <w:widowControl/>
      </w:pPr>
      <w:r>
        <w:t>The principal flow is user prompt to VS Code, model or agent planning, MCP tool selection, Entra OAuth authentication, Microsoft-hosted MCP processing, Azure DevOps REST execution and tool output returned into model context. Trust boundaries exist between workspace content and the model, the IDE and remote endpoint, the endpoint and Azure DevOps organisation, and logs or telemetry and operational personnel. Tool results are untrusted even when they originate from the enterprise organisation because contributors, imports and compromised accounts can shape that content.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Boundary</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Asset</w:t>
            </w:r>
          </w:p>
        </w:tc>
        <w:tc>
          <w:tcPr>
            <w:tcW w:type="dxa" w:w="2600"/>
            <w:vAlign w:val="center"/>
            <w:tcMar>
              <w:top w:w="80" w:type="dxa"/>
              <w:start w:w="120" w:type="dxa"/>
              <w:bottom w:w="80" w:type="dxa"/>
              <w:end w:w="120" w:type="dxa"/>
            </w:tcMar>
            <w:shd w:fill="17365D"/>
          </w:tcPr>
          <w:p>
            <w:pPr>
              <w:spacing w:after="20"/>
            </w:pPr>
            <w:r>
              <w:rPr>
                <w:rFonts w:ascii="Calibri" w:hAnsi="Calibri"/>
                <w:b/>
                <w:color w:val="FFFFFF"/>
                <w:sz w:val="16"/>
              </w:rPr>
              <w:t>Threat</w:t>
            </w:r>
          </w:p>
        </w:tc>
        <w:tc>
          <w:tcPr>
            <w:tcW w:type="dxa" w:w="3160"/>
            <w:vAlign w:val="center"/>
            <w:tcMar>
              <w:top w:w="80" w:type="dxa"/>
              <w:start w:w="120" w:type="dxa"/>
              <w:bottom w:w="80" w:type="dxa"/>
              <w:end w:w="120" w:type="dxa"/>
            </w:tcMar>
            <w:shd w:fill="17365D"/>
          </w:tcPr>
          <w:p>
            <w:pPr>
              <w:spacing w:after="20"/>
            </w:pPr>
            <w:r>
              <w:rPr>
                <w:rFonts w:ascii="Calibri" w:hAnsi="Calibri"/>
                <w:b/>
                <w:color w:val="FFFFFF"/>
                <w:sz w:val="16"/>
              </w:rPr>
              <w:t>Required control</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Workspace to agent</w:t>
            </w:r>
          </w:p>
        </w:tc>
        <w:tc>
          <w:tcPr>
            <w:tcW w:type="dxa" w:w="1900"/>
            <w:vAlign w:val="center"/>
            <w:tcMar>
              <w:top w:w="80" w:type="dxa"/>
              <w:start w:w="120" w:type="dxa"/>
              <w:bottom w:w="80" w:type="dxa"/>
              <w:end w:w="120" w:type="dxa"/>
            </w:tcMar>
            <w:shd w:fill="FFFFFF"/>
          </w:tcPr>
          <w:p>
            <w:pPr>
              <w:spacing w:after="20"/>
            </w:pPr>
            <w:r>
              <w:rPr>
                <w:rFonts w:ascii="Calibri" w:hAnsi="Calibri"/>
                <w:sz w:val="16"/>
              </w:rPr>
              <w:t>prompts and source</w:t>
            </w:r>
          </w:p>
        </w:tc>
        <w:tc>
          <w:tcPr>
            <w:tcW w:type="dxa" w:w="2600"/>
            <w:vAlign w:val="center"/>
            <w:tcMar>
              <w:top w:w="80" w:type="dxa"/>
              <w:start w:w="120" w:type="dxa"/>
              <w:bottom w:w="80" w:type="dxa"/>
              <w:end w:w="120" w:type="dxa"/>
            </w:tcMar>
            <w:shd w:fill="FFFFFF"/>
          </w:tcPr>
          <w:p>
            <w:pPr>
              <w:spacing w:after="20"/>
            </w:pPr>
            <w:r>
              <w:rPr>
                <w:rFonts w:ascii="Calibri" w:hAnsi="Calibri"/>
                <w:sz w:val="16"/>
              </w:rPr>
              <w:t>instruction injection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content provenance and approval</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IDE to remote endpoint</w:t>
            </w:r>
          </w:p>
        </w:tc>
        <w:tc>
          <w:tcPr>
            <w:tcW w:type="dxa" w:w="1900"/>
            <w:vAlign w:val="center"/>
            <w:tcMar>
              <w:top w:w="80" w:type="dxa"/>
              <w:start w:w="120" w:type="dxa"/>
              <w:bottom w:w="80" w:type="dxa"/>
              <w:end w:w="120" w:type="dxa"/>
            </w:tcMar>
            <w:shd w:fill="F2F4F7"/>
          </w:tcPr>
          <w:p>
            <w:pPr>
              <w:spacing w:after="20"/>
            </w:pPr>
            <w:r>
              <w:rPr>
                <w:rFonts w:ascii="Calibri" w:hAnsi="Calibri"/>
                <w:sz w:val="16"/>
              </w:rPr>
              <w:t>tokens and queries</w:t>
            </w:r>
          </w:p>
        </w:tc>
        <w:tc>
          <w:tcPr>
            <w:tcW w:type="dxa" w:w="2600"/>
            <w:vAlign w:val="center"/>
            <w:tcMar>
              <w:top w:w="80" w:type="dxa"/>
              <w:start w:w="120" w:type="dxa"/>
              <w:bottom w:w="80" w:type="dxa"/>
              <w:end w:w="120" w:type="dxa"/>
            </w:tcMar>
            <w:shd w:fill="F2F4F7"/>
          </w:tcPr>
          <w:p>
            <w:pPr>
              <w:spacing w:after="20"/>
            </w:pPr>
            <w:r>
              <w:rPr>
                <w:rFonts w:ascii="Calibri" w:hAnsi="Calibri"/>
                <w:sz w:val="16"/>
              </w:rPr>
              <w:t>disclosure or replay</w:t>
            </w:r>
          </w:p>
        </w:tc>
        <w:tc>
          <w:tcPr>
            <w:tcW w:type="dxa" w:w="3160"/>
            <w:vAlign w:val="center"/>
            <w:tcMar>
              <w:top w:w="80" w:type="dxa"/>
              <w:start w:w="120" w:type="dxa"/>
              <w:bottom w:w="80" w:type="dxa"/>
              <w:end w:w="120" w:type="dxa"/>
            </w:tcMar>
            <w:shd w:fill="F2F4F7"/>
          </w:tcPr>
          <w:p>
            <w:pPr>
              <w:spacing w:after="20"/>
            </w:pPr>
            <w:r>
              <w:rPr>
                <w:rFonts w:ascii="Calibri" w:hAnsi="Calibri"/>
                <w:sz w:val="16"/>
              </w:rPr>
              <w:t>Entra, TLS and least privilege</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MCP to Azure DevOps</w:t>
            </w:r>
          </w:p>
        </w:tc>
        <w:tc>
          <w:tcPr>
            <w:tcW w:type="dxa" w:w="1900"/>
            <w:vAlign w:val="center"/>
            <w:tcMar>
              <w:top w:w="80" w:type="dxa"/>
              <w:start w:w="120" w:type="dxa"/>
              <w:bottom w:w="80" w:type="dxa"/>
              <w:end w:w="120" w:type="dxa"/>
            </w:tcMar>
            <w:shd w:fill="FFFFFF"/>
          </w:tcPr>
          <w:p>
            <w:pPr>
              <w:spacing w:after="20"/>
            </w:pPr>
            <w:r>
              <w:rPr>
                <w:rFonts w:ascii="Calibri" w:hAnsi="Calibri"/>
                <w:sz w:val="16"/>
              </w:rPr>
              <w:t>projects and pipelines</w:t>
            </w:r>
          </w:p>
        </w:tc>
        <w:tc>
          <w:tcPr>
            <w:tcW w:type="dxa" w:w="2600"/>
            <w:vAlign w:val="center"/>
            <w:tcMar>
              <w:top w:w="80" w:type="dxa"/>
              <w:start w:w="120" w:type="dxa"/>
              <w:bottom w:w="80" w:type="dxa"/>
              <w:end w:w="120" w:type="dxa"/>
            </w:tcMar>
            <w:shd w:fill="FFFFFF"/>
          </w:tcPr>
          <w:p>
            <w:pPr>
              <w:spacing w:after="20"/>
            </w:pPr>
            <w:r>
              <w:rPr>
                <w:rFonts w:ascii="Calibri" w:hAnsi="Calibri"/>
                <w:sz w:val="16"/>
              </w:rPr>
              <w:t>excessive action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read-only and exact tool allowlist</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Output to model</w:t>
            </w:r>
          </w:p>
        </w:tc>
        <w:tc>
          <w:tcPr>
            <w:tcW w:type="dxa" w:w="1900"/>
            <w:vAlign w:val="center"/>
            <w:tcMar>
              <w:top w:w="80" w:type="dxa"/>
              <w:start w:w="120" w:type="dxa"/>
              <w:bottom w:w="80" w:type="dxa"/>
              <w:end w:w="120" w:type="dxa"/>
            </w:tcMar>
            <w:shd w:fill="F2F4F7"/>
          </w:tcPr>
          <w:p>
            <w:pPr>
              <w:spacing w:after="20"/>
            </w:pPr>
            <w:r>
              <w:rPr>
                <w:rFonts w:ascii="Calibri" w:hAnsi="Calibri"/>
                <w:sz w:val="16"/>
              </w:rPr>
              <w:t>work items and files</w:t>
            </w:r>
          </w:p>
        </w:tc>
        <w:tc>
          <w:tcPr>
            <w:tcW w:type="dxa" w:w="2600"/>
            <w:vAlign w:val="center"/>
            <w:tcMar>
              <w:top w:w="80" w:type="dxa"/>
              <w:start w:w="120" w:type="dxa"/>
              <w:bottom w:w="80" w:type="dxa"/>
              <w:end w:w="120" w:type="dxa"/>
            </w:tcMar>
            <w:shd w:fill="F2F4F7"/>
          </w:tcPr>
          <w:p>
            <w:pPr>
              <w:spacing w:after="20"/>
            </w:pPr>
            <w:r>
              <w:rPr>
                <w:rFonts w:ascii="Calibri" w:hAnsi="Calibri"/>
                <w:sz w:val="16"/>
              </w:rPr>
              <w:t>indirect prompt injection</w:t>
            </w:r>
          </w:p>
        </w:tc>
        <w:tc>
          <w:tcPr>
            <w:tcW w:type="dxa" w:w="3160"/>
            <w:vAlign w:val="center"/>
            <w:tcMar>
              <w:top w:w="80" w:type="dxa"/>
              <w:start w:w="120" w:type="dxa"/>
              <w:bottom w:w="80" w:type="dxa"/>
              <w:end w:w="120" w:type="dxa"/>
            </w:tcMar>
            <w:shd w:fill="F2F4F7"/>
          </w:tcPr>
          <w:p>
            <w:pPr>
              <w:spacing w:after="20"/>
            </w:pPr>
            <w:r>
              <w:rPr>
                <w:rFonts w:ascii="Calibri" w:hAnsi="Calibri"/>
                <w:sz w:val="16"/>
              </w:rPr>
              <w:t>treat all output as untrusted</w:t>
            </w:r>
          </w:p>
        </w:tc>
      </w:tr>
    </w:tbl>
    <w:p/>
    <w:p>
      <w:pPr>
        <w:pStyle w:val="Heading2"/>
      </w:pPr>
      <w:r>
        <w:t>Installation manifest and uninstall</w:t>
      </w:r>
    </w:p>
    <w:p>
      <w:pPr>
        <w:widowControl/>
      </w:pPr>
      <w:r>
        <w:t>No conventional VSIX or local MCP executable is required for the remote path. The enterprise installation surface is the VS Code MCP configuration, the remote URL, request headers, OAuth enterprise application and local client caches or logs. Uninstall means removing the MCP configuration and approval state, revoking cached OAuth grants where required, clearing task-local logs and confirming that no workspace or user configuration shadows the governed entry. These lifecycle claims require host verification.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4200"/>
            <w:vAlign w:val="center"/>
            <w:tcMar>
              <w:top w:w="80" w:type="dxa"/>
              <w:start w:w="120" w:type="dxa"/>
              <w:bottom w:w="80" w:type="dxa"/>
              <w:end w:w="120" w:type="dxa"/>
            </w:tcMar>
            <w:shd w:fill="17365D"/>
          </w:tcPr>
          <w:p>
            <w:pPr>
              <w:spacing w:after="20"/>
            </w:pPr>
            <w:r>
              <w:rPr>
                <w:rFonts w:ascii="Calibri" w:hAnsi="Calibri"/>
                <w:b/>
                <w:color w:val="FFFFFF"/>
                <w:sz w:val="16"/>
              </w:rPr>
              <w:t>Expected state</w:t>
            </w:r>
          </w:p>
        </w:tc>
        <w:tc>
          <w:tcPr>
            <w:tcW w:type="dxa" w:w="3260"/>
            <w:vAlign w:val="center"/>
            <w:tcMar>
              <w:top w:w="80" w:type="dxa"/>
              <w:start w:w="120" w:type="dxa"/>
              <w:bottom w:w="80" w:type="dxa"/>
              <w:end w:w="120" w:type="dxa"/>
            </w:tcMar>
            <w:shd w:fill="17365D"/>
          </w:tcPr>
          <w:p>
            <w:pPr>
              <w:spacing w:after="20"/>
            </w:pPr>
            <w:r>
              <w:rPr>
                <w:rFonts w:ascii="Calibri" w:hAnsi="Calibri"/>
                <w:b/>
                <w:color w:val="FFFFFF"/>
                <w:sz w:val="16"/>
              </w:rPr>
              <w:t>Evidence state</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MCP URL</w:t>
            </w:r>
          </w:p>
        </w:tc>
        <w:tc>
          <w:tcPr>
            <w:tcW w:type="dxa" w:w="4200"/>
            <w:vAlign w:val="center"/>
            <w:tcMar>
              <w:top w:w="80" w:type="dxa"/>
              <w:start w:w="120" w:type="dxa"/>
              <w:bottom w:w="80" w:type="dxa"/>
              <w:end w:w="120" w:type="dxa"/>
            </w:tcMar>
            <w:shd w:fill="FFFFFF"/>
          </w:tcPr>
          <w:p>
            <w:pPr>
              <w:spacing w:after="20"/>
            </w:pPr>
            <w:r>
              <w:rPr>
                <w:rFonts w:ascii="Calibri" w:hAnsi="Calibri"/>
                <w:sz w:val="16"/>
              </w:rPr>
              <w:t>Exact organisation-specific HTTPS endpoint</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documentation</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4200"/>
            <w:vAlign w:val="center"/>
            <w:tcMar>
              <w:top w:w="80" w:type="dxa"/>
              <w:start w:w="120" w:type="dxa"/>
              <w:bottom w:w="80" w:type="dxa"/>
              <w:end w:w="120" w:type="dxa"/>
            </w:tcMar>
            <w:shd w:fill="F2F4F7"/>
          </w:tcPr>
          <w:p>
            <w:pPr>
              <w:spacing w:after="20"/>
            </w:pPr>
            <w:r>
              <w:rPr>
                <w:rFonts w:ascii="Calibri" w:hAnsi="Calibri"/>
                <w:sz w:val="16"/>
              </w:rPr>
              <w:t>Streamable HTTP</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documentation</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Authentication</w:t>
            </w:r>
          </w:p>
        </w:tc>
        <w:tc>
          <w:tcPr>
            <w:tcW w:type="dxa" w:w="4200"/>
            <w:vAlign w:val="center"/>
            <w:tcMar>
              <w:top w:w="80" w:type="dxa"/>
              <w:start w:w="120" w:type="dxa"/>
              <w:bottom w:w="80" w:type="dxa"/>
              <w:end w:w="120" w:type="dxa"/>
            </w:tcMar>
            <w:shd w:fill="FFFFFF"/>
          </w:tcPr>
          <w:p>
            <w:pPr>
              <w:spacing w:after="20"/>
            </w:pPr>
            <w:r>
              <w:rPr>
                <w:rFonts w:ascii="Calibri" w:hAnsi="Calibri"/>
                <w:sz w:val="16"/>
              </w:rPr>
              <w:t>Microsoft Entra OAuth; no PAT</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documentation</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Headers</w:t>
            </w:r>
          </w:p>
        </w:tc>
        <w:tc>
          <w:tcPr>
            <w:tcW w:type="dxa" w:w="4200"/>
            <w:vAlign w:val="center"/>
            <w:tcMar>
              <w:top w:w="80" w:type="dxa"/>
              <w:start w:w="120" w:type="dxa"/>
              <w:bottom w:w="80" w:type="dxa"/>
              <w:end w:w="120" w:type="dxa"/>
            </w:tcMar>
            <w:shd w:fill="F2F4F7"/>
          </w:tcPr>
          <w:p>
            <w:pPr>
              <w:spacing w:after="20"/>
            </w:pPr>
            <w:r>
              <w:rPr>
                <w:rFonts w:ascii="Calibri" w:hAnsi="Calibri"/>
                <w:sz w:val="16"/>
              </w:rPr>
              <w:t>X-MCP-Readonly plus exact X-MCP-Tools or narrow toolsets</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documentation</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Local residue</w:t>
            </w:r>
          </w:p>
        </w:tc>
        <w:tc>
          <w:tcPr>
            <w:tcW w:type="dxa" w:w="4200"/>
            <w:vAlign w:val="center"/>
            <w:tcMar>
              <w:top w:w="80" w:type="dxa"/>
              <w:start w:w="120" w:type="dxa"/>
              <w:bottom w:w="80" w:type="dxa"/>
              <w:end w:w="120" w:type="dxa"/>
            </w:tcMar>
            <w:shd w:fill="FFFFFF"/>
          </w:tcPr>
          <w:p>
            <w:pPr>
              <w:spacing w:after="20"/>
            </w:pPr>
            <w:r>
              <w:rPr>
                <w:rFonts w:ascii="Calibri" w:hAnsi="Calibri"/>
                <w:sz w:val="16"/>
              </w:rPr>
              <w:t>Configuration, approvals, token and log caches</w:t>
            </w:r>
          </w:p>
        </w:tc>
        <w:tc>
          <w:tcPr>
            <w:tcW w:type="dxa" w:w="3260"/>
            <w:vAlign w:val="center"/>
            <w:tcMar>
              <w:top w:w="80" w:type="dxa"/>
              <w:start w:w="120" w:type="dxa"/>
              <w:bottom w:w="80" w:type="dxa"/>
              <w:end w:w="120" w:type="dxa"/>
            </w:tcMar>
            <w:shd w:fill="FFFFFF"/>
          </w:tcPr>
          <w:p>
            <w:pPr>
              <w:spacing w:after="20"/>
            </w:pPr>
            <w:r>
              <w:rPr>
                <w:rFonts w:ascii="Calibri" w:hAnsi="Calibri"/>
                <w:sz w:val="16"/>
              </w:rPr>
              <w:t>Unknown until runtime</w:t>
            </w:r>
          </w:p>
        </w:tc>
      </w:tr>
    </w:tbl>
    <w:p/>
    <w:p>
      <w:pPr>
        <w:pStyle w:val="Heading2"/>
      </w:pPr>
      <w:r>
        <w:t>Runtime, activation and network</w:t>
      </w:r>
    </w:p>
    <w:p>
      <w:pPr>
        <w:widowControl/>
      </w:pPr>
      <w:r>
        <w:t>Dynamic analysis was selected but blocked. There is no disposable representative Windows 11 VS Code host with synthetic Azure DevOps tenant, controlled identity, network capture and rollback. The current macOS host is not a substitute for Windows Visual Studio and is not an approved disposable IDE environment. Activation timing, token storage, connection reuse, request and response shape, documented IP use, redirects, proxy behavior, failure handling, update signaling and uninstall residue therefore remain Unknown or Not observed.</w:t>
      </w:r>
    </w:p>
    <w:p>
      <w:pPr>
        <w:pStyle w:val="Heading2"/>
      </w:pPr>
      <w:r>
        <w:t>Authentication, authorization and excessive agency</w:t>
      </w:r>
    </w:p>
    <w:p>
      <w:pPr>
        <w:widowControl/>
      </w:pPr>
      <w:r>
        <w:t>Microsoft documents Entra OAuth and states that the user's Azure DevOps membership and permissions remain authoritative. This is a useful control but can still be excessive for agent operation. A normal engineer may be able to create branches, modify work items, queue pipelines or read broad projects. The pilot must use a dedicated least-privilege identity, X-MCP-Readonly=true, and an exact X-MCP-Tools allowlist. Persistent auto-approval is prohibited. Tool-list drift must fail closed until reviewed.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Status</w:t>
            </w:r>
          </w:p>
        </w:tc>
        <w:tc>
          <w:tcPr>
            <w:tcW w:type="dxa" w:w="3360"/>
            <w:vAlign w:val="center"/>
            <w:tcMar>
              <w:top w:w="80" w:type="dxa"/>
              <w:start w:w="120" w:type="dxa"/>
              <w:bottom w:w="80" w:type="dxa"/>
              <w:end w:w="120" w:type="dxa"/>
            </w:tcMar>
            <w:shd w:fill="17365D"/>
          </w:tcPr>
          <w:p>
            <w:pPr>
              <w:spacing w:after="20"/>
            </w:pPr>
            <w:r>
              <w:rPr>
                <w:rFonts w:ascii="Calibri" w:hAnsi="Calibri"/>
                <w:b/>
                <w:color w:val="FFFFFF"/>
                <w:sz w:val="16"/>
              </w:rPr>
              <w:t>Verification test</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Entra OAuth</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Documented</w:t>
            </w:r>
          </w:p>
        </w:tc>
        <w:tc>
          <w:tcPr>
            <w:tcW w:type="dxa" w:w="3360"/>
            <w:vAlign w:val="center"/>
            <w:tcMar>
              <w:top w:w="80" w:type="dxa"/>
              <w:start w:w="120" w:type="dxa"/>
              <w:bottom w:w="80" w:type="dxa"/>
              <w:end w:w="120" w:type="dxa"/>
            </w:tcMar>
            <w:shd w:fill="FFFFFF"/>
          </w:tcPr>
          <w:p>
            <w:pPr>
              <w:spacing w:after="20"/>
            </w:pPr>
            <w:r>
              <w:rPr>
                <w:rFonts w:ascii="Calibri" w:hAnsi="Calibri"/>
                <w:sz w:val="16"/>
              </w:rPr>
              <w:t>Revocation and Conditional Access test</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Azure DevOps permissions</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Environment unknown</w:t>
            </w:r>
          </w:p>
        </w:tc>
        <w:tc>
          <w:tcPr>
            <w:tcW w:type="dxa" w:w="3360"/>
            <w:vAlign w:val="center"/>
            <w:tcMar>
              <w:top w:w="80" w:type="dxa"/>
              <w:start w:w="120" w:type="dxa"/>
              <w:bottom w:w="80" w:type="dxa"/>
              <w:end w:w="120" w:type="dxa"/>
            </w:tcMar>
            <w:shd w:fill="F2F4F7"/>
          </w:tcPr>
          <w:p>
            <w:pPr>
              <w:spacing w:after="20"/>
            </w:pPr>
            <w:r>
              <w:rPr>
                <w:rFonts w:ascii="Calibri" w:hAnsi="Calibri"/>
                <w:sz w:val="16"/>
              </w:rPr>
              <w:t>Enumerate effective permissions</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X-MCP-Readonly</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Documented; not runtime verified</w:t>
            </w:r>
          </w:p>
        </w:tc>
        <w:tc>
          <w:tcPr>
            <w:tcW w:type="dxa" w:w="3360"/>
            <w:vAlign w:val="center"/>
            <w:tcMar>
              <w:top w:w="80" w:type="dxa"/>
              <w:start w:w="120" w:type="dxa"/>
              <w:bottom w:w="80" w:type="dxa"/>
              <w:end w:w="120" w:type="dxa"/>
            </w:tcMar>
            <w:shd w:fill="FFFFFF"/>
          </w:tcPr>
          <w:p>
            <w:pPr>
              <w:spacing w:after="20"/>
            </w:pPr>
            <w:r>
              <w:rPr>
                <w:rFonts w:ascii="Calibri" w:hAnsi="Calibri"/>
                <w:sz w:val="16"/>
              </w:rPr>
              <w:t>Attempt all write classes</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Exact tool allowlist</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Required</w:t>
            </w:r>
          </w:p>
        </w:tc>
        <w:tc>
          <w:tcPr>
            <w:tcW w:type="dxa" w:w="3360"/>
            <w:vAlign w:val="center"/>
            <w:tcMar>
              <w:top w:w="80" w:type="dxa"/>
              <w:start w:w="120" w:type="dxa"/>
              <w:bottom w:w="80" w:type="dxa"/>
              <w:end w:w="120" w:type="dxa"/>
            </w:tcMar>
            <w:shd w:fill="F2F4F7"/>
          </w:tcPr>
          <w:p>
            <w:pPr>
              <w:spacing w:after="20"/>
            </w:pPr>
            <w:r>
              <w:rPr>
                <w:rFonts w:ascii="Calibri" w:hAnsi="Calibri"/>
                <w:sz w:val="16"/>
              </w:rPr>
              <w:t>Compare negotiated list to approval record</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Human 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2700"/>
            <w:vAlign w:val="center"/>
            <w:tcMar>
              <w:top w:w="80" w:type="dxa"/>
              <w:start w:w="120" w:type="dxa"/>
              <w:bottom w:w="80" w:type="dxa"/>
              <w:end w:w="120" w:type="dxa"/>
            </w:tcMar>
            <w:shd w:fill="FFFFFF"/>
          </w:tcPr>
          <w:p>
            <w:pPr>
              <w:spacing w:after="20"/>
            </w:pPr>
            <w:r>
              <w:rPr>
                <w:rFonts w:ascii="Calibri" w:hAnsi="Calibri"/>
                <w:sz w:val="16"/>
              </w:rPr>
              <w:t>Client dependent</w:t>
            </w:r>
          </w:p>
        </w:tc>
        <w:tc>
          <w:tcPr>
            <w:tcW w:type="dxa" w:w="3360"/>
            <w:vAlign w:val="center"/>
            <w:tcMar>
              <w:top w:w="80" w:type="dxa"/>
              <w:start w:w="120" w:type="dxa"/>
              <w:bottom w:w="80" w:type="dxa"/>
              <w:end w:w="120" w:type="dxa"/>
            </w:tcMar>
            <w:shd w:fill="FFFFFF"/>
          </w:tcPr>
          <w:p>
            <w:pPr>
              <w:spacing w:after="20"/>
            </w:pPr>
            <w:r>
              <w:rPr>
                <w:rFonts w:ascii="Calibri" w:hAnsi="Calibri"/>
                <w:sz w:val="16"/>
              </w:rPr>
              <w:t>Injection canary cannot cause write</w:t>
            </w:r>
          </w:p>
        </w:tc>
      </w:tr>
    </w:tbl>
    <w:p/>
    <w:p>
      <w:pPr>
        <w:pStyle w:val="Heading2"/>
      </w:pPr>
      <w:r>
        <w:t>Telemetry, privacy and data classification</w:t>
      </w:r>
    </w:p>
    <w:p>
      <w:pPr>
        <w:widowControl/>
      </w:pPr>
      <w:r>
        <w:t>Queries, organisation identifiers, project names, work-item text, repository content, code fragments, pipeline logs, security findings and model context can be personal, confidential or regulated data. Public documentation states that the MCP server does not store customer data and describes regional routing, but this assessment did not observe the deployed service or validate all operational telemetry. Before confidential use, Privacy and Legal must confirm the contractual service boundary, retention, diagnostic access, subprocessors, international transfers, incident notice and deletion behavior.</w:t>
      </w:r>
    </w:p>
    <w:p>
      <w:pPr>
        <w:pStyle w:val="Heading2"/>
      </w:pPr>
      <w:r>
        <w:t>MCP capabilities and installed Agent Skills</w:t>
      </w:r>
    </w:p>
    <w:p>
      <w:pPr>
        <w:widowControl/>
      </w:pPr>
      <w:r>
        <w:t>The assessed remote integration is an MCP service, not an Agent Skill. No bundled Agent Skill was observed in the documented VS Code remote installation surface. This is a Verified documentation observation with Medium confidence, not proof that a client or separate installer cannot add skills. Any subsequently packaged skill, prompt pack or extension must be reviewed independently for trigger scope, instruction hierarchy, scripts, external references, tool authority and removal behavior.</w:t>
      </w:r>
    </w:p>
    <w:p>
      <w:pPr>
        <w:pStyle w:val="Heading2"/>
      </w:pPr>
      <w:r>
        <w:t>Supply chain, threats and findings</w:t>
      </w:r>
    </w:p>
    <w:p>
      <w:pPr>
        <w:widowControl/>
      </w:pPr>
      <w:r>
        <w:t>The hosted implementation is version-opaque and updates independently of the local npm package. A current signed Microsoft repository commit and static comparator scan were retained, but Microsoft does not claim that the public repository bytes equal the hosted deployment. ClamAV found no known signatures in 102 comparator-source files. Semgrep returned workflow hardening signals and path-handling warnings in local-only file-download tools, plus scanner errors. Those results are evidence about the comparator, not malware clearance or source equivalence for the remote service.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3700"/>
            <w:vAlign w:val="center"/>
            <w:tcMar>
              <w:top w:w="80" w:type="dxa"/>
              <w:start w:w="120" w:type="dxa"/>
              <w:bottom w:w="80" w:type="dxa"/>
              <w:end w:w="120" w:type="dxa"/>
            </w:tcMar>
            <w:shd w:fill="17365D"/>
          </w:tcPr>
          <w:p>
            <w:pPr>
              <w:spacing w:after="20"/>
            </w:pPr>
            <w:r>
              <w:rPr>
                <w:rFonts w:ascii="Calibri" w:hAnsi="Calibri"/>
                <w:b/>
                <w:color w:val="FFFFFF"/>
                <w:sz w:val="16"/>
              </w:rPr>
              <w:t>Finding</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Treatment</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F-001 Untrusted Azure DevOps content can steer agent decisions</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AI Security</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F-002 Default broad tool exposure creates excessive agency</w:t>
            </w:r>
          </w:p>
        </w:tc>
        <w:tc>
          <w:tcPr>
            <w:tcW w:type="dxa" w:w="15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Azure DevOps Platform</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F-003 Preview service version and change opacity weaken assurance</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Supplier Risk</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F-004 Runtime data routing, telemetry and retention are unverified</w:t>
            </w:r>
          </w:p>
        </w:tc>
        <w:tc>
          <w:tcPr>
            <w:tcW w:type="dxa" w:w="15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5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Privacy and Legal</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F-005 Client approval policy can be bypassed by overbroad consent</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2660"/>
            <w:vAlign w:val="center"/>
            <w:tcMar>
              <w:top w:w="80" w:type="dxa"/>
              <w:start w:w="120" w:type="dxa"/>
              <w:bottom w:w="80" w:type="dxa"/>
              <w:end w:w="120" w:type="dxa"/>
            </w:tcMar>
            <w:shd w:fill="FFFFFF"/>
          </w:tcPr>
          <w:p>
            <w:pPr>
              <w:spacing w:after="20"/>
            </w:pPr>
            <w:r>
              <w:rPr>
                <w:rFonts w:ascii="Calibri" w:hAnsi="Calibri"/>
                <w:sz w:val="16"/>
              </w:rPr>
              <w:t>IDE Engineering</w:t>
            </w:r>
          </w:p>
        </w:tc>
      </w:tr>
    </w:tbl>
    <w:p/>
    <w:p>
      <w:pPr>
        <w:pStyle w:val="Heading2"/>
      </w:pPr>
      <w:r>
        <w:t>Framework disposition</w:t>
      </w:r>
    </w:p>
    <w:p>
      <w:pPr>
        <w:widowControl/>
      </w:pPr>
      <w:r>
        <w:t>Applicable baselines include OWASP LLM Top 10 2025, OWASP Agentic Top 10 2026, OWASP MCP Top 10, NIST AI RMF 1.0, NIST AI 600-1, NCSC secure AI development guidance, CIS Controls v8.1 and ISO/IEC 27001:2022. OWASP ASVS 5.0.0 Level 2 applies to the API, identity and configuration control surface, especially access control, OAuth, communications, validation, logging and supply-chain requirements. The EU AI Act is conditionally applicable by use case; prohibited/high-risk customer-outcome use is outside this approval.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Framework</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c>
          <w:tcPr>
            <w:tcW w:type="dxa" w:w="5260"/>
            <w:vAlign w:val="center"/>
            <w:tcMar>
              <w:top w:w="80" w:type="dxa"/>
              <w:start w:w="120" w:type="dxa"/>
              <w:bottom w:w="80" w:type="dxa"/>
              <w:end w:w="120" w:type="dxa"/>
            </w:tcMar>
            <w:shd w:fill="17365D"/>
          </w:tcPr>
          <w:p>
            <w:pPr>
              <w:spacing w:after="20"/>
            </w:pPr>
            <w:r>
              <w:rPr>
                <w:rFonts w:ascii="Calibri" w:hAnsi="Calibri"/>
                <w:b/>
                <w:color w:val="FFFFFF"/>
                <w:sz w:val="16"/>
              </w:rPr>
              <w:t>Key mapping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LLM 2025</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prompt injection, sensitive disclosure, excessive agency</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Agentic 2026</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goal hijack, tool misuse, identity abuse</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MCP</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token, tool and supply-chain controls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ASVS 5.0 L2</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V8 authorization, V9 communications, V10 OAuth, V15 supply chain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NIST AI RMF / 600-1</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Govern, Map, Measure, Manage</w:t>
            </w:r>
          </w:p>
        </w:tc>
      </w:tr>
    </w:tbl>
    <w:p/>
    <w:p>
      <w:pPr>
        <w:pStyle w:val="Heading2"/>
      </w:pPr>
      <w:r>
        <w:t>Controls, detection and residual risk</w:t>
      </w:r>
    </w:p>
    <w:p>
      <w:pPr>
        <w:widowControl/>
      </w:pPr>
      <w:r>
        <w:t>Before pilot, enforce exact server identity, read-only mode, minimal tool exposure, dedicated identity, deny-by-default project scope, per-invocation approval and payload minimisation. Detect negotiated tool-list drift, write attempts, unusual project access, new OAuth grants, repeated failures, Conditional Access exceptions and backend Azure DevOps changes without corresponding approved MCP intent. These controls lower but do not eliminate residual risk because hosted code, runtime data flows and full audit correlation are not independently verified.</w:t>
      </w:r>
    </w:p>
    <w:p>
      <w:pPr>
        <w:pStyle w:val="Heading2"/>
      </w:pPr>
      <w:r>
        <w:t>Confidence, limitations, evidence and verification</w:t>
      </w:r>
    </w:p>
    <w:p>
      <w:pPr>
        <w:widowControl/>
      </w:pPr>
      <w:r>
        <w:t>Confidence is High for Microsoft ownership, public-preview status, endpoint pattern, transport, Entra-only authentication and documented headers. Confidence is Medium for service data-handling interpretations and client controls. Confidence is Low for hosted build provenance, content-safety transformations, telemetry, performance, persistence and incident response. Verification requires a disposable host, synthetic tenant and identity, controlled network, tool-list capture, injection canaries, denied write tests, token revocation, log correlation and uninstall inspection.</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8">
        <w:r>
          <w:rPr>
            <w:color w:val="0563C1"/>
            <w:u w:val="single"/>
          </w:rPr>
          <w:t>[REF-008]</w:t>
        </w:r>
      </w:hyperlink>
      <w:r>
        <w:t xml:space="preserve"> </w:t>
      </w:r>
      <w:hyperlink w:anchor="REF_010">
        <w:r>
          <w:rPr>
            <w:color w:val="0563C1"/>
            <w:u w:val="single"/>
          </w:rPr>
          <w:t>[REF-010]</w:t>
        </w:r>
      </w:hyperlink>
      <w:r>
        <w:t xml:space="preserve"> </w:t>
      </w:r>
      <w:hyperlink w:anchor="REF_012">
        <w:r>
          <w:rPr>
            <w:color w:val="0563C1"/>
            <w:u w:val="single"/>
          </w:rPr>
          <w:t>[REF-012]</w:t>
        </w:r>
      </w:hyperlink>
    </w:p>
    <w:p>
      <w:pPr>
        <w:pStyle w:val="Heading1"/>
      </w:pPr>
      <w:r>
        <w:t>Part II - Visual Studio Assessment</w:t>
      </w:r>
    </w:p>
    <w:p>
      <w:pPr>
        <w:pStyle w:val="Heading2"/>
      </w:pPr>
      <w:r>
        <w:t>Decision and approval scope</w:t>
      </w:r>
    </w:p>
    <w:p>
      <w:pPr>
        <w:widowControl/>
      </w:pPr>
      <w:r>
        <w:t>For Visual Studio, the decision is APPROVE WITH CONDITIONS for a time-limited read-only pilot using synthetic or non-sensitive development data. Write-enabled production use, internal-confidential repositories, unattended execution, customer-outcome decisions and broad organisation-wide access are deferred. This decision applies to the remote public-preview service state observed on 25 July 2026, not to an immutable server release. Residual risk is High because representative runtime, lifecycle and hosted implementation evidence is not observed.</w:t>
      </w:r>
    </w:p>
    <w:p>
      <w:pPr>
        <w:pStyle w:val="Heading2"/>
      </w:pPr>
      <w:r>
        <w:t>Purpose and function</w:t>
      </w:r>
    </w:p>
    <w:p>
      <w:pPr>
        <w:widowControl/>
      </w:pPr>
      <w:r>
        <w:t>The Visual Studio MCP client can connect by Streamable HTTP to https://mcp.dev.azure.com/{organization}. The service offers Azure DevOps tools for repositories, work items, wiki, pipelines, search and related resources. The value is contextual engineering assistance; the corresponding risk is that the agent can combine untrusted project content, model reasoning and the caller's Azure DevOps permissions. Client convenience does not change the enterprise data classification or approval boundary.</w:t>
      </w:r>
    </w:p>
    <w:p>
      <w:pPr>
        <w:pStyle w:val="Heading2"/>
      </w:pPr>
      <w:r>
        <w:t>Architecture, trust boundaries and data flows</w:t>
      </w:r>
    </w:p>
    <w:p>
      <w:pPr>
        <w:widowControl/>
      </w:pPr>
      <w:r>
        <w:t>The principal flow is user prompt to Visual Studio, model or agent planning, MCP tool selection, Entra OAuth authentication, Microsoft-hosted MCP processing, Azure DevOps REST execution and tool output returned into model context. Trust boundaries exist between workspace content and the model, the IDE and remote endpoint, the endpoint and Azure DevOps organisation, and logs or telemetry and operational personnel. Tool results are untrusted even when they originate from the enterprise organisation because contributors, imports and compromised accounts can shape that content.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Boundary</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Asset</w:t>
            </w:r>
          </w:p>
        </w:tc>
        <w:tc>
          <w:tcPr>
            <w:tcW w:type="dxa" w:w="2600"/>
            <w:vAlign w:val="center"/>
            <w:tcMar>
              <w:top w:w="80" w:type="dxa"/>
              <w:start w:w="120" w:type="dxa"/>
              <w:bottom w:w="80" w:type="dxa"/>
              <w:end w:w="120" w:type="dxa"/>
            </w:tcMar>
            <w:shd w:fill="17365D"/>
          </w:tcPr>
          <w:p>
            <w:pPr>
              <w:spacing w:after="20"/>
            </w:pPr>
            <w:r>
              <w:rPr>
                <w:rFonts w:ascii="Calibri" w:hAnsi="Calibri"/>
                <w:b/>
                <w:color w:val="FFFFFF"/>
                <w:sz w:val="16"/>
              </w:rPr>
              <w:t>Threat</w:t>
            </w:r>
          </w:p>
        </w:tc>
        <w:tc>
          <w:tcPr>
            <w:tcW w:type="dxa" w:w="3160"/>
            <w:vAlign w:val="center"/>
            <w:tcMar>
              <w:top w:w="80" w:type="dxa"/>
              <w:start w:w="120" w:type="dxa"/>
              <w:bottom w:w="80" w:type="dxa"/>
              <w:end w:w="120" w:type="dxa"/>
            </w:tcMar>
            <w:shd w:fill="17365D"/>
          </w:tcPr>
          <w:p>
            <w:pPr>
              <w:spacing w:after="20"/>
            </w:pPr>
            <w:r>
              <w:rPr>
                <w:rFonts w:ascii="Calibri" w:hAnsi="Calibri"/>
                <w:b/>
                <w:color w:val="FFFFFF"/>
                <w:sz w:val="16"/>
              </w:rPr>
              <w:t>Required control</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Workspace to agent</w:t>
            </w:r>
          </w:p>
        </w:tc>
        <w:tc>
          <w:tcPr>
            <w:tcW w:type="dxa" w:w="1900"/>
            <w:vAlign w:val="center"/>
            <w:tcMar>
              <w:top w:w="80" w:type="dxa"/>
              <w:start w:w="120" w:type="dxa"/>
              <w:bottom w:w="80" w:type="dxa"/>
              <w:end w:w="120" w:type="dxa"/>
            </w:tcMar>
            <w:shd w:fill="FFFFFF"/>
          </w:tcPr>
          <w:p>
            <w:pPr>
              <w:spacing w:after="20"/>
            </w:pPr>
            <w:r>
              <w:rPr>
                <w:rFonts w:ascii="Calibri" w:hAnsi="Calibri"/>
                <w:sz w:val="16"/>
              </w:rPr>
              <w:t>prompts and source</w:t>
            </w:r>
          </w:p>
        </w:tc>
        <w:tc>
          <w:tcPr>
            <w:tcW w:type="dxa" w:w="2600"/>
            <w:vAlign w:val="center"/>
            <w:tcMar>
              <w:top w:w="80" w:type="dxa"/>
              <w:start w:w="120" w:type="dxa"/>
              <w:bottom w:w="80" w:type="dxa"/>
              <w:end w:w="120" w:type="dxa"/>
            </w:tcMar>
            <w:shd w:fill="FFFFFF"/>
          </w:tcPr>
          <w:p>
            <w:pPr>
              <w:spacing w:after="20"/>
            </w:pPr>
            <w:r>
              <w:rPr>
                <w:rFonts w:ascii="Calibri" w:hAnsi="Calibri"/>
                <w:sz w:val="16"/>
              </w:rPr>
              <w:t>instruction injection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content provenance and approval</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IDE to remote endpoint</w:t>
            </w:r>
          </w:p>
        </w:tc>
        <w:tc>
          <w:tcPr>
            <w:tcW w:type="dxa" w:w="1900"/>
            <w:vAlign w:val="center"/>
            <w:tcMar>
              <w:top w:w="80" w:type="dxa"/>
              <w:start w:w="120" w:type="dxa"/>
              <w:bottom w:w="80" w:type="dxa"/>
              <w:end w:w="120" w:type="dxa"/>
            </w:tcMar>
            <w:shd w:fill="F2F4F7"/>
          </w:tcPr>
          <w:p>
            <w:pPr>
              <w:spacing w:after="20"/>
            </w:pPr>
            <w:r>
              <w:rPr>
                <w:rFonts w:ascii="Calibri" w:hAnsi="Calibri"/>
                <w:sz w:val="16"/>
              </w:rPr>
              <w:t>tokens and queries</w:t>
            </w:r>
          </w:p>
        </w:tc>
        <w:tc>
          <w:tcPr>
            <w:tcW w:type="dxa" w:w="2600"/>
            <w:vAlign w:val="center"/>
            <w:tcMar>
              <w:top w:w="80" w:type="dxa"/>
              <w:start w:w="120" w:type="dxa"/>
              <w:bottom w:w="80" w:type="dxa"/>
              <w:end w:w="120" w:type="dxa"/>
            </w:tcMar>
            <w:shd w:fill="F2F4F7"/>
          </w:tcPr>
          <w:p>
            <w:pPr>
              <w:spacing w:after="20"/>
            </w:pPr>
            <w:r>
              <w:rPr>
                <w:rFonts w:ascii="Calibri" w:hAnsi="Calibri"/>
                <w:sz w:val="16"/>
              </w:rPr>
              <w:t>disclosure or replay</w:t>
            </w:r>
          </w:p>
        </w:tc>
        <w:tc>
          <w:tcPr>
            <w:tcW w:type="dxa" w:w="3160"/>
            <w:vAlign w:val="center"/>
            <w:tcMar>
              <w:top w:w="80" w:type="dxa"/>
              <w:start w:w="120" w:type="dxa"/>
              <w:bottom w:w="80" w:type="dxa"/>
              <w:end w:w="120" w:type="dxa"/>
            </w:tcMar>
            <w:shd w:fill="F2F4F7"/>
          </w:tcPr>
          <w:p>
            <w:pPr>
              <w:spacing w:after="20"/>
            </w:pPr>
            <w:r>
              <w:rPr>
                <w:rFonts w:ascii="Calibri" w:hAnsi="Calibri"/>
                <w:sz w:val="16"/>
              </w:rPr>
              <w:t>Entra, TLS and least privilege</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MCP to Azure DevOps</w:t>
            </w:r>
          </w:p>
        </w:tc>
        <w:tc>
          <w:tcPr>
            <w:tcW w:type="dxa" w:w="1900"/>
            <w:vAlign w:val="center"/>
            <w:tcMar>
              <w:top w:w="80" w:type="dxa"/>
              <w:start w:w="120" w:type="dxa"/>
              <w:bottom w:w="80" w:type="dxa"/>
              <w:end w:w="120" w:type="dxa"/>
            </w:tcMar>
            <w:shd w:fill="FFFFFF"/>
          </w:tcPr>
          <w:p>
            <w:pPr>
              <w:spacing w:after="20"/>
            </w:pPr>
            <w:r>
              <w:rPr>
                <w:rFonts w:ascii="Calibri" w:hAnsi="Calibri"/>
                <w:sz w:val="16"/>
              </w:rPr>
              <w:t>projects and pipelines</w:t>
            </w:r>
          </w:p>
        </w:tc>
        <w:tc>
          <w:tcPr>
            <w:tcW w:type="dxa" w:w="2600"/>
            <w:vAlign w:val="center"/>
            <w:tcMar>
              <w:top w:w="80" w:type="dxa"/>
              <w:start w:w="120" w:type="dxa"/>
              <w:bottom w:w="80" w:type="dxa"/>
              <w:end w:w="120" w:type="dxa"/>
            </w:tcMar>
            <w:shd w:fill="FFFFFF"/>
          </w:tcPr>
          <w:p>
            <w:pPr>
              <w:spacing w:after="20"/>
            </w:pPr>
            <w:r>
              <w:rPr>
                <w:rFonts w:ascii="Calibri" w:hAnsi="Calibri"/>
                <w:sz w:val="16"/>
              </w:rPr>
              <w:t>excessive action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read-only and exact tool allowlist</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Output to model</w:t>
            </w:r>
          </w:p>
        </w:tc>
        <w:tc>
          <w:tcPr>
            <w:tcW w:type="dxa" w:w="1900"/>
            <w:vAlign w:val="center"/>
            <w:tcMar>
              <w:top w:w="80" w:type="dxa"/>
              <w:start w:w="120" w:type="dxa"/>
              <w:bottom w:w="80" w:type="dxa"/>
              <w:end w:w="120" w:type="dxa"/>
            </w:tcMar>
            <w:shd w:fill="F2F4F7"/>
          </w:tcPr>
          <w:p>
            <w:pPr>
              <w:spacing w:after="20"/>
            </w:pPr>
            <w:r>
              <w:rPr>
                <w:rFonts w:ascii="Calibri" w:hAnsi="Calibri"/>
                <w:sz w:val="16"/>
              </w:rPr>
              <w:t>work items and files</w:t>
            </w:r>
          </w:p>
        </w:tc>
        <w:tc>
          <w:tcPr>
            <w:tcW w:type="dxa" w:w="2600"/>
            <w:vAlign w:val="center"/>
            <w:tcMar>
              <w:top w:w="80" w:type="dxa"/>
              <w:start w:w="120" w:type="dxa"/>
              <w:bottom w:w="80" w:type="dxa"/>
              <w:end w:w="120" w:type="dxa"/>
            </w:tcMar>
            <w:shd w:fill="F2F4F7"/>
          </w:tcPr>
          <w:p>
            <w:pPr>
              <w:spacing w:after="20"/>
            </w:pPr>
            <w:r>
              <w:rPr>
                <w:rFonts w:ascii="Calibri" w:hAnsi="Calibri"/>
                <w:sz w:val="16"/>
              </w:rPr>
              <w:t>indirect prompt injection</w:t>
            </w:r>
          </w:p>
        </w:tc>
        <w:tc>
          <w:tcPr>
            <w:tcW w:type="dxa" w:w="3160"/>
            <w:vAlign w:val="center"/>
            <w:tcMar>
              <w:top w:w="80" w:type="dxa"/>
              <w:start w:w="120" w:type="dxa"/>
              <w:bottom w:w="80" w:type="dxa"/>
              <w:end w:w="120" w:type="dxa"/>
            </w:tcMar>
            <w:shd w:fill="F2F4F7"/>
          </w:tcPr>
          <w:p>
            <w:pPr>
              <w:spacing w:after="20"/>
            </w:pPr>
            <w:r>
              <w:rPr>
                <w:rFonts w:ascii="Calibri" w:hAnsi="Calibri"/>
                <w:sz w:val="16"/>
              </w:rPr>
              <w:t>treat all output as untrusted</w:t>
            </w:r>
          </w:p>
        </w:tc>
      </w:tr>
    </w:tbl>
    <w:p/>
    <w:p>
      <w:pPr>
        <w:pStyle w:val="Heading2"/>
      </w:pPr>
      <w:r>
        <w:t>Installation manifest and uninstall</w:t>
      </w:r>
    </w:p>
    <w:p>
      <w:pPr>
        <w:widowControl/>
      </w:pPr>
      <w:r>
        <w:t>No conventional VSIX or local MCP executable is required for the remote path. The enterprise installation surface is the Visual Studio MCP configuration, the remote URL, request headers, OAuth enterprise application and local client caches or logs. Uninstall means removing the MCP configuration and approval state, revoking cached OAuth grants where required, clearing task-local logs and confirming that no workspace or user configuration shadows the governed entry. These lifecycle claims require host verification.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4200"/>
            <w:vAlign w:val="center"/>
            <w:tcMar>
              <w:top w:w="80" w:type="dxa"/>
              <w:start w:w="120" w:type="dxa"/>
              <w:bottom w:w="80" w:type="dxa"/>
              <w:end w:w="120" w:type="dxa"/>
            </w:tcMar>
            <w:shd w:fill="17365D"/>
          </w:tcPr>
          <w:p>
            <w:pPr>
              <w:spacing w:after="20"/>
            </w:pPr>
            <w:r>
              <w:rPr>
                <w:rFonts w:ascii="Calibri" w:hAnsi="Calibri"/>
                <w:b/>
                <w:color w:val="FFFFFF"/>
                <w:sz w:val="16"/>
              </w:rPr>
              <w:t>Expected state</w:t>
            </w:r>
          </w:p>
        </w:tc>
        <w:tc>
          <w:tcPr>
            <w:tcW w:type="dxa" w:w="3260"/>
            <w:vAlign w:val="center"/>
            <w:tcMar>
              <w:top w:w="80" w:type="dxa"/>
              <w:start w:w="120" w:type="dxa"/>
              <w:bottom w:w="80" w:type="dxa"/>
              <w:end w:w="120" w:type="dxa"/>
            </w:tcMar>
            <w:shd w:fill="17365D"/>
          </w:tcPr>
          <w:p>
            <w:pPr>
              <w:spacing w:after="20"/>
            </w:pPr>
            <w:r>
              <w:rPr>
                <w:rFonts w:ascii="Calibri" w:hAnsi="Calibri"/>
                <w:b/>
                <w:color w:val="FFFFFF"/>
                <w:sz w:val="16"/>
              </w:rPr>
              <w:t>Evidence state</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MCP URL</w:t>
            </w:r>
          </w:p>
        </w:tc>
        <w:tc>
          <w:tcPr>
            <w:tcW w:type="dxa" w:w="4200"/>
            <w:vAlign w:val="center"/>
            <w:tcMar>
              <w:top w:w="80" w:type="dxa"/>
              <w:start w:w="120" w:type="dxa"/>
              <w:bottom w:w="80" w:type="dxa"/>
              <w:end w:w="120" w:type="dxa"/>
            </w:tcMar>
            <w:shd w:fill="FFFFFF"/>
          </w:tcPr>
          <w:p>
            <w:pPr>
              <w:spacing w:after="20"/>
            </w:pPr>
            <w:r>
              <w:rPr>
                <w:rFonts w:ascii="Calibri" w:hAnsi="Calibri"/>
                <w:sz w:val="16"/>
              </w:rPr>
              <w:t>Exact organisation-specific HTTPS endpoint</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documentation</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4200"/>
            <w:vAlign w:val="center"/>
            <w:tcMar>
              <w:top w:w="80" w:type="dxa"/>
              <w:start w:w="120" w:type="dxa"/>
              <w:bottom w:w="80" w:type="dxa"/>
              <w:end w:w="120" w:type="dxa"/>
            </w:tcMar>
            <w:shd w:fill="F2F4F7"/>
          </w:tcPr>
          <w:p>
            <w:pPr>
              <w:spacing w:after="20"/>
            </w:pPr>
            <w:r>
              <w:rPr>
                <w:rFonts w:ascii="Calibri" w:hAnsi="Calibri"/>
                <w:sz w:val="16"/>
              </w:rPr>
              <w:t>Streamable HTTP</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documentation</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Authentication</w:t>
            </w:r>
          </w:p>
        </w:tc>
        <w:tc>
          <w:tcPr>
            <w:tcW w:type="dxa" w:w="4200"/>
            <w:vAlign w:val="center"/>
            <w:tcMar>
              <w:top w:w="80" w:type="dxa"/>
              <w:start w:w="120" w:type="dxa"/>
              <w:bottom w:w="80" w:type="dxa"/>
              <w:end w:w="120" w:type="dxa"/>
            </w:tcMar>
            <w:shd w:fill="FFFFFF"/>
          </w:tcPr>
          <w:p>
            <w:pPr>
              <w:spacing w:after="20"/>
            </w:pPr>
            <w:r>
              <w:rPr>
                <w:rFonts w:ascii="Calibri" w:hAnsi="Calibri"/>
                <w:sz w:val="16"/>
              </w:rPr>
              <w:t>Microsoft Entra OAuth; no PAT</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documentation</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Headers</w:t>
            </w:r>
          </w:p>
        </w:tc>
        <w:tc>
          <w:tcPr>
            <w:tcW w:type="dxa" w:w="4200"/>
            <w:vAlign w:val="center"/>
            <w:tcMar>
              <w:top w:w="80" w:type="dxa"/>
              <w:start w:w="120" w:type="dxa"/>
              <w:bottom w:w="80" w:type="dxa"/>
              <w:end w:w="120" w:type="dxa"/>
            </w:tcMar>
            <w:shd w:fill="F2F4F7"/>
          </w:tcPr>
          <w:p>
            <w:pPr>
              <w:spacing w:after="20"/>
            </w:pPr>
            <w:r>
              <w:rPr>
                <w:rFonts w:ascii="Calibri" w:hAnsi="Calibri"/>
                <w:sz w:val="16"/>
              </w:rPr>
              <w:t>X-MCP-Readonly plus exact X-MCP-Tools or narrow toolsets</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documentation</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Local residue</w:t>
            </w:r>
          </w:p>
        </w:tc>
        <w:tc>
          <w:tcPr>
            <w:tcW w:type="dxa" w:w="4200"/>
            <w:vAlign w:val="center"/>
            <w:tcMar>
              <w:top w:w="80" w:type="dxa"/>
              <w:start w:w="120" w:type="dxa"/>
              <w:bottom w:w="80" w:type="dxa"/>
              <w:end w:w="120" w:type="dxa"/>
            </w:tcMar>
            <w:shd w:fill="FFFFFF"/>
          </w:tcPr>
          <w:p>
            <w:pPr>
              <w:spacing w:after="20"/>
            </w:pPr>
            <w:r>
              <w:rPr>
                <w:rFonts w:ascii="Calibri" w:hAnsi="Calibri"/>
                <w:sz w:val="16"/>
              </w:rPr>
              <w:t>Configuration, approvals, token and log caches</w:t>
            </w:r>
          </w:p>
        </w:tc>
        <w:tc>
          <w:tcPr>
            <w:tcW w:type="dxa" w:w="3260"/>
            <w:vAlign w:val="center"/>
            <w:tcMar>
              <w:top w:w="80" w:type="dxa"/>
              <w:start w:w="120" w:type="dxa"/>
              <w:bottom w:w="80" w:type="dxa"/>
              <w:end w:w="120" w:type="dxa"/>
            </w:tcMar>
            <w:shd w:fill="FFFFFF"/>
          </w:tcPr>
          <w:p>
            <w:pPr>
              <w:spacing w:after="20"/>
            </w:pPr>
            <w:r>
              <w:rPr>
                <w:rFonts w:ascii="Calibri" w:hAnsi="Calibri"/>
                <w:sz w:val="16"/>
              </w:rPr>
              <w:t>Unknown until runtime</w:t>
            </w:r>
          </w:p>
        </w:tc>
      </w:tr>
    </w:tbl>
    <w:p/>
    <w:p>
      <w:pPr>
        <w:pStyle w:val="Heading2"/>
      </w:pPr>
      <w:r>
        <w:t>Runtime, activation and network</w:t>
      </w:r>
    </w:p>
    <w:p>
      <w:pPr>
        <w:widowControl/>
      </w:pPr>
      <w:r>
        <w:t>Dynamic analysis was selected but blocked. There is no disposable representative Windows 11 Visual Studio host with synthetic Azure DevOps tenant, controlled identity, network capture and rollback. The current macOS host is not a substitute for Windows Visual Studio and is not an approved disposable IDE environment. Activation timing, token storage, connection reuse, request and response shape, documented IP use, redirects, proxy behavior, failure handling, update signaling and uninstall residue therefore remain Unknown or Not observed.</w:t>
      </w:r>
    </w:p>
    <w:p>
      <w:pPr>
        <w:pStyle w:val="Heading2"/>
      </w:pPr>
      <w:r>
        <w:t>Authentication, authorization and excessive agency</w:t>
      </w:r>
    </w:p>
    <w:p>
      <w:pPr>
        <w:widowControl/>
      </w:pPr>
      <w:r>
        <w:t>Microsoft documents Entra OAuth and states that the user's Azure DevOps membership and permissions remain authoritative. This is a useful control but can still be excessive for agent operation. A normal engineer may be able to create branches, modify work items, queue pipelines or read broad projects. The pilot must use a dedicated least-privilege identity, X-MCP-Readonly=true, and an exact X-MCP-Tools allowlist. Persistent auto-approval is prohibited. Tool-list drift must fail closed until reviewed.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Status</w:t>
            </w:r>
          </w:p>
        </w:tc>
        <w:tc>
          <w:tcPr>
            <w:tcW w:type="dxa" w:w="3360"/>
            <w:vAlign w:val="center"/>
            <w:tcMar>
              <w:top w:w="80" w:type="dxa"/>
              <w:start w:w="120" w:type="dxa"/>
              <w:bottom w:w="80" w:type="dxa"/>
              <w:end w:w="120" w:type="dxa"/>
            </w:tcMar>
            <w:shd w:fill="17365D"/>
          </w:tcPr>
          <w:p>
            <w:pPr>
              <w:spacing w:after="20"/>
            </w:pPr>
            <w:r>
              <w:rPr>
                <w:rFonts w:ascii="Calibri" w:hAnsi="Calibri"/>
                <w:b/>
                <w:color w:val="FFFFFF"/>
                <w:sz w:val="16"/>
              </w:rPr>
              <w:t>Verification test</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Entra OAuth</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Documented</w:t>
            </w:r>
          </w:p>
        </w:tc>
        <w:tc>
          <w:tcPr>
            <w:tcW w:type="dxa" w:w="3360"/>
            <w:vAlign w:val="center"/>
            <w:tcMar>
              <w:top w:w="80" w:type="dxa"/>
              <w:start w:w="120" w:type="dxa"/>
              <w:bottom w:w="80" w:type="dxa"/>
              <w:end w:w="120" w:type="dxa"/>
            </w:tcMar>
            <w:shd w:fill="FFFFFF"/>
          </w:tcPr>
          <w:p>
            <w:pPr>
              <w:spacing w:after="20"/>
            </w:pPr>
            <w:r>
              <w:rPr>
                <w:rFonts w:ascii="Calibri" w:hAnsi="Calibri"/>
                <w:sz w:val="16"/>
              </w:rPr>
              <w:t>Revocation and Conditional Access test</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Azure DevOps permissions</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Environment unknown</w:t>
            </w:r>
          </w:p>
        </w:tc>
        <w:tc>
          <w:tcPr>
            <w:tcW w:type="dxa" w:w="3360"/>
            <w:vAlign w:val="center"/>
            <w:tcMar>
              <w:top w:w="80" w:type="dxa"/>
              <w:start w:w="120" w:type="dxa"/>
              <w:bottom w:w="80" w:type="dxa"/>
              <w:end w:w="120" w:type="dxa"/>
            </w:tcMar>
            <w:shd w:fill="F2F4F7"/>
          </w:tcPr>
          <w:p>
            <w:pPr>
              <w:spacing w:after="20"/>
            </w:pPr>
            <w:r>
              <w:rPr>
                <w:rFonts w:ascii="Calibri" w:hAnsi="Calibri"/>
                <w:sz w:val="16"/>
              </w:rPr>
              <w:t>Enumerate effective permissions</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X-MCP-Readonly</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Documented; not runtime verified</w:t>
            </w:r>
          </w:p>
        </w:tc>
        <w:tc>
          <w:tcPr>
            <w:tcW w:type="dxa" w:w="3360"/>
            <w:vAlign w:val="center"/>
            <w:tcMar>
              <w:top w:w="80" w:type="dxa"/>
              <w:start w:w="120" w:type="dxa"/>
              <w:bottom w:w="80" w:type="dxa"/>
              <w:end w:w="120" w:type="dxa"/>
            </w:tcMar>
            <w:shd w:fill="FFFFFF"/>
          </w:tcPr>
          <w:p>
            <w:pPr>
              <w:spacing w:after="20"/>
            </w:pPr>
            <w:r>
              <w:rPr>
                <w:rFonts w:ascii="Calibri" w:hAnsi="Calibri"/>
                <w:sz w:val="16"/>
              </w:rPr>
              <w:t>Attempt all write classes</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Exact tool allowlist</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Required</w:t>
            </w:r>
          </w:p>
        </w:tc>
        <w:tc>
          <w:tcPr>
            <w:tcW w:type="dxa" w:w="3360"/>
            <w:vAlign w:val="center"/>
            <w:tcMar>
              <w:top w:w="80" w:type="dxa"/>
              <w:start w:w="120" w:type="dxa"/>
              <w:bottom w:w="80" w:type="dxa"/>
              <w:end w:w="120" w:type="dxa"/>
            </w:tcMar>
            <w:shd w:fill="F2F4F7"/>
          </w:tcPr>
          <w:p>
            <w:pPr>
              <w:spacing w:after="20"/>
            </w:pPr>
            <w:r>
              <w:rPr>
                <w:rFonts w:ascii="Calibri" w:hAnsi="Calibri"/>
                <w:sz w:val="16"/>
              </w:rPr>
              <w:t>Compare negotiated list to approval record</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Human 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2700"/>
            <w:vAlign w:val="center"/>
            <w:tcMar>
              <w:top w:w="80" w:type="dxa"/>
              <w:start w:w="120" w:type="dxa"/>
              <w:bottom w:w="80" w:type="dxa"/>
              <w:end w:w="120" w:type="dxa"/>
            </w:tcMar>
            <w:shd w:fill="FFFFFF"/>
          </w:tcPr>
          <w:p>
            <w:pPr>
              <w:spacing w:after="20"/>
            </w:pPr>
            <w:r>
              <w:rPr>
                <w:rFonts w:ascii="Calibri" w:hAnsi="Calibri"/>
                <w:sz w:val="16"/>
              </w:rPr>
              <w:t>Client dependent</w:t>
            </w:r>
          </w:p>
        </w:tc>
        <w:tc>
          <w:tcPr>
            <w:tcW w:type="dxa" w:w="3360"/>
            <w:vAlign w:val="center"/>
            <w:tcMar>
              <w:top w:w="80" w:type="dxa"/>
              <w:start w:w="120" w:type="dxa"/>
              <w:bottom w:w="80" w:type="dxa"/>
              <w:end w:w="120" w:type="dxa"/>
            </w:tcMar>
            <w:shd w:fill="FFFFFF"/>
          </w:tcPr>
          <w:p>
            <w:pPr>
              <w:spacing w:after="20"/>
            </w:pPr>
            <w:r>
              <w:rPr>
                <w:rFonts w:ascii="Calibri" w:hAnsi="Calibri"/>
                <w:sz w:val="16"/>
              </w:rPr>
              <w:t>Injection canary cannot cause write</w:t>
            </w:r>
          </w:p>
        </w:tc>
      </w:tr>
    </w:tbl>
    <w:p/>
    <w:p>
      <w:pPr>
        <w:pStyle w:val="Heading2"/>
      </w:pPr>
      <w:r>
        <w:t>Telemetry, privacy and data classification</w:t>
      </w:r>
    </w:p>
    <w:p>
      <w:pPr>
        <w:widowControl/>
      </w:pPr>
      <w:r>
        <w:t>Queries, organisation identifiers, project names, work-item text, repository content, code fragments, pipeline logs, security findings and model context can be personal, confidential or regulated data. Public documentation states that the MCP server does not store customer data and describes regional routing, but this assessment did not observe the deployed service or validate all operational telemetry. Before confidential use, Privacy and Legal must confirm the contractual service boundary, retention, diagnostic access, subprocessors, international transfers, incident notice and deletion behavior.</w:t>
      </w:r>
    </w:p>
    <w:p>
      <w:pPr>
        <w:pStyle w:val="Heading2"/>
      </w:pPr>
      <w:r>
        <w:t>MCP capabilities and installed Agent Skills</w:t>
      </w:r>
    </w:p>
    <w:p>
      <w:pPr>
        <w:widowControl/>
      </w:pPr>
      <w:r>
        <w:t>The assessed remote integration is an MCP service, not an Agent Skill. No bundled Agent Skill was observed in the documented Visual Studio remote installation surface. This is a Verified documentation observation with Medium confidence, not proof that a client or separate installer cannot add skills. Any subsequently packaged skill, prompt pack or extension must be reviewed independently for trigger scope, instruction hierarchy, scripts, external references, tool authority and removal behavior.</w:t>
      </w:r>
    </w:p>
    <w:p>
      <w:pPr>
        <w:pStyle w:val="Heading2"/>
      </w:pPr>
      <w:r>
        <w:t>Supply chain, threats and findings</w:t>
      </w:r>
    </w:p>
    <w:p>
      <w:pPr>
        <w:widowControl/>
      </w:pPr>
      <w:r>
        <w:t>The hosted implementation is version-opaque and updates independently of the local npm package. A current signed Microsoft repository commit and static comparator scan were retained, but Microsoft does not claim that the public repository bytes equal the hosted deployment. ClamAV found no known signatures in 102 comparator-source files. Semgrep returned workflow hardening signals and path-handling warnings in local-only file-download tools, plus scanner errors. Those results are evidence about the comparator, not malware clearance or source equivalence for the remote service.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3700"/>
            <w:vAlign w:val="center"/>
            <w:tcMar>
              <w:top w:w="80" w:type="dxa"/>
              <w:start w:w="120" w:type="dxa"/>
              <w:bottom w:w="80" w:type="dxa"/>
              <w:end w:w="120" w:type="dxa"/>
            </w:tcMar>
            <w:shd w:fill="17365D"/>
          </w:tcPr>
          <w:p>
            <w:pPr>
              <w:spacing w:after="20"/>
            </w:pPr>
            <w:r>
              <w:rPr>
                <w:rFonts w:ascii="Calibri" w:hAnsi="Calibri"/>
                <w:b/>
                <w:color w:val="FFFFFF"/>
                <w:sz w:val="16"/>
              </w:rPr>
              <w:t>Finding</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Treatment</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F-001 Untrusted Azure DevOps content can steer agent decisions</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AI Security</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F-002 Default broad tool exposure creates excessive agency</w:t>
            </w:r>
          </w:p>
        </w:tc>
        <w:tc>
          <w:tcPr>
            <w:tcW w:type="dxa" w:w="15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Azure DevOps Platform</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F-003 Preview service version and change opacity weaken assurance</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Supplier Risk</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F-004 Runtime data routing, telemetry and retention are unverified</w:t>
            </w:r>
          </w:p>
        </w:tc>
        <w:tc>
          <w:tcPr>
            <w:tcW w:type="dxa" w:w="15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5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Privacy and Legal</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F-005 Client approval policy can be bypassed by overbroad consent</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2660"/>
            <w:vAlign w:val="center"/>
            <w:tcMar>
              <w:top w:w="80" w:type="dxa"/>
              <w:start w:w="120" w:type="dxa"/>
              <w:bottom w:w="80" w:type="dxa"/>
              <w:end w:w="120" w:type="dxa"/>
            </w:tcMar>
            <w:shd w:fill="FFFFFF"/>
          </w:tcPr>
          <w:p>
            <w:pPr>
              <w:spacing w:after="20"/>
            </w:pPr>
            <w:r>
              <w:rPr>
                <w:rFonts w:ascii="Calibri" w:hAnsi="Calibri"/>
                <w:sz w:val="16"/>
              </w:rPr>
              <w:t>IDE Engineering</w:t>
            </w:r>
          </w:p>
        </w:tc>
      </w:tr>
    </w:tbl>
    <w:p/>
    <w:p>
      <w:pPr>
        <w:pStyle w:val="Heading2"/>
      </w:pPr>
      <w:r>
        <w:t>Framework disposition</w:t>
      </w:r>
    </w:p>
    <w:p>
      <w:pPr>
        <w:widowControl/>
      </w:pPr>
      <w:r>
        <w:t>Applicable baselines include OWASP LLM Top 10 2025, OWASP Agentic Top 10 2026, OWASP MCP Top 10, NIST AI RMF 1.0, NIST AI 600-1, NCSC secure AI development guidance, CIS Controls v8.1 and ISO/IEC 27001:2022. OWASP ASVS 5.0.0 Level 2 applies to the API, identity and configuration control surface, especially access control, OAuth, communications, validation, logging and supply-chain requirements. The EU AI Act is conditionally applicable by use case; prohibited/high-risk customer-outcome use is outside this approval.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Framework</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c>
          <w:tcPr>
            <w:tcW w:type="dxa" w:w="5260"/>
            <w:vAlign w:val="center"/>
            <w:tcMar>
              <w:top w:w="80" w:type="dxa"/>
              <w:start w:w="120" w:type="dxa"/>
              <w:bottom w:w="80" w:type="dxa"/>
              <w:end w:w="120" w:type="dxa"/>
            </w:tcMar>
            <w:shd w:fill="17365D"/>
          </w:tcPr>
          <w:p>
            <w:pPr>
              <w:spacing w:after="20"/>
            </w:pPr>
            <w:r>
              <w:rPr>
                <w:rFonts w:ascii="Calibri" w:hAnsi="Calibri"/>
                <w:b/>
                <w:color w:val="FFFFFF"/>
                <w:sz w:val="16"/>
              </w:rPr>
              <w:t>Key mapping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LLM 2025</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prompt injection, sensitive disclosure, excessive agency</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Agentic 2026</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goal hijack, tool misuse, identity abuse</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MCP</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token, tool and supply-chain controls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ASVS 5.0 L2</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V8 authorization, V9 communications, V10 OAuth, V15 supply chain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NIST AI RMF / 600-1</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Govern, Map, Measure, Manage</w:t>
            </w:r>
          </w:p>
        </w:tc>
      </w:tr>
    </w:tbl>
    <w:p/>
    <w:p>
      <w:pPr>
        <w:pStyle w:val="Heading2"/>
      </w:pPr>
      <w:r>
        <w:t>Controls, detection and residual risk</w:t>
      </w:r>
    </w:p>
    <w:p>
      <w:pPr>
        <w:widowControl/>
      </w:pPr>
      <w:r>
        <w:t>Before pilot, enforce exact server identity, read-only mode, minimal tool exposure, dedicated identity, deny-by-default project scope, per-invocation approval and payload minimisation. Detect negotiated tool-list drift, write attempts, unusual project access, new OAuth grants, repeated failures, Conditional Access exceptions and backend Azure DevOps changes without corresponding approved MCP intent. These controls lower but do not eliminate residual risk because hosted code, runtime data flows and full audit correlation are not independently verified.</w:t>
      </w:r>
    </w:p>
    <w:p>
      <w:pPr>
        <w:pStyle w:val="Heading2"/>
      </w:pPr>
      <w:r>
        <w:t>Confidence, limitations, evidence and verification</w:t>
      </w:r>
    </w:p>
    <w:p>
      <w:pPr>
        <w:widowControl/>
      </w:pPr>
      <w:r>
        <w:t>Confidence is High for Microsoft ownership, public-preview status, endpoint pattern, transport, Entra-only authentication and documented headers. Confidence is Medium for service data-handling interpretations and client controls. Confidence is Low for hosted build provenance, content-safety transformations, telemetry, performance, persistence and incident response. Verification requires a disposable host, synthetic tenant and identity, controlled network, tool-list capture, injection canaries, denied write tests, token revocation, log correlation and uninstall inspection.</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9">
        <w:r>
          <w:rPr>
            <w:color w:val="0563C1"/>
            <w:u w:val="single"/>
          </w:rPr>
          <w:t>[REF-009]</w:t>
        </w:r>
      </w:hyperlink>
      <w:r>
        <w:t xml:space="preserve"> </w:t>
      </w:r>
      <w:hyperlink w:anchor="REF_010">
        <w:r>
          <w:rPr>
            <w:color w:val="0563C1"/>
            <w:u w:val="single"/>
          </w:rPr>
          <w:t>[REF-010]</w:t>
        </w:r>
      </w:hyperlink>
      <w:r>
        <w:t xml:space="preserve"> </w:t>
      </w:r>
      <w:hyperlink w:anchor="REF_012">
        <w:r>
          <w:rPr>
            <w:color w:val="0563C1"/>
            <w:u w:val="single"/>
          </w:rPr>
          <w:t>[REF-012]</w:t>
        </w:r>
      </w:hyperlink>
    </w:p>
    <w:p>
      <w:pPr>
        <w:pStyle w:val="Heading1"/>
      </w:pPr>
      <w:r>
        <w:t>Part III - Installed Agent Skills</w:t>
      </w:r>
    </w:p>
    <w:p>
      <w:pPr>
        <w:widowControl/>
      </w:pPr>
      <w:r>
        <w:t>No bundled Agent Skill was observed in the official remote-service installation instructions reviewed for either IDE. This disposition is Not applicable to the documented install surface, not a general claim that no client extension or future package can install skills. If a skill is bundled later, it must be assessed as part of the complete installation surface before approval.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Skill</w:t>
            </w:r>
          </w:p>
        </w:tc>
        <w:tc>
          <w:tcPr>
            <w:tcW w:type="dxa" w:w="2800"/>
            <w:vAlign w:val="center"/>
            <w:tcMar>
              <w:top w:w="80" w:type="dxa"/>
              <w:start w:w="120" w:type="dxa"/>
              <w:bottom w:w="80" w:type="dxa"/>
              <w:end w:w="120" w:type="dxa"/>
            </w:tcMar>
            <w:shd w:fill="17365D"/>
          </w:tcPr>
          <w:p>
            <w:pPr>
              <w:spacing w:after="20"/>
            </w:pPr>
            <w:r>
              <w:rPr>
                <w:rFonts w:ascii="Calibri" w:hAnsi="Calibri"/>
                <w:b/>
                <w:color w:val="FFFFFF"/>
                <w:sz w:val="16"/>
              </w:rPr>
              <w:t>State</w:t>
            </w:r>
          </w:p>
        </w:tc>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Decision</w:t>
            </w:r>
          </w:p>
        </w:tc>
        <w:tc>
          <w:tcPr>
            <w:tcW w:type="dxa" w:w="2160"/>
            <w:vAlign w:val="center"/>
            <w:tcMar>
              <w:top w:w="80" w:type="dxa"/>
              <w:start w:w="120" w:type="dxa"/>
              <w:bottom w:w="80" w:type="dxa"/>
              <w:end w:w="120" w:type="dxa"/>
            </w:tcMar>
            <w:shd w:fill="17365D"/>
          </w:tcPr>
          <w:p>
            <w:pPr>
              <w:spacing w:after="20"/>
            </w:pPr>
            <w:r>
              <w:rPr>
                <w:rFonts w:ascii="Calibri" w:hAnsi="Calibri"/>
                <w:b/>
                <w:color w:val="FFFFFF"/>
                <w:sz w:val="16"/>
              </w:rPr>
              <w:t>Verification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None observed</w:t>
            </w:r>
          </w:p>
        </w:tc>
        <w:tc>
          <w:tcPr>
            <w:tcW w:type="dxa" w:w="2800"/>
            <w:vAlign w:val="center"/>
            <w:tcMar>
              <w:top w:w="80" w:type="dxa"/>
              <w:start w:w="120" w:type="dxa"/>
              <w:bottom w:w="80" w:type="dxa"/>
              <w:end w:w="120" w:type="dxa"/>
            </w:tcMar>
            <w:shd w:fill="FFFFFF"/>
          </w:tcPr>
          <w:p>
            <w:pPr>
              <w:spacing w:after="20"/>
            </w:pPr>
            <w:r>
              <w:rPr>
                <w:rFonts w:ascii="Calibri" w:hAnsi="Calibri"/>
                <w:sz w:val="16"/>
              </w:rPr>
              <w:t>Not applicable to documented install</w:t>
            </w:r>
          </w:p>
        </w:tc>
        <w:tc>
          <w:tcPr>
            <w:tcW w:type="dxa" w:w="2200"/>
            <w:vAlign w:val="center"/>
            <w:tcMar>
              <w:top w:w="80" w:type="dxa"/>
              <w:start w:w="120" w:type="dxa"/>
              <w:bottom w:w="80" w:type="dxa"/>
              <w:end w:w="120" w:type="dxa"/>
            </w:tcMar>
            <w:shd w:fill="FFFFFF"/>
          </w:tcPr>
          <w:p>
            <w:pPr>
              <w:spacing w:after="20"/>
            </w:pPr>
            <w:r>
              <w:rPr>
                <w:rFonts w:ascii="Calibri" w:hAnsi="Calibri"/>
                <w:sz w:val="16"/>
              </w:rPr>
              <w:t>No independent approval</w:t>
            </w:r>
          </w:p>
        </w:tc>
        <w:tc>
          <w:tcPr>
            <w:tcW w:type="dxa" w:w="2160"/>
            <w:vAlign w:val="center"/>
            <w:tcMar>
              <w:top w:w="80" w:type="dxa"/>
              <w:start w:w="120" w:type="dxa"/>
              <w:bottom w:w="80" w:type="dxa"/>
              <w:end w:w="120" w:type="dxa"/>
            </w:tcMar>
            <w:shd w:fill="FFFFFF"/>
          </w:tcPr>
          <w:p>
            <w:pPr>
              <w:spacing w:after="20"/>
            </w:pPr>
            <w:r>
              <w:rPr>
                <w:rFonts w:ascii="Calibri" w:hAnsi="Calibri"/>
                <w:sz w:val="16"/>
              </w:rPr>
              <w:t>Inspect client/package on every release</w:t>
            </w:r>
          </w:p>
        </w:tc>
      </w:tr>
    </w:tbl>
    <w:p/>
    <w:p>
      <w:pPr>
        <w:pStyle w:val="Heading1"/>
      </w:pPr>
      <w:r>
        <w:t>Cross-IDE Comparison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Dimension</w:t>
            </w:r>
          </w:p>
        </w:tc>
        <w:tc>
          <w:tcPr>
            <w:tcW w:type="dxa" w:w="3330"/>
            <w:vAlign w:val="center"/>
            <w:tcMar>
              <w:top w:w="80" w:type="dxa"/>
              <w:start w:w="120" w:type="dxa"/>
              <w:bottom w:w="80" w:type="dxa"/>
              <w:end w:w="120" w:type="dxa"/>
            </w:tcMar>
            <w:shd w:fill="17365D"/>
          </w:tcPr>
          <w:p>
            <w:pPr>
              <w:spacing w:after="20"/>
            </w:pPr>
            <w:r>
              <w:rPr>
                <w:rFonts w:ascii="Calibri" w:hAnsi="Calibri"/>
                <w:b/>
                <w:color w:val="FFFFFF"/>
                <w:sz w:val="16"/>
              </w:rPr>
              <w:t>VS Code Windows/macOS</w:t>
            </w:r>
          </w:p>
        </w:tc>
        <w:tc>
          <w:tcPr>
            <w:tcW w:type="dxa" w:w="3330"/>
            <w:vAlign w:val="center"/>
            <w:tcMar>
              <w:top w:w="80" w:type="dxa"/>
              <w:start w:w="120" w:type="dxa"/>
              <w:bottom w:w="80" w:type="dxa"/>
              <w:end w:w="120" w:type="dxa"/>
            </w:tcMar>
            <w:shd w:fill="17365D"/>
          </w:tcPr>
          <w:p>
            <w:pPr>
              <w:spacing w:after="20"/>
            </w:pPr>
            <w:r>
              <w:rPr>
                <w:rFonts w:ascii="Calibri" w:hAnsi="Calibri"/>
                <w:b/>
                <w:color w:val="FFFFFF"/>
                <w:sz w:val="16"/>
              </w:rPr>
              <w:t>Visual Studio Windows 11</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MCP connection</w:t>
            </w:r>
          </w:p>
        </w:tc>
        <w:tc>
          <w:tcPr>
            <w:tcW w:type="dxa" w:w="3330"/>
            <w:vAlign w:val="center"/>
            <w:tcMar>
              <w:top w:w="80" w:type="dxa"/>
              <w:start w:w="120" w:type="dxa"/>
              <w:bottom w:w="80" w:type="dxa"/>
              <w:end w:w="120" w:type="dxa"/>
            </w:tcMar>
            <w:shd w:fill="FFFFFF"/>
          </w:tcPr>
          <w:p>
            <w:pPr>
              <w:spacing w:after="20"/>
            </w:pPr>
            <w:r>
              <w:rPr>
                <w:rFonts w:ascii="Calibri" w:hAnsi="Calibri"/>
                <w:sz w:val="16"/>
              </w:rPr>
              <w:t>Remote Streamable HTTP</w:t>
            </w:r>
          </w:p>
        </w:tc>
        <w:tc>
          <w:tcPr>
            <w:tcW w:type="dxa" w:w="3330"/>
            <w:vAlign w:val="center"/>
            <w:tcMar>
              <w:top w:w="80" w:type="dxa"/>
              <w:start w:w="120" w:type="dxa"/>
              <w:bottom w:w="80" w:type="dxa"/>
              <w:end w:w="120" w:type="dxa"/>
            </w:tcMar>
            <w:shd w:fill="FFFFFF"/>
          </w:tcPr>
          <w:p>
            <w:pPr>
              <w:spacing w:after="20"/>
            </w:pPr>
            <w:r>
              <w:rPr>
                <w:rFonts w:ascii="Calibri" w:hAnsi="Calibri"/>
                <w:sz w:val="16"/>
              </w:rPr>
              <w:t>Remote Streamable HTTP</w:t>
            </w:r>
          </w:p>
        </w:tc>
      </w:tr>
      <w:tr>
        <w:trPr>
          <w:cantSplit/>
        </w:trPr>
        <w:tc>
          <w:tcPr>
            <w:tcW w:type="dxa" w:w="2700"/>
            <w:vAlign w:val="center"/>
            <w:tcMar>
              <w:top w:w="80" w:type="dxa"/>
              <w:start w:w="120" w:type="dxa"/>
              <w:bottom w:w="80" w:type="dxa"/>
              <w:end w:w="120" w:type="dxa"/>
            </w:tcMar>
            <w:shd w:fill="F2F4F7"/>
          </w:tcPr>
          <w:p>
            <w:pPr>
              <w:spacing w:after="20"/>
            </w:pPr>
            <w:r>
              <w:rPr>
                <w:rFonts w:ascii="Calibri" w:hAnsi="Calibri"/>
                <w:sz w:val="16"/>
              </w:rPr>
              <w:t>Authentication</w:t>
            </w:r>
          </w:p>
        </w:tc>
        <w:tc>
          <w:tcPr>
            <w:tcW w:type="dxa" w:w="3330"/>
            <w:vAlign w:val="center"/>
            <w:tcMar>
              <w:top w:w="80" w:type="dxa"/>
              <w:start w:w="120" w:type="dxa"/>
              <w:bottom w:w="80" w:type="dxa"/>
              <w:end w:w="120" w:type="dxa"/>
            </w:tcMar>
            <w:shd w:fill="F2F4F7"/>
          </w:tcPr>
          <w:p>
            <w:pPr>
              <w:spacing w:after="20"/>
            </w:pPr>
            <w:r>
              <w:rPr>
                <w:rFonts w:ascii="Calibri" w:hAnsi="Calibri"/>
                <w:sz w:val="16"/>
              </w:rPr>
              <w:t>Entra OAuth</w:t>
            </w:r>
          </w:p>
        </w:tc>
        <w:tc>
          <w:tcPr>
            <w:tcW w:type="dxa" w:w="3330"/>
            <w:vAlign w:val="center"/>
            <w:tcMar>
              <w:top w:w="80" w:type="dxa"/>
              <w:start w:w="120" w:type="dxa"/>
              <w:bottom w:w="80" w:type="dxa"/>
              <w:end w:w="120" w:type="dxa"/>
            </w:tcMar>
            <w:shd w:fill="F2F4F7"/>
          </w:tcPr>
          <w:p>
            <w:pPr>
              <w:spacing w:after="20"/>
            </w:pPr>
            <w:r>
              <w:rPr>
                <w:rFonts w:ascii="Calibri" w:hAnsi="Calibri"/>
                <w:sz w:val="16"/>
              </w:rPr>
              <w:t>Entra OAuth</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Tool approval</w:t>
            </w:r>
          </w:p>
        </w:tc>
        <w:tc>
          <w:tcPr>
            <w:tcW w:type="dxa" w:w="3330"/>
            <w:vAlign w:val="center"/>
            <w:tcMar>
              <w:top w:w="80" w:type="dxa"/>
              <w:start w:w="120" w:type="dxa"/>
              <w:bottom w:w="80" w:type="dxa"/>
              <w:end w:w="120" w:type="dxa"/>
            </w:tcMar>
            <w:shd w:fill="FFFFFF"/>
          </w:tcPr>
          <w:p>
            <w:pPr>
              <w:spacing w:after="20"/>
            </w:pPr>
            <w:r>
              <w:rPr>
                <w:rFonts w:ascii="Calibri" w:hAnsi="Calibri"/>
                <w:sz w:val="16"/>
              </w:rPr>
              <w:t>Client policy and user approval</w:t>
            </w:r>
          </w:p>
        </w:tc>
        <w:tc>
          <w:tcPr>
            <w:tcW w:type="dxa" w:w="3330"/>
            <w:vAlign w:val="center"/>
            <w:tcMar>
              <w:top w:w="80" w:type="dxa"/>
              <w:start w:w="120" w:type="dxa"/>
              <w:bottom w:w="80" w:type="dxa"/>
              <w:end w:w="120" w:type="dxa"/>
            </w:tcMar>
            <w:shd w:fill="FFFFFF"/>
          </w:tcPr>
          <w:p>
            <w:pPr>
              <w:spacing w:after="20"/>
            </w:pPr>
            <w:r>
              <w:rPr>
                <w:rFonts w:ascii="Calibri" w:hAnsi="Calibri"/>
                <w:sz w:val="16"/>
              </w:rPr>
              <w:t>Client policy and user approval</w:t>
            </w:r>
          </w:p>
        </w:tc>
      </w:tr>
      <w:tr>
        <w:trPr>
          <w:cantSplit/>
        </w:trPr>
        <w:tc>
          <w:tcPr>
            <w:tcW w:type="dxa" w:w="2700"/>
            <w:vAlign w:val="center"/>
            <w:tcMar>
              <w:top w:w="80" w:type="dxa"/>
              <w:start w:w="120" w:type="dxa"/>
              <w:bottom w:w="80" w:type="dxa"/>
              <w:end w:w="120" w:type="dxa"/>
            </w:tcMar>
            <w:shd w:fill="F2F4F7"/>
          </w:tcPr>
          <w:p>
            <w:pPr>
              <w:spacing w:after="20"/>
            </w:pPr>
            <w:r>
              <w:rPr>
                <w:rFonts w:ascii="Calibri" w:hAnsi="Calibri"/>
                <w:sz w:val="16"/>
              </w:rPr>
              <w:t>Runtime evidence</w:t>
            </w:r>
          </w:p>
        </w:tc>
        <w:tc>
          <w:tcPr>
            <w:tcW w:type="dxa" w:w="3330"/>
            <w:vAlign w:val="center"/>
            <w:tcMar>
              <w:top w:w="80" w:type="dxa"/>
              <w:start w:w="120" w:type="dxa"/>
              <w:bottom w:w="80" w:type="dxa"/>
              <w:end w:w="120" w:type="dxa"/>
            </w:tcMar>
            <w:shd w:fill="F2F4F7"/>
          </w:tcPr>
          <w:p>
            <w:pPr>
              <w:spacing w:after="20"/>
            </w:pPr>
            <w:r>
              <w:rPr>
                <w:rFonts w:ascii="Calibri" w:hAnsi="Calibri"/>
                <w:sz w:val="16"/>
              </w:rPr>
              <w:t>Blocked</w:t>
            </w:r>
          </w:p>
        </w:tc>
        <w:tc>
          <w:tcPr>
            <w:tcW w:type="dxa" w:w="3330"/>
            <w:vAlign w:val="center"/>
            <w:tcMar>
              <w:top w:w="80" w:type="dxa"/>
              <w:start w:w="120" w:type="dxa"/>
              <w:bottom w:w="80" w:type="dxa"/>
              <w:end w:w="120" w:type="dxa"/>
            </w:tcMar>
            <w:shd w:fill="F2F4F7"/>
          </w:tcPr>
          <w:p>
            <w:pPr>
              <w:spacing w:after="20"/>
            </w:pPr>
            <w:r>
              <w:rPr>
                <w:rFonts w:ascii="Calibri" w:hAnsi="Calibri"/>
                <w:sz w:val="16"/>
              </w:rPr>
              <w:t>Blocked</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Decision</w:t>
            </w:r>
          </w:p>
        </w:tc>
        <w:tc>
          <w:tcPr>
            <w:tcW w:type="dxa" w:w="3330"/>
            <w:vAlign w:val="center"/>
            <w:tcMar>
              <w:top w:w="80" w:type="dxa"/>
              <w:start w:w="120" w:type="dxa"/>
              <w:bottom w:w="80" w:type="dxa"/>
              <w:end w:w="120" w:type="dxa"/>
            </w:tcMar>
            <w:shd w:fill="FFFFFF"/>
          </w:tcPr>
          <w:p>
            <w:pPr>
              <w:spacing w:after="20"/>
            </w:pPr>
            <w:r>
              <w:rPr>
                <w:rFonts w:ascii="Calibri" w:hAnsi="Calibri"/>
                <w:sz w:val="16"/>
              </w:rPr>
              <w:t>Conditional read-only pilot</w:t>
            </w:r>
          </w:p>
        </w:tc>
        <w:tc>
          <w:tcPr>
            <w:tcW w:type="dxa" w:w="3330"/>
            <w:vAlign w:val="center"/>
            <w:tcMar>
              <w:top w:w="80" w:type="dxa"/>
              <w:start w:w="120" w:type="dxa"/>
              <w:bottom w:w="80" w:type="dxa"/>
              <w:end w:w="120" w:type="dxa"/>
            </w:tcMar>
            <w:shd w:fill="FFFFFF"/>
          </w:tcPr>
          <w:p>
            <w:pPr>
              <w:spacing w:after="20"/>
            </w:pPr>
            <w:r>
              <w:rPr>
                <w:rFonts w:ascii="Calibri" w:hAnsi="Calibri"/>
                <w:sz w:val="16"/>
              </w:rPr>
              <w:t>Conditional read-only pilot</w:t>
            </w:r>
          </w:p>
        </w:tc>
      </w:tr>
    </w:tbl>
    <w:p/>
    <w:p>
      <w:pPr>
        <w:pStyle w:val="Heading1"/>
      </w:pPr>
      <w:r>
        <w:t>Consolidated Supply Chain Assessment</w:t>
      </w:r>
    </w:p>
    <w:p>
      <w:pPr>
        <w:widowControl/>
      </w:pPr>
      <w:r>
        <w:t>The remote service has no customer-retained immutable package. Microsoft controls deployment, dependencies and updates. The signed public repository comparator is useful for architectural context but does not establish hosted equality. Static scan findings were manually classified as comparator workflow-hardening and local file-path signals. ClamAV detected zero infected files in 102 files. Hosted malware status remains Unknown; absence of known signatures in public source is not proof of benign deployment.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Evidence</w:t>
            </w:r>
          </w:p>
        </w:tc>
        <w:tc>
          <w:tcPr>
            <w:tcW w:type="dxa" w:w="4500"/>
            <w:vAlign w:val="center"/>
            <w:tcMar>
              <w:top w:w="80" w:type="dxa"/>
              <w:start w:w="120" w:type="dxa"/>
              <w:bottom w:w="80" w:type="dxa"/>
              <w:end w:w="120" w:type="dxa"/>
            </w:tcMar>
            <w:shd w:fill="17365D"/>
          </w:tcPr>
          <w:p>
            <w:pPr>
              <w:spacing w:after="20"/>
            </w:pPr>
            <w:r>
              <w:rPr>
                <w:rFonts w:ascii="Calibri" w:hAnsi="Calibri"/>
                <w:b/>
                <w:color w:val="FFFFFF"/>
                <w:sz w:val="16"/>
              </w:rPr>
              <w:t>Result</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Source archive</w:t>
            </w:r>
          </w:p>
        </w:tc>
        <w:tc>
          <w:tcPr>
            <w:tcW w:type="dxa" w:w="4500"/>
            <w:vAlign w:val="center"/>
            <w:tcMar>
              <w:top w:w="80" w:type="dxa"/>
              <w:start w:w="120" w:type="dxa"/>
              <w:bottom w:w="80" w:type="dxa"/>
              <w:end w:w="120" w:type="dxa"/>
            </w:tcMar>
            <w:shd w:fill="FFFFFF"/>
          </w:tcPr>
          <w:p>
            <w:pPr>
              <w:spacing w:after="20"/>
            </w:pPr>
            <w:r>
              <w:rPr>
                <w:rFonts w:ascii="Calibri" w:hAnsi="Calibri"/>
                <w:sz w:val="16"/>
              </w:rPr>
              <w:t>SHA-256 d06cef6fb6024de6428fd0e933540e1bb7499abeb76d32a0b8def2aa2265e9fb</w:t>
            </w:r>
          </w:p>
        </w:tc>
        <w:tc>
          <w:tcPr>
            <w:tcW w:type="dxa" w:w="2660"/>
            <w:vAlign w:val="center"/>
            <w:tcMar>
              <w:top w:w="80" w:type="dxa"/>
              <w:start w:w="120" w:type="dxa"/>
              <w:bottom w:w="80" w:type="dxa"/>
              <w:end w:w="120" w:type="dxa"/>
            </w:tcMar>
            <w:shd w:fill="FFFFFF"/>
          </w:tcPr>
          <w:p>
            <w:pPr>
              <w:spacing w:after="20"/>
            </w:pPr>
            <w:r>
              <w:rPr>
                <w:rFonts w:ascii="Calibri" w:hAnsi="Calibri"/>
                <w:sz w:val="16"/>
              </w:rPr>
              <w:t>Current comparator</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Commit</w:t>
            </w:r>
          </w:p>
        </w:tc>
        <w:tc>
          <w:tcPr>
            <w:tcW w:type="dxa" w:w="4500"/>
            <w:vAlign w:val="center"/>
            <w:tcMar>
              <w:top w:w="80" w:type="dxa"/>
              <w:start w:w="120" w:type="dxa"/>
              <w:bottom w:w="80" w:type="dxa"/>
              <w:end w:w="120" w:type="dxa"/>
            </w:tcMar>
            <w:shd w:fill="F2F4F7"/>
          </w:tcPr>
          <w:p>
            <w:pPr>
              <w:spacing w:after="20"/>
            </w:pPr>
            <w:r>
              <w:rPr>
                <w:rFonts w:ascii="Calibri" w:hAnsi="Calibri"/>
                <w:sz w:val="16"/>
              </w:rPr>
              <w:t>95e76b8d708cc342dd9759e49e16420e19ddb1e0, verified</w:t>
            </w:r>
          </w:p>
        </w:tc>
        <w:tc>
          <w:tcPr>
            <w:tcW w:type="dxa" w:w="2660"/>
            <w:vAlign w:val="center"/>
            <w:tcMar>
              <w:top w:w="80" w:type="dxa"/>
              <w:start w:w="120" w:type="dxa"/>
              <w:bottom w:w="80" w:type="dxa"/>
              <w:end w:w="120" w:type="dxa"/>
            </w:tcMar>
            <w:shd w:fill="F2F4F7"/>
          </w:tcPr>
          <w:p>
            <w:pPr>
              <w:spacing w:after="20"/>
            </w:pPr>
            <w:r>
              <w:rPr>
                <w:rFonts w:ascii="Calibri" w:hAnsi="Calibri"/>
                <w:sz w:val="16"/>
              </w:rPr>
              <w:t>Current comparator</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ClamAV 1.5.3 DB 28071</w:t>
            </w:r>
          </w:p>
        </w:tc>
        <w:tc>
          <w:tcPr>
            <w:tcW w:type="dxa" w:w="4500"/>
            <w:vAlign w:val="center"/>
            <w:tcMar>
              <w:top w:w="80" w:type="dxa"/>
              <w:start w:w="120" w:type="dxa"/>
              <w:bottom w:w="80" w:type="dxa"/>
              <w:end w:w="120" w:type="dxa"/>
            </w:tcMar>
            <w:shd w:fill="FFFFFF"/>
          </w:tcPr>
          <w:p>
            <w:pPr>
              <w:spacing w:after="20"/>
            </w:pPr>
            <w:r>
              <w:rPr>
                <w:rFonts w:ascii="Calibri" w:hAnsi="Calibri"/>
                <w:sz w:val="16"/>
              </w:rPr>
              <w:t>102 files, 0 infected</w:t>
            </w:r>
          </w:p>
        </w:tc>
        <w:tc>
          <w:tcPr>
            <w:tcW w:type="dxa" w:w="2660"/>
            <w:vAlign w:val="center"/>
            <w:tcMar>
              <w:top w:w="80" w:type="dxa"/>
              <w:start w:w="120" w:type="dxa"/>
              <w:bottom w:w="80" w:type="dxa"/>
              <w:end w:w="120" w:type="dxa"/>
            </w:tcMar>
            <w:shd w:fill="FFFFFF"/>
          </w:tcPr>
          <w:p>
            <w:pPr>
              <w:spacing w:after="20"/>
            </w:pPr>
            <w:r>
              <w:rPr>
                <w:rFonts w:ascii="Calibri" w:hAnsi="Calibri"/>
                <w:sz w:val="16"/>
              </w:rPr>
              <w:t>Clean within comparator scope</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Semgrep</w:t>
            </w:r>
          </w:p>
        </w:tc>
        <w:tc>
          <w:tcPr>
            <w:tcW w:type="dxa" w:w="4500"/>
            <w:vAlign w:val="center"/>
            <w:tcMar>
              <w:top w:w="80" w:type="dxa"/>
              <w:start w:w="120" w:type="dxa"/>
              <w:bottom w:w="80" w:type="dxa"/>
              <w:end w:w="120" w:type="dxa"/>
            </w:tcMar>
            <w:shd w:fill="F2F4F7"/>
          </w:tcPr>
          <w:p>
            <w:pPr>
              <w:spacing w:after="20"/>
            </w:pPr>
            <w:r>
              <w:rPr>
                <w:rFonts w:ascii="Calibri" w:hAnsi="Calibri"/>
                <w:sz w:val="16"/>
              </w:rPr>
              <w:t>13 signals, 83 scan errors</w:t>
            </w:r>
          </w:p>
        </w:tc>
        <w:tc>
          <w:tcPr>
            <w:tcW w:type="dxa" w:w="2660"/>
            <w:vAlign w:val="center"/>
            <w:tcMar>
              <w:top w:w="80" w:type="dxa"/>
              <w:start w:w="120" w:type="dxa"/>
              <w:bottom w:w="80" w:type="dxa"/>
              <w:end w:w="120" w:type="dxa"/>
            </w:tcMar>
            <w:shd w:fill="F2F4F7"/>
          </w:tcPr>
          <w:p>
            <w:pPr>
              <w:spacing w:after="20"/>
            </w:pPr>
            <w:r>
              <w:rPr>
                <w:rFonts w:ascii="Calibri" w:hAnsi="Calibri"/>
                <w:sz w:val="16"/>
              </w:rPr>
              <w:t>Manual triage required; not hosted evidence</w:t>
            </w:r>
          </w:p>
        </w:tc>
      </w:tr>
    </w:tbl>
    <w:p/>
    <w:p>
      <w:pPr>
        <w:pStyle w:val="Heading1"/>
      </w:pPr>
      <w:r>
        <w:t>Consolidated Privacy and Data Protection Assessment</w:t>
      </w:r>
    </w:p>
    <w:p>
      <w:pPr>
        <w:widowControl/>
      </w:pPr>
      <w:r>
        <w:t>A pilot can process developer identity, organisation identifiers, code, work-item text, comments, repository metadata, pipeline logs and security findings. Under UK GDPR, the firm must establish purpose, lawful basis, minimisation, transparency, retention, rights handling, security, international-transfer safeguards and processor terms. A DPIA trigger decision is required. FCA and PRA accountability, operational resilience and third-party risk duties remain with the regulated firm even where Microsoft operates the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000"/>
            <w:vAlign w:val="center"/>
            <w:tcMar>
              <w:top w:w="80" w:type="dxa"/>
              <w:start w:w="120" w:type="dxa"/>
              <w:bottom w:w="80" w:type="dxa"/>
              <w:end w:w="120" w:type="dxa"/>
            </w:tcMar>
            <w:shd w:fill="17365D"/>
          </w:tcPr>
          <w:p>
            <w:pPr>
              <w:spacing w:after="20"/>
            </w:pPr>
            <w:r>
              <w:rPr>
                <w:rFonts w:ascii="Calibri" w:hAnsi="Calibri"/>
                <w:b/>
                <w:color w:val="FFFFFF"/>
                <w:sz w:val="16"/>
              </w:rPr>
              <w:t>Data class</w:t>
            </w:r>
          </w:p>
        </w:tc>
        <w:tc>
          <w:tcPr>
            <w:tcW w:type="dxa" w:w="3500"/>
            <w:vAlign w:val="center"/>
            <w:tcMar>
              <w:top w:w="80" w:type="dxa"/>
              <w:start w:w="120" w:type="dxa"/>
              <w:bottom w:w="80" w:type="dxa"/>
              <w:end w:w="120" w:type="dxa"/>
            </w:tcMar>
            <w:shd w:fill="17365D"/>
          </w:tcPr>
          <w:p>
            <w:pPr>
              <w:spacing w:after="20"/>
            </w:pPr>
            <w:r>
              <w:rPr>
                <w:rFonts w:ascii="Calibri" w:hAnsi="Calibri"/>
                <w:b/>
                <w:color w:val="FFFFFF"/>
                <w:sz w:val="16"/>
              </w:rPr>
              <w:t>Example</w:t>
            </w:r>
          </w:p>
        </w:tc>
        <w:tc>
          <w:tcPr>
            <w:tcW w:type="dxa" w:w="3860"/>
            <w:vAlign w:val="center"/>
            <w:tcMar>
              <w:top w:w="80" w:type="dxa"/>
              <w:start w:w="120" w:type="dxa"/>
              <w:bottom w:w="80" w:type="dxa"/>
              <w:end w:w="120" w:type="dxa"/>
            </w:tcMar>
            <w:shd w:fill="17365D"/>
          </w:tcPr>
          <w:p>
            <w:pPr>
              <w:spacing w:after="20"/>
            </w:pPr>
            <w:r>
              <w:rPr>
                <w:rFonts w:ascii="Calibri" w:hAnsi="Calibri"/>
                <w:b/>
                <w:color w:val="FFFFFF"/>
                <w:sz w:val="16"/>
              </w:rPr>
              <w:t>Control</w:t>
            </w:r>
          </w:p>
        </w:tc>
      </w:tr>
      <w:tr>
        <w:trPr>
          <w:cantSplit/>
        </w:trPr>
        <w:tc>
          <w:tcPr>
            <w:tcW w:type="dxa" w:w="2000"/>
            <w:vAlign w:val="center"/>
            <w:tcMar>
              <w:top w:w="80" w:type="dxa"/>
              <w:start w:w="120" w:type="dxa"/>
              <w:bottom w:w="80" w:type="dxa"/>
              <w:end w:w="120" w:type="dxa"/>
            </w:tcMar>
            <w:shd w:fill="FFFFFF"/>
          </w:tcPr>
          <w:p>
            <w:pPr>
              <w:spacing w:after="20"/>
            </w:pPr>
            <w:r>
              <w:rPr>
                <w:rFonts w:ascii="Calibri" w:hAnsi="Calibri"/>
                <w:sz w:val="16"/>
              </w:rPr>
              <w:t>Personal data</w:t>
            </w:r>
          </w:p>
        </w:tc>
        <w:tc>
          <w:tcPr>
            <w:tcW w:type="dxa" w:w="3500"/>
            <w:vAlign w:val="center"/>
            <w:tcMar>
              <w:top w:w="80" w:type="dxa"/>
              <w:start w:w="120" w:type="dxa"/>
              <w:bottom w:w="80" w:type="dxa"/>
              <w:end w:w="120" w:type="dxa"/>
            </w:tcMar>
            <w:shd w:fill="FFFFFF"/>
          </w:tcPr>
          <w:p>
            <w:pPr>
              <w:spacing w:after="20"/>
            </w:pPr>
            <w:r>
              <w:rPr>
                <w:rFonts w:ascii="Calibri" w:hAnsi="Calibri"/>
                <w:sz w:val="16"/>
              </w:rPr>
              <w:t>names, comments, work assignments</w:t>
            </w:r>
          </w:p>
        </w:tc>
        <w:tc>
          <w:tcPr>
            <w:tcW w:type="dxa" w:w="3860"/>
            <w:vAlign w:val="center"/>
            <w:tcMar>
              <w:top w:w="80" w:type="dxa"/>
              <w:start w:w="120" w:type="dxa"/>
              <w:bottom w:w="80" w:type="dxa"/>
              <w:end w:w="120" w:type="dxa"/>
            </w:tcMar>
            <w:shd w:fill="FFFFFF"/>
          </w:tcPr>
          <w:p>
            <w:pPr>
              <w:spacing w:after="20"/>
            </w:pPr>
            <w:r>
              <w:rPr>
                <w:rFonts w:ascii="Calibri" w:hAnsi="Calibri"/>
                <w:sz w:val="16"/>
              </w:rPr>
              <w:t>minimise and restrict access</w:t>
            </w:r>
          </w:p>
        </w:tc>
      </w:tr>
      <w:tr>
        <w:trPr>
          <w:cantSplit/>
        </w:trPr>
        <w:tc>
          <w:tcPr>
            <w:tcW w:type="dxa" w:w="2000"/>
            <w:vAlign w:val="center"/>
            <w:tcMar>
              <w:top w:w="80" w:type="dxa"/>
              <w:start w:w="120" w:type="dxa"/>
              <w:bottom w:w="80" w:type="dxa"/>
              <w:end w:w="120" w:type="dxa"/>
            </w:tcMar>
            <w:shd w:fill="F2F4F7"/>
          </w:tcPr>
          <w:p>
            <w:pPr>
              <w:spacing w:after="20"/>
            </w:pPr>
            <w:r>
              <w:rPr>
                <w:rFonts w:ascii="Calibri" w:hAnsi="Calibri"/>
                <w:sz w:val="16"/>
              </w:rPr>
              <w:t>Confidential code</w:t>
            </w:r>
          </w:p>
        </w:tc>
        <w:tc>
          <w:tcPr>
            <w:tcW w:type="dxa" w:w="3500"/>
            <w:vAlign w:val="center"/>
            <w:tcMar>
              <w:top w:w="80" w:type="dxa"/>
              <w:start w:w="120" w:type="dxa"/>
              <w:bottom w:w="80" w:type="dxa"/>
              <w:end w:w="120" w:type="dxa"/>
            </w:tcMar>
            <w:shd w:fill="F2F4F7"/>
          </w:tcPr>
          <w:p>
            <w:pPr>
              <w:spacing w:after="20"/>
            </w:pPr>
            <w:r>
              <w:rPr>
                <w:rFonts w:ascii="Calibri" w:hAnsi="Calibri"/>
                <w:sz w:val="16"/>
              </w:rPr>
              <w:t>repositories and pull requests</w:t>
            </w:r>
          </w:p>
        </w:tc>
        <w:tc>
          <w:tcPr>
            <w:tcW w:type="dxa" w:w="3860"/>
            <w:vAlign w:val="center"/>
            <w:tcMar>
              <w:top w:w="80" w:type="dxa"/>
              <w:start w:w="120" w:type="dxa"/>
              <w:bottom w:w="80" w:type="dxa"/>
              <w:end w:w="120" w:type="dxa"/>
            </w:tcMar>
            <w:shd w:fill="F2F4F7"/>
          </w:tcPr>
          <w:p>
            <w:pPr>
              <w:spacing w:after="20"/>
            </w:pPr>
            <w:r>
              <w:rPr>
                <w:rFonts w:ascii="Calibri" w:hAnsi="Calibri"/>
                <w:sz w:val="16"/>
              </w:rPr>
              <w:t>exclude from pilot</w:t>
            </w:r>
          </w:p>
        </w:tc>
      </w:tr>
      <w:tr>
        <w:trPr>
          <w:cantSplit/>
        </w:trPr>
        <w:tc>
          <w:tcPr>
            <w:tcW w:type="dxa" w:w="2000"/>
            <w:vAlign w:val="center"/>
            <w:tcMar>
              <w:top w:w="80" w:type="dxa"/>
              <w:start w:w="120" w:type="dxa"/>
              <w:bottom w:w="80" w:type="dxa"/>
              <w:end w:w="120" w:type="dxa"/>
            </w:tcMar>
            <w:shd w:fill="FFFFFF"/>
          </w:tcPr>
          <w:p>
            <w:pPr>
              <w:spacing w:after="20"/>
            </w:pPr>
            <w:r>
              <w:rPr>
                <w:rFonts w:ascii="Calibri" w:hAnsi="Calibri"/>
                <w:sz w:val="16"/>
              </w:rPr>
              <w:t>Security data</w:t>
            </w:r>
          </w:p>
        </w:tc>
        <w:tc>
          <w:tcPr>
            <w:tcW w:type="dxa" w:w="3500"/>
            <w:vAlign w:val="center"/>
            <w:tcMar>
              <w:top w:w="80" w:type="dxa"/>
              <w:start w:w="120" w:type="dxa"/>
              <w:bottom w:w="80" w:type="dxa"/>
              <w:end w:w="120" w:type="dxa"/>
            </w:tcMar>
            <w:shd w:fill="FFFFFF"/>
          </w:tcPr>
          <w:p>
            <w:pPr>
              <w:spacing w:after="20"/>
            </w:pPr>
            <w:r>
              <w:rPr>
                <w:rFonts w:ascii="Calibri" w:hAnsi="Calibri"/>
                <w:sz w:val="16"/>
              </w:rPr>
              <w:t>findings, pipeline logs, secrets context</w:t>
            </w:r>
          </w:p>
        </w:tc>
        <w:tc>
          <w:tcPr>
            <w:tcW w:type="dxa" w:w="3860"/>
            <w:vAlign w:val="center"/>
            <w:tcMar>
              <w:top w:w="80" w:type="dxa"/>
              <w:start w:w="120" w:type="dxa"/>
              <w:bottom w:w="80" w:type="dxa"/>
              <w:end w:w="120" w:type="dxa"/>
            </w:tcMar>
            <w:shd w:fill="FFFFFF"/>
          </w:tcPr>
          <w:p>
            <w:pPr>
              <w:spacing w:after="20"/>
            </w:pPr>
            <w:r>
              <w:rPr>
                <w:rFonts w:ascii="Calibri" w:hAnsi="Calibri"/>
                <w:sz w:val="16"/>
              </w:rPr>
              <w:t>redact and DLP</w:t>
            </w:r>
          </w:p>
        </w:tc>
      </w:tr>
      <w:tr>
        <w:trPr>
          <w:cantSplit/>
        </w:trPr>
        <w:tc>
          <w:tcPr>
            <w:tcW w:type="dxa" w:w="2000"/>
            <w:vAlign w:val="center"/>
            <w:tcMar>
              <w:top w:w="80" w:type="dxa"/>
              <w:start w:w="120" w:type="dxa"/>
              <w:bottom w:w="80" w:type="dxa"/>
              <w:end w:w="120" w:type="dxa"/>
            </w:tcMar>
            <w:shd w:fill="F2F4F7"/>
          </w:tcPr>
          <w:p>
            <w:pPr>
              <w:spacing w:after="20"/>
            </w:pPr>
            <w:r>
              <w:rPr>
                <w:rFonts w:ascii="Calibri" w:hAnsi="Calibri"/>
                <w:sz w:val="16"/>
              </w:rPr>
              <w:t>Regulated records</w:t>
            </w:r>
          </w:p>
        </w:tc>
        <w:tc>
          <w:tcPr>
            <w:tcW w:type="dxa" w:w="3500"/>
            <w:vAlign w:val="center"/>
            <w:tcMar>
              <w:top w:w="80" w:type="dxa"/>
              <w:start w:w="120" w:type="dxa"/>
              <w:bottom w:w="80" w:type="dxa"/>
              <w:end w:w="120" w:type="dxa"/>
            </w:tcMar>
            <w:shd w:fill="F2F4F7"/>
          </w:tcPr>
          <w:p>
            <w:pPr>
              <w:spacing w:after="20"/>
            </w:pPr>
            <w:r>
              <w:rPr>
                <w:rFonts w:ascii="Calibri" w:hAnsi="Calibri"/>
                <w:sz w:val="16"/>
              </w:rPr>
              <w:t>claims or customer-linked work items</w:t>
            </w:r>
          </w:p>
        </w:tc>
        <w:tc>
          <w:tcPr>
            <w:tcW w:type="dxa" w:w="3860"/>
            <w:vAlign w:val="center"/>
            <w:tcMar>
              <w:top w:w="80" w:type="dxa"/>
              <w:start w:w="120" w:type="dxa"/>
              <w:bottom w:w="80" w:type="dxa"/>
              <w:end w:w="120" w:type="dxa"/>
            </w:tcMar>
            <w:shd w:fill="F2F4F7"/>
          </w:tcPr>
          <w:p>
            <w:pPr>
              <w:spacing w:after="20"/>
            </w:pPr>
            <w:r>
              <w:rPr>
                <w:rFonts w:ascii="Calibri" w:hAnsi="Calibri"/>
                <w:sz w:val="16"/>
              </w:rPr>
              <w:t>prohibit without separate approval</w:t>
            </w:r>
          </w:p>
        </w:tc>
      </w:tr>
    </w:tbl>
    <w:p/>
    <w:p>
      <w:pPr>
        <w:pStyle w:val="Heading1"/>
      </w:pPr>
      <w:r>
        <w:t>Enterprise Controls Roadmap</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600"/>
            <w:vAlign w:val="center"/>
            <w:tcMar>
              <w:top w:w="80" w:type="dxa"/>
              <w:start w:w="120" w:type="dxa"/>
              <w:bottom w:w="80" w:type="dxa"/>
              <w:end w:w="120" w:type="dxa"/>
            </w:tcMar>
            <w:shd w:fill="17365D"/>
          </w:tcPr>
          <w:p>
            <w:pPr>
              <w:spacing w:after="20"/>
            </w:pPr>
            <w:r>
              <w:rPr>
                <w:rFonts w:ascii="Calibri" w:hAnsi="Calibri"/>
                <w:b/>
                <w:color w:val="FFFFFF"/>
                <w:sz w:val="16"/>
              </w:rPr>
              <w:t>Milestone</w:t>
            </w:r>
          </w:p>
        </w:tc>
        <w:tc>
          <w:tcPr>
            <w:tcW w:type="dxa" w:w="1600"/>
            <w:vAlign w:val="center"/>
            <w:tcMar>
              <w:top w:w="80" w:type="dxa"/>
              <w:start w:w="120" w:type="dxa"/>
              <w:bottom w:w="80" w:type="dxa"/>
              <w:end w:w="120" w:type="dxa"/>
            </w:tcMar>
            <w:shd w:fill="17365D"/>
          </w:tcPr>
          <w:p>
            <w:pPr>
              <w:spacing w:after="20"/>
            </w:pPr>
            <w:r>
              <w:rPr>
                <w:rFonts w:ascii="Calibri" w:hAnsi="Calibri"/>
                <w:b/>
                <w:color w:val="FFFFFF"/>
                <w:sz w:val="16"/>
              </w:rPr>
              <w:t>Owner</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1760"/>
            <w:vAlign w:val="center"/>
            <w:tcMar>
              <w:top w:w="80" w:type="dxa"/>
              <w:start w:w="120" w:type="dxa"/>
              <w:bottom w:w="80" w:type="dxa"/>
              <w:end w:w="120" w:type="dxa"/>
            </w:tcMar>
            <w:shd w:fill="17365D"/>
          </w:tcPr>
          <w:p>
            <w:pPr>
              <w:spacing w:after="20"/>
            </w:pPr>
            <w:r>
              <w:rPr>
                <w:rFonts w:ascii="Calibri" w:hAnsi="Calibri"/>
                <w:b/>
                <w:color w:val="FFFFFF"/>
                <w:sz w:val="16"/>
              </w:rPr>
              <w:t>Acceptance test</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Before pilot</w:t>
            </w:r>
          </w:p>
        </w:tc>
        <w:tc>
          <w:tcPr>
            <w:tcW w:type="dxa" w:w="1600"/>
            <w:vAlign w:val="center"/>
            <w:tcMar>
              <w:top w:w="80" w:type="dxa"/>
              <w:start w:w="120" w:type="dxa"/>
              <w:bottom w:w="80" w:type="dxa"/>
              <w:end w:w="120" w:type="dxa"/>
            </w:tcMar>
            <w:shd w:fill="FFFFFF"/>
          </w:tcPr>
          <w:p>
            <w:pPr>
              <w:spacing w:after="20"/>
            </w:pPr>
            <w:r>
              <w:rPr>
                <w:rFonts w:ascii="Calibri" w:hAnsi="Calibri"/>
                <w:sz w:val="16"/>
              </w:rPr>
              <w:t>Platform</w:t>
            </w:r>
          </w:p>
        </w:tc>
        <w:tc>
          <w:tcPr>
            <w:tcW w:type="dxa" w:w="2900"/>
            <w:vAlign w:val="center"/>
            <w:tcMar>
              <w:top w:w="80" w:type="dxa"/>
              <w:start w:w="120" w:type="dxa"/>
              <w:bottom w:w="80" w:type="dxa"/>
              <w:end w:w="120" w:type="dxa"/>
            </w:tcMar>
            <w:shd w:fill="FFFFFF"/>
          </w:tcPr>
          <w:p>
            <w:pPr>
              <w:spacing w:after="20"/>
            </w:pPr>
            <w:r>
              <w:rPr>
                <w:rFonts w:ascii="Calibri" w:hAnsi="Calibri"/>
                <w:sz w:val="16"/>
              </w:rPr>
              <w:t>Exact URL, X-MCP-Readonly and exact tools</w:t>
            </w:r>
          </w:p>
        </w:tc>
        <w:tc>
          <w:tcPr>
            <w:tcW w:type="dxa" w:w="1500"/>
            <w:vAlign w:val="center"/>
            <w:tcMar>
              <w:top w:w="80" w:type="dxa"/>
              <w:start w:w="120" w:type="dxa"/>
              <w:bottom w:w="80" w:type="dxa"/>
              <w:end w:w="120" w:type="dxa"/>
            </w:tcMar>
            <w:shd w:fill="FFFFFF"/>
          </w:tcPr>
          <w:p>
            <w:pPr>
              <w:spacing w:after="20"/>
            </w:pPr>
            <w:r>
              <w:rPr>
                <w:rFonts w:ascii="Calibri" w:hAnsi="Calibri"/>
                <w:sz w:val="16"/>
              </w:rPr>
              <w:t>Strong preventive</w:t>
            </w:r>
          </w:p>
        </w:tc>
        <w:tc>
          <w:tcPr>
            <w:tcW w:type="dxa" w:w="1760"/>
            <w:vAlign w:val="center"/>
            <w:tcMar>
              <w:top w:w="80" w:type="dxa"/>
              <w:start w:w="120" w:type="dxa"/>
              <w:bottom w:w="80" w:type="dxa"/>
              <w:end w:w="120" w:type="dxa"/>
            </w:tcMar>
            <w:shd w:fill="FFFFFF"/>
          </w:tcPr>
          <w:p>
            <w:pPr>
              <w:spacing w:after="20"/>
            </w:pPr>
            <w:r>
              <w:rPr>
                <w:rFonts w:ascii="Calibri" w:hAnsi="Calibri"/>
                <w:sz w:val="16"/>
              </w:rPr>
              <w:t>Write tools absent and denied</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Before pilot</w:t>
            </w:r>
          </w:p>
        </w:tc>
        <w:tc>
          <w:tcPr>
            <w:tcW w:type="dxa" w:w="1600"/>
            <w:vAlign w:val="center"/>
            <w:tcMar>
              <w:top w:w="80" w:type="dxa"/>
              <w:start w:w="120" w:type="dxa"/>
              <w:bottom w:w="80" w:type="dxa"/>
              <w:end w:w="120" w:type="dxa"/>
            </w:tcMar>
            <w:shd w:fill="F2F4F7"/>
          </w:tcPr>
          <w:p>
            <w:pPr>
              <w:spacing w:after="20"/>
            </w:pPr>
            <w:r>
              <w:rPr>
                <w:rFonts w:ascii="Calibri" w:hAnsi="Calibri"/>
                <w:sz w:val="16"/>
              </w:rPr>
              <w:t>IAM</w:t>
            </w:r>
          </w:p>
        </w:tc>
        <w:tc>
          <w:tcPr>
            <w:tcW w:type="dxa" w:w="2900"/>
            <w:vAlign w:val="center"/>
            <w:tcMar>
              <w:top w:w="80" w:type="dxa"/>
              <w:start w:w="120" w:type="dxa"/>
              <w:bottom w:w="80" w:type="dxa"/>
              <w:end w:w="120" w:type="dxa"/>
            </w:tcMar>
            <w:shd w:fill="F2F4F7"/>
          </w:tcPr>
          <w:p>
            <w:pPr>
              <w:spacing w:after="20"/>
            </w:pPr>
            <w:r>
              <w:rPr>
                <w:rFonts w:ascii="Calibri" w:hAnsi="Calibri"/>
                <w:sz w:val="16"/>
              </w:rPr>
              <w:t>Dedicated least-privilege Entra identity</w:t>
            </w:r>
          </w:p>
        </w:tc>
        <w:tc>
          <w:tcPr>
            <w:tcW w:type="dxa" w:w="1500"/>
            <w:vAlign w:val="center"/>
            <w:tcMar>
              <w:top w:w="80" w:type="dxa"/>
              <w:start w:w="120" w:type="dxa"/>
              <w:bottom w:w="80" w:type="dxa"/>
              <w:end w:w="120" w:type="dxa"/>
            </w:tcMar>
            <w:shd w:fill="F2F4F7"/>
          </w:tcPr>
          <w:p>
            <w:pPr>
              <w:spacing w:after="20"/>
            </w:pPr>
            <w:r>
              <w:rPr>
                <w:rFonts w:ascii="Calibri" w:hAnsi="Calibri"/>
                <w:sz w:val="16"/>
              </w:rPr>
              <w:t>Strong preventive</w:t>
            </w:r>
          </w:p>
        </w:tc>
        <w:tc>
          <w:tcPr>
            <w:tcW w:type="dxa" w:w="1760"/>
            <w:vAlign w:val="center"/>
            <w:tcMar>
              <w:top w:w="80" w:type="dxa"/>
              <w:start w:w="120" w:type="dxa"/>
              <w:bottom w:w="80" w:type="dxa"/>
              <w:end w:w="120" w:type="dxa"/>
            </w:tcMar>
            <w:shd w:fill="F2F4F7"/>
          </w:tcPr>
          <w:p>
            <w:pPr>
              <w:spacing w:after="20"/>
            </w:pPr>
            <w:r>
              <w:rPr>
                <w:rFonts w:ascii="Calibri" w:hAnsi="Calibri"/>
                <w:sz w:val="16"/>
              </w:rPr>
              <w:t>Effective permissions enumerated</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Before pilot</w:t>
            </w:r>
          </w:p>
        </w:tc>
        <w:tc>
          <w:tcPr>
            <w:tcW w:type="dxa" w:w="1600"/>
            <w:vAlign w:val="center"/>
            <w:tcMar>
              <w:top w:w="80" w:type="dxa"/>
              <w:start w:w="120" w:type="dxa"/>
              <w:bottom w:w="80" w:type="dxa"/>
              <w:end w:w="120" w:type="dxa"/>
            </w:tcMar>
            <w:shd w:fill="FFFFFF"/>
          </w:tcPr>
          <w:p>
            <w:pPr>
              <w:spacing w:after="20"/>
            </w:pPr>
            <w:r>
              <w:rPr>
                <w:rFonts w:ascii="Calibri" w:hAnsi="Calibri"/>
                <w:sz w:val="16"/>
              </w:rPr>
              <w:t>IDE Engineering</w:t>
            </w:r>
          </w:p>
        </w:tc>
        <w:tc>
          <w:tcPr>
            <w:tcW w:type="dxa" w:w="2900"/>
            <w:vAlign w:val="center"/>
            <w:tcMar>
              <w:top w:w="80" w:type="dxa"/>
              <w:start w:w="120" w:type="dxa"/>
              <w:bottom w:w="80" w:type="dxa"/>
              <w:end w:w="120" w:type="dxa"/>
            </w:tcMar>
            <w:shd w:fill="FFFFFF"/>
          </w:tcPr>
          <w:p>
            <w:pPr>
              <w:spacing w:after="20"/>
            </w:pPr>
            <w:r>
              <w:rPr>
                <w:rFonts w:ascii="Calibri" w:hAnsi="Calibri"/>
                <w:sz w:val="16"/>
              </w:rPr>
              <w:t>Per-invocation approval; no global auto-approval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1760"/>
            <w:vAlign w:val="center"/>
            <w:tcMar>
              <w:top w:w="80" w:type="dxa"/>
              <w:start w:w="120" w:type="dxa"/>
              <w:bottom w:w="80" w:type="dxa"/>
              <w:end w:w="120" w:type="dxa"/>
            </w:tcMar>
            <w:shd w:fill="FFFFFF"/>
          </w:tcPr>
          <w:p>
            <w:pPr>
              <w:spacing w:after="20"/>
            </w:pPr>
            <w:r>
              <w:rPr>
                <w:rFonts w:ascii="Calibri" w:hAnsi="Calibri"/>
                <w:sz w:val="16"/>
              </w:rPr>
              <w:t>Injection canary cannot proceed</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Before pilot</w:t>
            </w:r>
          </w:p>
        </w:tc>
        <w:tc>
          <w:tcPr>
            <w:tcW w:type="dxa" w:w="1600"/>
            <w:vAlign w:val="center"/>
            <w:tcMar>
              <w:top w:w="80" w:type="dxa"/>
              <w:start w:w="120" w:type="dxa"/>
              <w:bottom w:w="80" w:type="dxa"/>
              <w:end w:w="120" w:type="dxa"/>
            </w:tcMar>
            <w:shd w:fill="F2F4F7"/>
          </w:tcPr>
          <w:p>
            <w:pPr>
              <w:spacing w:after="20"/>
            </w:pPr>
            <w:r>
              <w:rPr>
                <w:rFonts w:ascii="Calibri" w:hAnsi="Calibri"/>
                <w:sz w:val="16"/>
              </w:rPr>
              <w:t>Network</w:t>
            </w:r>
          </w:p>
        </w:tc>
        <w:tc>
          <w:tcPr>
            <w:tcW w:type="dxa" w:w="2900"/>
            <w:vAlign w:val="center"/>
            <w:tcMar>
              <w:top w:w="80" w:type="dxa"/>
              <w:start w:w="120" w:type="dxa"/>
              <w:bottom w:w="80" w:type="dxa"/>
              <w:end w:w="120" w:type="dxa"/>
            </w:tcMar>
            <w:shd w:fill="F2F4F7"/>
          </w:tcPr>
          <w:p>
            <w:pPr>
              <w:spacing w:after="20"/>
            </w:pPr>
            <w:r>
              <w:rPr>
                <w:rFonts w:ascii="Calibri" w:hAnsi="Calibri"/>
                <w:sz w:val="16"/>
              </w:rPr>
              <w:t>Proxy, TLS and Conditional Access policy</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1760"/>
            <w:vAlign w:val="center"/>
            <w:tcMar>
              <w:top w:w="80" w:type="dxa"/>
              <w:start w:w="120" w:type="dxa"/>
              <w:bottom w:w="80" w:type="dxa"/>
              <w:end w:w="120" w:type="dxa"/>
            </w:tcMar>
            <w:shd w:fill="F2F4F7"/>
          </w:tcPr>
          <w:p>
            <w:pPr>
              <w:spacing w:after="20"/>
            </w:pPr>
            <w:r>
              <w:rPr>
                <w:rFonts w:ascii="Calibri" w:hAnsi="Calibri"/>
                <w:sz w:val="16"/>
              </w:rPr>
              <w:t>Unapproved destinations blocked</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0-30 days</w:t>
            </w:r>
          </w:p>
        </w:tc>
        <w:tc>
          <w:tcPr>
            <w:tcW w:type="dxa" w:w="1600"/>
            <w:vAlign w:val="center"/>
            <w:tcMar>
              <w:top w:w="80" w:type="dxa"/>
              <w:start w:w="120" w:type="dxa"/>
              <w:bottom w:w="80" w:type="dxa"/>
              <w:end w:w="120" w:type="dxa"/>
            </w:tcMar>
            <w:shd w:fill="FFFFFF"/>
          </w:tcPr>
          <w:p>
            <w:pPr>
              <w:spacing w:after="20"/>
            </w:pPr>
            <w:r>
              <w:rPr>
                <w:rFonts w:ascii="Calibri" w:hAnsi="Calibri"/>
                <w:sz w:val="16"/>
              </w:rPr>
              <w:t>Privacy/Legal</w:t>
            </w:r>
          </w:p>
        </w:tc>
        <w:tc>
          <w:tcPr>
            <w:tcW w:type="dxa" w:w="2900"/>
            <w:vAlign w:val="center"/>
            <w:tcMar>
              <w:top w:w="80" w:type="dxa"/>
              <w:start w:w="120" w:type="dxa"/>
              <w:bottom w:w="80" w:type="dxa"/>
              <w:end w:w="120" w:type="dxa"/>
            </w:tcMar>
            <w:shd w:fill="FFFFFF"/>
          </w:tcPr>
          <w:p>
            <w:pPr>
              <w:spacing w:after="20"/>
            </w:pPr>
            <w:r>
              <w:rPr>
                <w:rFonts w:ascii="Calibri" w:hAnsi="Calibri"/>
                <w:sz w:val="16"/>
              </w:rPr>
              <w:t>DPIA and contractual boundary</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1760"/>
            <w:vAlign w:val="center"/>
            <w:tcMar>
              <w:top w:w="80" w:type="dxa"/>
              <w:start w:w="120" w:type="dxa"/>
              <w:bottom w:w="80" w:type="dxa"/>
              <w:end w:w="120" w:type="dxa"/>
            </w:tcMar>
            <w:shd w:fill="FFFFFF"/>
          </w:tcPr>
          <w:p>
            <w:pPr>
              <w:spacing w:after="20"/>
            </w:pPr>
            <w:r>
              <w:rPr>
                <w:rFonts w:ascii="Calibri" w:hAnsi="Calibri"/>
                <w:sz w:val="16"/>
              </w:rPr>
              <w:t>Recorded accountable approval</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31-90 days</w:t>
            </w:r>
          </w:p>
        </w:tc>
        <w:tc>
          <w:tcPr>
            <w:tcW w:type="dxa" w:w="1600"/>
            <w:vAlign w:val="center"/>
            <w:tcMar>
              <w:top w:w="80" w:type="dxa"/>
              <w:start w:w="120" w:type="dxa"/>
              <w:bottom w:w="80" w:type="dxa"/>
              <w:end w:w="120" w:type="dxa"/>
            </w:tcMar>
            <w:shd w:fill="F2F4F7"/>
          </w:tcPr>
          <w:p>
            <w:pPr>
              <w:spacing w:after="20"/>
            </w:pPr>
            <w:r>
              <w:rPr>
                <w:rFonts w:ascii="Calibri" w:hAnsi="Calibri"/>
                <w:sz w:val="16"/>
              </w:rPr>
              <w:t>Security Testing</w:t>
            </w:r>
          </w:p>
        </w:tc>
        <w:tc>
          <w:tcPr>
            <w:tcW w:type="dxa" w:w="2900"/>
            <w:vAlign w:val="center"/>
            <w:tcMar>
              <w:top w:w="80" w:type="dxa"/>
              <w:start w:w="120" w:type="dxa"/>
              <w:bottom w:w="80" w:type="dxa"/>
              <w:end w:w="120" w:type="dxa"/>
            </w:tcMar>
            <w:shd w:fill="F2F4F7"/>
          </w:tcPr>
          <w:p>
            <w:pPr>
              <w:spacing w:after="20"/>
            </w:pPr>
            <w:r>
              <w:rPr>
                <w:rFonts w:ascii="Calibri" w:hAnsi="Calibri"/>
                <w:sz w:val="16"/>
              </w:rPr>
              <w:t>Disposable-host runtime protocol</w:t>
            </w:r>
          </w:p>
        </w:tc>
        <w:tc>
          <w:tcPr>
            <w:tcW w:type="dxa" w:w="1500"/>
            <w:vAlign w:val="center"/>
            <w:tcMar>
              <w:top w:w="80" w:type="dxa"/>
              <w:start w:w="120" w:type="dxa"/>
              <w:bottom w:w="80" w:type="dxa"/>
              <w:end w:w="120" w:type="dxa"/>
            </w:tcMar>
            <w:shd w:fill="F2F4F7"/>
          </w:tcPr>
          <w:p>
            <w:pPr>
              <w:spacing w:after="20"/>
            </w:pPr>
            <w:r>
              <w:rPr>
                <w:rFonts w:ascii="Calibri" w:hAnsi="Calibri"/>
                <w:sz w:val="16"/>
              </w:rPr>
              <w:t>Verification</w:t>
            </w:r>
          </w:p>
        </w:tc>
        <w:tc>
          <w:tcPr>
            <w:tcW w:type="dxa" w:w="1760"/>
            <w:vAlign w:val="center"/>
            <w:tcMar>
              <w:top w:w="80" w:type="dxa"/>
              <w:start w:w="120" w:type="dxa"/>
              <w:bottom w:w="80" w:type="dxa"/>
              <w:end w:w="120" w:type="dxa"/>
            </w:tcMar>
            <w:shd w:fill="F2F4F7"/>
          </w:tcPr>
          <w:p>
            <w:pPr>
              <w:spacing w:after="20"/>
            </w:pPr>
            <w:r>
              <w:rPr>
                <w:rFonts w:ascii="Calibri" w:hAnsi="Calibri"/>
                <w:sz w:val="16"/>
              </w:rPr>
              <w:t>Lifecycle and misuse tests pass</w:t>
            </w:r>
          </w:p>
        </w:tc>
      </w:tr>
    </w:tbl>
    <w:p/>
    <w:p>
      <w:pPr>
        <w:pStyle w:val="Heading1"/>
      </w:pPr>
      <w:r>
        <w:t>Detection Opportunities and Monitoring Plan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Signal</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Detection</w:t>
            </w:r>
          </w:p>
        </w:tc>
        <w:tc>
          <w:tcPr>
            <w:tcW w:type="dxa" w:w="2800"/>
            <w:vAlign w:val="center"/>
            <w:tcMar>
              <w:top w:w="80" w:type="dxa"/>
              <w:start w:w="120" w:type="dxa"/>
              <w:bottom w:w="80" w:type="dxa"/>
              <w:end w:w="120" w:type="dxa"/>
            </w:tcMar>
            <w:shd w:fill="17365D"/>
          </w:tcPr>
          <w:p>
            <w:pPr>
              <w:spacing w:after="20"/>
            </w:pPr>
            <w:r>
              <w:rPr>
                <w:rFonts w:ascii="Calibri" w:hAnsi="Calibri"/>
                <w:b/>
                <w:color w:val="FFFFFF"/>
                <w:sz w:val="16"/>
              </w:rPr>
              <w:t>Response</w:t>
            </w:r>
          </w:p>
        </w:tc>
        <w:tc>
          <w:tcPr>
            <w:tcW w:type="dxa" w:w="1860"/>
            <w:vAlign w:val="center"/>
            <w:tcMar>
              <w:top w:w="80" w:type="dxa"/>
              <w:start w:w="120" w:type="dxa"/>
              <w:bottom w:w="80" w:type="dxa"/>
              <w:end w:w="120" w:type="dxa"/>
            </w:tcMar>
            <w:shd w:fill="17365D"/>
          </w:tcPr>
          <w:p>
            <w:pPr>
              <w:spacing w:after="20"/>
            </w:pPr>
            <w:r>
              <w:rPr>
                <w:rFonts w:ascii="Calibri" w:hAnsi="Calibri"/>
                <w:b/>
                <w:color w:val="FFFFFF"/>
                <w:sz w:val="16"/>
              </w:rPr>
              <w:t>Strength</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Tool list</w:t>
            </w:r>
          </w:p>
        </w:tc>
        <w:tc>
          <w:tcPr>
            <w:tcW w:type="dxa" w:w="2900"/>
            <w:vAlign w:val="center"/>
            <w:tcMar>
              <w:top w:w="80" w:type="dxa"/>
              <w:start w:w="120" w:type="dxa"/>
              <w:bottom w:w="80" w:type="dxa"/>
              <w:end w:w="120" w:type="dxa"/>
            </w:tcMar>
            <w:shd w:fill="FFFFFF"/>
          </w:tcPr>
          <w:p>
            <w:pPr>
              <w:spacing w:after="20"/>
            </w:pPr>
            <w:r>
              <w:rPr>
                <w:rFonts w:ascii="Calibri" w:hAnsi="Calibri"/>
                <w:sz w:val="16"/>
              </w:rPr>
              <w:t>Schema or allowlist drift</w:t>
            </w:r>
          </w:p>
        </w:tc>
        <w:tc>
          <w:tcPr>
            <w:tcW w:type="dxa" w:w="2800"/>
            <w:vAlign w:val="center"/>
            <w:tcMar>
              <w:top w:w="80" w:type="dxa"/>
              <w:start w:w="120" w:type="dxa"/>
              <w:bottom w:w="80" w:type="dxa"/>
              <w:end w:w="120" w:type="dxa"/>
            </w:tcMar>
            <w:shd w:fill="FFFFFF"/>
          </w:tcPr>
          <w:p>
            <w:pPr>
              <w:spacing w:after="20"/>
            </w:pPr>
            <w:r>
              <w:rPr>
                <w:rFonts w:ascii="Calibri" w:hAnsi="Calibri"/>
                <w:sz w:val="16"/>
              </w:rPr>
              <w:t>Disable pending review</w:t>
            </w:r>
          </w:p>
        </w:tc>
        <w:tc>
          <w:tcPr>
            <w:tcW w:type="dxa" w:w="1860"/>
            <w:vAlign w:val="center"/>
            <w:tcMar>
              <w:top w:w="80" w:type="dxa"/>
              <w:start w:w="120" w:type="dxa"/>
              <w:bottom w:w="80" w:type="dxa"/>
              <w:end w:w="120" w:type="dxa"/>
            </w:tcMar>
            <w:shd w:fill="FFFFFF"/>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Azure DevOps audit</w:t>
            </w:r>
          </w:p>
        </w:tc>
        <w:tc>
          <w:tcPr>
            <w:tcW w:type="dxa" w:w="2900"/>
            <w:vAlign w:val="center"/>
            <w:tcMar>
              <w:top w:w="80" w:type="dxa"/>
              <w:start w:w="120" w:type="dxa"/>
              <w:bottom w:w="80" w:type="dxa"/>
              <w:end w:w="120" w:type="dxa"/>
            </w:tcMar>
            <w:shd w:fill="F2F4F7"/>
          </w:tcPr>
          <w:p>
            <w:pPr>
              <w:spacing w:after="20"/>
            </w:pPr>
            <w:r>
              <w:rPr>
                <w:rFonts w:ascii="Calibri" w:hAnsi="Calibri"/>
                <w:sz w:val="16"/>
              </w:rPr>
              <w:t>Write without correlated approved intent</w:t>
            </w:r>
          </w:p>
        </w:tc>
        <w:tc>
          <w:tcPr>
            <w:tcW w:type="dxa" w:w="2800"/>
            <w:vAlign w:val="center"/>
            <w:tcMar>
              <w:top w:w="80" w:type="dxa"/>
              <w:start w:w="120" w:type="dxa"/>
              <w:bottom w:w="80" w:type="dxa"/>
              <w:end w:w="120" w:type="dxa"/>
            </w:tcMar>
            <w:shd w:fill="F2F4F7"/>
          </w:tcPr>
          <w:p>
            <w:pPr>
              <w:spacing w:after="20"/>
            </w:pPr>
            <w:r>
              <w:rPr>
                <w:rFonts w:ascii="Calibri" w:hAnsi="Calibri"/>
                <w:sz w:val="16"/>
              </w:rPr>
              <w:t>Investigate and revoke</w:t>
            </w:r>
          </w:p>
        </w:tc>
        <w:tc>
          <w:tcPr>
            <w:tcW w:type="dxa" w:w="1860"/>
            <w:vAlign w:val="center"/>
            <w:tcMar>
              <w:top w:w="80" w:type="dxa"/>
              <w:start w:w="120" w:type="dxa"/>
              <w:bottom w:w="80" w:type="dxa"/>
              <w:end w:w="120" w:type="dxa"/>
            </w:tcMar>
            <w:shd w:fill="F2F4F7"/>
          </w:tcPr>
          <w:p>
            <w:pPr>
              <w:spacing w:after="20"/>
            </w:pPr>
            <w:r>
              <w:rPr>
                <w:rFonts w:ascii="Calibri" w:hAnsi="Calibri"/>
                <w:sz w:val="16"/>
              </w:rPr>
              <w:t>Detective</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Identity</w:t>
            </w:r>
          </w:p>
        </w:tc>
        <w:tc>
          <w:tcPr>
            <w:tcW w:type="dxa" w:w="2900"/>
            <w:vAlign w:val="center"/>
            <w:tcMar>
              <w:top w:w="80" w:type="dxa"/>
              <w:start w:w="120" w:type="dxa"/>
              <w:bottom w:w="80" w:type="dxa"/>
              <w:end w:w="120" w:type="dxa"/>
            </w:tcMar>
            <w:shd w:fill="FFFFFF"/>
          </w:tcPr>
          <w:p>
            <w:pPr>
              <w:spacing w:after="20"/>
            </w:pPr>
            <w:r>
              <w:rPr>
                <w:rFonts w:ascii="Calibri" w:hAnsi="Calibri"/>
                <w:sz w:val="16"/>
              </w:rPr>
              <w:t>New grant or scope expansion</w:t>
            </w:r>
          </w:p>
        </w:tc>
        <w:tc>
          <w:tcPr>
            <w:tcW w:type="dxa" w:w="2800"/>
            <w:vAlign w:val="center"/>
            <w:tcMar>
              <w:top w:w="80" w:type="dxa"/>
              <w:start w:w="120" w:type="dxa"/>
              <w:bottom w:w="80" w:type="dxa"/>
              <w:end w:w="120" w:type="dxa"/>
            </w:tcMar>
            <w:shd w:fill="FFFFFF"/>
          </w:tcPr>
          <w:p>
            <w:pPr>
              <w:spacing w:after="20"/>
            </w:pPr>
            <w:r>
              <w:rPr>
                <w:rFonts w:ascii="Calibri" w:hAnsi="Calibri"/>
                <w:sz w:val="16"/>
              </w:rPr>
              <w:t>Block or revoke</w:t>
            </w:r>
          </w:p>
        </w:tc>
        <w:tc>
          <w:tcPr>
            <w:tcW w:type="dxa" w:w="1860"/>
            <w:vAlign w:val="center"/>
            <w:tcMar>
              <w:top w:w="80" w:type="dxa"/>
              <w:start w:w="120" w:type="dxa"/>
              <w:bottom w:w="80" w:type="dxa"/>
              <w:end w:w="120" w:type="dxa"/>
            </w:tcMar>
            <w:shd w:fill="FFFFFF"/>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Network</w:t>
            </w:r>
          </w:p>
        </w:tc>
        <w:tc>
          <w:tcPr>
            <w:tcW w:type="dxa" w:w="2900"/>
            <w:vAlign w:val="center"/>
            <w:tcMar>
              <w:top w:w="80" w:type="dxa"/>
              <w:start w:w="120" w:type="dxa"/>
              <w:bottom w:w="80" w:type="dxa"/>
              <w:end w:w="120" w:type="dxa"/>
            </w:tcMar>
            <w:shd w:fill="F2F4F7"/>
          </w:tcPr>
          <w:p>
            <w:pPr>
              <w:spacing w:after="20"/>
            </w:pPr>
            <w:r>
              <w:rPr>
                <w:rFonts w:ascii="Calibri" w:hAnsi="Calibri"/>
                <w:sz w:val="16"/>
              </w:rPr>
              <w:t>Unexpected endpoint or IP behavior</w:t>
            </w:r>
          </w:p>
        </w:tc>
        <w:tc>
          <w:tcPr>
            <w:tcW w:type="dxa" w:w="2800"/>
            <w:vAlign w:val="center"/>
            <w:tcMar>
              <w:top w:w="80" w:type="dxa"/>
              <w:start w:w="120" w:type="dxa"/>
              <w:bottom w:w="80" w:type="dxa"/>
              <w:end w:w="120" w:type="dxa"/>
            </w:tcMar>
            <w:shd w:fill="F2F4F7"/>
          </w:tcPr>
          <w:p>
            <w:pPr>
              <w:spacing w:after="20"/>
            </w:pPr>
            <w:r>
              <w:rPr>
                <w:rFonts w:ascii="Calibri" w:hAnsi="Calibri"/>
                <w:sz w:val="16"/>
              </w:rPr>
              <w:t>Terminate session</w:t>
            </w:r>
          </w:p>
        </w:tc>
        <w:tc>
          <w:tcPr>
            <w:tcW w:type="dxa" w:w="1860"/>
            <w:vAlign w:val="center"/>
            <w:tcMar>
              <w:top w:w="80" w:type="dxa"/>
              <w:start w:w="120" w:type="dxa"/>
              <w:bottom w:w="80" w:type="dxa"/>
              <w:end w:w="120" w:type="dxa"/>
            </w:tcMar>
            <w:shd w:fill="F2F4F7"/>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Content</w:t>
            </w:r>
          </w:p>
        </w:tc>
        <w:tc>
          <w:tcPr>
            <w:tcW w:type="dxa" w:w="2900"/>
            <w:vAlign w:val="center"/>
            <w:tcMar>
              <w:top w:w="80" w:type="dxa"/>
              <w:start w:w="120" w:type="dxa"/>
              <w:bottom w:w="80" w:type="dxa"/>
              <w:end w:w="120" w:type="dxa"/>
            </w:tcMar>
            <w:shd w:fill="FFFFFF"/>
          </w:tcPr>
          <w:p>
            <w:pPr>
              <w:spacing w:after="20"/>
            </w:pPr>
            <w:r>
              <w:rPr>
                <w:rFonts w:ascii="Calibri" w:hAnsi="Calibri"/>
                <w:sz w:val="16"/>
              </w:rPr>
              <w:t>Prompt-injection canary</w:t>
            </w:r>
          </w:p>
        </w:tc>
        <w:tc>
          <w:tcPr>
            <w:tcW w:type="dxa" w:w="2800"/>
            <w:vAlign w:val="center"/>
            <w:tcMar>
              <w:top w:w="80" w:type="dxa"/>
              <w:start w:w="120" w:type="dxa"/>
              <w:bottom w:w="80" w:type="dxa"/>
              <w:end w:w="120" w:type="dxa"/>
            </w:tcMar>
            <w:shd w:fill="FFFFFF"/>
          </w:tcPr>
          <w:p>
            <w:pPr>
              <w:spacing w:after="20"/>
            </w:pPr>
            <w:r>
              <w:rPr>
                <w:rFonts w:ascii="Calibri" w:hAnsi="Calibri"/>
                <w:sz w:val="16"/>
              </w:rPr>
              <w:t>Block tool chain</w:t>
            </w:r>
          </w:p>
        </w:tc>
        <w:tc>
          <w:tcPr>
            <w:tcW w:type="dxa" w:w="1860"/>
            <w:vAlign w:val="center"/>
            <w:tcMar>
              <w:top w:w="80" w:type="dxa"/>
              <w:start w:w="120" w:type="dxa"/>
              <w:bottom w:w="80" w:type="dxa"/>
              <w:end w:w="120" w:type="dxa"/>
            </w:tcMar>
            <w:shd w:fill="FFFFFF"/>
          </w:tcPr>
          <w:p>
            <w:pPr>
              <w:spacing w:after="20"/>
            </w:pPr>
            <w:r>
              <w:rPr>
                <w:rFonts w:ascii="Calibri" w:hAnsi="Calibri"/>
                <w:sz w:val="16"/>
              </w:rPr>
              <w:t>Detective</w:t>
            </w:r>
          </w:p>
        </w:tc>
      </w:tr>
    </w:tbl>
    <w:p/>
    <w:p>
      <w:pPr>
        <w:pStyle w:val="Heading1"/>
      </w:pPr>
      <w:r>
        <w:t>Consolidated Risk Register</w:t>
      </w:r>
    </w:p>
    <w:p>
      <w:pPr>
        <w:widowControl/>
      </w:pPr>
      <w:r>
        <w:t>Legend: ID is the unique finding identifier. Risk is the adverse scenario. Inherent is likelihood (L) x impact (I) before controls. Residual uses residual likelihood (rL) x residual impact (rI) after verified controls. Treatment is the required response; Owner is accountable. Rating bands: 1-4 Low, 5-9 Moderate, 10-16 High, 17-25 Critical.</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900"/>
            <w:vAlign w:val="center"/>
            <w:tcMar>
              <w:top w:w="80" w:type="dxa"/>
              <w:start w:w="120" w:type="dxa"/>
              <w:bottom w:w="80" w:type="dxa"/>
              <w:end w:w="120" w:type="dxa"/>
            </w:tcMar>
            <w:shd w:fill="17365D"/>
          </w:tcPr>
          <w:p>
            <w:pPr>
              <w:spacing w:after="20"/>
            </w:pPr>
            <w:r>
              <w:rPr>
                <w:rFonts w:ascii="Calibri" w:hAnsi="Calibri"/>
                <w:b/>
                <w:color w:val="FFFFFF"/>
                <w:sz w:val="16"/>
              </w:rPr>
              <w:t>ID</w:t>
            </w:r>
          </w:p>
        </w:tc>
        <w:tc>
          <w:tcPr>
            <w:tcW w:type="dxa" w:w="3000"/>
            <w:vAlign w:val="center"/>
            <w:tcMar>
              <w:top w:w="80" w:type="dxa"/>
              <w:start w:w="120" w:type="dxa"/>
              <w:bottom w:w="80" w:type="dxa"/>
              <w:end w:w="120" w:type="dxa"/>
            </w:tcMar>
            <w:shd w:fill="17365D"/>
          </w:tcPr>
          <w:p>
            <w:pPr>
              <w:spacing w:after="20"/>
            </w:pPr>
            <w:r>
              <w:rPr>
                <w:rFonts w:ascii="Calibri" w:hAnsi="Calibri"/>
                <w:b/>
                <w:color w:val="FFFFFF"/>
                <w:sz w:val="16"/>
              </w:rPr>
              <w:t>Risk</w:t>
            </w:r>
          </w:p>
        </w:tc>
        <w:tc>
          <w:tcPr>
            <w:tcW w:type="dxa" w:w="14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4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Treatment / Owner</w:t>
            </w:r>
          </w:p>
        </w:tc>
        <w:tc>
          <w:tcPr>
            <w:tcW w:type="dxa" w:w="960"/>
            <w:vAlign w:val="center"/>
            <w:tcMar>
              <w:top w:w="80" w:type="dxa"/>
              <w:start w:w="120" w:type="dxa"/>
              <w:bottom w:w="80" w:type="dxa"/>
              <w:end w:w="120" w:type="dxa"/>
            </w:tcMar>
            <w:shd w:fill="17365D"/>
          </w:tcPr>
          <w:p>
            <w:pPr>
              <w:spacing w:after="20"/>
            </w:pPr>
            <w:r>
              <w:rPr>
                <w:rFonts w:ascii="Calibri" w:hAnsi="Calibri"/>
                <w:b/>
                <w:color w:val="FFFFFF"/>
                <w:sz w:val="16"/>
              </w:rPr>
              <w:t>Target date</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F-001</w:t>
            </w:r>
          </w:p>
        </w:tc>
        <w:tc>
          <w:tcPr>
            <w:tcW w:type="dxa" w:w="3000"/>
            <w:vAlign w:val="center"/>
            <w:tcMar>
              <w:top w:w="80" w:type="dxa"/>
              <w:start w:w="120" w:type="dxa"/>
              <w:bottom w:w="80" w:type="dxa"/>
              <w:end w:w="120" w:type="dxa"/>
            </w:tcMar>
            <w:shd w:fill="FFFFFF"/>
          </w:tcPr>
          <w:p>
            <w:pPr>
              <w:spacing w:after="20"/>
            </w:pPr>
            <w:r>
              <w:rPr>
                <w:rFonts w:ascii="Calibri" w:hAnsi="Calibri"/>
                <w:sz w:val="16"/>
              </w:rPr>
              <w:t>Untrusted Azure DevOps content can steer agent decisions</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AI Security</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F-002</w:t>
            </w:r>
          </w:p>
        </w:tc>
        <w:tc>
          <w:tcPr>
            <w:tcW w:type="dxa" w:w="3000"/>
            <w:vAlign w:val="center"/>
            <w:tcMar>
              <w:top w:w="80" w:type="dxa"/>
              <w:start w:w="120" w:type="dxa"/>
              <w:bottom w:w="80" w:type="dxa"/>
              <w:end w:w="120" w:type="dxa"/>
            </w:tcMar>
            <w:shd w:fill="F2F4F7"/>
          </w:tcPr>
          <w:p>
            <w:pPr>
              <w:spacing w:after="20"/>
            </w:pPr>
            <w:r>
              <w:rPr>
                <w:rFonts w:ascii="Calibri" w:hAnsi="Calibri"/>
                <w:sz w:val="16"/>
              </w:rPr>
              <w:t>Default broad tool exposure creates excessive agency</w:t>
            </w:r>
          </w:p>
        </w:tc>
        <w:tc>
          <w:tcPr>
            <w:tcW w:type="dxa" w:w="14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Azure DevOps Platform</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F-003</w:t>
            </w:r>
          </w:p>
        </w:tc>
        <w:tc>
          <w:tcPr>
            <w:tcW w:type="dxa" w:w="3000"/>
            <w:vAlign w:val="center"/>
            <w:tcMar>
              <w:top w:w="80" w:type="dxa"/>
              <w:start w:w="120" w:type="dxa"/>
              <w:bottom w:w="80" w:type="dxa"/>
              <w:end w:w="120" w:type="dxa"/>
            </w:tcMar>
            <w:shd w:fill="FFFFFF"/>
          </w:tcPr>
          <w:p>
            <w:pPr>
              <w:spacing w:after="20"/>
            </w:pPr>
            <w:r>
              <w:rPr>
                <w:rFonts w:ascii="Calibri" w:hAnsi="Calibri"/>
                <w:sz w:val="16"/>
              </w:rPr>
              <w:t>Preview service version and change opacity weaken assurance</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Supplier Risk</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F-004</w:t>
            </w:r>
          </w:p>
        </w:tc>
        <w:tc>
          <w:tcPr>
            <w:tcW w:type="dxa" w:w="3000"/>
            <w:vAlign w:val="center"/>
            <w:tcMar>
              <w:top w:w="80" w:type="dxa"/>
              <w:start w:w="120" w:type="dxa"/>
              <w:bottom w:w="80" w:type="dxa"/>
              <w:end w:w="120" w:type="dxa"/>
            </w:tcMar>
            <w:shd w:fill="F2F4F7"/>
          </w:tcPr>
          <w:p>
            <w:pPr>
              <w:spacing w:after="20"/>
            </w:pPr>
            <w:r>
              <w:rPr>
                <w:rFonts w:ascii="Calibri" w:hAnsi="Calibri"/>
                <w:sz w:val="16"/>
              </w:rPr>
              <w:t>Runtime data routing, telemetry and retention are unverified</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Privacy and Legal</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F-005</w:t>
            </w:r>
          </w:p>
        </w:tc>
        <w:tc>
          <w:tcPr>
            <w:tcW w:type="dxa" w:w="3000"/>
            <w:vAlign w:val="center"/>
            <w:tcMar>
              <w:top w:w="80" w:type="dxa"/>
              <w:start w:w="120" w:type="dxa"/>
              <w:bottom w:w="80" w:type="dxa"/>
              <w:end w:w="120" w:type="dxa"/>
            </w:tcMar>
            <w:shd w:fill="FFFFFF"/>
          </w:tcPr>
          <w:p>
            <w:pPr>
              <w:spacing w:after="20"/>
            </w:pPr>
            <w:r>
              <w:rPr>
                <w:rFonts w:ascii="Calibri" w:hAnsi="Calibri"/>
                <w:sz w:val="16"/>
              </w:rPr>
              <w:t>Client approval policy can be bypassed by overbroad consent</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1700"/>
            <w:vAlign w:val="center"/>
            <w:tcMar>
              <w:top w:w="80" w:type="dxa"/>
              <w:start w:w="120" w:type="dxa"/>
              <w:bottom w:w="80" w:type="dxa"/>
              <w:end w:w="120" w:type="dxa"/>
            </w:tcMar>
            <w:shd w:fill="FFFFFF"/>
          </w:tcPr>
          <w:p>
            <w:pPr>
              <w:spacing w:after="20"/>
            </w:pPr>
            <w:r>
              <w:rPr>
                <w:rFonts w:ascii="Calibri" w:hAnsi="Calibri"/>
                <w:sz w:val="16"/>
              </w:rPr>
              <w:t>IDE Engineering</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F-006</w:t>
            </w:r>
          </w:p>
        </w:tc>
        <w:tc>
          <w:tcPr>
            <w:tcW w:type="dxa" w:w="3000"/>
            <w:vAlign w:val="center"/>
            <w:tcMar>
              <w:top w:w="80" w:type="dxa"/>
              <w:start w:w="120" w:type="dxa"/>
              <w:bottom w:w="80" w:type="dxa"/>
              <w:end w:w="120" w:type="dxa"/>
            </w:tcMar>
            <w:shd w:fill="F2F4F7"/>
          </w:tcPr>
          <w:p>
            <w:pPr>
              <w:spacing w:after="20"/>
            </w:pPr>
            <w:r>
              <w:rPr>
                <w:rFonts w:ascii="Calibri" w:hAnsi="Calibri"/>
                <w:sz w:val="16"/>
              </w:rPr>
              <w:t>Conditional Access allow-listing changes network trust</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4 = 8 Moderate</w:t>
            </w:r>
          </w:p>
        </w:tc>
        <w:tc>
          <w:tcPr>
            <w:tcW w:type="dxa" w:w="1700"/>
            <w:vAlign w:val="center"/>
            <w:tcMar>
              <w:top w:w="80" w:type="dxa"/>
              <w:start w:w="120" w:type="dxa"/>
              <w:bottom w:w="80" w:type="dxa"/>
              <w:end w:w="120" w:type="dxa"/>
            </w:tcMar>
            <w:shd w:fill="F2F4F7"/>
          </w:tcPr>
          <w:p>
            <w:pPr>
              <w:spacing w:after="20"/>
            </w:pPr>
            <w:r>
              <w:rPr>
                <w:rFonts w:ascii="Calibri" w:hAnsi="Calibri"/>
                <w:sz w:val="16"/>
              </w:rPr>
              <w:t>Identity and Network</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F-007</w:t>
            </w:r>
          </w:p>
        </w:tc>
        <w:tc>
          <w:tcPr>
            <w:tcW w:type="dxa" w:w="3000"/>
            <w:vAlign w:val="center"/>
            <w:tcMar>
              <w:top w:w="80" w:type="dxa"/>
              <w:start w:w="120" w:type="dxa"/>
              <w:bottom w:w="80" w:type="dxa"/>
              <w:end w:w="120" w:type="dxa"/>
            </w:tcMar>
            <w:shd w:fill="FFFFFF"/>
          </w:tcPr>
          <w:p>
            <w:pPr>
              <w:spacing w:after="20"/>
            </w:pPr>
            <w:r>
              <w:rPr>
                <w:rFonts w:ascii="Calibri" w:hAnsi="Calibri"/>
                <w:sz w:val="16"/>
              </w:rPr>
              <w:t>Hosted implementation and supply-chain evidence are unavailable</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Supplier Assurance</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F-008</w:t>
            </w:r>
          </w:p>
        </w:tc>
        <w:tc>
          <w:tcPr>
            <w:tcW w:type="dxa" w:w="3000"/>
            <w:vAlign w:val="center"/>
            <w:tcMar>
              <w:top w:w="80" w:type="dxa"/>
              <w:start w:w="120" w:type="dxa"/>
              <w:bottom w:w="80" w:type="dxa"/>
              <w:end w:w="120" w:type="dxa"/>
            </w:tcMar>
            <w:shd w:fill="F2F4F7"/>
          </w:tcPr>
          <w:p>
            <w:pPr>
              <w:spacing w:after="20"/>
            </w:pPr>
            <w:r>
              <w:rPr>
                <w:rFonts w:ascii="Calibri" w:hAnsi="Calibri"/>
                <w:sz w:val="16"/>
              </w:rPr>
              <w:t>Cross-IDE lifecycle and control parity are unverified</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Endpoint Engineering</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F-009</w:t>
            </w:r>
          </w:p>
        </w:tc>
        <w:tc>
          <w:tcPr>
            <w:tcW w:type="dxa" w:w="3000"/>
            <w:vAlign w:val="center"/>
            <w:tcMar>
              <w:top w:w="80" w:type="dxa"/>
              <w:start w:w="120" w:type="dxa"/>
              <w:bottom w:w="80" w:type="dxa"/>
              <w:end w:w="120" w:type="dxa"/>
            </w:tcMar>
            <w:shd w:fill="FFFFFF"/>
          </w:tcPr>
          <w:p>
            <w:pPr>
              <w:spacing w:after="20"/>
            </w:pPr>
            <w:r>
              <w:rPr>
                <w:rFonts w:ascii="Calibri" w:hAnsi="Calibri"/>
                <w:sz w:val="16"/>
              </w:rPr>
              <w:t>Audit records may not correlate MCP intent with backend change</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3 = 9 Moderate</w:t>
            </w:r>
          </w:p>
        </w:tc>
        <w:tc>
          <w:tcPr>
            <w:tcW w:type="dxa" w:w="1700"/>
            <w:vAlign w:val="center"/>
            <w:tcMar>
              <w:top w:w="80" w:type="dxa"/>
              <w:start w:w="120" w:type="dxa"/>
              <w:bottom w:w="80" w:type="dxa"/>
              <w:end w:w="120" w:type="dxa"/>
            </w:tcMar>
            <w:shd w:fill="FFFFFF"/>
          </w:tcPr>
          <w:p>
            <w:pPr>
              <w:spacing w:after="20"/>
            </w:pPr>
            <w:r>
              <w:rPr>
                <w:rFonts w:ascii="Calibri" w:hAnsi="Calibri"/>
                <w:sz w:val="16"/>
              </w:rPr>
              <w:t>Security Operations</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F-010</w:t>
            </w:r>
          </w:p>
        </w:tc>
        <w:tc>
          <w:tcPr>
            <w:tcW w:type="dxa" w:w="3000"/>
            <w:vAlign w:val="center"/>
            <w:tcMar>
              <w:top w:w="80" w:type="dxa"/>
              <w:start w:w="120" w:type="dxa"/>
              <w:bottom w:w="80" w:type="dxa"/>
              <w:end w:w="120" w:type="dxa"/>
            </w:tcMar>
            <w:shd w:fill="F2F4F7"/>
          </w:tcPr>
          <w:p>
            <w:pPr>
              <w:spacing w:after="20"/>
            </w:pPr>
            <w:r>
              <w:rPr>
                <w:rFonts w:ascii="Calibri" w:hAnsi="Calibri"/>
                <w:sz w:val="16"/>
              </w:rPr>
              <w:t>Customer-outcome use could create regulatory and model risk</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Business Risk Owner</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any such use</w:t>
            </w:r>
          </w:p>
        </w:tc>
      </w:tr>
    </w:tbl>
    <w:p/>
    <w:p>
      <w:pPr>
        <w:pStyle w:val="Heading1"/>
      </w:pPr>
      <w:r>
        <w:t>Residual Risk and Approval Recommendation</w:t>
      </w:r>
    </w:p>
    <w:p>
      <w:pPr>
        <w:widowControl/>
      </w:pPr>
      <w:r>
        <w:t>APPROVE WITH CONDITIONS only for a short, read-only, non-production pilot using synthetic or non-sensitive data and the mandatory controls. Defer write-enabled production, internal-confidential repositories, broad organisation access, unattended automation, customer-outcome processing and shared privileged identities. Residual risk remains High until representative runtime, supplier assurance, privacy and audit-correlation evidence is accepted by accountable owners.</w:t>
      </w:r>
    </w:p>
    <w:p>
      <w:pPr>
        <w:pStyle w:val="Heading1"/>
      </w:pPr>
      <w:r>
        <w:t>Limitations and Confidence Levels</w:t>
      </w:r>
    </w:p>
    <w:p>
      <w:pPr>
        <w:widowControl/>
      </w:pPr>
      <w:r>
        <w:t>The original 15 July 2026 report bytes were not available. Historical task records preserve its scope, 27-page QA result and decision. This v1.1 report is a fresh authoritative regeneration, not a byte-identical revision. No live endpoint call, authentication, region observation, payload capture, failure test, update test or uninstall test occurred. Hosted source, SBOM, build provenance, telemetry and runtime controls are Unknown. These gaps are explicitly not treated as passed controls.</w:t>
      </w:r>
    </w:p>
    <w:p>
      <w:pPr>
        <w:pStyle w:val="Heading1"/>
      </w:pPr>
      <w:r>
        <w:t>Evidence Register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Evidence ID</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2500"/>
            <w:vAlign w:val="center"/>
            <w:tcMar>
              <w:top w:w="80" w:type="dxa"/>
              <w:start w:w="120" w:type="dxa"/>
              <w:bottom w:w="80" w:type="dxa"/>
              <w:end w:w="120" w:type="dxa"/>
            </w:tcMar>
            <w:shd w:fill="17365D"/>
          </w:tcPr>
          <w:p>
            <w:pPr>
              <w:spacing w:after="20"/>
            </w:pPr>
            <w:r>
              <w:rPr>
                <w:rFonts w:ascii="Calibri" w:hAnsi="Calibri"/>
                <w:b/>
                <w:color w:val="FFFFFF"/>
                <w:sz w:val="16"/>
              </w:rPr>
              <w:t>State</w:t>
            </w:r>
          </w:p>
        </w:tc>
        <w:tc>
          <w:tcPr>
            <w:tcW w:type="dxa" w:w="2460"/>
            <w:vAlign w:val="center"/>
            <w:tcMar>
              <w:top w:w="80" w:type="dxa"/>
              <w:start w:w="120" w:type="dxa"/>
              <w:bottom w:w="80" w:type="dxa"/>
              <w:end w:w="120" w:type="dxa"/>
            </w:tcMar>
            <w:shd w:fill="17365D"/>
          </w:tcPr>
          <w:p>
            <w:pPr>
              <w:spacing w:after="20"/>
            </w:pPr>
            <w:r>
              <w:rPr>
                <w:rFonts w:ascii="Calibri" w:hAnsi="Calibri"/>
                <w:b/>
                <w:color w:val="FFFFFF"/>
                <w:sz w:val="16"/>
              </w:rPr>
              <w:t>Retention</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EVD-001</w:t>
            </w:r>
          </w:p>
        </w:tc>
        <w:tc>
          <w:tcPr>
            <w:tcW w:type="dxa" w:w="2900"/>
            <w:vAlign w:val="center"/>
            <w:tcMar>
              <w:top w:w="80" w:type="dxa"/>
              <w:start w:w="120" w:type="dxa"/>
              <w:bottom w:w="80" w:type="dxa"/>
              <w:end w:w="120" w:type="dxa"/>
            </w:tcMar>
            <w:shd w:fill="FFFFFF"/>
          </w:tcPr>
          <w:p>
            <w:pPr>
              <w:spacing w:after="20"/>
            </w:pPr>
            <w:r>
              <w:rPr>
                <w:rFonts w:ascii="Calibri" w:hAnsi="Calibri"/>
                <w:sz w:val="16"/>
              </w:rPr>
              <w:t>Remote setup documentation</w:t>
            </w:r>
          </w:p>
        </w:tc>
        <w:tc>
          <w:tcPr>
            <w:tcW w:type="dxa" w:w="2500"/>
            <w:vAlign w:val="center"/>
            <w:tcMar>
              <w:top w:w="80" w:type="dxa"/>
              <w:start w:w="120" w:type="dxa"/>
              <w:bottom w:w="80" w:type="dxa"/>
              <w:end w:w="120" w:type="dxa"/>
            </w:tcMar>
            <w:shd w:fill="FFFFFF"/>
          </w:tcPr>
          <w:p>
            <w:pPr>
              <w:spacing w:after="20"/>
            </w:pPr>
            <w:r>
              <w:rPr>
                <w:rFonts w:ascii="Calibri" w:hAnsi="Calibri"/>
                <w:sz w:val="16"/>
              </w:rPr>
              <w:t>Current verified documentation</w:t>
            </w:r>
          </w:p>
        </w:tc>
        <w:tc>
          <w:tcPr>
            <w:tcW w:type="dxa" w:w="2460"/>
            <w:vAlign w:val="center"/>
            <w:tcMar>
              <w:top w:w="80" w:type="dxa"/>
              <w:start w:w="120" w:type="dxa"/>
              <w:bottom w:w="80" w:type="dxa"/>
              <w:end w:w="120" w:type="dxa"/>
            </w:tcMar>
            <w:shd w:fill="FFFFFF"/>
          </w:tcPr>
          <w:p>
            <w:pPr>
              <w:spacing w:after="20"/>
            </w:pPr>
            <w:r>
              <w:rPr>
                <w:rFonts w:ascii="Calibri" w:hAnsi="Calibri"/>
                <w:sz w:val="16"/>
              </w:rPr>
              <w:t>HTML and SHA-256 retained</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EVD-002</w:t>
            </w:r>
          </w:p>
        </w:tc>
        <w:tc>
          <w:tcPr>
            <w:tcW w:type="dxa" w:w="2900"/>
            <w:vAlign w:val="center"/>
            <w:tcMar>
              <w:top w:w="80" w:type="dxa"/>
              <w:start w:w="120" w:type="dxa"/>
              <w:bottom w:w="80" w:type="dxa"/>
              <w:end w:w="120" w:type="dxa"/>
            </w:tcMar>
            <w:shd w:fill="F2F4F7"/>
          </w:tcPr>
          <w:p>
            <w:pPr>
              <w:spacing w:after="20"/>
            </w:pPr>
            <w:r>
              <w:rPr>
                <w:rFonts w:ascii="Calibri" w:hAnsi="Calibri"/>
                <w:sz w:val="16"/>
              </w:rPr>
              <w:t>Troubleshooting documentation</w:t>
            </w:r>
          </w:p>
        </w:tc>
        <w:tc>
          <w:tcPr>
            <w:tcW w:type="dxa" w:w="2500"/>
            <w:vAlign w:val="center"/>
            <w:tcMar>
              <w:top w:w="80" w:type="dxa"/>
              <w:start w:w="120" w:type="dxa"/>
              <w:bottom w:w="80" w:type="dxa"/>
              <w:end w:w="120" w:type="dxa"/>
            </w:tcMar>
            <w:shd w:fill="F2F4F7"/>
          </w:tcPr>
          <w:p>
            <w:pPr>
              <w:spacing w:after="20"/>
            </w:pPr>
            <w:r>
              <w:rPr>
                <w:rFonts w:ascii="Calibri" w:hAnsi="Calibri"/>
                <w:sz w:val="16"/>
              </w:rPr>
              <w:t>Current verified documentation</w:t>
            </w:r>
          </w:p>
        </w:tc>
        <w:tc>
          <w:tcPr>
            <w:tcW w:type="dxa" w:w="2460"/>
            <w:vAlign w:val="center"/>
            <w:tcMar>
              <w:top w:w="80" w:type="dxa"/>
              <w:start w:w="120" w:type="dxa"/>
              <w:bottom w:w="80" w:type="dxa"/>
              <w:end w:w="120" w:type="dxa"/>
            </w:tcMar>
            <w:shd w:fill="F2F4F7"/>
          </w:tcPr>
          <w:p>
            <w:pPr>
              <w:spacing w:after="20"/>
            </w:pPr>
            <w:r>
              <w:rPr>
                <w:rFonts w:ascii="Calibri" w:hAnsi="Calibri"/>
                <w:sz w:val="16"/>
              </w:rPr>
              <w:t>HTML and SHA-256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EVD-003</w:t>
            </w:r>
          </w:p>
        </w:tc>
        <w:tc>
          <w:tcPr>
            <w:tcW w:type="dxa" w:w="2900"/>
            <w:vAlign w:val="center"/>
            <w:tcMar>
              <w:top w:w="80" w:type="dxa"/>
              <w:start w:w="120" w:type="dxa"/>
              <w:bottom w:w="80" w:type="dxa"/>
              <w:end w:w="120" w:type="dxa"/>
            </w:tcMar>
            <w:shd w:fill="FFFFFF"/>
          </w:tcPr>
          <w:p>
            <w:pPr>
              <w:spacing w:after="20"/>
            </w:pPr>
            <w:r>
              <w:rPr>
                <w:rFonts w:ascii="Calibri" w:hAnsi="Calibri"/>
                <w:sz w:val="16"/>
              </w:rPr>
              <w:t>Signed comparator commit</w:t>
            </w:r>
          </w:p>
        </w:tc>
        <w:tc>
          <w:tcPr>
            <w:tcW w:type="dxa" w:w="2500"/>
            <w:vAlign w:val="center"/>
            <w:tcMar>
              <w:top w:w="80" w:type="dxa"/>
              <w:start w:w="120" w:type="dxa"/>
              <w:bottom w:w="80" w:type="dxa"/>
              <w:end w:w="120" w:type="dxa"/>
            </w:tcMar>
            <w:shd w:fill="FFFFFF"/>
          </w:tcPr>
          <w:p>
            <w:pPr>
              <w:spacing w:after="20"/>
            </w:pPr>
            <w:r>
              <w:rPr>
                <w:rFonts w:ascii="Calibri" w:hAnsi="Calibri"/>
                <w:sz w:val="16"/>
              </w:rPr>
              <w:t>Current verified comparator</w:t>
            </w:r>
          </w:p>
        </w:tc>
        <w:tc>
          <w:tcPr>
            <w:tcW w:type="dxa" w:w="2460"/>
            <w:vAlign w:val="center"/>
            <w:tcMar>
              <w:top w:w="80" w:type="dxa"/>
              <w:start w:w="120" w:type="dxa"/>
              <w:bottom w:w="80" w:type="dxa"/>
              <w:end w:w="120" w:type="dxa"/>
            </w:tcMar>
            <w:shd w:fill="FFFFFF"/>
          </w:tcPr>
          <w:p>
            <w:pPr>
              <w:spacing w:after="20"/>
            </w:pPr>
            <w:r>
              <w:rPr>
                <w:rFonts w:ascii="Calibri" w:hAnsi="Calibri"/>
                <w:sz w:val="16"/>
              </w:rPr>
              <w:t>GitHub JSON retained</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EVD-004</w:t>
            </w:r>
          </w:p>
        </w:tc>
        <w:tc>
          <w:tcPr>
            <w:tcW w:type="dxa" w:w="2900"/>
            <w:vAlign w:val="center"/>
            <w:tcMar>
              <w:top w:w="80" w:type="dxa"/>
              <w:start w:w="120" w:type="dxa"/>
              <w:bottom w:w="80" w:type="dxa"/>
              <w:end w:w="120" w:type="dxa"/>
            </w:tcMar>
            <w:shd w:fill="F2F4F7"/>
          </w:tcPr>
          <w:p>
            <w:pPr>
              <w:spacing w:after="20"/>
            </w:pPr>
            <w:r>
              <w:rPr>
                <w:rFonts w:ascii="Calibri" w:hAnsi="Calibri"/>
                <w:sz w:val="16"/>
              </w:rPr>
              <w:t>Comparator source archive</w:t>
            </w:r>
          </w:p>
        </w:tc>
        <w:tc>
          <w:tcPr>
            <w:tcW w:type="dxa" w:w="2500"/>
            <w:vAlign w:val="center"/>
            <w:tcMar>
              <w:top w:w="80" w:type="dxa"/>
              <w:start w:w="120" w:type="dxa"/>
              <w:bottom w:w="80" w:type="dxa"/>
              <w:end w:w="120" w:type="dxa"/>
            </w:tcMar>
            <w:shd w:fill="F2F4F7"/>
          </w:tcPr>
          <w:p>
            <w:pPr>
              <w:spacing w:after="20"/>
            </w:pPr>
            <w:r>
              <w:rPr>
                <w:rFonts w:ascii="Calibri" w:hAnsi="Calibri"/>
                <w:sz w:val="16"/>
              </w:rPr>
              <w:t>Current verified comparator</w:t>
            </w:r>
          </w:p>
        </w:tc>
        <w:tc>
          <w:tcPr>
            <w:tcW w:type="dxa" w:w="2460"/>
            <w:vAlign w:val="center"/>
            <w:tcMar>
              <w:top w:w="80" w:type="dxa"/>
              <w:start w:w="120" w:type="dxa"/>
              <w:bottom w:w="80" w:type="dxa"/>
              <w:end w:w="120" w:type="dxa"/>
            </w:tcMar>
            <w:shd w:fill="F2F4F7"/>
          </w:tcPr>
          <w:p>
            <w:pPr>
              <w:spacing w:after="20"/>
            </w:pPr>
            <w:r>
              <w:rPr>
                <w:rFonts w:ascii="Calibri" w:hAnsi="Calibri"/>
                <w:sz w:val="16"/>
              </w:rPr>
              <w:t>Archive and inventory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EVD-005</w:t>
            </w:r>
          </w:p>
        </w:tc>
        <w:tc>
          <w:tcPr>
            <w:tcW w:type="dxa" w:w="2900"/>
            <w:vAlign w:val="center"/>
            <w:tcMar>
              <w:top w:w="80" w:type="dxa"/>
              <w:start w:w="120" w:type="dxa"/>
              <w:bottom w:w="80" w:type="dxa"/>
              <w:end w:w="120" w:type="dxa"/>
            </w:tcMar>
            <w:shd w:fill="FFFFFF"/>
          </w:tcPr>
          <w:p>
            <w:pPr>
              <w:spacing w:after="20"/>
            </w:pPr>
            <w:r>
              <w:rPr>
                <w:rFonts w:ascii="Calibri" w:hAnsi="Calibri"/>
                <w:sz w:val="16"/>
              </w:rPr>
              <w:t>ClamAV and Semgrep</w:t>
            </w:r>
          </w:p>
        </w:tc>
        <w:tc>
          <w:tcPr>
            <w:tcW w:type="dxa" w:w="2500"/>
            <w:vAlign w:val="center"/>
            <w:tcMar>
              <w:top w:w="80" w:type="dxa"/>
              <w:start w:w="120" w:type="dxa"/>
              <w:bottom w:w="80" w:type="dxa"/>
              <w:end w:w="120" w:type="dxa"/>
            </w:tcMar>
            <w:shd w:fill="FFFFFF"/>
          </w:tcPr>
          <w:p>
            <w:pPr>
              <w:spacing w:after="20"/>
            </w:pPr>
            <w:r>
              <w:rPr>
                <w:rFonts w:ascii="Calibri" w:hAnsi="Calibri"/>
                <w:sz w:val="16"/>
              </w:rPr>
              <w:t>Current with limitations</w:t>
            </w:r>
          </w:p>
        </w:tc>
        <w:tc>
          <w:tcPr>
            <w:tcW w:type="dxa" w:w="2460"/>
            <w:vAlign w:val="center"/>
            <w:tcMar>
              <w:top w:w="80" w:type="dxa"/>
              <w:start w:w="120" w:type="dxa"/>
              <w:bottom w:w="80" w:type="dxa"/>
              <w:end w:w="120" w:type="dxa"/>
            </w:tcMar>
            <w:shd w:fill="FFFFFF"/>
          </w:tcPr>
          <w:p>
            <w:pPr>
              <w:spacing w:after="20"/>
            </w:pPr>
            <w:r>
              <w:rPr>
                <w:rFonts w:ascii="Calibri" w:hAnsi="Calibri"/>
                <w:sz w:val="16"/>
              </w:rPr>
              <w:t>Machine-readable/log evidence</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EVD-006</w:t>
            </w:r>
          </w:p>
        </w:tc>
        <w:tc>
          <w:tcPr>
            <w:tcW w:type="dxa" w:w="2900"/>
            <w:vAlign w:val="center"/>
            <w:tcMar>
              <w:top w:w="80" w:type="dxa"/>
              <w:start w:w="120" w:type="dxa"/>
              <w:bottom w:w="80" w:type="dxa"/>
              <w:end w:w="120" w:type="dxa"/>
            </w:tcMar>
            <w:shd w:fill="F2F4F7"/>
          </w:tcPr>
          <w:p>
            <w:pPr>
              <w:spacing w:after="20"/>
            </w:pPr>
            <w:r>
              <w:rPr>
                <w:rFonts w:ascii="Calibri" w:hAnsi="Calibri"/>
                <w:sz w:val="16"/>
              </w:rPr>
              <w:t>Representative runtime</w:t>
            </w:r>
          </w:p>
        </w:tc>
        <w:tc>
          <w:tcPr>
            <w:tcW w:type="dxa" w:w="2500"/>
            <w:vAlign w:val="center"/>
            <w:tcMar>
              <w:top w:w="80" w:type="dxa"/>
              <w:start w:w="120" w:type="dxa"/>
              <w:bottom w:w="80" w:type="dxa"/>
              <w:end w:w="120" w:type="dxa"/>
            </w:tcMar>
            <w:shd w:fill="F2F4F7"/>
          </w:tcPr>
          <w:p>
            <w:pPr>
              <w:spacing w:after="20"/>
            </w:pPr>
            <w:r>
              <w:rPr>
                <w:rFonts w:ascii="Calibri" w:hAnsi="Calibri"/>
                <w:sz w:val="16"/>
              </w:rPr>
              <w:t>Blocked / not observed</w:t>
            </w:r>
          </w:p>
        </w:tc>
        <w:tc>
          <w:tcPr>
            <w:tcW w:type="dxa" w:w="2460"/>
            <w:vAlign w:val="center"/>
            <w:tcMar>
              <w:top w:w="80" w:type="dxa"/>
              <w:start w:w="120" w:type="dxa"/>
              <w:bottom w:w="80" w:type="dxa"/>
              <w:end w:w="120" w:type="dxa"/>
            </w:tcMar>
            <w:shd w:fill="F2F4F7"/>
          </w:tcPr>
          <w:p>
            <w:pPr>
              <w:spacing w:after="20"/>
            </w:pPr>
            <w:r>
              <w:rPr>
                <w:rFonts w:ascii="Calibri" w:hAnsi="Calibri"/>
                <w:sz w:val="16"/>
              </w:rPr>
              <w:t>Verification plan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EVD-007</w:t>
            </w:r>
          </w:p>
        </w:tc>
        <w:tc>
          <w:tcPr>
            <w:tcW w:type="dxa" w:w="2900"/>
            <w:vAlign w:val="center"/>
            <w:tcMar>
              <w:top w:w="80" w:type="dxa"/>
              <w:start w:w="120" w:type="dxa"/>
              <w:bottom w:w="80" w:type="dxa"/>
              <w:end w:w="120" w:type="dxa"/>
            </w:tcMar>
            <w:shd w:fill="FFFFFF"/>
          </w:tcPr>
          <w:p>
            <w:pPr>
              <w:spacing w:after="20"/>
            </w:pPr>
            <w:r>
              <w:rPr>
                <w:rFonts w:ascii="Calibri" w:hAnsi="Calibri"/>
                <w:sz w:val="16"/>
              </w:rPr>
              <w:t>Historical report</w:t>
            </w:r>
          </w:p>
        </w:tc>
        <w:tc>
          <w:tcPr>
            <w:tcW w:type="dxa" w:w="2500"/>
            <w:vAlign w:val="center"/>
            <w:tcMar>
              <w:top w:w="80" w:type="dxa"/>
              <w:start w:w="120" w:type="dxa"/>
              <w:bottom w:w="80" w:type="dxa"/>
              <w:end w:w="120" w:type="dxa"/>
            </w:tcMar>
            <w:shd w:fill="FFFFFF"/>
          </w:tcPr>
          <w:p>
            <w:pPr>
              <w:spacing w:after="20"/>
            </w:pPr>
            <w:r>
              <w:rPr>
                <w:rFonts w:ascii="Calibri" w:hAnsi="Calibri"/>
                <w:sz w:val="16"/>
              </w:rPr>
              <w:t>Missing</w:t>
            </w:r>
          </w:p>
        </w:tc>
        <w:tc>
          <w:tcPr>
            <w:tcW w:type="dxa" w:w="2460"/>
            <w:vAlign w:val="center"/>
            <w:tcMar>
              <w:top w:w="80" w:type="dxa"/>
              <w:start w:w="120" w:type="dxa"/>
              <w:bottom w:w="80" w:type="dxa"/>
              <w:end w:w="120" w:type="dxa"/>
            </w:tcMar>
            <w:shd w:fill="FFFFFF"/>
          </w:tcPr>
          <w:p>
            <w:pPr>
              <w:spacing w:after="20"/>
            </w:pPr>
            <w:r>
              <w:rPr>
                <w:rFonts w:ascii="Calibri" w:hAnsi="Calibri"/>
                <w:sz w:val="16"/>
              </w:rPr>
              <w:t>Task-record provenance retained</w:t>
            </w:r>
          </w:p>
        </w:tc>
      </w:tr>
    </w:tbl>
    <w:p/>
    <w:p>
      <w:pPr>
        <w:pStyle w:val="Heading1"/>
      </w:pPr>
      <w:r>
        <w:t>References</w:t>
      </w:r>
    </w:p>
    <w:p>
      <w:bookmarkStart w:id="5001" w:name="REF_001"/>
      <w:bookmarkEnd w:id="5001"/>
      <w:r>
        <w:t xml:space="preserve">REF-001 - Set up the remote Azure DevOps MCP Server. Microsoft. </w:t>
      </w:r>
      <w:hyperlink r:id="rId12">
        <w:r>
          <w:rPr>
            <w:color w:val="0563C1"/>
            <w:u w:val="single"/>
          </w:rPr>
          <w:t>Open primary source</w:t>
        </w:r>
      </w:hyperlink>
      <w:r>
        <w:t xml:space="preserve"> Accessed 25 July 2026.</w:t>
      </w:r>
    </w:p>
    <w:p>
      <w:bookmarkStart w:id="5002" w:name="REF_002"/>
      <w:bookmarkEnd w:id="5002"/>
      <w:r>
        <w:t xml:space="preserve">REF-002 - Troubleshoot the remote Azure DevOps MCP Server. Microsoft. </w:t>
      </w:r>
      <w:hyperlink r:id="rId13">
        <w:r>
          <w:rPr>
            <w:color w:val="0563C1"/>
            <w:u w:val="single"/>
          </w:rPr>
          <w:t>Open primary source</w:t>
        </w:r>
      </w:hyperlink>
      <w:r>
        <w:t xml:space="preserve"> Accessed 25 July 2026.</w:t>
      </w:r>
    </w:p>
    <w:p>
      <w:bookmarkStart w:id="5003" w:name="REF_003"/>
      <w:bookmarkEnd w:id="5003"/>
      <w:r>
        <w:t xml:space="preserve">REF-003 - Azure DevOps MCP source repository. Microsoft. </w:t>
      </w:r>
      <w:hyperlink r:id="rId14">
        <w:r>
          <w:rPr>
            <w:color w:val="0563C1"/>
            <w:u w:val="single"/>
          </w:rPr>
          <w:t>Open primary source</w:t>
        </w:r>
      </w:hyperlink>
      <w:r>
        <w:t xml:space="preserve"> Accessed 25 July 2026.</w:t>
      </w:r>
    </w:p>
    <w:p>
      <w:bookmarkStart w:id="5004" w:name="REF_004"/>
      <w:bookmarkEnd w:id="5004"/>
      <w:r>
        <w:t xml:space="preserve">REF-004 - Azure DevOps data locations. Microsoft. </w:t>
      </w:r>
      <w:hyperlink r:id="rId15">
        <w:r>
          <w:rPr>
            <w:color w:val="0563C1"/>
            <w:u w:val="single"/>
          </w:rPr>
          <w:t>Open primary source</w:t>
        </w:r>
      </w:hyperlink>
      <w:r>
        <w:t xml:space="preserve"> Accessed 25 July 2026.</w:t>
      </w:r>
    </w:p>
    <w:p>
      <w:bookmarkStart w:id="5005" w:name="REF_005"/>
      <w:bookmarkEnd w:id="5005"/>
      <w:r>
        <w:t xml:space="preserve">REF-005 - Azure DevOps data protection overview. Microsoft. </w:t>
      </w:r>
      <w:hyperlink r:id="rId16">
        <w:r>
          <w:rPr>
            <w:color w:val="0563C1"/>
            <w:u w:val="single"/>
          </w:rPr>
          <w:t>Open primary source</w:t>
        </w:r>
      </w:hyperlink>
      <w:r>
        <w:t xml:space="preserve"> Accessed 25 July 2026.</w:t>
      </w:r>
    </w:p>
    <w:p>
      <w:bookmarkStart w:id="5006" w:name="REF_006"/>
      <w:bookmarkEnd w:id="5006"/>
      <w:r>
        <w:t xml:space="preserve">REF-006 - Azure DevOps auditing table. Microsoft. </w:t>
      </w:r>
      <w:hyperlink r:id="rId17">
        <w:r>
          <w:rPr>
            <w:color w:val="0563C1"/>
            <w:u w:val="single"/>
          </w:rPr>
          <w:t>Open primary source</w:t>
        </w:r>
      </w:hyperlink>
      <w:r>
        <w:t xml:space="preserve"> Accessed 25 July 2026.</w:t>
      </w:r>
    </w:p>
    <w:p>
      <w:bookmarkStart w:id="5007" w:name="REF_007"/>
      <w:bookmarkEnd w:id="5007"/>
      <w:r>
        <w:t xml:space="preserve">REF-007 - Microsoft Products and Services DPA. Microsoft. </w:t>
      </w:r>
      <w:hyperlink r:id="rId18">
        <w:r>
          <w:rPr>
            <w:color w:val="0563C1"/>
            <w:u w:val="single"/>
          </w:rPr>
          <w:t>Open primary source</w:t>
        </w:r>
      </w:hyperlink>
      <w:r>
        <w:t xml:space="preserve"> Accessed 25 July 2026.</w:t>
      </w:r>
    </w:p>
    <w:p>
      <w:bookmarkStart w:id="5008" w:name="REF_008"/>
      <w:bookmarkEnd w:id="5008"/>
      <w:r>
        <w:t xml:space="preserve">REF-008 - VS Code MCP servers. Microsoft. </w:t>
      </w:r>
      <w:hyperlink r:id="rId19">
        <w:r>
          <w:rPr>
            <w:color w:val="0563C1"/>
            <w:u w:val="single"/>
          </w:rPr>
          <w:t>Open primary source</w:t>
        </w:r>
      </w:hyperlink>
      <w:r>
        <w:t xml:space="preserve"> Accessed 25 July 2026.</w:t>
      </w:r>
    </w:p>
    <w:p>
      <w:bookmarkStart w:id="5009" w:name="REF_009"/>
      <w:bookmarkEnd w:id="5009"/>
      <w:r>
        <w:t xml:space="preserve">REF-009 - Visual Studio MCP servers. Microsoft. </w:t>
      </w:r>
      <w:hyperlink r:id="rId20">
        <w:r>
          <w:rPr>
            <w:color w:val="0563C1"/>
            <w:u w:val="single"/>
          </w:rPr>
          <w:t>Open primary source</w:t>
        </w:r>
      </w:hyperlink>
      <w:r>
        <w:t xml:space="preserve"> Accessed 25 July 2026.</w:t>
      </w:r>
    </w:p>
    <w:p>
      <w:bookmarkStart w:id="5010" w:name="REF_010"/>
      <w:bookmarkEnd w:id="5010"/>
      <w:r>
        <w:t xml:space="preserve">REF-010 - OWASP Top 10 for LLM Applications 2025. OWASP. </w:t>
      </w:r>
      <w:hyperlink r:id="rId21">
        <w:r>
          <w:rPr>
            <w:color w:val="0563C1"/>
            <w:u w:val="single"/>
          </w:rPr>
          <w:t>Open primary source</w:t>
        </w:r>
      </w:hyperlink>
      <w:r>
        <w:t xml:space="preserve"> Accessed 25 July 2026.</w:t>
      </w:r>
    </w:p>
    <w:p>
      <w:bookmarkStart w:id="5011" w:name="REF_011"/>
      <w:bookmarkEnd w:id="5011"/>
      <w:r>
        <w:t xml:space="preserve">REF-011 - OWASP Top 10 for Agentic Applications 2026. OWASP. </w:t>
      </w:r>
      <w:hyperlink r:id="rId22">
        <w:r>
          <w:rPr>
            <w:color w:val="0563C1"/>
            <w:u w:val="single"/>
          </w:rPr>
          <w:t>Open primary source</w:t>
        </w:r>
      </w:hyperlink>
      <w:r>
        <w:t xml:space="preserve"> Accessed 25 July 2026.</w:t>
      </w:r>
    </w:p>
    <w:p>
      <w:bookmarkStart w:id="5012" w:name="REF_012"/>
      <w:bookmarkEnd w:id="5012"/>
      <w:r>
        <w:t xml:space="preserve">REF-012 - OWASP MCP Top 10. OWASP. </w:t>
      </w:r>
      <w:hyperlink r:id="rId23">
        <w:r>
          <w:rPr>
            <w:color w:val="0563C1"/>
            <w:u w:val="single"/>
          </w:rPr>
          <w:t>Open primary source</w:t>
        </w:r>
      </w:hyperlink>
      <w:r>
        <w:t xml:space="preserve"> Accessed 25 July 2026.</w:t>
      </w:r>
    </w:p>
    <w:p>
      <w:bookmarkStart w:id="5013" w:name="REF_013"/>
      <w:bookmarkEnd w:id="5013"/>
      <w:r>
        <w:t xml:space="preserve">REF-013 - OWASP ASVS 5.0.0. OWASP. </w:t>
      </w:r>
      <w:hyperlink r:id="rId24">
        <w:r>
          <w:rPr>
            <w:color w:val="0563C1"/>
            <w:u w:val="single"/>
          </w:rPr>
          <w:t>Open primary source</w:t>
        </w:r>
      </w:hyperlink>
      <w:r>
        <w:t xml:space="preserve"> Accessed 25 July 2026.</w:t>
      </w:r>
    </w:p>
    <w:p>
      <w:bookmarkStart w:id="5014" w:name="REF_014"/>
      <w:bookmarkEnd w:id="5014"/>
      <w:r>
        <w:t xml:space="preserve">REF-014 - NIST AI Risk Management Framework. NIST. </w:t>
      </w:r>
      <w:hyperlink r:id="rId25">
        <w:r>
          <w:rPr>
            <w:color w:val="0563C1"/>
            <w:u w:val="single"/>
          </w:rPr>
          <w:t>Open primary source</w:t>
        </w:r>
      </w:hyperlink>
      <w:r>
        <w:t xml:space="preserve"> Accessed 25 July 2026.</w:t>
      </w:r>
    </w:p>
    <w:p>
      <w:bookmarkStart w:id="5015" w:name="REF_015"/>
      <w:bookmarkEnd w:id="5015"/>
      <w:r>
        <w:t xml:space="preserve">REF-015 - NIST AI 600-1 Generative AI Profile. NIST. </w:t>
      </w:r>
      <w:hyperlink r:id="rId26">
        <w:r>
          <w:rPr>
            <w:color w:val="0563C1"/>
            <w:u w:val="single"/>
          </w:rPr>
          <w:t>Open primary source</w:t>
        </w:r>
      </w:hyperlink>
      <w:r>
        <w:t xml:space="preserve"> Accessed 25 July 2026.</w:t>
      </w:r>
    </w:p>
    <w:p>
      <w:bookmarkStart w:id="5016" w:name="REF_016"/>
      <w:bookmarkEnd w:id="5016"/>
      <w:r>
        <w:t xml:space="preserve">REF-016 - NCSC secure AI system development. UK NCSC. </w:t>
      </w:r>
      <w:hyperlink r:id="rId27">
        <w:r>
          <w:rPr>
            <w:color w:val="0563C1"/>
            <w:u w:val="single"/>
          </w:rPr>
          <w:t>Open primary source</w:t>
        </w:r>
      </w:hyperlink>
      <w:r>
        <w:t xml:space="preserve"> Accessed 25 July 2026.</w:t>
      </w:r>
    </w:p>
    <w:p>
      <w:bookmarkStart w:id="5017" w:name="REF_017"/>
      <w:bookmarkEnd w:id="5017"/>
      <w:r>
        <w:t xml:space="preserve">REF-017 - ICO AI and data-protection guidance. ICO. </w:t>
      </w:r>
      <w:hyperlink r:id="rId28">
        <w:r>
          <w:rPr>
            <w:color w:val="0563C1"/>
            <w:u w:val="single"/>
          </w:rPr>
          <w:t>Open primary source</w:t>
        </w:r>
      </w:hyperlink>
      <w:r>
        <w:t xml:space="preserve"> Accessed 25 July 2026.</w:t>
      </w:r>
    </w:p>
    <w:p>
      <w:bookmarkStart w:id="5018" w:name="REF_018"/>
      <w:bookmarkEnd w:id="5018"/>
      <w:r>
        <w:t xml:space="preserve">REF-018 - FCA operational resilience. FCA. </w:t>
      </w:r>
      <w:hyperlink r:id="rId29">
        <w:r>
          <w:rPr>
            <w:color w:val="0563C1"/>
            <w:u w:val="single"/>
          </w:rPr>
          <w:t>Open primary source</w:t>
        </w:r>
      </w:hyperlink>
      <w:r>
        <w:t xml:space="preserve"> Accessed 25 July 2026.</w:t>
      </w:r>
    </w:p>
    <w:p>
      <w:bookmarkStart w:id="5019" w:name="REF_019"/>
      <w:bookmarkEnd w:id="5019"/>
      <w:r>
        <w:t xml:space="preserve">REF-019 - PRA SS2/21 third-party risk. PRA. </w:t>
      </w:r>
      <w:hyperlink r:id="rId30">
        <w:r>
          <w:rPr>
            <w:color w:val="0563C1"/>
            <w:u w:val="single"/>
          </w:rPr>
          <w:t>Open primary source</w:t>
        </w:r>
      </w:hyperlink>
      <w:r>
        <w:t xml:space="preserve"> Accessed 25 July 2026.</w:t>
      </w:r>
    </w:p>
    <w:p>
      <w:pPr>
        <w:pStyle w:val="Heading1"/>
      </w:pPr>
      <w:r>
        <w:t>Appendices</w:t>
      </w:r>
    </w:p>
    <w:p>
      <w:pPr>
        <w:pStyle w:val="Heading2"/>
      </w:pPr>
      <w:r>
        <w:t>Appendix A - Host Verification Procedure</w:t>
      </w:r>
    </w:p>
    <w:p>
      <w:pPr>
        <w:widowControl/>
      </w:pPr>
      <w:r>
        <w:t>Provision disposable Windows 11 VS Code and Visual Studio hosts and a disposable macOS VS Code host; use a synthetic Azure DevOps tenant and dedicated Entra identity; baseline configuration, processes, files, token stores, network, logs and tool schemas; configure read-only exact tools; exercise benign and adversarial workflows; capture network and audit correlation; test denied writes, injection canaries, token revocation, schema drift, failure behavior, update and uninstall; destroy tenant data and hosts; retain sanitised evidence and immutable hashes.</w:t>
      </w:r>
    </w:p>
    <w:p>
      <w:pPr>
        <w:pStyle w:val="Heading2"/>
      </w:pPr>
      <w:r>
        <w:t>Appendix B - Secure Configuration Baseline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Setting</w:t>
            </w:r>
          </w:p>
        </w:tc>
        <w:tc>
          <w:tcPr>
            <w:tcW w:type="dxa" w:w="3500"/>
            <w:vAlign w:val="center"/>
            <w:tcMar>
              <w:top w:w="80" w:type="dxa"/>
              <w:start w:w="120" w:type="dxa"/>
              <w:bottom w:w="80" w:type="dxa"/>
              <w:end w:w="120" w:type="dxa"/>
            </w:tcMar>
            <w:shd w:fill="17365D"/>
          </w:tcPr>
          <w:p>
            <w:pPr>
              <w:spacing w:after="20"/>
            </w:pPr>
            <w:r>
              <w:rPr>
                <w:rFonts w:ascii="Calibri" w:hAnsi="Calibri"/>
                <w:b/>
                <w:color w:val="FFFFFF"/>
                <w:sz w:val="16"/>
              </w:rPr>
              <w:t>Required value</w:t>
            </w:r>
          </w:p>
        </w:tc>
        <w:tc>
          <w:tcPr>
            <w:tcW w:type="dxa" w:w="3460"/>
            <w:vAlign w:val="center"/>
            <w:tcMar>
              <w:top w:w="80" w:type="dxa"/>
              <w:start w:w="120" w:type="dxa"/>
              <w:bottom w:w="80" w:type="dxa"/>
              <w:end w:w="120" w:type="dxa"/>
            </w:tcMar>
            <w:shd w:fill="17365D"/>
          </w:tcPr>
          <w:p>
            <w:pPr>
              <w:spacing w:after="20"/>
            </w:pPr>
            <w:r>
              <w:rPr>
                <w:rFonts w:ascii="Calibri" w:hAnsi="Calibri"/>
                <w:b/>
                <w:color w:val="FFFFFF"/>
                <w:sz w:val="16"/>
              </w:rPr>
              <w:t>Failure behavior</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Endpoint</w:t>
            </w:r>
          </w:p>
        </w:tc>
        <w:tc>
          <w:tcPr>
            <w:tcW w:type="dxa" w:w="3500"/>
            <w:vAlign w:val="center"/>
            <w:tcMar>
              <w:top w:w="80" w:type="dxa"/>
              <w:start w:w="120" w:type="dxa"/>
              <w:bottom w:w="80" w:type="dxa"/>
              <w:end w:w="120" w:type="dxa"/>
            </w:tcMar>
            <w:shd w:fill="FFFFFF"/>
          </w:tcPr>
          <w:p>
            <w:pPr>
              <w:spacing w:after="20"/>
            </w:pPr>
            <w:r>
              <w:rPr>
                <w:rFonts w:ascii="Calibri" w:hAnsi="Calibri"/>
                <w:sz w:val="16"/>
              </w:rPr>
              <w:t>Exact organisation HTTPS URL</w:t>
            </w:r>
          </w:p>
        </w:tc>
        <w:tc>
          <w:tcPr>
            <w:tcW w:type="dxa" w:w="3460"/>
            <w:vAlign w:val="center"/>
            <w:tcMar>
              <w:top w:w="80" w:type="dxa"/>
              <w:start w:w="120" w:type="dxa"/>
              <w:bottom w:w="80" w:type="dxa"/>
              <w:end w:w="120" w:type="dxa"/>
            </w:tcMar>
            <w:shd w:fill="FFFFFF"/>
          </w:tcPr>
          <w:p>
            <w:pPr>
              <w:spacing w:after="20"/>
            </w:pPr>
            <w:r>
              <w:rPr>
                <w:rFonts w:ascii="Calibri" w:hAnsi="Calibri"/>
                <w:sz w:val="16"/>
              </w:rPr>
              <w:t>Do not connect</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X-MCP-Readonly</w:t>
            </w:r>
          </w:p>
        </w:tc>
        <w:tc>
          <w:tcPr>
            <w:tcW w:type="dxa" w:w="3500"/>
            <w:vAlign w:val="center"/>
            <w:tcMar>
              <w:top w:w="80" w:type="dxa"/>
              <w:start w:w="120" w:type="dxa"/>
              <w:bottom w:w="80" w:type="dxa"/>
              <w:end w:w="120" w:type="dxa"/>
            </w:tcMar>
            <w:shd w:fill="F2F4F7"/>
          </w:tcPr>
          <w:p>
            <w:pPr>
              <w:spacing w:after="20"/>
            </w:pPr>
            <w:r>
              <w:rPr>
                <w:rFonts w:ascii="Calibri" w:hAnsi="Calibri"/>
                <w:sz w:val="16"/>
              </w:rPr>
              <w:t>true</w:t>
            </w:r>
          </w:p>
        </w:tc>
        <w:tc>
          <w:tcPr>
            <w:tcW w:type="dxa" w:w="3460"/>
            <w:vAlign w:val="center"/>
            <w:tcMar>
              <w:top w:w="80" w:type="dxa"/>
              <w:start w:w="120" w:type="dxa"/>
              <w:bottom w:w="80" w:type="dxa"/>
              <w:end w:w="120" w:type="dxa"/>
            </w:tcMar>
            <w:shd w:fill="F2F4F7"/>
          </w:tcPr>
          <w:p>
            <w:pPr>
              <w:spacing w:after="20"/>
            </w:pPr>
            <w:r>
              <w:rPr>
                <w:rFonts w:ascii="Calibri" w:hAnsi="Calibri"/>
                <w:sz w:val="16"/>
              </w:rPr>
              <w:t>Do not connect</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Tool filter</w:t>
            </w:r>
          </w:p>
        </w:tc>
        <w:tc>
          <w:tcPr>
            <w:tcW w:type="dxa" w:w="3500"/>
            <w:vAlign w:val="center"/>
            <w:tcMar>
              <w:top w:w="80" w:type="dxa"/>
              <w:start w:w="120" w:type="dxa"/>
              <w:bottom w:w="80" w:type="dxa"/>
              <w:end w:w="120" w:type="dxa"/>
            </w:tcMar>
            <w:shd w:fill="FFFFFF"/>
          </w:tcPr>
          <w:p>
            <w:pPr>
              <w:spacing w:after="20"/>
            </w:pPr>
            <w:r>
              <w:rPr>
                <w:rFonts w:ascii="Calibri" w:hAnsi="Calibri"/>
                <w:sz w:val="16"/>
              </w:rPr>
              <w:t>Exact approved X-MCP-Tools</w:t>
            </w:r>
          </w:p>
        </w:tc>
        <w:tc>
          <w:tcPr>
            <w:tcW w:type="dxa" w:w="3460"/>
            <w:vAlign w:val="center"/>
            <w:tcMar>
              <w:top w:w="80" w:type="dxa"/>
              <w:start w:w="120" w:type="dxa"/>
              <w:bottom w:w="80" w:type="dxa"/>
              <w:end w:w="120" w:type="dxa"/>
            </w:tcMar>
            <w:shd w:fill="FFFFFF"/>
          </w:tcPr>
          <w:p>
            <w:pPr>
              <w:spacing w:after="20"/>
            </w:pPr>
            <w:r>
              <w:rPr>
                <w:rFonts w:ascii="Calibri" w:hAnsi="Calibri"/>
                <w:sz w:val="16"/>
              </w:rPr>
              <w:t>No tools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Identity</w:t>
            </w:r>
          </w:p>
        </w:tc>
        <w:tc>
          <w:tcPr>
            <w:tcW w:type="dxa" w:w="3500"/>
            <w:vAlign w:val="center"/>
            <w:tcMar>
              <w:top w:w="80" w:type="dxa"/>
              <w:start w:w="120" w:type="dxa"/>
              <w:bottom w:w="80" w:type="dxa"/>
              <w:end w:w="120" w:type="dxa"/>
            </w:tcMar>
            <w:shd w:fill="F2F4F7"/>
          </w:tcPr>
          <w:p>
            <w:pPr>
              <w:spacing w:after="20"/>
            </w:pPr>
            <w:r>
              <w:rPr>
                <w:rFonts w:ascii="Calibri" w:hAnsi="Calibri"/>
                <w:sz w:val="16"/>
              </w:rPr>
              <w:t>Dedicated least privilege</w:t>
            </w:r>
          </w:p>
        </w:tc>
        <w:tc>
          <w:tcPr>
            <w:tcW w:type="dxa" w:w="3460"/>
            <w:vAlign w:val="center"/>
            <w:tcMar>
              <w:top w:w="80" w:type="dxa"/>
              <w:start w:w="120" w:type="dxa"/>
              <w:bottom w:w="80" w:type="dxa"/>
              <w:end w:w="120" w:type="dxa"/>
            </w:tcMar>
            <w:shd w:fill="F2F4F7"/>
          </w:tcPr>
          <w:p>
            <w:pPr>
              <w:spacing w:after="20"/>
            </w:pPr>
            <w:r>
              <w:rPr>
                <w:rFonts w:ascii="Calibri" w:hAnsi="Calibri"/>
                <w:sz w:val="16"/>
              </w:rPr>
              <w:t>Authentication denied</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Approval</w:t>
            </w:r>
          </w:p>
        </w:tc>
        <w:tc>
          <w:tcPr>
            <w:tcW w:type="dxa" w:w="3500"/>
            <w:vAlign w:val="center"/>
            <w:tcMar>
              <w:top w:w="80" w:type="dxa"/>
              <w:start w:w="120" w:type="dxa"/>
              <w:bottom w:w="80" w:type="dxa"/>
              <w:end w:w="120" w:type="dxa"/>
            </w:tcMar>
            <w:shd w:fill="FFFFFF"/>
          </w:tcPr>
          <w:p>
            <w:pPr>
              <w:spacing w:after="20"/>
            </w:pPr>
            <w:r>
              <w:rPr>
                <w:rFonts w:ascii="Calibri" w:hAnsi="Calibri"/>
                <w:sz w:val="16"/>
              </w:rPr>
              <w:t>Per invocation for material actions</w:t>
            </w:r>
          </w:p>
        </w:tc>
        <w:tc>
          <w:tcPr>
            <w:tcW w:type="dxa" w:w="3460"/>
            <w:vAlign w:val="center"/>
            <w:tcMar>
              <w:top w:w="80" w:type="dxa"/>
              <w:start w:w="120" w:type="dxa"/>
              <w:bottom w:w="80" w:type="dxa"/>
              <w:end w:w="120" w:type="dxa"/>
            </w:tcMar>
            <w:shd w:fill="FFFFFF"/>
          </w:tcPr>
          <w:p>
            <w:pPr>
              <w:spacing w:after="20"/>
            </w:pPr>
            <w:r>
              <w:rPr>
                <w:rFonts w:ascii="Calibri" w:hAnsi="Calibri"/>
                <w:sz w:val="16"/>
              </w:rPr>
              <w:t>Action denied</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Data</w:t>
            </w:r>
          </w:p>
        </w:tc>
        <w:tc>
          <w:tcPr>
            <w:tcW w:type="dxa" w:w="3500"/>
            <w:vAlign w:val="center"/>
            <w:tcMar>
              <w:top w:w="80" w:type="dxa"/>
              <w:start w:w="120" w:type="dxa"/>
              <w:bottom w:w="80" w:type="dxa"/>
              <w:end w:w="120" w:type="dxa"/>
            </w:tcMar>
            <w:shd w:fill="F2F4F7"/>
          </w:tcPr>
          <w:p>
            <w:pPr>
              <w:spacing w:after="20"/>
            </w:pPr>
            <w:r>
              <w:rPr>
                <w:rFonts w:ascii="Calibri" w:hAnsi="Calibri"/>
                <w:sz w:val="16"/>
              </w:rPr>
              <w:t>Synthetic/non-sensitive</w:t>
            </w:r>
          </w:p>
        </w:tc>
        <w:tc>
          <w:tcPr>
            <w:tcW w:type="dxa" w:w="3460"/>
            <w:vAlign w:val="center"/>
            <w:tcMar>
              <w:top w:w="80" w:type="dxa"/>
              <w:start w:w="120" w:type="dxa"/>
              <w:bottom w:w="80" w:type="dxa"/>
              <w:end w:w="120" w:type="dxa"/>
            </w:tcMar>
            <w:shd w:fill="F2F4F7"/>
          </w:tcPr>
          <w:p>
            <w:pPr>
              <w:spacing w:after="20"/>
            </w:pPr>
            <w:r>
              <w:rPr>
                <w:rFonts w:ascii="Calibri" w:hAnsi="Calibri"/>
                <w:sz w:val="16"/>
              </w:rPr>
              <w:t>Payload blocked</w:t>
            </w:r>
          </w:p>
        </w:tc>
      </w:tr>
    </w:tbl>
    <w:p/>
    <w:p>
      <w:pPr>
        <w:pStyle w:val="Heading2"/>
      </w:pPr>
      <w:r>
        <w:t>Appendix C - Evidence-State Definitions</w:t>
      </w:r>
    </w:p>
    <w:p>
      <w:pPr>
        <w:widowControl/>
      </w:pPr>
      <w:r>
        <w:t>Verified means directly supported by retained evidence. Inferred means a reasoned conclusion from verified evidence. Not observed means the selected observation did not occur. Not applicable means the control or surface does not apply to the assessed installation. Unknown means evidence was unavailable. Blocked means the analysis was selected but prerequisites were absent. These labels prevent missing public evidence from being represented as absence.</w:t>
      </w:r>
    </w:p>
    <w:p>
      <w:pPr>
        <w:pStyle w:val="Heading1"/>
      </w:pPr>
      <w:r>
        <w:t>Glossary</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Term</w:t>
            </w:r>
          </w:p>
        </w:tc>
        <w:tc>
          <w:tcPr>
            <w:tcW w:type="dxa" w:w="7160"/>
            <w:vAlign w:val="center"/>
            <w:tcMar>
              <w:top w:w="80" w:type="dxa"/>
              <w:start w:w="120" w:type="dxa"/>
              <w:bottom w:w="80" w:type="dxa"/>
              <w:end w:w="120" w:type="dxa"/>
            </w:tcMar>
            <w:shd w:fill="17365D"/>
          </w:tcPr>
          <w:p>
            <w:pPr>
              <w:spacing w:after="20"/>
            </w:pPr>
            <w:r>
              <w:rPr>
                <w:rFonts w:ascii="Calibri" w:hAnsi="Calibri"/>
                <w:b/>
                <w:color w:val="FFFFFF"/>
                <w:sz w:val="16"/>
              </w:rPr>
              <w:t>Meaning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MCP</w:t>
            </w:r>
          </w:p>
        </w:tc>
        <w:tc>
          <w:tcPr>
            <w:tcW w:type="dxa" w:w="7160"/>
            <w:vAlign w:val="center"/>
            <w:tcMar>
              <w:top w:w="80" w:type="dxa"/>
              <w:start w:w="120" w:type="dxa"/>
              <w:bottom w:w="80" w:type="dxa"/>
              <w:end w:w="120" w:type="dxa"/>
            </w:tcMar>
            <w:shd w:fill="FFFFFF"/>
          </w:tcPr>
          <w:p>
            <w:pPr>
              <w:spacing w:after="20"/>
            </w:pPr>
            <w:r>
              <w:rPr>
                <w:rFonts w:ascii="Calibri" w:hAnsi="Calibri"/>
                <w:sz w:val="16"/>
              </w:rPr>
              <w:t>Model Context Protocol</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Entra ID</w:t>
            </w:r>
          </w:p>
        </w:tc>
        <w:tc>
          <w:tcPr>
            <w:tcW w:type="dxa" w:w="7160"/>
            <w:vAlign w:val="center"/>
            <w:tcMar>
              <w:top w:w="80" w:type="dxa"/>
              <w:start w:w="120" w:type="dxa"/>
              <w:bottom w:w="80" w:type="dxa"/>
              <w:end w:w="120" w:type="dxa"/>
            </w:tcMar>
            <w:shd w:fill="F2F4F7"/>
          </w:tcPr>
          <w:p>
            <w:pPr>
              <w:spacing w:after="20"/>
            </w:pPr>
            <w:r>
              <w:rPr>
                <w:rFonts w:ascii="Calibri" w:hAnsi="Calibri"/>
                <w:sz w:val="16"/>
              </w:rPr>
              <w:t>Microsoft cloud identity platform</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Tool allowlist</w:t>
            </w:r>
          </w:p>
        </w:tc>
        <w:tc>
          <w:tcPr>
            <w:tcW w:type="dxa" w:w="7160"/>
            <w:vAlign w:val="center"/>
            <w:tcMar>
              <w:top w:w="80" w:type="dxa"/>
              <w:start w:w="120" w:type="dxa"/>
              <w:bottom w:w="80" w:type="dxa"/>
              <w:end w:w="120" w:type="dxa"/>
            </w:tcMar>
            <w:shd w:fill="FFFFFF"/>
          </w:tcPr>
          <w:p>
            <w:pPr>
              <w:spacing w:after="20"/>
            </w:pPr>
            <w:r>
              <w:rPr>
                <w:rFonts w:ascii="Calibri" w:hAnsi="Calibri"/>
                <w:sz w:val="16"/>
              </w:rPr>
              <w:t>Exact approved MCP tool names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Prompt injection</w:t>
            </w:r>
          </w:p>
        </w:tc>
        <w:tc>
          <w:tcPr>
            <w:tcW w:type="dxa" w:w="7160"/>
            <w:vAlign w:val="center"/>
            <w:tcMar>
              <w:top w:w="80" w:type="dxa"/>
              <w:start w:w="120" w:type="dxa"/>
              <w:bottom w:w="80" w:type="dxa"/>
              <w:end w:w="120" w:type="dxa"/>
            </w:tcMar>
            <w:shd w:fill="F2F4F7"/>
          </w:tcPr>
          <w:p>
            <w:pPr>
              <w:spacing w:after="20"/>
            </w:pPr>
            <w:r>
              <w:rPr>
                <w:rFonts w:ascii="Calibri" w:hAnsi="Calibri"/>
                <w:sz w:val="16"/>
              </w:rPr>
              <w:t>Untrusted content that attempts to redirect model or agent behavior</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Control strength</w:t>
            </w:r>
          </w:p>
        </w:tc>
        <w:tc>
          <w:tcPr>
            <w:tcW w:type="dxa" w:w="7160"/>
            <w:vAlign w:val="center"/>
            <w:tcMar>
              <w:top w:w="80" w:type="dxa"/>
              <w:start w:w="120" w:type="dxa"/>
              <w:bottom w:w="80" w:type="dxa"/>
              <w:end w:w="120" w:type="dxa"/>
            </w:tcMar>
            <w:shd w:fill="FFFFFF"/>
          </w:tcPr>
          <w:p>
            <w:pPr>
              <w:spacing w:after="20"/>
            </w:pPr>
            <w:r>
              <w:rPr>
                <w:rFonts w:ascii="Calibri" w:hAnsi="Calibri"/>
                <w:sz w:val="16"/>
              </w:rPr>
              <w:t>Assurance based on enforcement and verification, not intent</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Residual risk</w:t>
            </w:r>
          </w:p>
        </w:tc>
        <w:tc>
          <w:tcPr>
            <w:tcW w:type="dxa" w:w="7160"/>
            <w:vAlign w:val="center"/>
            <w:tcMar>
              <w:top w:w="80" w:type="dxa"/>
              <w:start w:w="120" w:type="dxa"/>
              <w:bottom w:w="80" w:type="dxa"/>
              <w:end w:w="120" w:type="dxa"/>
            </w:tcMar>
            <w:shd w:fill="F2F4F7"/>
          </w:tcPr>
          <w:p>
            <w:pPr>
              <w:spacing w:after="20"/>
            </w:pPr>
            <w:r>
              <w:rPr>
                <w:rFonts w:ascii="Calibri" w:hAnsi="Calibri"/>
                <w:sz w:val="16"/>
              </w:rPr>
              <w:t>Risk remaining after crediting verified controls</w:t>
            </w:r>
          </w:p>
        </w:tc>
      </w:tr>
    </w:tbl>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Assessment Automation  |  25 July 2026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PUBLIC  |  AZURE DEVOPS REMOTE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earn.microsoft.com/en-us/azure/devops/mcp-server/remote-mcp-server?view=azure-devops" TargetMode="External"/><Relationship Id="rId13" Type="http://schemas.openxmlformats.org/officeDocument/2006/relationships/hyperlink" Target="https://learn.microsoft.com/en-us/azure/devops/mcp-server/remote-mcp-server-troubleshooting?view=azure-devops" TargetMode="External"/><Relationship Id="rId14" Type="http://schemas.openxmlformats.org/officeDocument/2006/relationships/hyperlink" Target="https://github.com/microsoft/azure-devops-mcp" TargetMode="External"/><Relationship Id="rId15" Type="http://schemas.openxmlformats.org/officeDocument/2006/relationships/hyperlink" Target="https://learn.microsoft.com/en-us/azure/devops/organizations/security/data-location?view=azure-devops" TargetMode="External"/><Relationship Id="rId16" Type="http://schemas.openxmlformats.org/officeDocument/2006/relationships/hyperlink" Target="https://learn.microsoft.com/en-us/azure/devops/organizations/security/data-protection?view=azure-devops" TargetMode="External"/><Relationship Id="rId17" Type="http://schemas.openxmlformats.org/officeDocument/2006/relationships/hyperlink" Target="https://learn.microsoft.com/en-us/azure/azure-monitor/reference/tables/azuredevopsauditing" TargetMode="External"/><Relationship Id="rId18" Type="http://schemas.openxmlformats.org/officeDocument/2006/relationships/hyperlink" Target="https://www.microsoft.com/licensing/docs/view/Microsoft-Products-and-Services-Data-Protection-Addendum-DPA" TargetMode="External"/><Relationship Id="rId19" Type="http://schemas.openxmlformats.org/officeDocument/2006/relationships/hyperlink" Target="https://code.visualstudio.com/docs/agent-customization/mcp-servers" TargetMode="External"/><Relationship Id="rId20" Type="http://schemas.openxmlformats.org/officeDocument/2006/relationships/hyperlink" Target="https://learn.microsoft.com/en-us/visualstudio/ide/mcp-servers?view=visualstudio" TargetMode="External"/><Relationship Id="rId21" Type="http://schemas.openxmlformats.org/officeDocument/2006/relationships/hyperlink" Target="https://genai.owasp.org/resource/owasp-top-10-for-llm-applications-2025/" TargetMode="External"/><Relationship Id="rId22" Type="http://schemas.openxmlformats.org/officeDocument/2006/relationships/hyperlink" Target="https://genai.owasp.org/resource/owasp-top-10-for-agentic-applications-for-2026/" TargetMode="External"/><Relationship Id="rId23" Type="http://schemas.openxmlformats.org/officeDocument/2006/relationships/hyperlink" Target="https://owasp.org/www-project-mcp-top-10/" TargetMode="External"/><Relationship Id="rId24" Type="http://schemas.openxmlformats.org/officeDocument/2006/relationships/hyperlink" Target="https://owasp.org/www-project-application-security-verification-standard/"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doi.org/10.6028/NIST.AI.600-1" TargetMode="External"/><Relationship Id="rId27" Type="http://schemas.openxmlformats.org/officeDocument/2006/relationships/hyperlink" Target="https://www.ncsc.gov.uk/collection/guidelines-secure-ai-system-development" TargetMode="External"/><Relationship Id="rId28" Type="http://schemas.openxmlformats.org/officeDocument/2006/relationships/hyperlink" Target="https://ico.org.uk/for-organisations/uk-gdpr-guidance-and-resources/artificial-intelligence/" TargetMode="External"/><Relationship Id="rId29" Type="http://schemas.openxmlformats.org/officeDocument/2006/relationships/hyperlink" Target="https://www.fca.org.uk/firms/operational-resilience" TargetMode="External"/><Relationship Id="rId30" Type="http://schemas.openxmlformats.org/officeDocument/2006/relationships/hyperlink" Target="https://www.bankofengland.co.uk/prudential-regulation/publication/2021/march/outsourcing-and-third-party-risk-management-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Azure DevOps Remote MCP Security Assessment</dc:title>
  <dc:subject>VS Code and Visual Studio security assessment</dc:subject>
  <dc:creator/>
  <cp:keywords>MCP, Azure DevOps, VS Code, Visual Studio, UK financial services</cp:keywords>
  <dc:description>generated by python-docx</dc:description>
  <cp:lastModifiedBy/>
  <cp:revision>1</cp:revision>
  <dcterms:created xsi:type="dcterms:W3CDTF">2013-12-23T23:15:00Z</dcterms:created>
  <dcterms:modified xsi:type="dcterms:W3CDTF">2013-12-23T23:15:00Z</dcterms:modified>
  <cp:category/>
</cp:coreProperties>
</file>