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SECURITY ASSESSMENT</w:t>
      </w:r>
    </w:p>
    <w:p>
      <w:pPr>
        <w:pStyle w:val="Title"/>
        <w:jc w:val="center"/>
      </w:pPr>
      <w:r>
        <w:t>Google Chrome DevTools MCP</w:t>
      </w:r>
    </w:p>
    <w:p>
      <w:pPr>
        <w:pStyle w:val="Subtitle"/>
        <w:jc w:val="center"/>
      </w:pPr>
      <w:r>
        <w:t>Version 1.6.0 | VS Code and Visual Studio | UK financial services</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Document control</w:t>
            </w:r>
          </w:p>
        </w:tc>
        <w:tc>
          <w:tcPr>
            <w:tcW w:type="dxa" w:w="6960"/>
            <w:vAlign w:val="center"/>
            <w:tcMar>
              <w:top w:w="80" w:type="dxa"/>
              <w:start w:w="120" w:type="dxa"/>
              <w:bottom w:w="80" w:type="dxa"/>
              <w:end w:w="120" w:type="dxa"/>
            </w:tcMar>
            <w:shd w:fill="17365D"/>
          </w:tcPr>
          <w:p>
            <w:pPr>
              <w:spacing w:after="20"/>
            </w:pPr>
            <w:r>
              <w:rPr>
                <w:rFonts w:ascii="Calibri" w:hAnsi="Calibri"/>
                <w:b/>
                <w:color w:val="FFFFFF"/>
                <w:sz w:val="16"/>
              </w:rPr>
              <w:t>Value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Decision</w:t>
            </w:r>
          </w:p>
        </w:tc>
        <w:tc>
          <w:tcPr>
            <w:tcW w:type="dxa" w:w="6960"/>
            <w:vAlign w:val="center"/>
            <w:tcMar>
              <w:top w:w="80" w:type="dxa"/>
              <w:start w:w="120" w:type="dxa"/>
              <w:bottom w:w="80" w:type="dxa"/>
              <w:end w:w="120" w:type="dxa"/>
            </w:tcMar>
            <w:shd w:fill="FFFFFF"/>
          </w:tcPr>
          <w:p>
            <w:pPr>
              <w:spacing w:after="20"/>
            </w:pPr>
            <w:r>
              <w:rPr>
                <w:rFonts w:ascii="Calibri" w:hAnsi="Calibri"/>
                <w:sz w:val="16"/>
              </w:rPr>
              <w:t>DEFER PENDING EVIDENCE for internal-confidential use; synthetic isolated evaluation only</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Classification</w:t>
            </w:r>
          </w:p>
        </w:tc>
        <w:tc>
          <w:tcPr>
            <w:tcW w:type="dxa" w:w="6960"/>
            <w:vAlign w:val="center"/>
            <w:tcMar>
              <w:top w:w="80" w:type="dxa"/>
              <w:start w:w="120" w:type="dxa"/>
              <w:bottom w:w="80" w:type="dxa"/>
              <w:end w:w="120" w:type="dxa"/>
            </w:tcMar>
            <w:shd w:fill="F2F4F7"/>
          </w:tcPr>
          <w:p>
            <w:pPr>
              <w:spacing w:after="20"/>
            </w:pPr>
            <w:r>
              <w:rPr>
                <w:rFonts w:ascii="Calibri" w:hAnsi="Calibri"/>
                <w:sz w:val="16"/>
              </w:rPr>
              <w:t>PUBLIC</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Assessment date</w:t>
            </w:r>
          </w:p>
        </w:tc>
        <w:tc>
          <w:tcPr>
            <w:tcW w:type="dxa" w:w="6960"/>
            <w:vAlign w:val="center"/>
            <w:tcMar>
              <w:top w:w="80" w:type="dxa"/>
              <w:start w:w="120" w:type="dxa"/>
              <w:bottom w:w="80" w:type="dxa"/>
              <w:end w:w="120" w:type="dxa"/>
            </w:tcMar>
            <w:shd w:fill="FFFFFF"/>
          </w:tcPr>
          <w:p>
            <w:pPr>
              <w:spacing w:after="20"/>
            </w:pPr>
            <w:r>
              <w:rPr>
                <w:rFonts w:ascii="Calibri" w:hAnsi="Calibri"/>
                <w:sz w:val="16"/>
              </w:rPr>
              <w:t>25 July 2026</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Document version</w:t>
            </w:r>
          </w:p>
        </w:tc>
        <w:tc>
          <w:tcPr>
            <w:tcW w:type="dxa" w:w="6960"/>
            <w:vAlign w:val="center"/>
            <w:tcMar>
              <w:top w:w="80" w:type="dxa"/>
              <w:start w:w="120" w:type="dxa"/>
              <w:bottom w:w="80" w:type="dxa"/>
              <w:end w:w="120" w:type="dxa"/>
            </w:tcMar>
            <w:shd w:fill="F2F4F7"/>
          </w:tcPr>
          <w:p>
            <w:pPr>
              <w:spacing w:after="20"/>
            </w:pPr>
            <w:r>
              <w:rPr>
                <w:rFonts w:ascii="Calibri" w:hAnsi="Calibri"/>
                <w:sz w:val="16"/>
              </w:rPr>
              <w:t>1.1 candidate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Static analysis</w:t>
            </w:r>
          </w:p>
        </w:tc>
        <w:tc>
          <w:tcPr>
            <w:tcW w:type="dxa" w:w="6960"/>
            <w:vAlign w:val="center"/>
            <w:tcMar>
              <w:top w:w="80" w:type="dxa"/>
              <w:start w:w="120" w:type="dxa"/>
              <w:bottom w:w="80" w:type="dxa"/>
              <w:end w:w="120" w:type="dxa"/>
            </w:tcMar>
            <w:shd w:fill="FFFFFF"/>
          </w:tcPr>
          <w:p>
            <w:pPr>
              <w:spacing w:after="20"/>
            </w:pPr>
            <w:r>
              <w:rPr>
                <w:rFonts w:ascii="Calibri" w:hAnsi="Calibri"/>
                <w:sz w:val="16"/>
              </w:rPr>
              <w:t>Yes; exact package, code, manifests and six skills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Malware review</w:t>
            </w:r>
          </w:p>
        </w:tc>
        <w:tc>
          <w:tcPr>
            <w:tcW w:type="dxa" w:w="6960"/>
            <w:vAlign w:val="center"/>
            <w:tcMar>
              <w:top w:w="80" w:type="dxa"/>
              <w:start w:w="120" w:type="dxa"/>
              <w:bottom w:w="80" w:type="dxa"/>
              <w:end w:w="120" w:type="dxa"/>
            </w:tcMar>
            <w:shd w:fill="F2F4F7"/>
          </w:tcPr>
          <w:p>
            <w:pPr>
              <w:spacing w:after="20"/>
            </w:pPr>
            <w:r>
              <w:rPr>
                <w:rFonts w:ascii="Calibri" w:hAnsi="Calibri"/>
                <w:sz w:val="16"/>
              </w:rPr>
              <w:t>Yes; static archive and suspicious-pattern triage; no detonation</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Runtime analysis</w:t>
            </w:r>
          </w:p>
        </w:tc>
        <w:tc>
          <w:tcPr>
            <w:tcW w:type="dxa" w:w="6960"/>
            <w:vAlign w:val="center"/>
            <w:tcMar>
              <w:top w:w="80" w:type="dxa"/>
              <w:start w:w="120" w:type="dxa"/>
              <w:bottom w:w="80" w:type="dxa"/>
              <w:end w:w="120" w:type="dxa"/>
            </w:tcMar>
            <w:shd w:fill="FFFFFF"/>
          </w:tcPr>
          <w:p>
            <w:pPr>
              <w:spacing w:after="20"/>
            </w:pPr>
            <w:r>
              <w:rPr>
                <w:rFonts w:ascii="Calibri" w:hAnsi="Calibri"/>
                <w:sz w:val="16"/>
              </w:rPr>
              <w:t>Selected but blocked; no disposable representative Windows hosts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Privacy review</w:t>
            </w:r>
          </w:p>
        </w:tc>
        <w:tc>
          <w:tcPr>
            <w:tcW w:type="dxa" w:w="6960"/>
            <w:vAlign w:val="center"/>
            <w:tcMar>
              <w:top w:w="80" w:type="dxa"/>
              <w:start w:w="120" w:type="dxa"/>
              <w:bottom w:w="80" w:type="dxa"/>
              <w:end w:w="120" w:type="dxa"/>
            </w:tcMar>
            <w:shd w:fill="F2F4F7"/>
          </w:tcPr>
          <w:p>
            <w:pPr>
              <w:spacing w:after="20"/>
            </w:pPr>
            <w:r>
              <w:rPr>
                <w:rFonts w:ascii="Calibri" w:hAnsi="Calibri"/>
                <w:sz w:val="16"/>
              </w:rPr>
              <w:t>Yes</w:t>
            </w:r>
          </w:p>
        </w:tc>
      </w:tr>
    </w:tbl>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Field</w:t>
            </w:r>
          </w:p>
        </w:tc>
        <w:tc>
          <w:tcPr>
            <w:tcW w:type="dxa" w:w="6960"/>
            <w:vAlign w:val="center"/>
            <w:tcMar>
              <w:top w:w="80" w:type="dxa"/>
              <w:start w:w="120" w:type="dxa"/>
              <w:bottom w:w="80" w:type="dxa"/>
              <w:end w:w="120" w:type="dxa"/>
            </w:tcMar>
            <w:shd w:fill="17365D"/>
          </w:tcPr>
          <w:p>
            <w:pPr>
              <w:spacing w:after="20"/>
            </w:pPr>
            <w:r>
              <w:rPr>
                <w:rFonts w:ascii="Calibri" w:hAnsi="Calibri"/>
                <w:b/>
                <w:color w:val="FFFFFF"/>
                <w:sz w:val="16"/>
              </w:rPr>
              <w:t>Value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Owner</w:t>
            </w:r>
          </w:p>
        </w:tc>
        <w:tc>
          <w:tcPr>
            <w:tcW w:type="dxa" w:w="6960"/>
            <w:vAlign w:val="center"/>
            <w:tcMar>
              <w:top w:w="80" w:type="dxa"/>
              <w:start w:w="120" w:type="dxa"/>
              <w:bottom w:w="80" w:type="dxa"/>
              <w:end w:w="120" w:type="dxa"/>
            </w:tcMar>
            <w:shd w:fill="FFFFFF"/>
          </w:tcPr>
          <w:p>
            <w:pPr>
              <w:spacing w:after="20"/>
            </w:pPr>
            <w:r>
              <w:rPr>
                <w:rFonts w:ascii="Calibri" w:hAnsi="Calibri"/>
                <w:sz w:val="16"/>
              </w:rPr>
              <w:t>Enterprise AI Security</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Audience</w:t>
            </w:r>
          </w:p>
        </w:tc>
        <w:tc>
          <w:tcPr>
            <w:tcW w:type="dxa" w:w="6960"/>
            <w:vAlign w:val="center"/>
            <w:tcMar>
              <w:top w:w="80" w:type="dxa"/>
              <w:start w:w="120" w:type="dxa"/>
              <w:bottom w:w="80" w:type="dxa"/>
              <w:end w:w="120" w:type="dxa"/>
            </w:tcMar>
            <w:shd w:fill="F2F4F7"/>
          </w:tcPr>
          <w:p>
            <w:pPr>
              <w:spacing w:after="20"/>
            </w:pPr>
            <w:r>
              <w:rPr>
                <w:rFonts w:ascii="Calibri" w:hAnsi="Calibri"/>
                <w:sz w:val="16"/>
              </w:rPr>
              <w:t>Security, Engineering, Privacy, Risk and Supplier Assurance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Review trigger</w:t>
            </w:r>
          </w:p>
        </w:tc>
        <w:tc>
          <w:tcPr>
            <w:tcW w:type="dxa" w:w="6960"/>
            <w:vAlign w:val="center"/>
            <w:tcMar>
              <w:top w:w="80" w:type="dxa"/>
              <w:start w:w="120" w:type="dxa"/>
              <w:bottom w:w="80" w:type="dxa"/>
              <w:end w:w="120" w:type="dxa"/>
            </w:tcMar>
            <w:shd w:fill="FFFFFF"/>
          </w:tcPr>
          <w:p>
            <w:pPr>
              <w:spacing w:after="20"/>
            </w:pPr>
            <w:r>
              <w:rPr>
                <w:rFonts w:ascii="Calibri" w:hAnsi="Calibri"/>
                <w:sz w:val="16"/>
              </w:rPr>
              <w:t>GA, tool/schema drift, service incident, control failure, or 25 October 2026</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Authority</w:t>
            </w:r>
          </w:p>
        </w:tc>
        <w:tc>
          <w:tcPr>
            <w:tcW w:type="dxa" w:w="6960"/>
            <w:vAlign w:val="center"/>
            <w:tcMar>
              <w:top w:w="80" w:type="dxa"/>
              <w:start w:w="120" w:type="dxa"/>
              <w:bottom w:w="80" w:type="dxa"/>
              <w:end w:w="120" w:type="dxa"/>
            </w:tcMar>
            <w:shd w:fill="F2F4F7"/>
          </w:tcPr>
          <w:p>
            <w:pPr>
              <w:spacing w:after="20"/>
            </w:pPr>
            <w:r>
              <w:rPr>
                <w:rFonts w:ascii="Calibri" w:hAnsi="Calibri"/>
                <w:sz w:val="16"/>
              </w:rPr>
              <w:t>Candidate pending reviewed pull request; generation is not approval</w:t>
            </w:r>
          </w:p>
        </w:tc>
      </w:tr>
    </w:tbl>
    <w:p/>
    <w:p>
      <w:pPr>
        <w:pStyle w:val="Heading1"/>
      </w:pPr>
      <w:r>
        <w:t>Revision History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200"/>
            <w:vAlign w:val="center"/>
            <w:tcMar>
              <w:top w:w="80" w:type="dxa"/>
              <w:start w:w="120" w:type="dxa"/>
              <w:bottom w:w="80" w:type="dxa"/>
              <w:end w:w="120" w:type="dxa"/>
            </w:tcMar>
            <w:shd w:fill="17365D"/>
          </w:tcPr>
          <w:p>
            <w:pPr>
              <w:spacing w:after="20"/>
            </w:pPr>
            <w:r>
              <w:rPr>
                <w:rFonts w:ascii="Calibri" w:hAnsi="Calibri"/>
                <w:b/>
                <w:color w:val="FFFFFF"/>
                <w:sz w:val="16"/>
              </w:rPr>
              <w:t>Version</w:t>
            </w:r>
          </w:p>
        </w:tc>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Date</w:t>
            </w:r>
          </w:p>
        </w:tc>
        <w:tc>
          <w:tcPr>
            <w:tcW w:type="dxa" w:w="4600"/>
            <w:vAlign w:val="center"/>
            <w:tcMar>
              <w:top w:w="80" w:type="dxa"/>
              <w:start w:w="120" w:type="dxa"/>
              <w:bottom w:w="80" w:type="dxa"/>
              <w:end w:w="120" w:type="dxa"/>
            </w:tcMar>
            <w:shd w:fill="17365D"/>
          </w:tcPr>
          <w:p>
            <w:pPr>
              <w:spacing w:after="20"/>
            </w:pPr>
            <w:r>
              <w:rPr>
                <w:rFonts w:ascii="Calibri" w:hAnsi="Calibri"/>
                <w:b/>
                <w:color w:val="FFFFFF"/>
                <w:sz w:val="16"/>
              </w:rPr>
              <w:t>Change</w:t>
            </w:r>
          </w:p>
        </w:tc>
        <w:tc>
          <w:tcPr>
            <w:tcW w:type="dxa" w:w="1860"/>
            <w:vAlign w:val="center"/>
            <w:tcMar>
              <w:top w:w="80" w:type="dxa"/>
              <w:start w:w="120" w:type="dxa"/>
              <w:bottom w:w="80" w:type="dxa"/>
              <w:end w:w="120" w:type="dxa"/>
            </w:tcMar>
            <w:shd w:fill="17365D"/>
          </w:tcPr>
          <w:p>
            <w:pPr>
              <w:spacing w:after="20"/>
            </w:pPr>
            <w:r>
              <w:rPr>
                <w:rFonts w:ascii="Calibri" w:hAnsi="Calibri"/>
                <w:b/>
                <w:color w:val="FFFFFF"/>
                <w:sz w:val="16"/>
              </w:rPr>
              <w:t>Status</w:t>
            </w:r>
          </w:p>
        </w:tc>
      </w:tr>
      <w:tr>
        <w:trPr>
          <w:cantSplit/>
        </w:trPr>
        <w:tc>
          <w:tcPr>
            <w:tcW w:type="dxa" w:w="1200"/>
            <w:vAlign w:val="center"/>
            <w:tcMar>
              <w:top w:w="80" w:type="dxa"/>
              <w:start w:w="120" w:type="dxa"/>
              <w:bottom w:w="80" w:type="dxa"/>
              <w:end w:w="120" w:type="dxa"/>
            </w:tcMar>
            <w:shd w:fill="FFFFFF"/>
          </w:tcPr>
          <w:p>
            <w:pPr>
              <w:spacing w:after="20"/>
            </w:pPr>
            <w:r>
              <w:rPr>
                <w:rFonts w:ascii="Calibri" w:hAnsi="Calibri"/>
                <w:sz w:val="16"/>
              </w:rPr>
              <w:t>1.0</w:t>
            </w:r>
          </w:p>
        </w:tc>
        <w:tc>
          <w:tcPr>
            <w:tcW w:type="dxa" w:w="1700"/>
            <w:vAlign w:val="center"/>
            <w:tcMar>
              <w:top w:w="80" w:type="dxa"/>
              <w:start w:w="120" w:type="dxa"/>
              <w:bottom w:w="80" w:type="dxa"/>
              <w:end w:w="120" w:type="dxa"/>
            </w:tcMar>
            <w:shd w:fill="FFFFFF"/>
          </w:tcPr>
          <w:p>
            <w:pPr>
              <w:spacing w:after="20"/>
            </w:pPr>
            <w:r>
              <w:rPr>
                <w:rFonts w:ascii="Calibri" w:hAnsi="Calibri"/>
                <w:sz w:val="16"/>
              </w:rPr>
              <w:t>15 July 2026</w:t>
            </w:r>
          </w:p>
        </w:tc>
        <w:tc>
          <w:tcPr>
            <w:tcW w:type="dxa" w:w="4600"/>
            <w:vAlign w:val="center"/>
            <w:tcMar>
              <w:top w:w="80" w:type="dxa"/>
              <w:start w:w="120" w:type="dxa"/>
              <w:bottom w:w="80" w:type="dxa"/>
              <w:end w:w="120" w:type="dxa"/>
            </w:tcMar>
            <w:shd w:fill="FFFFFF"/>
          </w:tcPr>
          <w:p>
            <w:pPr>
              <w:spacing w:after="20"/>
            </w:pPr>
            <w:r>
              <w:rPr>
                <w:rFonts w:ascii="Calibri" w:hAnsi="Calibri"/>
                <w:sz w:val="16"/>
              </w:rPr>
              <w:t>Historical task-record assessment; original DOCX unavailable</w:t>
            </w:r>
          </w:p>
        </w:tc>
        <w:tc>
          <w:tcPr>
            <w:tcW w:type="dxa" w:w="1860"/>
            <w:vAlign w:val="center"/>
            <w:tcMar>
              <w:top w:w="80" w:type="dxa"/>
              <w:start w:w="120" w:type="dxa"/>
              <w:bottom w:w="80" w:type="dxa"/>
              <w:end w:w="120" w:type="dxa"/>
            </w:tcMar>
            <w:shd w:fill="FFFFFF"/>
          </w:tcPr>
          <w:p>
            <w:pPr>
              <w:spacing w:after="20"/>
            </w:pPr>
            <w:r>
              <w:rPr>
                <w:rFonts w:ascii="Calibri" w:hAnsi="Calibri"/>
                <w:sz w:val="16"/>
              </w:rPr>
              <w:t>Historical</w:t>
            </w:r>
          </w:p>
        </w:tc>
      </w:tr>
      <w:tr>
        <w:trPr>
          <w:cantSplit/>
        </w:trPr>
        <w:tc>
          <w:tcPr>
            <w:tcW w:type="dxa" w:w="1200"/>
            <w:vAlign w:val="center"/>
            <w:tcMar>
              <w:top w:w="80" w:type="dxa"/>
              <w:start w:w="120" w:type="dxa"/>
              <w:bottom w:w="80" w:type="dxa"/>
              <w:end w:w="120" w:type="dxa"/>
            </w:tcMar>
            <w:shd w:fill="F2F4F7"/>
          </w:tcPr>
          <w:p>
            <w:pPr>
              <w:spacing w:after="20"/>
            </w:pPr>
            <w:r>
              <w:rPr>
                <w:rFonts w:ascii="Calibri" w:hAnsi="Calibri"/>
                <w:sz w:val="16"/>
              </w:rPr>
              <w:t>1.1</w:t>
            </w:r>
          </w:p>
        </w:tc>
        <w:tc>
          <w:tcPr>
            <w:tcW w:type="dxa" w:w="1700"/>
            <w:vAlign w:val="center"/>
            <w:tcMar>
              <w:top w:w="80" w:type="dxa"/>
              <w:start w:w="120" w:type="dxa"/>
              <w:bottom w:w="80" w:type="dxa"/>
              <w:end w:w="120" w:type="dxa"/>
            </w:tcMar>
            <w:shd w:fill="F2F4F7"/>
          </w:tcPr>
          <w:p>
            <w:pPr>
              <w:spacing w:after="20"/>
            </w:pPr>
            <w:r>
              <w:rPr>
                <w:rFonts w:ascii="Calibri" w:hAnsi="Calibri"/>
                <w:sz w:val="16"/>
              </w:rPr>
              <w:t>25 July 2026</w:t>
            </w:r>
          </w:p>
        </w:tc>
        <w:tc>
          <w:tcPr>
            <w:tcW w:type="dxa" w:w="4600"/>
            <w:vAlign w:val="center"/>
            <w:tcMar>
              <w:top w:w="80" w:type="dxa"/>
              <w:start w:w="120" w:type="dxa"/>
              <w:bottom w:w="80" w:type="dxa"/>
              <w:end w:w="120" w:type="dxa"/>
            </w:tcMar>
            <w:shd w:fill="F2F4F7"/>
          </w:tcPr>
          <w:p>
            <w:pPr>
              <w:spacing w:after="20"/>
            </w:pPr>
            <w:r>
              <w:rPr>
                <w:rFonts w:ascii="Calibri" w:hAnsi="Calibri"/>
                <w:sz w:val="16"/>
              </w:rPr>
              <w:t>Repository regeneration with current static, malware and QA evidence</w:t>
            </w:r>
          </w:p>
        </w:tc>
        <w:tc>
          <w:tcPr>
            <w:tcW w:type="dxa" w:w="1860"/>
            <w:vAlign w:val="center"/>
            <w:tcMar>
              <w:top w:w="80" w:type="dxa"/>
              <w:start w:w="120" w:type="dxa"/>
              <w:bottom w:w="80" w:type="dxa"/>
              <w:end w:w="120" w:type="dxa"/>
            </w:tcMar>
            <w:shd w:fill="F2F4F7"/>
          </w:tcPr>
          <w:p>
            <w:pPr>
              <w:spacing w:after="20"/>
            </w:pPr>
            <w:r>
              <w:rPr>
                <w:rFonts w:ascii="Calibri" w:hAnsi="Calibri"/>
                <w:sz w:val="16"/>
              </w:rPr>
              <w:t>Candidate</w:t>
            </w:r>
          </w:p>
        </w:tc>
      </w:tr>
    </w:tbl>
    <w:p/>
    <w:p>
      <w:pPr>
        <w:pStyle w:val="Heading1"/>
      </w:pPr>
      <w:r>
        <w:t>Contents</w:t>
      </w:r>
    </w:p>
    <w:p>
      <w:pPr>
        <w:pStyle w:val="ListBullet"/>
      </w:pPr>
      <w:r>
        <w:t>Executive Summary</w:t>
      </w:r>
    </w:p>
    <w:p>
      <w:pPr>
        <w:pStyle w:val="ListBullet"/>
      </w:pPr>
      <w:r>
        <w:t>Purpose and Function Overview</w:t>
      </w:r>
    </w:p>
    <w:p>
      <w:pPr>
        <w:pStyle w:val="ListBullet"/>
      </w:pPr>
      <w:r>
        <w:t>Scope, Assumptions and Methodology</w:t>
      </w:r>
    </w:p>
    <w:p>
      <w:pPr>
        <w:pStyle w:val="ListBullet"/>
      </w:pPr>
      <w:r>
        <w:t>Product Identity and Version</w:t>
      </w:r>
    </w:p>
    <w:p>
      <w:pPr>
        <w:pStyle w:val="ListBullet"/>
      </w:pPr>
      <w:r>
        <w:t>Part I - VS Code</w:t>
      </w:r>
    </w:p>
    <w:p>
      <w:pPr>
        <w:pStyle w:val="ListBullet"/>
      </w:pPr>
      <w:r>
        <w:t>Part II - Visual Studio</w:t>
      </w:r>
    </w:p>
    <w:p>
      <w:pPr>
        <w:pStyle w:val="ListBullet"/>
      </w:pPr>
      <w:r>
        <w:t>Part III - Installed Agent Skills</w:t>
      </w:r>
    </w:p>
    <w:p>
      <w:pPr>
        <w:pStyle w:val="ListBullet"/>
      </w:pPr>
      <w:r>
        <w:t>Consolidated Assessment</w:t>
      </w:r>
    </w:p>
    <w:p>
      <w:pPr>
        <w:pStyle w:val="ListBullet"/>
      </w:pPr>
      <w:r>
        <w:t>Evidence Register</w:t>
      </w:r>
    </w:p>
    <w:p>
      <w:pPr>
        <w:pStyle w:val="ListBullet"/>
      </w:pPr>
      <w:r>
        <w:t>References</w:t>
      </w:r>
    </w:p>
    <w:p>
      <w:pPr>
        <w:pStyle w:val="ListBullet"/>
      </w:pPr>
      <w:r>
        <w:t>Appendices</w:t>
      </w:r>
    </w:p>
    <w:p>
      <w:pPr>
        <w:pStyle w:val="ListBullet"/>
      </w:pPr>
      <w:r>
        <w:t>Glossary</w:t>
      </w:r>
    </w:p>
    <w:p>
      <w:pPr>
        <w:pStyle w:val="Heading1"/>
      </w:pPr>
      <w:r>
        <w:t>Executive Summary</w:t>
      </w:r>
    </w:p>
    <w:p>
      <w:pPr>
        <w:pStyle w:val="ListBullet"/>
      </w:pPr>
      <w:r>
        <w:t>Decision - Defer pending representative dynamic evidence for internal-confidential use; permit only an isolated synthetic evaluation.</w:t>
      </w:r>
    </w:p>
    <w:p>
      <w:pPr>
        <w:pStyle w:val="ListBullet"/>
      </w:pPr>
      <w:r>
        <w:t>Authority - The server can control Chrome tabs, page scripts, network observations and captured artefacts; exact tool filters are mandatory.</w:t>
      </w:r>
    </w:p>
    <w:p>
      <w:pPr>
        <w:pStyle w:val="ListBullet"/>
      </w:pPr>
      <w:r>
        <w:t>Assurance - The exact 1.6.0 npm tarball matches the historical SHA-256; reproducible build and runtime evidence remain incomplete.</w:t>
      </w:r>
    </w:p>
    <w:p>
      <w:pPr>
        <w:pStyle w:val="ListBullet"/>
      </w:pPr>
      <w:r>
        <w:t>Data - Browser content, cookies, storage, screenshots, traces and network payloads may contain personal or internal-confidential information.</w:t>
      </w:r>
    </w:p>
    <w:p>
      <w:pPr>
        <w:pStyle w:val="ListBullet"/>
      </w:pPr>
      <w:r>
        <w:t>Runtime - Dynamic analysis was selected but blocked because no disposable representative Windows IDE environment exists.</w:t>
      </w:r>
    </w:p>
    <w:p>
      <w:pPr>
        <w:widowControl/>
      </w:pPr>
      <w:r>
        <w:t>The local stdio MCP server introduces a powerful executable and browser-control surface. Enterprise responsibility includes exact-version integrity, process and browser isolation, tool approval, network restriction, privacy, retention and monitoring. Static scanner output is evidence, not approval, and cannot replace representative dynamic testing.</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4">
        <w:r>
          <w:rPr>
            <w:color w:val="0563C1"/>
            <w:u w:val="single"/>
          </w:rPr>
          <w:t>[REF-004]</w:t>
        </w:r>
      </w:hyperlink>
      <w:r>
        <w:t xml:space="preserve"> </w:t>
      </w:r>
      <w:hyperlink w:anchor="REF_007">
        <w:r>
          <w:rPr>
            <w:color w:val="0563C1"/>
            <w:u w:val="single"/>
          </w:rPr>
          <w:t>[REF-007]</w:t>
        </w:r>
      </w:hyperlink>
      <w:r>
        <w:t xml:space="preserve"> </w:t>
      </w:r>
      <w:hyperlink w:anchor="REF_018">
        <w:r>
          <w:rPr>
            <w:color w:val="0563C1"/>
            <w:u w:val="single"/>
          </w:rPr>
          <w:t>[REF-018]</w:t>
        </w:r>
      </w:hyperlink>
      <w:r>
        <w:t xml:space="preserve"> </w:t>
      </w:r>
      <w:hyperlink w:anchor="REF_019">
        <w:r>
          <w:rPr>
            <w:color w:val="0563C1"/>
            <w:u w:val="single"/>
          </w:rPr>
          <w:t>[REF-019]</w:t>
        </w:r>
      </w:hyperlink>
    </w:p>
    <w:p>
      <w:pPr>
        <w:pStyle w:val="Heading1"/>
      </w:pPr>
      <w:r>
        <w:t>Purpose Function Overview</w:t>
      </w:r>
    </w:p>
    <w:p>
      <w:pPr>
        <w:widowControl/>
      </w:pPr>
      <w:r>
        <w:t>The Google-published Chrome DevTools MCP server connects supported AI assistants to a local Chrome browser through stdio and the Chrome DevTools Protocol. It provides navigation, input, scripting, console, network, screenshot, performance, memory, emulation and related debugging capabilities as MCP tools. The exact assessed artefact is npm package version 1.6.0.</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Capability</w:t>
            </w:r>
          </w:p>
        </w:tc>
        <w:tc>
          <w:tcPr>
            <w:tcW w:type="dxa" w:w="3000"/>
            <w:vAlign w:val="center"/>
            <w:tcMar>
              <w:top w:w="80" w:type="dxa"/>
              <w:start w:w="120" w:type="dxa"/>
              <w:bottom w:w="80" w:type="dxa"/>
              <w:end w:w="120" w:type="dxa"/>
            </w:tcMar>
            <w:shd w:fill="17365D"/>
          </w:tcPr>
          <w:p>
            <w:pPr>
              <w:spacing w:after="20"/>
            </w:pPr>
            <w:r>
              <w:rPr>
                <w:rFonts w:ascii="Calibri" w:hAnsi="Calibri"/>
                <w:b/>
                <w:color w:val="FFFFFF"/>
                <w:sz w:val="16"/>
              </w:rPr>
              <w:t>Business value</w:t>
            </w:r>
          </w:p>
        </w:tc>
        <w:tc>
          <w:tcPr>
            <w:tcW w:type="dxa" w:w="3960"/>
            <w:vAlign w:val="center"/>
            <w:tcMar>
              <w:top w:w="80" w:type="dxa"/>
              <w:start w:w="120" w:type="dxa"/>
              <w:bottom w:w="80" w:type="dxa"/>
              <w:end w:w="120" w:type="dxa"/>
            </w:tcMar>
            <w:shd w:fill="17365D"/>
          </w:tcPr>
          <w:p>
            <w:pPr>
              <w:spacing w:after="20"/>
            </w:pPr>
            <w:r>
              <w:rPr>
                <w:rFonts w:ascii="Calibri" w:hAnsi="Calibri"/>
                <w:b/>
                <w:color w:val="FFFFFF"/>
                <w:sz w:val="16"/>
              </w:rPr>
              <w:t>Security significance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Navigate and inspect pages</w:t>
            </w:r>
          </w:p>
        </w:tc>
        <w:tc>
          <w:tcPr>
            <w:tcW w:type="dxa" w:w="3000"/>
            <w:vAlign w:val="center"/>
            <w:tcMar>
              <w:top w:w="80" w:type="dxa"/>
              <w:start w:w="120" w:type="dxa"/>
              <w:bottom w:w="80" w:type="dxa"/>
              <w:end w:w="120" w:type="dxa"/>
            </w:tcMar>
            <w:shd w:fill="FFFFFF"/>
          </w:tcPr>
          <w:p>
            <w:pPr>
              <w:spacing w:after="20"/>
            </w:pPr>
            <w:r>
              <w:rPr>
                <w:rFonts w:ascii="Calibri" w:hAnsi="Calibri"/>
                <w:sz w:val="16"/>
              </w:rPr>
              <w:t>Debugging assistance</w:t>
            </w:r>
          </w:p>
        </w:tc>
        <w:tc>
          <w:tcPr>
            <w:tcW w:type="dxa" w:w="3960"/>
            <w:vAlign w:val="center"/>
            <w:tcMar>
              <w:top w:w="80" w:type="dxa"/>
              <w:start w:w="120" w:type="dxa"/>
              <w:bottom w:w="80" w:type="dxa"/>
              <w:end w:w="120" w:type="dxa"/>
            </w:tcMar>
            <w:shd w:fill="FFFFFF"/>
          </w:tcPr>
          <w:p>
            <w:pPr>
              <w:spacing w:after="20"/>
            </w:pPr>
            <w:r>
              <w:rPr>
                <w:rFonts w:ascii="Calibri" w:hAnsi="Calibri"/>
                <w:sz w:val="16"/>
              </w:rPr>
              <w:t>Untrusted content enters model context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Run scripts and input</w:t>
            </w:r>
          </w:p>
        </w:tc>
        <w:tc>
          <w:tcPr>
            <w:tcW w:type="dxa" w:w="3000"/>
            <w:vAlign w:val="center"/>
            <w:tcMar>
              <w:top w:w="80" w:type="dxa"/>
              <w:start w:w="120" w:type="dxa"/>
              <w:bottom w:w="80" w:type="dxa"/>
              <w:end w:w="120" w:type="dxa"/>
            </w:tcMar>
            <w:shd w:fill="F2F4F7"/>
          </w:tcPr>
          <w:p>
            <w:pPr>
              <w:spacing w:after="20"/>
            </w:pPr>
            <w:r>
              <w:rPr>
                <w:rFonts w:ascii="Calibri" w:hAnsi="Calibri"/>
                <w:sz w:val="16"/>
              </w:rPr>
              <w:t>Automated reproduction</w:t>
            </w:r>
          </w:p>
        </w:tc>
        <w:tc>
          <w:tcPr>
            <w:tcW w:type="dxa" w:w="3960"/>
            <w:vAlign w:val="center"/>
            <w:tcMar>
              <w:top w:w="80" w:type="dxa"/>
              <w:start w:w="120" w:type="dxa"/>
              <w:bottom w:w="80" w:type="dxa"/>
              <w:end w:w="120" w:type="dxa"/>
            </w:tcMar>
            <w:shd w:fill="F2F4F7"/>
          </w:tcPr>
          <w:p>
            <w:pPr>
              <w:spacing w:after="20"/>
            </w:pPr>
            <w:r>
              <w:rPr>
                <w:rFonts w:ascii="Calibri" w:hAnsi="Calibri"/>
                <w:sz w:val="16"/>
              </w:rPr>
              <w:t>Can change page state and trigger actions</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Capture network and memory</w:t>
            </w:r>
          </w:p>
        </w:tc>
        <w:tc>
          <w:tcPr>
            <w:tcW w:type="dxa" w:w="3000"/>
            <w:vAlign w:val="center"/>
            <w:tcMar>
              <w:top w:w="80" w:type="dxa"/>
              <w:start w:w="120" w:type="dxa"/>
              <w:bottom w:w="80" w:type="dxa"/>
              <w:end w:w="120" w:type="dxa"/>
            </w:tcMar>
            <w:shd w:fill="FFFFFF"/>
          </w:tcPr>
          <w:p>
            <w:pPr>
              <w:spacing w:after="20"/>
            </w:pPr>
            <w:r>
              <w:rPr>
                <w:rFonts w:ascii="Calibri" w:hAnsi="Calibri"/>
                <w:sz w:val="16"/>
              </w:rPr>
              <w:t>Deep diagnostics</w:t>
            </w:r>
          </w:p>
        </w:tc>
        <w:tc>
          <w:tcPr>
            <w:tcW w:type="dxa" w:w="3960"/>
            <w:vAlign w:val="center"/>
            <w:tcMar>
              <w:top w:w="80" w:type="dxa"/>
              <w:start w:w="120" w:type="dxa"/>
              <w:bottom w:w="80" w:type="dxa"/>
              <w:end w:w="120" w:type="dxa"/>
            </w:tcMar>
            <w:shd w:fill="FFFFFF"/>
          </w:tcPr>
          <w:p>
            <w:pPr>
              <w:spacing w:after="20"/>
            </w:pPr>
            <w:r>
              <w:rPr>
                <w:rFonts w:ascii="Calibri" w:hAnsi="Calibri"/>
                <w:sz w:val="16"/>
              </w:rPr>
              <w:t>May expose secrets and personal data</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Tool and network filters</w:t>
            </w:r>
          </w:p>
        </w:tc>
        <w:tc>
          <w:tcPr>
            <w:tcW w:type="dxa" w:w="3000"/>
            <w:vAlign w:val="center"/>
            <w:tcMar>
              <w:top w:w="80" w:type="dxa"/>
              <w:start w:w="120" w:type="dxa"/>
              <w:bottom w:w="80" w:type="dxa"/>
              <w:end w:w="120" w:type="dxa"/>
            </w:tcMar>
            <w:shd w:fill="F2F4F7"/>
          </w:tcPr>
          <w:p>
            <w:pPr>
              <w:spacing w:after="20"/>
            </w:pPr>
            <w:r>
              <w:rPr>
                <w:rFonts w:ascii="Calibri" w:hAnsi="Calibri"/>
                <w:sz w:val="16"/>
              </w:rPr>
              <w:t>Least privilege</w:t>
            </w:r>
          </w:p>
        </w:tc>
        <w:tc>
          <w:tcPr>
            <w:tcW w:type="dxa" w:w="3960"/>
            <w:vAlign w:val="center"/>
            <w:tcMar>
              <w:top w:w="80" w:type="dxa"/>
              <w:start w:w="120" w:type="dxa"/>
              <w:bottom w:w="80" w:type="dxa"/>
              <w:end w:w="120" w:type="dxa"/>
            </w:tcMar>
            <w:shd w:fill="F2F4F7"/>
          </w:tcPr>
          <w:p>
            <w:pPr>
              <w:spacing w:after="20"/>
            </w:pPr>
            <w:r>
              <w:rPr>
                <w:rFonts w:ascii="Calibri" w:hAnsi="Calibri"/>
                <w:sz w:val="16"/>
              </w:rPr>
              <w:t>Must be configured and runtime verified</w:t>
            </w:r>
          </w:p>
        </w:tc>
      </w:tr>
    </w:tbl>
    <w:p/>
    <w:p>
      <w:pPr>
        <w:pStyle w:val="Heading1"/>
      </w:pPr>
      <w:r>
        <w:t>Scope Assumptions Methodology</w:t>
      </w:r>
    </w:p>
    <w:p>
      <w:pPr>
        <w:widowControl/>
      </w:pPr>
      <w:r>
        <w:t>Scope covers Google-published chrome-devtools-mcp 1.6.0 for VS Code on Windows 11 and macOS and Visual Studio on Windows 11, in a UK insurance and financial-services environment handling internal-confidential information. Static package and malware-focused review were performed without package execution. Runtime analysis was selected but blocked. Privacy and regulatory analysis are included. Retrieved content was treated as untrusted evidence.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Branch</w:t>
            </w:r>
          </w:p>
        </w:tc>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Selection</w:t>
            </w:r>
          </w:p>
        </w:tc>
        <w:tc>
          <w:tcPr>
            <w:tcW w:type="dxa" w:w="5160"/>
            <w:vAlign w:val="center"/>
            <w:tcMar>
              <w:top w:w="80" w:type="dxa"/>
              <w:start w:w="120" w:type="dxa"/>
              <w:bottom w:w="80" w:type="dxa"/>
              <w:end w:w="120" w:type="dxa"/>
            </w:tcMar>
            <w:shd w:fill="17365D"/>
          </w:tcPr>
          <w:p>
            <w:pPr>
              <w:spacing w:after="20"/>
            </w:pPr>
            <w:r>
              <w:rPr>
                <w:rFonts w:ascii="Calibri" w:hAnsi="Calibri"/>
                <w:b/>
                <w:color w:val="FFFFFF"/>
                <w:sz w:val="16"/>
              </w:rPr>
              <w:t>Result</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Static analysis</w:t>
            </w:r>
          </w:p>
        </w:tc>
        <w:tc>
          <w:tcPr>
            <w:tcW w:type="dxa" w:w="1800"/>
            <w:vAlign w:val="center"/>
            <w:tcMar>
              <w:top w:w="80" w:type="dxa"/>
              <w:start w:w="120" w:type="dxa"/>
              <w:bottom w:w="80" w:type="dxa"/>
              <w:end w:w="120" w:type="dxa"/>
            </w:tcMar>
            <w:shd w:fill="FFFFFF"/>
          </w:tcPr>
          <w:p>
            <w:pPr>
              <w:spacing w:after="20"/>
            </w:pPr>
            <w:r>
              <w:rPr>
                <w:rFonts w:ascii="Calibri" w:hAnsi="Calibri"/>
                <w:sz w:val="16"/>
              </w:rPr>
              <w:t>Yes</w:t>
            </w:r>
          </w:p>
        </w:tc>
        <w:tc>
          <w:tcPr>
            <w:tcW w:type="dxa" w:w="5160"/>
            <w:vAlign w:val="center"/>
            <w:tcMar>
              <w:top w:w="80" w:type="dxa"/>
              <w:start w:w="120" w:type="dxa"/>
              <w:bottom w:w="80" w:type="dxa"/>
              <w:end w:w="120" w:type="dxa"/>
            </w:tcMar>
            <w:shd w:fill="FFFFFF"/>
          </w:tcPr>
          <w:p>
            <w:pPr>
              <w:spacing w:after="20"/>
            </w:pPr>
            <w:r>
              <w:rPr>
                <w:rFonts w:ascii="Calibri" w:hAnsi="Calibri"/>
                <w:sz w:val="16"/>
              </w:rPr>
              <w:t>Exact package, code, manifests and six skills inspected</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Malware review</w:t>
            </w:r>
          </w:p>
        </w:tc>
        <w:tc>
          <w:tcPr>
            <w:tcW w:type="dxa" w:w="1800"/>
            <w:vAlign w:val="center"/>
            <w:tcMar>
              <w:top w:w="80" w:type="dxa"/>
              <w:start w:w="120" w:type="dxa"/>
              <w:bottom w:w="80" w:type="dxa"/>
              <w:end w:w="120" w:type="dxa"/>
            </w:tcMar>
            <w:shd w:fill="F2F4F7"/>
          </w:tcPr>
          <w:p>
            <w:pPr>
              <w:spacing w:after="20"/>
            </w:pPr>
            <w:r>
              <w:rPr>
                <w:rFonts w:ascii="Calibri" w:hAnsi="Calibri"/>
                <w:sz w:val="16"/>
              </w:rPr>
              <w:t>Yes</w:t>
            </w:r>
          </w:p>
        </w:tc>
        <w:tc>
          <w:tcPr>
            <w:tcW w:type="dxa" w:w="5160"/>
            <w:vAlign w:val="center"/>
            <w:tcMar>
              <w:top w:w="80" w:type="dxa"/>
              <w:start w:w="120" w:type="dxa"/>
              <w:bottom w:w="80" w:type="dxa"/>
              <w:end w:w="120" w:type="dxa"/>
            </w:tcMar>
            <w:shd w:fill="F2F4F7"/>
          </w:tcPr>
          <w:p>
            <w:pPr>
              <w:spacing w:after="20"/>
            </w:pPr>
            <w:r>
              <w:rPr>
                <w:rFonts w:ascii="Calibri" w:hAnsi="Calibri"/>
                <w:sz w:val="16"/>
              </w:rPr>
              <w:t>Static archive, file, IOC and suspicious-pattern triage; no detonation</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Runtime analysis</w:t>
            </w:r>
          </w:p>
        </w:tc>
        <w:tc>
          <w:tcPr>
            <w:tcW w:type="dxa" w:w="1800"/>
            <w:vAlign w:val="center"/>
            <w:tcMar>
              <w:top w:w="80" w:type="dxa"/>
              <w:start w:w="120" w:type="dxa"/>
              <w:bottom w:w="80" w:type="dxa"/>
              <w:end w:w="120" w:type="dxa"/>
            </w:tcMar>
            <w:shd w:fill="FFFFFF"/>
          </w:tcPr>
          <w:p>
            <w:pPr>
              <w:spacing w:after="20"/>
            </w:pPr>
            <w:r>
              <w:rPr>
                <w:rFonts w:ascii="Calibri" w:hAnsi="Calibri"/>
                <w:sz w:val="16"/>
              </w:rPr>
              <w:t>Yes</w:t>
            </w:r>
          </w:p>
        </w:tc>
        <w:tc>
          <w:tcPr>
            <w:tcW w:type="dxa" w:w="5160"/>
            <w:vAlign w:val="center"/>
            <w:tcMar>
              <w:top w:w="80" w:type="dxa"/>
              <w:start w:w="120" w:type="dxa"/>
              <w:bottom w:w="80" w:type="dxa"/>
              <w:end w:w="120" w:type="dxa"/>
            </w:tcMar>
            <w:shd w:fill="FFFFFF"/>
          </w:tcPr>
          <w:p>
            <w:pPr>
              <w:spacing w:after="20"/>
            </w:pPr>
            <w:r>
              <w:rPr>
                <w:rFonts w:ascii="Calibri" w:hAnsi="Calibri"/>
                <w:sz w:val="16"/>
              </w:rPr>
              <w:t>Blocked; no disposable representative full-IDE host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Privacy assessment</w:t>
            </w:r>
          </w:p>
        </w:tc>
        <w:tc>
          <w:tcPr>
            <w:tcW w:type="dxa" w:w="1800"/>
            <w:vAlign w:val="center"/>
            <w:tcMar>
              <w:top w:w="80" w:type="dxa"/>
              <w:start w:w="120" w:type="dxa"/>
              <w:bottom w:w="80" w:type="dxa"/>
              <w:end w:w="120" w:type="dxa"/>
            </w:tcMar>
            <w:shd w:fill="F2F4F7"/>
          </w:tcPr>
          <w:p>
            <w:pPr>
              <w:spacing w:after="20"/>
            </w:pPr>
            <w:r>
              <w:rPr>
                <w:rFonts w:ascii="Calibri" w:hAnsi="Calibri"/>
                <w:sz w:val="16"/>
              </w:rPr>
              <w:t>Yes</w:t>
            </w:r>
          </w:p>
        </w:tc>
        <w:tc>
          <w:tcPr>
            <w:tcW w:type="dxa" w:w="5160"/>
            <w:vAlign w:val="center"/>
            <w:tcMar>
              <w:top w:w="80" w:type="dxa"/>
              <w:start w:w="120" w:type="dxa"/>
              <w:bottom w:w="80" w:type="dxa"/>
              <w:end w:w="120" w:type="dxa"/>
            </w:tcMar>
            <w:shd w:fill="F2F4F7"/>
          </w:tcPr>
          <w:p>
            <w:pPr>
              <w:spacing w:after="20"/>
            </w:pPr>
            <w:r>
              <w:rPr>
                <w:rFonts w:ascii="Calibri" w:hAnsi="Calibri"/>
                <w:sz w:val="16"/>
              </w:rPr>
              <w:t>UK GDPR, FCA and PRA context assessed</w:t>
            </w:r>
          </w:p>
        </w:tc>
      </w:tr>
    </w:tbl>
    <w:p/>
    <w:p>
      <w:pPr>
        <w:pStyle w:val="Heading1"/>
      </w:pPr>
      <w:r>
        <w:t>Product Identity and Version</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00"/>
            <w:vAlign w:val="center"/>
            <w:tcMar>
              <w:top w:w="80" w:type="dxa"/>
              <w:start w:w="120" w:type="dxa"/>
              <w:bottom w:w="80" w:type="dxa"/>
              <w:end w:w="120" w:type="dxa"/>
            </w:tcMar>
            <w:shd w:fill="17365D"/>
          </w:tcPr>
          <w:p>
            <w:pPr>
              <w:spacing w:after="20"/>
            </w:pPr>
            <w:r>
              <w:rPr>
                <w:rFonts w:ascii="Calibri" w:hAnsi="Calibri"/>
                <w:b/>
                <w:color w:val="FFFFFF"/>
                <w:sz w:val="16"/>
              </w:rPr>
              <w:t>Field</w:t>
            </w:r>
          </w:p>
        </w:tc>
        <w:tc>
          <w:tcPr>
            <w:tcW w:type="dxa" w:w="6860"/>
            <w:vAlign w:val="center"/>
            <w:tcMar>
              <w:top w:w="80" w:type="dxa"/>
              <w:start w:w="120" w:type="dxa"/>
              <w:bottom w:w="80" w:type="dxa"/>
              <w:end w:w="120" w:type="dxa"/>
            </w:tcMar>
            <w:shd w:fill="17365D"/>
          </w:tcPr>
          <w:p>
            <w:pPr>
              <w:spacing w:after="20"/>
            </w:pPr>
            <w:r>
              <w:rPr>
                <w:rFonts w:ascii="Calibri" w:hAnsi="Calibri"/>
                <w:b/>
                <w:color w:val="FFFFFF"/>
                <w:sz w:val="16"/>
              </w:rPr>
              <w:t>Verified or observed state</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Product</w:t>
            </w:r>
          </w:p>
        </w:tc>
        <w:tc>
          <w:tcPr>
            <w:tcW w:type="dxa" w:w="6860"/>
            <w:vAlign w:val="center"/>
            <w:tcMar>
              <w:top w:w="80" w:type="dxa"/>
              <w:start w:w="120" w:type="dxa"/>
              <w:bottom w:w="80" w:type="dxa"/>
              <w:end w:w="120" w:type="dxa"/>
            </w:tcMar>
            <w:shd w:fill="FFFFFF"/>
          </w:tcPr>
          <w:p>
            <w:pPr>
              <w:spacing w:after="20"/>
            </w:pPr>
            <w:r>
              <w:rPr>
                <w:rFonts w:ascii="Calibri" w:hAnsi="Calibri"/>
                <w:sz w:val="16"/>
              </w:rPr>
              <w:t>Google Chrome DevTools MCP Server</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Publisher/operator</w:t>
            </w:r>
          </w:p>
        </w:tc>
        <w:tc>
          <w:tcPr>
            <w:tcW w:type="dxa" w:w="6860"/>
            <w:vAlign w:val="center"/>
            <w:tcMar>
              <w:top w:w="80" w:type="dxa"/>
              <w:start w:w="120" w:type="dxa"/>
              <w:bottom w:w="80" w:type="dxa"/>
              <w:end w:w="120" w:type="dxa"/>
            </w:tcMar>
            <w:shd w:fill="F2F4F7"/>
          </w:tcPr>
          <w:p>
            <w:pPr>
              <w:spacing w:after="20"/>
            </w:pPr>
            <w:r>
              <w:rPr>
                <w:rFonts w:ascii="Calibri" w:hAnsi="Calibri"/>
                <w:sz w:val="16"/>
              </w:rPr>
              <w:t>Google ChromeDevTools</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Package</w:t>
            </w:r>
          </w:p>
        </w:tc>
        <w:tc>
          <w:tcPr>
            <w:tcW w:type="dxa" w:w="6860"/>
            <w:vAlign w:val="center"/>
            <w:tcMar>
              <w:top w:w="80" w:type="dxa"/>
              <w:start w:w="120" w:type="dxa"/>
              <w:bottom w:w="80" w:type="dxa"/>
              <w:end w:w="120" w:type="dxa"/>
            </w:tcMar>
            <w:shd w:fill="FFFFFF"/>
          </w:tcPr>
          <w:p>
            <w:pPr>
              <w:spacing w:after="20"/>
            </w:pPr>
            <w:r>
              <w:rPr>
                <w:rFonts w:ascii="Calibri" w:hAnsi="Calibri"/>
                <w:sz w:val="16"/>
              </w:rPr>
              <w:t>chrome-devtools-mcp</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6860"/>
            <w:vAlign w:val="center"/>
            <w:tcMar>
              <w:top w:w="80" w:type="dxa"/>
              <w:start w:w="120" w:type="dxa"/>
              <w:bottom w:w="80" w:type="dxa"/>
              <w:end w:w="120" w:type="dxa"/>
            </w:tcMar>
            <w:shd w:fill="F2F4F7"/>
          </w:tcPr>
          <w:p>
            <w:pPr>
              <w:spacing w:after="20"/>
            </w:pPr>
            <w:r>
              <w:rPr>
                <w:rFonts w:ascii="Calibri" w:hAnsi="Calibri"/>
                <w:sz w:val="16"/>
              </w:rPr>
              <w:t>Local stdio; Chrome DevTools Protocol to browser</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Browser authority</w:t>
            </w:r>
          </w:p>
        </w:tc>
        <w:tc>
          <w:tcPr>
            <w:tcW w:type="dxa" w:w="6860"/>
            <w:vAlign w:val="center"/>
            <w:tcMar>
              <w:top w:w="80" w:type="dxa"/>
              <w:start w:w="120" w:type="dxa"/>
              <w:bottom w:w="80" w:type="dxa"/>
              <w:end w:w="120" w:type="dxa"/>
            </w:tcMar>
            <w:shd w:fill="FFFFFF"/>
          </w:tcPr>
          <w:p>
            <w:pPr>
              <w:spacing w:after="20"/>
            </w:pPr>
            <w:r>
              <w:rPr>
                <w:rFonts w:ascii="Calibri" w:hAnsi="Calibri"/>
                <w:sz w:val="16"/>
              </w:rPr>
              <w:t>Selected Chrome profile and reachable network</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Release state</w:t>
            </w:r>
          </w:p>
        </w:tc>
        <w:tc>
          <w:tcPr>
            <w:tcW w:type="dxa" w:w="6860"/>
            <w:vAlign w:val="center"/>
            <w:tcMar>
              <w:top w:w="80" w:type="dxa"/>
              <w:start w:w="120" w:type="dxa"/>
              <w:bottom w:w="80" w:type="dxa"/>
              <w:end w:w="120" w:type="dxa"/>
            </w:tcMar>
            <w:shd w:fill="F2F4F7"/>
          </w:tcPr>
          <w:p>
            <w:pPr>
              <w:spacing w:after="20"/>
            </w:pPr>
            <w:r>
              <w:rPr>
                <w:rFonts w:ascii="Calibri" w:hAnsi="Calibri"/>
                <w:sz w:val="16"/>
              </w:rPr>
              <w:t>Published exact npm release</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Version</w:t>
            </w:r>
          </w:p>
        </w:tc>
        <w:tc>
          <w:tcPr>
            <w:tcW w:type="dxa" w:w="6860"/>
            <w:vAlign w:val="center"/>
            <w:tcMar>
              <w:top w:w="80" w:type="dxa"/>
              <w:start w:w="120" w:type="dxa"/>
              <w:bottom w:w="80" w:type="dxa"/>
              <w:end w:w="120" w:type="dxa"/>
            </w:tcMar>
            <w:shd w:fill="FFFFFF"/>
          </w:tcPr>
          <w:p>
            <w:pPr>
              <w:spacing w:after="20"/>
            </w:pPr>
            <w:r>
              <w:rPr>
                <w:rFonts w:ascii="Calibri" w:hAnsi="Calibri"/>
                <w:sz w:val="16"/>
              </w:rPr>
              <w:t>1.6.0</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Tarball SHA-256</w:t>
            </w:r>
          </w:p>
        </w:tc>
        <w:tc>
          <w:tcPr>
            <w:tcW w:type="dxa" w:w="6860"/>
            <w:vAlign w:val="center"/>
            <w:tcMar>
              <w:top w:w="80" w:type="dxa"/>
              <w:start w:w="120" w:type="dxa"/>
              <w:bottom w:w="80" w:type="dxa"/>
              <w:end w:w="120" w:type="dxa"/>
            </w:tcMar>
            <w:shd w:fill="F2F4F7"/>
          </w:tcPr>
          <w:p>
            <w:pPr>
              <w:spacing w:after="20"/>
            </w:pPr>
            <w:r>
              <w:rPr>
                <w:rFonts w:ascii="Calibri" w:hAnsi="Calibri"/>
                <w:sz w:val="16"/>
              </w:rPr>
              <w:t>1e632c2d9714b4f82b4cfab4efb9ce575085c75ffe5e9772383129af012c9c84</w:t>
            </w:r>
          </w:p>
        </w:tc>
      </w:tr>
    </w:tbl>
    <w:p/>
    <w:p>
      <w:pPr>
        <w:jc w:val="center"/>
      </w:pPr>
      <w:r>
        <w:drawing>
          <wp:inline xmlns:a="http://schemas.openxmlformats.org/drawingml/2006/main" xmlns:pic="http://schemas.openxmlformats.org/drawingml/2006/picture">
            <wp:extent cx="5852160" cy="2779776"/>
            <wp:docPr id="1" name="Picture 1" descr="Trust-boundary diagram showing untrusted web content, IDE clients, browser-profile isolation, the local MCP process, Chrome authority, network access and model context." title="Chrome DevTools MCP trust boundaries"/>
            <wp:cNvGraphicFramePr>
              <a:graphicFrameLocks noChangeAspect="1"/>
            </wp:cNvGraphicFramePr>
            <a:graphic>
              <a:graphicData uri="http://schemas.openxmlformats.org/drawingml/2006/picture">
                <pic:pic>
                  <pic:nvPicPr>
                    <pic:cNvPr id="0" name="chrome-devtools-mcp-trust-boundaries.png"/>
                    <pic:cNvPicPr/>
                  </pic:nvPicPr>
                  <pic:blipFill>
                    <a:blip r:embed="rId11"/>
                    <a:stretch>
                      <a:fillRect/>
                    </a:stretch>
                  </pic:blipFill>
                  <pic:spPr>
                    <a:xfrm>
                      <a:off x="0" y="0"/>
                      <a:ext cx="5852160" cy="2779776"/>
                    </a:xfrm>
                    <a:prstGeom prst="rect"/>
                  </pic:spPr>
                </pic:pic>
              </a:graphicData>
            </a:graphic>
          </wp:inline>
        </w:drawing>
      </w:r>
    </w:p>
    <w:p>
      <w:pPr>
        <w:pStyle w:val="Heading1"/>
      </w:pPr>
      <w:r>
        <w:t>Part I - VS Code Assessment</w:t>
      </w:r>
    </w:p>
    <w:p>
      <w:pPr>
        <w:pStyle w:val="Heading2"/>
      </w:pPr>
      <w:r>
        <w:t>Decision and approval scope</w:t>
      </w:r>
    </w:p>
    <w:p>
      <w:pPr>
        <w:widowControl/>
      </w:pPr>
      <w:r>
        <w:t>For VS Code, the decision is DEFER PENDING EVIDENCE for internal-confidential use. A time-limited evaluation with synthetic websites may proceed only after isolation controls are implemented. This decision applies only to chrome-devtools-mcp 1.6.0 with the retained npm tarball hash. Use of @latest, normal browser profiles, production credentials, customer data, unattended execution or persistent approval is outside scope. Residual risk is High because dynamic analysis was selected but no disposable representative IDE host exists.</w:t>
      </w:r>
    </w:p>
    <w:p>
      <w:pPr>
        <w:pStyle w:val="Heading2"/>
      </w:pPr>
      <w:r>
        <w:t>Purpose and function</w:t>
      </w:r>
    </w:p>
    <w:p>
      <w:pPr>
        <w:widowControl/>
      </w:pPr>
      <w:r>
        <w:t>The VS Code MCP client starts a local Node.js stdio server which launches or attaches to Chrome through the Chrome DevTools Protocol. Tools can navigate pages, inspect the DOM and accessibility tree, capture screenshots, observe console and network data, evaluate scripts, emulate conditions, profile performance and analyse memory. This combines untrusted web content with browser authority and agent reasoning.</w:t>
      </w:r>
    </w:p>
    <w:p>
      <w:pPr>
        <w:pStyle w:val="Heading2"/>
      </w:pPr>
      <w:r>
        <w:t>Architecture, trust boundaries and data flows</w:t>
      </w:r>
    </w:p>
    <w:p>
      <w:pPr>
        <w:widowControl/>
      </w:pPr>
      <w:r>
        <w:t>The principal flow is user prompt to VS Code, model planning, MCP tool selection, local stdio process, Chrome DevTools Protocol session, website interaction and tool output returned to model context. Boundaries exist between web content and the model, the IDE and spawned Node process, the process and browser profile, Chrome and network destinations, and usage statistics and Google. Page text, scripts, console entries and network payloads remain untrusted.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Boundary</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Asset</w:t>
            </w:r>
          </w:p>
        </w:tc>
        <w:tc>
          <w:tcPr>
            <w:tcW w:type="dxa" w:w="2600"/>
            <w:vAlign w:val="center"/>
            <w:tcMar>
              <w:top w:w="80" w:type="dxa"/>
              <w:start w:w="120" w:type="dxa"/>
              <w:bottom w:w="80" w:type="dxa"/>
              <w:end w:w="120" w:type="dxa"/>
            </w:tcMar>
            <w:shd w:fill="17365D"/>
          </w:tcPr>
          <w:p>
            <w:pPr>
              <w:spacing w:after="20"/>
            </w:pPr>
            <w:r>
              <w:rPr>
                <w:rFonts w:ascii="Calibri" w:hAnsi="Calibri"/>
                <w:b/>
                <w:color w:val="FFFFFF"/>
                <w:sz w:val="16"/>
              </w:rPr>
              <w:t>Threat</w:t>
            </w:r>
          </w:p>
        </w:tc>
        <w:tc>
          <w:tcPr>
            <w:tcW w:type="dxa" w:w="3160"/>
            <w:vAlign w:val="center"/>
            <w:tcMar>
              <w:top w:w="80" w:type="dxa"/>
              <w:start w:w="120" w:type="dxa"/>
              <w:bottom w:w="80" w:type="dxa"/>
              <w:end w:w="120" w:type="dxa"/>
            </w:tcMar>
            <w:shd w:fill="17365D"/>
          </w:tcPr>
          <w:p>
            <w:pPr>
              <w:spacing w:after="20"/>
            </w:pPr>
            <w:r>
              <w:rPr>
                <w:rFonts w:ascii="Calibri" w:hAnsi="Calibri"/>
                <w:b/>
                <w:color w:val="FFFFFF"/>
                <w:sz w:val="16"/>
              </w:rPr>
              <w:t>Required control</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Website to agent</w:t>
            </w:r>
          </w:p>
        </w:tc>
        <w:tc>
          <w:tcPr>
            <w:tcW w:type="dxa" w:w="1900"/>
            <w:vAlign w:val="center"/>
            <w:tcMar>
              <w:top w:w="80" w:type="dxa"/>
              <w:start w:w="120" w:type="dxa"/>
              <w:bottom w:w="80" w:type="dxa"/>
              <w:end w:w="120" w:type="dxa"/>
            </w:tcMar>
            <w:shd w:fill="FFFFFF"/>
          </w:tcPr>
          <w:p>
            <w:pPr>
              <w:spacing w:after="20"/>
            </w:pPr>
            <w:r>
              <w:rPr>
                <w:rFonts w:ascii="Calibri" w:hAnsi="Calibri"/>
                <w:sz w:val="16"/>
              </w:rPr>
              <w:t>page text and scripts</w:t>
            </w:r>
          </w:p>
        </w:tc>
        <w:tc>
          <w:tcPr>
            <w:tcW w:type="dxa" w:w="2600"/>
            <w:vAlign w:val="center"/>
            <w:tcMar>
              <w:top w:w="80" w:type="dxa"/>
              <w:start w:w="120" w:type="dxa"/>
              <w:bottom w:w="80" w:type="dxa"/>
              <w:end w:w="120" w:type="dxa"/>
            </w:tcMar>
            <w:shd w:fill="FFFFFF"/>
          </w:tcPr>
          <w:p>
            <w:pPr>
              <w:spacing w:after="20"/>
            </w:pPr>
            <w:r>
              <w:rPr>
                <w:rFonts w:ascii="Calibri" w:hAnsi="Calibri"/>
                <w:sz w:val="16"/>
              </w:rPr>
              <w:t>indirect prompt injection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content provenance and approval</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IDE to MCP process</w:t>
            </w:r>
          </w:p>
        </w:tc>
        <w:tc>
          <w:tcPr>
            <w:tcW w:type="dxa" w:w="1900"/>
            <w:vAlign w:val="center"/>
            <w:tcMar>
              <w:top w:w="80" w:type="dxa"/>
              <w:start w:w="120" w:type="dxa"/>
              <w:bottom w:w="80" w:type="dxa"/>
              <w:end w:w="120" w:type="dxa"/>
            </w:tcMar>
            <w:shd w:fill="F2F4F7"/>
          </w:tcPr>
          <w:p>
            <w:pPr>
              <w:spacing w:after="20"/>
            </w:pPr>
            <w:r>
              <w:rPr>
                <w:rFonts w:ascii="Calibri" w:hAnsi="Calibri"/>
                <w:sz w:val="16"/>
              </w:rPr>
              <w:t>prompts and tool calls</w:t>
            </w:r>
          </w:p>
        </w:tc>
        <w:tc>
          <w:tcPr>
            <w:tcW w:type="dxa" w:w="2600"/>
            <w:vAlign w:val="center"/>
            <w:tcMar>
              <w:top w:w="80" w:type="dxa"/>
              <w:start w:w="120" w:type="dxa"/>
              <w:bottom w:w="80" w:type="dxa"/>
              <w:end w:w="120" w:type="dxa"/>
            </w:tcMar>
            <w:shd w:fill="F2F4F7"/>
          </w:tcPr>
          <w:p>
            <w:pPr>
              <w:spacing w:after="20"/>
            </w:pPr>
            <w:r>
              <w:rPr>
                <w:rFonts w:ascii="Calibri" w:hAnsi="Calibri"/>
                <w:sz w:val="16"/>
              </w:rPr>
              <w:t>excessive agency</w:t>
            </w:r>
          </w:p>
        </w:tc>
        <w:tc>
          <w:tcPr>
            <w:tcW w:type="dxa" w:w="3160"/>
            <w:vAlign w:val="center"/>
            <w:tcMar>
              <w:top w:w="80" w:type="dxa"/>
              <w:start w:w="120" w:type="dxa"/>
              <w:bottom w:w="80" w:type="dxa"/>
              <w:end w:w="120" w:type="dxa"/>
            </w:tcMar>
            <w:shd w:fill="F2F4F7"/>
          </w:tcPr>
          <w:p>
            <w:pPr>
              <w:spacing w:after="20"/>
            </w:pPr>
            <w:r>
              <w:rPr>
                <w:rFonts w:ascii="Calibri" w:hAnsi="Calibri"/>
                <w:sz w:val="16"/>
              </w:rPr>
              <w:t>exact version and tool allowlist</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MCP to Chrome</w:t>
            </w:r>
          </w:p>
        </w:tc>
        <w:tc>
          <w:tcPr>
            <w:tcW w:type="dxa" w:w="1900"/>
            <w:vAlign w:val="center"/>
            <w:tcMar>
              <w:top w:w="80" w:type="dxa"/>
              <w:start w:w="120" w:type="dxa"/>
              <w:bottom w:w="80" w:type="dxa"/>
              <w:end w:w="120" w:type="dxa"/>
            </w:tcMar>
            <w:shd w:fill="FFFFFF"/>
          </w:tcPr>
          <w:p>
            <w:pPr>
              <w:spacing w:after="20"/>
            </w:pPr>
            <w:r>
              <w:rPr>
                <w:rFonts w:ascii="Calibri" w:hAnsi="Calibri"/>
                <w:sz w:val="16"/>
              </w:rPr>
              <w:t>cookies, storage and tabs</w:t>
            </w:r>
          </w:p>
        </w:tc>
        <w:tc>
          <w:tcPr>
            <w:tcW w:type="dxa" w:w="2600"/>
            <w:vAlign w:val="center"/>
            <w:tcMar>
              <w:top w:w="80" w:type="dxa"/>
              <w:start w:w="120" w:type="dxa"/>
              <w:bottom w:w="80" w:type="dxa"/>
              <w:end w:w="120" w:type="dxa"/>
            </w:tcMar>
            <w:shd w:fill="FFFFFF"/>
          </w:tcPr>
          <w:p>
            <w:pPr>
              <w:spacing w:after="20"/>
            </w:pPr>
            <w:r>
              <w:rPr>
                <w:rFonts w:ascii="Calibri" w:hAnsi="Calibri"/>
                <w:sz w:val="16"/>
              </w:rPr>
              <w:t>session disclosure</w:t>
            </w:r>
          </w:p>
        </w:tc>
        <w:tc>
          <w:tcPr>
            <w:tcW w:type="dxa" w:w="3160"/>
            <w:vAlign w:val="center"/>
            <w:tcMar>
              <w:top w:w="80" w:type="dxa"/>
              <w:start w:w="120" w:type="dxa"/>
              <w:bottom w:w="80" w:type="dxa"/>
              <w:end w:w="120" w:type="dxa"/>
            </w:tcMar>
            <w:shd w:fill="FFFFFF"/>
          </w:tcPr>
          <w:p>
            <w:pPr>
              <w:spacing w:after="20"/>
            </w:pPr>
            <w:r>
              <w:rPr>
                <w:rFonts w:ascii="Calibri" w:hAnsi="Calibri"/>
                <w:sz w:val="16"/>
              </w:rPr>
              <w:t>isolated disposable profile</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Chrome to network</w:t>
            </w:r>
          </w:p>
        </w:tc>
        <w:tc>
          <w:tcPr>
            <w:tcW w:type="dxa" w:w="1900"/>
            <w:vAlign w:val="center"/>
            <w:tcMar>
              <w:top w:w="80" w:type="dxa"/>
              <w:start w:w="120" w:type="dxa"/>
              <w:bottom w:w="80" w:type="dxa"/>
              <w:end w:w="120" w:type="dxa"/>
            </w:tcMar>
            <w:shd w:fill="F2F4F7"/>
          </w:tcPr>
          <w:p>
            <w:pPr>
              <w:spacing w:after="20"/>
            </w:pPr>
            <w:r>
              <w:rPr>
                <w:rFonts w:ascii="Calibri" w:hAnsi="Calibri"/>
                <w:sz w:val="16"/>
              </w:rPr>
              <w:t>requests and responses</w:t>
            </w:r>
          </w:p>
        </w:tc>
        <w:tc>
          <w:tcPr>
            <w:tcW w:type="dxa" w:w="2600"/>
            <w:vAlign w:val="center"/>
            <w:tcMar>
              <w:top w:w="80" w:type="dxa"/>
              <w:start w:w="120" w:type="dxa"/>
              <w:bottom w:w="80" w:type="dxa"/>
              <w:end w:w="120" w:type="dxa"/>
            </w:tcMar>
            <w:shd w:fill="F2F4F7"/>
          </w:tcPr>
          <w:p>
            <w:pPr>
              <w:spacing w:after="20"/>
            </w:pPr>
            <w:r>
              <w:rPr>
                <w:rFonts w:ascii="Calibri" w:hAnsi="Calibri"/>
                <w:sz w:val="16"/>
              </w:rPr>
              <w:t>private reach or exfiltration</w:t>
            </w:r>
          </w:p>
        </w:tc>
        <w:tc>
          <w:tcPr>
            <w:tcW w:type="dxa" w:w="3160"/>
            <w:vAlign w:val="center"/>
            <w:tcMar>
              <w:top w:w="80" w:type="dxa"/>
              <w:start w:w="120" w:type="dxa"/>
              <w:bottom w:w="80" w:type="dxa"/>
              <w:end w:w="120" w:type="dxa"/>
            </w:tcMar>
            <w:shd w:fill="F2F4F7"/>
          </w:tcPr>
          <w:p>
            <w:pPr>
              <w:spacing w:after="20"/>
            </w:pPr>
            <w:r>
              <w:rPr>
                <w:rFonts w:ascii="Calibri" w:hAnsi="Calibri"/>
                <w:sz w:val="16"/>
              </w:rPr>
              <w:t>deny-by-default egress</w:t>
            </w:r>
          </w:p>
        </w:tc>
      </w:tr>
    </w:tbl>
    <w:p/>
    <w:p>
      <w:pPr>
        <w:pStyle w:val="Heading2"/>
      </w:pPr>
      <w:r>
        <w:t>Installation manifest and uninstall</w:t>
      </w:r>
    </w:p>
    <w:p>
      <w:pPr>
        <w:widowControl/>
      </w:pPr>
      <w:r>
        <w:t>The installation surface includes the VS Code MCP configuration, exact npm package and Node runtime, local package cache, spawned Node process, Chrome binary, browser profile, logs, screenshots, traces, heap snapshots and six bundled Agent Skills. Uninstall must remove the configuration, isolated profile and task artefacts, then confirm no user or workspace entry shadows the removed configuration. Host residue is Unknown until dynamic verification.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4200"/>
            <w:vAlign w:val="center"/>
            <w:tcMar>
              <w:top w:w="80" w:type="dxa"/>
              <w:start w:w="120" w:type="dxa"/>
              <w:bottom w:w="80" w:type="dxa"/>
              <w:end w:w="120" w:type="dxa"/>
            </w:tcMar>
            <w:shd w:fill="17365D"/>
          </w:tcPr>
          <w:p>
            <w:pPr>
              <w:spacing w:after="20"/>
            </w:pPr>
            <w:r>
              <w:rPr>
                <w:rFonts w:ascii="Calibri" w:hAnsi="Calibri"/>
                <w:b/>
                <w:color w:val="FFFFFF"/>
                <w:sz w:val="16"/>
              </w:rPr>
              <w:t>Expected state</w:t>
            </w:r>
          </w:p>
        </w:tc>
        <w:tc>
          <w:tcPr>
            <w:tcW w:type="dxa" w:w="3260"/>
            <w:vAlign w:val="center"/>
            <w:tcMar>
              <w:top w:w="80" w:type="dxa"/>
              <w:start w:w="120" w:type="dxa"/>
              <w:bottom w:w="80" w:type="dxa"/>
              <w:end w:w="120" w:type="dxa"/>
            </w:tcMar>
            <w:shd w:fill="17365D"/>
          </w:tcPr>
          <w:p>
            <w:pPr>
              <w:spacing w:after="20"/>
            </w:pPr>
            <w:r>
              <w:rPr>
                <w:rFonts w:ascii="Calibri" w:hAnsi="Calibri"/>
                <w:b/>
                <w:color w:val="FFFFFF"/>
                <w:sz w:val="16"/>
              </w:rPr>
              <w:t>Evidence state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npm tarball</w:t>
            </w:r>
          </w:p>
        </w:tc>
        <w:tc>
          <w:tcPr>
            <w:tcW w:type="dxa" w:w="4200"/>
            <w:vAlign w:val="center"/>
            <w:tcMar>
              <w:top w:w="80" w:type="dxa"/>
              <w:start w:w="120" w:type="dxa"/>
              <w:bottom w:w="80" w:type="dxa"/>
              <w:end w:w="120" w:type="dxa"/>
            </w:tcMar>
            <w:shd w:fill="FFFFFF"/>
          </w:tcPr>
          <w:p>
            <w:pPr>
              <w:spacing w:after="20"/>
            </w:pPr>
            <w:r>
              <w:rPr>
                <w:rFonts w:ascii="Calibri" w:hAnsi="Calibri"/>
                <w:sz w:val="16"/>
              </w:rPr>
              <w:t>chrome-devtools-mcp 1.6.0; SHA-256 1e632c...c9c84</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retained bytes</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4200"/>
            <w:vAlign w:val="center"/>
            <w:tcMar>
              <w:top w:w="80" w:type="dxa"/>
              <w:start w:w="120" w:type="dxa"/>
              <w:bottom w:w="80" w:type="dxa"/>
              <w:end w:w="120" w:type="dxa"/>
            </w:tcMar>
            <w:shd w:fill="F2F4F7"/>
          </w:tcPr>
          <w:p>
            <w:pPr>
              <w:spacing w:after="20"/>
            </w:pPr>
            <w:r>
              <w:rPr>
                <w:rFonts w:ascii="Calibri" w:hAnsi="Calibri"/>
                <w:sz w:val="16"/>
              </w:rPr>
              <w:t>Local stdio</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package and documentation</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Browser control</w:t>
            </w:r>
          </w:p>
        </w:tc>
        <w:tc>
          <w:tcPr>
            <w:tcW w:type="dxa" w:w="4200"/>
            <w:vAlign w:val="center"/>
            <w:tcMar>
              <w:top w:w="80" w:type="dxa"/>
              <w:start w:w="120" w:type="dxa"/>
              <w:bottom w:w="80" w:type="dxa"/>
              <w:end w:w="120" w:type="dxa"/>
            </w:tcMar>
            <w:shd w:fill="FFFFFF"/>
          </w:tcPr>
          <w:p>
            <w:pPr>
              <w:spacing w:after="20"/>
            </w:pPr>
            <w:r>
              <w:rPr>
                <w:rFonts w:ascii="Calibri" w:hAnsi="Calibri"/>
                <w:sz w:val="16"/>
              </w:rPr>
              <w:t>Chrome DevTools Protocol</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package and documentation</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Bundled skills</w:t>
            </w:r>
          </w:p>
        </w:tc>
        <w:tc>
          <w:tcPr>
            <w:tcW w:type="dxa" w:w="4200"/>
            <w:vAlign w:val="center"/>
            <w:tcMar>
              <w:top w:w="80" w:type="dxa"/>
              <w:start w:w="120" w:type="dxa"/>
              <w:bottom w:w="80" w:type="dxa"/>
              <w:end w:w="120" w:type="dxa"/>
            </w:tcMar>
            <w:shd w:fill="F2F4F7"/>
          </w:tcPr>
          <w:p>
            <w:pPr>
              <w:spacing w:after="20"/>
            </w:pPr>
            <w:r>
              <w:rPr>
                <w:rFonts w:ascii="Calibri" w:hAnsi="Calibri"/>
                <w:sz w:val="16"/>
              </w:rPr>
              <w:t>Six skills and transitive references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package inventory</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Local residue</w:t>
            </w:r>
          </w:p>
        </w:tc>
        <w:tc>
          <w:tcPr>
            <w:tcW w:type="dxa" w:w="4200"/>
            <w:vAlign w:val="center"/>
            <w:tcMar>
              <w:top w:w="80" w:type="dxa"/>
              <w:start w:w="120" w:type="dxa"/>
              <w:bottom w:w="80" w:type="dxa"/>
              <w:end w:w="120" w:type="dxa"/>
            </w:tcMar>
            <w:shd w:fill="FFFFFF"/>
          </w:tcPr>
          <w:p>
            <w:pPr>
              <w:spacing w:after="20"/>
            </w:pPr>
            <w:r>
              <w:rPr>
                <w:rFonts w:ascii="Calibri" w:hAnsi="Calibri"/>
                <w:sz w:val="16"/>
              </w:rPr>
              <w:t>Configuration, profile, cache, traces and logs</w:t>
            </w:r>
          </w:p>
        </w:tc>
        <w:tc>
          <w:tcPr>
            <w:tcW w:type="dxa" w:w="3260"/>
            <w:vAlign w:val="center"/>
            <w:tcMar>
              <w:top w:w="80" w:type="dxa"/>
              <w:start w:w="120" w:type="dxa"/>
              <w:bottom w:w="80" w:type="dxa"/>
              <w:end w:w="120" w:type="dxa"/>
            </w:tcMar>
            <w:shd w:fill="FFFFFF"/>
          </w:tcPr>
          <w:p>
            <w:pPr>
              <w:spacing w:after="20"/>
            </w:pPr>
            <w:r>
              <w:rPr>
                <w:rFonts w:ascii="Calibri" w:hAnsi="Calibri"/>
                <w:sz w:val="16"/>
              </w:rPr>
              <w:t>Unknown until runtime</w:t>
            </w:r>
          </w:p>
        </w:tc>
      </w:tr>
    </w:tbl>
    <w:p/>
    <w:p>
      <w:pPr>
        <w:pStyle w:val="Heading2"/>
      </w:pPr>
      <w:r>
        <w:t>Runtime, activation and network</w:t>
      </w:r>
    </w:p>
    <w:p>
      <w:pPr>
        <w:widowControl/>
      </w:pPr>
      <w:r>
        <w:t>Dynamic analysis was selected but blocked. There is no disposable representative Windows 11 VS Code host with synthetic website, controlled test account, network capture and rollback. The current macOS host is not an approved disposable full-IDE environment and cannot represent Windows Visual Studio. Activation, child processes, browser arguments, profile permissions, network destinations, telemetry, tool approval, failure behaviour, cleanup and uninstall residue remain Unknown or Not observed.</w:t>
      </w:r>
    </w:p>
    <w:p>
      <w:pPr>
        <w:pStyle w:val="Heading2"/>
      </w:pPr>
      <w:r>
        <w:t>Authentication, authorization and excessive agency</w:t>
      </w:r>
    </w:p>
    <w:p>
      <w:pPr>
        <w:widowControl/>
      </w:pPr>
      <w:r>
        <w:t>The server inherits the authority available to the selected Chrome profile and reachable network. Attaching to a normal profile can expose authenticated tabs, cookies, storage and internal applications. Evaluation must use --isolated, a dedicated synthetic Chrome identity, no password manager, no production credentials, a minimal MCP tool allowlist and per-invocation approval. Remote debugging must never be exposed to an untrusted network.</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Status</w:t>
            </w:r>
          </w:p>
        </w:tc>
        <w:tc>
          <w:tcPr>
            <w:tcW w:type="dxa" w:w="3360"/>
            <w:vAlign w:val="center"/>
            <w:tcMar>
              <w:top w:w="80" w:type="dxa"/>
              <w:start w:w="120" w:type="dxa"/>
              <w:bottom w:w="80" w:type="dxa"/>
              <w:end w:w="120" w:type="dxa"/>
            </w:tcMar>
            <w:shd w:fill="17365D"/>
          </w:tcPr>
          <w:p>
            <w:pPr>
              <w:spacing w:after="20"/>
            </w:pPr>
            <w:r>
              <w:rPr>
                <w:rFonts w:ascii="Calibri" w:hAnsi="Calibri"/>
                <w:b/>
                <w:color w:val="FFFFFF"/>
                <w:sz w:val="16"/>
              </w:rPr>
              <w:t>Verification test</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Isolated profile</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Required; not runtime verified</w:t>
            </w:r>
          </w:p>
        </w:tc>
        <w:tc>
          <w:tcPr>
            <w:tcW w:type="dxa" w:w="3360"/>
            <w:vAlign w:val="center"/>
            <w:tcMar>
              <w:top w:w="80" w:type="dxa"/>
              <w:start w:w="120" w:type="dxa"/>
              <w:bottom w:w="80" w:type="dxa"/>
              <w:end w:w="120" w:type="dxa"/>
            </w:tcMar>
            <w:shd w:fill="FFFFFF"/>
          </w:tcPr>
          <w:p>
            <w:pPr>
              <w:spacing w:after="20"/>
            </w:pPr>
            <w:r>
              <w:rPr>
                <w:rFonts w:ascii="Calibri" w:hAnsi="Calibri"/>
                <w:sz w:val="16"/>
              </w:rPr>
              <w:t>Normal-profile cookies and tabs unavailable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Network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Private and metadata destinations denied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Usage statistics disabled</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Required</w:t>
            </w:r>
          </w:p>
        </w:tc>
        <w:tc>
          <w:tcPr>
            <w:tcW w:type="dxa" w:w="3360"/>
            <w:vAlign w:val="center"/>
            <w:tcMar>
              <w:top w:w="80" w:type="dxa"/>
              <w:start w:w="120" w:type="dxa"/>
              <w:bottom w:w="80" w:type="dxa"/>
              <w:end w:w="120" w:type="dxa"/>
            </w:tcMar>
            <w:shd w:fill="FFFFFF"/>
          </w:tcPr>
          <w:p>
            <w:pPr>
              <w:spacing w:after="20"/>
            </w:pPr>
            <w:r>
              <w:rPr>
                <w:rFonts w:ascii="Calibri" w:hAnsi="Calibri"/>
                <w:sz w:val="16"/>
              </w:rPr>
              <w:t>No statistics egress observed</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Exact tool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Compare negotiated list to approval record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Human 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2700"/>
            <w:vAlign w:val="center"/>
            <w:tcMar>
              <w:top w:w="80" w:type="dxa"/>
              <w:start w:w="120" w:type="dxa"/>
              <w:bottom w:w="80" w:type="dxa"/>
              <w:end w:w="120" w:type="dxa"/>
            </w:tcMar>
            <w:shd w:fill="FFFFFF"/>
          </w:tcPr>
          <w:p>
            <w:pPr>
              <w:spacing w:after="20"/>
            </w:pPr>
            <w:r>
              <w:rPr>
                <w:rFonts w:ascii="Calibri" w:hAnsi="Calibri"/>
                <w:sz w:val="16"/>
              </w:rPr>
              <w:t>Client dependent</w:t>
            </w:r>
          </w:p>
        </w:tc>
        <w:tc>
          <w:tcPr>
            <w:tcW w:type="dxa" w:w="3360"/>
            <w:vAlign w:val="center"/>
            <w:tcMar>
              <w:top w:w="80" w:type="dxa"/>
              <w:start w:w="120" w:type="dxa"/>
              <w:bottom w:w="80" w:type="dxa"/>
              <w:end w:w="120" w:type="dxa"/>
            </w:tcMar>
            <w:shd w:fill="FFFFFF"/>
          </w:tcPr>
          <w:p>
            <w:pPr>
              <w:spacing w:after="20"/>
            </w:pPr>
            <w:r>
              <w:rPr>
                <w:rFonts w:ascii="Calibri" w:hAnsi="Calibri"/>
                <w:sz w:val="16"/>
              </w:rPr>
              <w:t>Injection canary cannot cause write</w:t>
            </w:r>
          </w:p>
        </w:tc>
      </w:tr>
    </w:tbl>
    <w:p/>
    <w:p>
      <w:pPr>
        <w:pStyle w:val="Heading2"/>
      </w:pPr>
      <w:r>
        <w:t>Telemetry, privacy and data classification</w:t>
      </w:r>
    </w:p>
    <w:p>
      <w:pPr>
        <w:widowControl/>
      </w:pPr>
      <w:r>
        <w:t>URLs, page content, screenshots, console output, network payloads, cookies, local storage, traces and heap snapshots can contain personal, confidential or regulated data. Version 1.6.0 exposes a usage-statistics opt-out, but collection was not dynamically observed. Enterprise configuration must disable usage statistics, minimise captured artefacts, prevent normal-profile access, define retention and securely delete task artefacts.</w:t>
      </w:r>
    </w:p>
    <w:p>
      <w:pPr>
        <w:pStyle w:val="Heading2"/>
      </w:pPr>
      <w:r>
        <w:t>MCP capabilities and installed Agent Skills</w:t>
      </w:r>
    </w:p>
    <w:p>
      <w:pPr>
        <w:widowControl/>
      </w:pPr>
      <w:r>
        <w:t>The exact package bundles six Agent Skills: a11y-debugging, chrome-devtools, chrome-devtools-cli, debug-optimize-lcp, memory-leak-debugging and troubleshooting. They are instruction-bearing content separate from MCP tools. Broad debugging triggers, external references, browser authority and update coupling require governance. The memory skill includes compare_snapshots.js; it was statically inspected and not executed. All six are DEFER PENDING EVIDENCE for internal-confidential use and conditional only for isolated synthetic evaluation.</w:t>
      </w:r>
    </w:p>
    <w:p>
      <w:pPr>
        <w:pStyle w:val="Heading2"/>
      </w:pPr>
      <w:r>
        <w:t>Supply chain, threats and findings</w:t>
      </w:r>
    </w:p>
    <w:p>
      <w:pPr>
        <w:widowControl/>
      </w:pPr>
      <w:r>
        <w:t>The exact npm tarball was retained and matched the historical SHA-256. Archive names, file types, executable entry points, scripts, generated JavaScript, third-party bundles and skill content were inspected without activation. No traversal path or symlink was present in the package listing. Scanner absence or clean static results would not prove safety; package-to-source reproducibility and runtime behaviour remain verification gaps.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700"/>
            <w:vAlign w:val="center"/>
            <w:tcMar>
              <w:top w:w="80" w:type="dxa"/>
              <w:start w:w="120" w:type="dxa"/>
              <w:bottom w:w="80" w:type="dxa"/>
              <w:end w:w="120" w:type="dxa"/>
            </w:tcMar>
            <w:shd w:fill="17365D"/>
          </w:tcPr>
          <w:p>
            <w:pPr>
              <w:spacing w:after="20"/>
            </w:pPr>
            <w:r>
              <w:rPr>
                <w:rFonts w:ascii="Calibri" w:hAnsi="Calibri"/>
                <w:b/>
                <w:color w:val="FFFFFF"/>
                <w:sz w:val="16"/>
              </w:rPr>
              <w:t>Finding</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Treatment</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F-001 Untrusted web content can prompt-inject the agent</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AI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F-002 Browser-control tools create excessive agency</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IDE Engineering</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F-003 Remote debugging can expose authenticated browser state</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Endpoint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F-004 Persistent Chrome profiles can retain confidential data</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Endpoint Security</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F-005 Usage statistics may disclose enterprise metadata</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2660"/>
            <w:vAlign w:val="center"/>
            <w:tcMar>
              <w:top w:w="80" w:type="dxa"/>
              <w:start w:w="120" w:type="dxa"/>
              <w:bottom w:w="80" w:type="dxa"/>
              <w:end w:w="120" w:type="dxa"/>
            </w:tcMar>
            <w:shd w:fill="FFFFFF"/>
          </w:tcPr>
          <w:p>
            <w:pPr>
              <w:spacing w:after="20"/>
            </w:pPr>
            <w:r>
              <w:rPr>
                <w:rFonts w:ascii="Calibri" w:hAnsi="Calibri"/>
                <w:sz w:val="16"/>
              </w:rPr>
              <w:t>Privacy and Legal</w:t>
            </w:r>
          </w:p>
        </w:tc>
      </w:tr>
    </w:tbl>
    <w:p/>
    <w:p>
      <w:pPr>
        <w:pStyle w:val="Heading2"/>
      </w:pPr>
      <w:r>
        <w:t>Framework disposition</w:t>
      </w:r>
    </w:p>
    <w:p>
      <w:pPr>
        <w:widowControl/>
      </w:pPr>
      <w:r>
        <w:t>Applicable baselines include OWASP LLM Top 10 2025, OWASP Agentic Top 10 2026, OWASP MCP Top 10, NIST AI RMF 1.0, NIST AI 600-1, NCSC secure AI development guidance, CIS Controls v8.1 and ISO/IEC 27001:2022. OWASP ASVS 5.0.0 Level 2 applies to the API, identity and configuration control surface, especially access control, OAuth, communications, validation, logging and supply-chain requirements. The EU AI Act is conditionally applicable by use case; prohibited/high-risk customer-outcome use is outside this approval.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Framework</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c>
          <w:tcPr>
            <w:tcW w:type="dxa" w:w="5260"/>
            <w:vAlign w:val="center"/>
            <w:tcMar>
              <w:top w:w="80" w:type="dxa"/>
              <w:start w:w="120" w:type="dxa"/>
              <w:bottom w:w="80" w:type="dxa"/>
              <w:end w:w="120" w:type="dxa"/>
            </w:tcMar>
            <w:shd w:fill="17365D"/>
          </w:tcPr>
          <w:p>
            <w:pPr>
              <w:spacing w:after="20"/>
            </w:pPr>
            <w:r>
              <w:rPr>
                <w:rFonts w:ascii="Calibri" w:hAnsi="Calibri"/>
                <w:b/>
                <w:color w:val="FFFFFF"/>
                <w:sz w:val="16"/>
              </w:rPr>
              <w:t>Key mapping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LLM 2025</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prompt injection, sensitive disclosure, excessive agency</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Agentic 2026</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goal hijack, tool misuse, identity abuse</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MCP</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token, tool and supply-chain controls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ASVS 5.0 L2</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V8 authorization, V9 communications, V10 OAuth, V15 supply chain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NIST AI RMF / 600-1</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Govern, Map, Measure, Manage</w:t>
            </w:r>
          </w:p>
        </w:tc>
      </w:tr>
    </w:tbl>
    <w:p/>
    <w:p>
      <w:pPr>
        <w:pStyle w:val="Heading2"/>
      </w:pPr>
      <w:r>
        <w:t>Controls, detection and residual risk</w:t>
      </w:r>
    </w:p>
    <w:p>
      <w:pPr>
        <w:widowControl/>
      </w:pPr>
      <w:r>
        <w:t>Before evaluation, pin the exact package and hash, use a disposable isolated browser profile and synthetic account, disable usage statistics, deny private-network destinations, expose only approved tools and require per-invocation approval. Detect tool-list drift, attempts to connect to a normal profile, unexpected child processes, remote-debugging exposure, disallowed destinations, persistent artefacts and browser actions without approved MCP intent.</w:t>
      </w:r>
    </w:p>
    <w:p>
      <w:pPr>
        <w:pStyle w:val="Heading2"/>
      </w:pPr>
      <w:r>
        <w:t>Confidence, limitations, evidence and verification</w:t>
      </w:r>
    </w:p>
    <w:p>
      <w:pPr>
        <w:widowControl/>
      </w:pPr>
      <w:r>
        <w:t>Confidence is High for package identity, exact hash, stdio transport, tool code and six bundled skills. Confidence is Medium for source-to-package interpretation because reproducible build evidence was not established. Confidence is Low for activation, Chrome arguments, telemetry, profile lifecycle, network behaviour, cleanup and IDE parity because runtime was blocked. Verification requires disposable hosts, a synthetic site and identity, controlled egress, process and filesystem baselines, injection canaries, denied destination tests, telemetry observation and uninstall inspection.</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8">
        <w:r>
          <w:rPr>
            <w:color w:val="0563C1"/>
            <w:u w:val="single"/>
          </w:rPr>
          <w:t>[REF-008]</w:t>
        </w:r>
      </w:hyperlink>
      <w:r>
        <w:t xml:space="preserve"> </w:t>
      </w:r>
      <w:hyperlink w:anchor="REF_010">
        <w:r>
          <w:rPr>
            <w:color w:val="0563C1"/>
            <w:u w:val="single"/>
          </w:rPr>
          <w:t>[REF-010]</w:t>
        </w:r>
      </w:hyperlink>
      <w:r>
        <w:t xml:space="preserve"> </w:t>
      </w:r>
      <w:hyperlink w:anchor="REF_012">
        <w:r>
          <w:rPr>
            <w:color w:val="0563C1"/>
            <w:u w:val="single"/>
          </w:rPr>
          <w:t>[REF-012]</w:t>
        </w:r>
      </w:hyperlink>
    </w:p>
    <w:p>
      <w:pPr>
        <w:pStyle w:val="Heading1"/>
      </w:pPr>
      <w:r>
        <w:t>Part II - Visual Studio Assessment</w:t>
      </w:r>
    </w:p>
    <w:p>
      <w:pPr>
        <w:pStyle w:val="Heading2"/>
      </w:pPr>
      <w:r>
        <w:t>Decision and approval scope</w:t>
      </w:r>
    </w:p>
    <w:p>
      <w:pPr>
        <w:widowControl/>
      </w:pPr>
      <w:r>
        <w:t>For Visual Studio, the decision is DEFER PENDING EVIDENCE for internal-confidential use. A time-limited evaluation with synthetic websites may proceed only after isolation controls are implemented. This decision applies only to chrome-devtools-mcp 1.6.0 with the retained npm tarball hash. Use of @latest, normal browser profiles, production credentials, customer data, unattended execution or persistent approval is outside scope. Residual risk is High because dynamic analysis was selected but no disposable representative IDE host exists.</w:t>
      </w:r>
    </w:p>
    <w:p>
      <w:pPr>
        <w:pStyle w:val="Heading2"/>
      </w:pPr>
      <w:r>
        <w:t>Purpose and function</w:t>
      </w:r>
    </w:p>
    <w:p>
      <w:pPr>
        <w:widowControl/>
      </w:pPr>
      <w:r>
        <w:t>The Visual Studio MCP client starts a local Node.js stdio server which launches or attaches to Chrome through the Chrome DevTools Protocol. Tools can navigate pages, inspect the DOM and accessibility tree, capture screenshots, observe console and network data, evaluate scripts, emulate conditions, profile performance and analyse memory. This combines untrusted web content with browser authority and agent reasoning.</w:t>
      </w:r>
    </w:p>
    <w:p>
      <w:pPr>
        <w:pStyle w:val="Heading2"/>
      </w:pPr>
      <w:r>
        <w:t>Architecture, trust boundaries and data flows</w:t>
      </w:r>
    </w:p>
    <w:p>
      <w:pPr>
        <w:widowControl/>
      </w:pPr>
      <w:r>
        <w:t>The principal flow is user prompt to Visual Studio, model planning, MCP tool selection, local stdio process, Chrome DevTools Protocol session, website interaction and tool output returned to model context. Boundaries exist between web content and the model, the IDE and spawned Node process, the process and browser profile, Chrome and network destinations, and usage statistics and Google. Page text, scripts, console entries and network payloads remain untrusted.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Boundary</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Asset</w:t>
            </w:r>
          </w:p>
        </w:tc>
        <w:tc>
          <w:tcPr>
            <w:tcW w:type="dxa" w:w="2600"/>
            <w:vAlign w:val="center"/>
            <w:tcMar>
              <w:top w:w="80" w:type="dxa"/>
              <w:start w:w="120" w:type="dxa"/>
              <w:bottom w:w="80" w:type="dxa"/>
              <w:end w:w="120" w:type="dxa"/>
            </w:tcMar>
            <w:shd w:fill="17365D"/>
          </w:tcPr>
          <w:p>
            <w:pPr>
              <w:spacing w:after="20"/>
            </w:pPr>
            <w:r>
              <w:rPr>
                <w:rFonts w:ascii="Calibri" w:hAnsi="Calibri"/>
                <w:b/>
                <w:color w:val="FFFFFF"/>
                <w:sz w:val="16"/>
              </w:rPr>
              <w:t>Threat</w:t>
            </w:r>
          </w:p>
        </w:tc>
        <w:tc>
          <w:tcPr>
            <w:tcW w:type="dxa" w:w="3160"/>
            <w:vAlign w:val="center"/>
            <w:tcMar>
              <w:top w:w="80" w:type="dxa"/>
              <w:start w:w="120" w:type="dxa"/>
              <w:bottom w:w="80" w:type="dxa"/>
              <w:end w:w="120" w:type="dxa"/>
            </w:tcMar>
            <w:shd w:fill="17365D"/>
          </w:tcPr>
          <w:p>
            <w:pPr>
              <w:spacing w:after="20"/>
            </w:pPr>
            <w:r>
              <w:rPr>
                <w:rFonts w:ascii="Calibri" w:hAnsi="Calibri"/>
                <w:b/>
                <w:color w:val="FFFFFF"/>
                <w:sz w:val="16"/>
              </w:rPr>
              <w:t>Required control</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Website to agent</w:t>
            </w:r>
          </w:p>
        </w:tc>
        <w:tc>
          <w:tcPr>
            <w:tcW w:type="dxa" w:w="1900"/>
            <w:vAlign w:val="center"/>
            <w:tcMar>
              <w:top w:w="80" w:type="dxa"/>
              <w:start w:w="120" w:type="dxa"/>
              <w:bottom w:w="80" w:type="dxa"/>
              <w:end w:w="120" w:type="dxa"/>
            </w:tcMar>
            <w:shd w:fill="FFFFFF"/>
          </w:tcPr>
          <w:p>
            <w:pPr>
              <w:spacing w:after="20"/>
            </w:pPr>
            <w:r>
              <w:rPr>
                <w:rFonts w:ascii="Calibri" w:hAnsi="Calibri"/>
                <w:sz w:val="16"/>
              </w:rPr>
              <w:t>page text and scripts</w:t>
            </w:r>
          </w:p>
        </w:tc>
        <w:tc>
          <w:tcPr>
            <w:tcW w:type="dxa" w:w="2600"/>
            <w:vAlign w:val="center"/>
            <w:tcMar>
              <w:top w:w="80" w:type="dxa"/>
              <w:start w:w="120" w:type="dxa"/>
              <w:bottom w:w="80" w:type="dxa"/>
              <w:end w:w="120" w:type="dxa"/>
            </w:tcMar>
            <w:shd w:fill="FFFFFF"/>
          </w:tcPr>
          <w:p>
            <w:pPr>
              <w:spacing w:after="20"/>
            </w:pPr>
            <w:r>
              <w:rPr>
                <w:rFonts w:ascii="Calibri" w:hAnsi="Calibri"/>
                <w:sz w:val="16"/>
              </w:rPr>
              <w:t>indirect prompt injection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content provenance and approval</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IDE to MCP process</w:t>
            </w:r>
          </w:p>
        </w:tc>
        <w:tc>
          <w:tcPr>
            <w:tcW w:type="dxa" w:w="1900"/>
            <w:vAlign w:val="center"/>
            <w:tcMar>
              <w:top w:w="80" w:type="dxa"/>
              <w:start w:w="120" w:type="dxa"/>
              <w:bottom w:w="80" w:type="dxa"/>
              <w:end w:w="120" w:type="dxa"/>
            </w:tcMar>
            <w:shd w:fill="F2F4F7"/>
          </w:tcPr>
          <w:p>
            <w:pPr>
              <w:spacing w:after="20"/>
            </w:pPr>
            <w:r>
              <w:rPr>
                <w:rFonts w:ascii="Calibri" w:hAnsi="Calibri"/>
                <w:sz w:val="16"/>
              </w:rPr>
              <w:t>prompts and tool calls</w:t>
            </w:r>
          </w:p>
        </w:tc>
        <w:tc>
          <w:tcPr>
            <w:tcW w:type="dxa" w:w="2600"/>
            <w:vAlign w:val="center"/>
            <w:tcMar>
              <w:top w:w="80" w:type="dxa"/>
              <w:start w:w="120" w:type="dxa"/>
              <w:bottom w:w="80" w:type="dxa"/>
              <w:end w:w="120" w:type="dxa"/>
            </w:tcMar>
            <w:shd w:fill="F2F4F7"/>
          </w:tcPr>
          <w:p>
            <w:pPr>
              <w:spacing w:after="20"/>
            </w:pPr>
            <w:r>
              <w:rPr>
                <w:rFonts w:ascii="Calibri" w:hAnsi="Calibri"/>
                <w:sz w:val="16"/>
              </w:rPr>
              <w:t>excessive agency</w:t>
            </w:r>
          </w:p>
        </w:tc>
        <w:tc>
          <w:tcPr>
            <w:tcW w:type="dxa" w:w="3160"/>
            <w:vAlign w:val="center"/>
            <w:tcMar>
              <w:top w:w="80" w:type="dxa"/>
              <w:start w:w="120" w:type="dxa"/>
              <w:bottom w:w="80" w:type="dxa"/>
              <w:end w:w="120" w:type="dxa"/>
            </w:tcMar>
            <w:shd w:fill="F2F4F7"/>
          </w:tcPr>
          <w:p>
            <w:pPr>
              <w:spacing w:after="20"/>
            </w:pPr>
            <w:r>
              <w:rPr>
                <w:rFonts w:ascii="Calibri" w:hAnsi="Calibri"/>
                <w:sz w:val="16"/>
              </w:rPr>
              <w:t>exact version and tool allowlist</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MCP to Chrome</w:t>
            </w:r>
          </w:p>
        </w:tc>
        <w:tc>
          <w:tcPr>
            <w:tcW w:type="dxa" w:w="1900"/>
            <w:vAlign w:val="center"/>
            <w:tcMar>
              <w:top w:w="80" w:type="dxa"/>
              <w:start w:w="120" w:type="dxa"/>
              <w:bottom w:w="80" w:type="dxa"/>
              <w:end w:w="120" w:type="dxa"/>
            </w:tcMar>
            <w:shd w:fill="FFFFFF"/>
          </w:tcPr>
          <w:p>
            <w:pPr>
              <w:spacing w:after="20"/>
            </w:pPr>
            <w:r>
              <w:rPr>
                <w:rFonts w:ascii="Calibri" w:hAnsi="Calibri"/>
                <w:sz w:val="16"/>
              </w:rPr>
              <w:t>cookies, storage and tabs</w:t>
            </w:r>
          </w:p>
        </w:tc>
        <w:tc>
          <w:tcPr>
            <w:tcW w:type="dxa" w:w="2600"/>
            <w:vAlign w:val="center"/>
            <w:tcMar>
              <w:top w:w="80" w:type="dxa"/>
              <w:start w:w="120" w:type="dxa"/>
              <w:bottom w:w="80" w:type="dxa"/>
              <w:end w:w="120" w:type="dxa"/>
            </w:tcMar>
            <w:shd w:fill="FFFFFF"/>
          </w:tcPr>
          <w:p>
            <w:pPr>
              <w:spacing w:after="20"/>
            </w:pPr>
            <w:r>
              <w:rPr>
                <w:rFonts w:ascii="Calibri" w:hAnsi="Calibri"/>
                <w:sz w:val="16"/>
              </w:rPr>
              <w:t>session disclosure</w:t>
            </w:r>
          </w:p>
        </w:tc>
        <w:tc>
          <w:tcPr>
            <w:tcW w:type="dxa" w:w="3160"/>
            <w:vAlign w:val="center"/>
            <w:tcMar>
              <w:top w:w="80" w:type="dxa"/>
              <w:start w:w="120" w:type="dxa"/>
              <w:bottom w:w="80" w:type="dxa"/>
              <w:end w:w="120" w:type="dxa"/>
            </w:tcMar>
            <w:shd w:fill="FFFFFF"/>
          </w:tcPr>
          <w:p>
            <w:pPr>
              <w:spacing w:after="20"/>
            </w:pPr>
            <w:r>
              <w:rPr>
                <w:rFonts w:ascii="Calibri" w:hAnsi="Calibri"/>
                <w:sz w:val="16"/>
              </w:rPr>
              <w:t>isolated disposable profile</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Chrome to network</w:t>
            </w:r>
          </w:p>
        </w:tc>
        <w:tc>
          <w:tcPr>
            <w:tcW w:type="dxa" w:w="1900"/>
            <w:vAlign w:val="center"/>
            <w:tcMar>
              <w:top w:w="80" w:type="dxa"/>
              <w:start w:w="120" w:type="dxa"/>
              <w:bottom w:w="80" w:type="dxa"/>
              <w:end w:w="120" w:type="dxa"/>
            </w:tcMar>
            <w:shd w:fill="F2F4F7"/>
          </w:tcPr>
          <w:p>
            <w:pPr>
              <w:spacing w:after="20"/>
            </w:pPr>
            <w:r>
              <w:rPr>
                <w:rFonts w:ascii="Calibri" w:hAnsi="Calibri"/>
                <w:sz w:val="16"/>
              </w:rPr>
              <w:t>requests and responses</w:t>
            </w:r>
          </w:p>
        </w:tc>
        <w:tc>
          <w:tcPr>
            <w:tcW w:type="dxa" w:w="2600"/>
            <w:vAlign w:val="center"/>
            <w:tcMar>
              <w:top w:w="80" w:type="dxa"/>
              <w:start w:w="120" w:type="dxa"/>
              <w:bottom w:w="80" w:type="dxa"/>
              <w:end w:w="120" w:type="dxa"/>
            </w:tcMar>
            <w:shd w:fill="F2F4F7"/>
          </w:tcPr>
          <w:p>
            <w:pPr>
              <w:spacing w:after="20"/>
            </w:pPr>
            <w:r>
              <w:rPr>
                <w:rFonts w:ascii="Calibri" w:hAnsi="Calibri"/>
                <w:sz w:val="16"/>
              </w:rPr>
              <w:t>private reach or exfiltration</w:t>
            </w:r>
          </w:p>
        </w:tc>
        <w:tc>
          <w:tcPr>
            <w:tcW w:type="dxa" w:w="3160"/>
            <w:vAlign w:val="center"/>
            <w:tcMar>
              <w:top w:w="80" w:type="dxa"/>
              <w:start w:w="120" w:type="dxa"/>
              <w:bottom w:w="80" w:type="dxa"/>
              <w:end w:w="120" w:type="dxa"/>
            </w:tcMar>
            <w:shd w:fill="F2F4F7"/>
          </w:tcPr>
          <w:p>
            <w:pPr>
              <w:spacing w:after="20"/>
            </w:pPr>
            <w:r>
              <w:rPr>
                <w:rFonts w:ascii="Calibri" w:hAnsi="Calibri"/>
                <w:sz w:val="16"/>
              </w:rPr>
              <w:t>deny-by-default egress</w:t>
            </w:r>
          </w:p>
        </w:tc>
      </w:tr>
    </w:tbl>
    <w:p/>
    <w:p>
      <w:pPr>
        <w:pStyle w:val="Heading2"/>
      </w:pPr>
      <w:r>
        <w:t>Installation manifest and uninstall</w:t>
      </w:r>
    </w:p>
    <w:p>
      <w:pPr>
        <w:widowControl/>
      </w:pPr>
      <w:r>
        <w:t>The installation surface includes the Visual Studio MCP configuration, exact npm package and Node runtime, local package cache, spawned Node process, Chrome binary, browser profile, logs, screenshots, traces, heap snapshots and six bundled Agent Skills. Uninstall must remove the configuration, isolated profile and task artefacts, then confirm no user or workspace entry shadows the removed configuration. Host residue is Unknown until dynamic verification.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4200"/>
            <w:vAlign w:val="center"/>
            <w:tcMar>
              <w:top w:w="80" w:type="dxa"/>
              <w:start w:w="120" w:type="dxa"/>
              <w:bottom w:w="80" w:type="dxa"/>
              <w:end w:w="120" w:type="dxa"/>
            </w:tcMar>
            <w:shd w:fill="17365D"/>
          </w:tcPr>
          <w:p>
            <w:pPr>
              <w:spacing w:after="20"/>
            </w:pPr>
            <w:r>
              <w:rPr>
                <w:rFonts w:ascii="Calibri" w:hAnsi="Calibri"/>
                <w:b/>
                <w:color w:val="FFFFFF"/>
                <w:sz w:val="16"/>
              </w:rPr>
              <w:t>Expected state</w:t>
            </w:r>
          </w:p>
        </w:tc>
        <w:tc>
          <w:tcPr>
            <w:tcW w:type="dxa" w:w="3260"/>
            <w:vAlign w:val="center"/>
            <w:tcMar>
              <w:top w:w="80" w:type="dxa"/>
              <w:start w:w="120" w:type="dxa"/>
              <w:bottom w:w="80" w:type="dxa"/>
              <w:end w:w="120" w:type="dxa"/>
            </w:tcMar>
            <w:shd w:fill="17365D"/>
          </w:tcPr>
          <w:p>
            <w:pPr>
              <w:spacing w:after="20"/>
            </w:pPr>
            <w:r>
              <w:rPr>
                <w:rFonts w:ascii="Calibri" w:hAnsi="Calibri"/>
                <w:b/>
                <w:color w:val="FFFFFF"/>
                <w:sz w:val="16"/>
              </w:rPr>
              <w:t>Evidence state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npm tarball</w:t>
            </w:r>
          </w:p>
        </w:tc>
        <w:tc>
          <w:tcPr>
            <w:tcW w:type="dxa" w:w="4200"/>
            <w:vAlign w:val="center"/>
            <w:tcMar>
              <w:top w:w="80" w:type="dxa"/>
              <w:start w:w="120" w:type="dxa"/>
              <w:bottom w:w="80" w:type="dxa"/>
              <w:end w:w="120" w:type="dxa"/>
            </w:tcMar>
            <w:shd w:fill="FFFFFF"/>
          </w:tcPr>
          <w:p>
            <w:pPr>
              <w:spacing w:after="20"/>
            </w:pPr>
            <w:r>
              <w:rPr>
                <w:rFonts w:ascii="Calibri" w:hAnsi="Calibri"/>
                <w:sz w:val="16"/>
              </w:rPr>
              <w:t>chrome-devtools-mcp 1.6.0; SHA-256 1e632c...c9c84</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retained bytes</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4200"/>
            <w:vAlign w:val="center"/>
            <w:tcMar>
              <w:top w:w="80" w:type="dxa"/>
              <w:start w:w="120" w:type="dxa"/>
              <w:bottom w:w="80" w:type="dxa"/>
              <w:end w:w="120" w:type="dxa"/>
            </w:tcMar>
            <w:shd w:fill="F2F4F7"/>
          </w:tcPr>
          <w:p>
            <w:pPr>
              <w:spacing w:after="20"/>
            </w:pPr>
            <w:r>
              <w:rPr>
                <w:rFonts w:ascii="Calibri" w:hAnsi="Calibri"/>
                <w:sz w:val="16"/>
              </w:rPr>
              <w:t>Local stdio</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package and documentation</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Browser control</w:t>
            </w:r>
          </w:p>
        </w:tc>
        <w:tc>
          <w:tcPr>
            <w:tcW w:type="dxa" w:w="4200"/>
            <w:vAlign w:val="center"/>
            <w:tcMar>
              <w:top w:w="80" w:type="dxa"/>
              <w:start w:w="120" w:type="dxa"/>
              <w:bottom w:w="80" w:type="dxa"/>
              <w:end w:w="120" w:type="dxa"/>
            </w:tcMar>
            <w:shd w:fill="FFFFFF"/>
          </w:tcPr>
          <w:p>
            <w:pPr>
              <w:spacing w:after="20"/>
            </w:pPr>
            <w:r>
              <w:rPr>
                <w:rFonts w:ascii="Calibri" w:hAnsi="Calibri"/>
                <w:sz w:val="16"/>
              </w:rPr>
              <w:t>Chrome DevTools Protocol</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package and documentation</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Bundled skills</w:t>
            </w:r>
          </w:p>
        </w:tc>
        <w:tc>
          <w:tcPr>
            <w:tcW w:type="dxa" w:w="4200"/>
            <w:vAlign w:val="center"/>
            <w:tcMar>
              <w:top w:w="80" w:type="dxa"/>
              <w:start w:w="120" w:type="dxa"/>
              <w:bottom w:w="80" w:type="dxa"/>
              <w:end w:w="120" w:type="dxa"/>
            </w:tcMar>
            <w:shd w:fill="F2F4F7"/>
          </w:tcPr>
          <w:p>
            <w:pPr>
              <w:spacing w:after="20"/>
            </w:pPr>
            <w:r>
              <w:rPr>
                <w:rFonts w:ascii="Calibri" w:hAnsi="Calibri"/>
                <w:sz w:val="16"/>
              </w:rPr>
              <w:t>Six skills and transitive references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package inventory</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Local residue</w:t>
            </w:r>
          </w:p>
        </w:tc>
        <w:tc>
          <w:tcPr>
            <w:tcW w:type="dxa" w:w="4200"/>
            <w:vAlign w:val="center"/>
            <w:tcMar>
              <w:top w:w="80" w:type="dxa"/>
              <w:start w:w="120" w:type="dxa"/>
              <w:bottom w:w="80" w:type="dxa"/>
              <w:end w:w="120" w:type="dxa"/>
            </w:tcMar>
            <w:shd w:fill="FFFFFF"/>
          </w:tcPr>
          <w:p>
            <w:pPr>
              <w:spacing w:after="20"/>
            </w:pPr>
            <w:r>
              <w:rPr>
                <w:rFonts w:ascii="Calibri" w:hAnsi="Calibri"/>
                <w:sz w:val="16"/>
              </w:rPr>
              <w:t>Configuration, profile, cache, traces and logs</w:t>
            </w:r>
          </w:p>
        </w:tc>
        <w:tc>
          <w:tcPr>
            <w:tcW w:type="dxa" w:w="3260"/>
            <w:vAlign w:val="center"/>
            <w:tcMar>
              <w:top w:w="80" w:type="dxa"/>
              <w:start w:w="120" w:type="dxa"/>
              <w:bottom w:w="80" w:type="dxa"/>
              <w:end w:w="120" w:type="dxa"/>
            </w:tcMar>
            <w:shd w:fill="FFFFFF"/>
          </w:tcPr>
          <w:p>
            <w:pPr>
              <w:spacing w:after="20"/>
            </w:pPr>
            <w:r>
              <w:rPr>
                <w:rFonts w:ascii="Calibri" w:hAnsi="Calibri"/>
                <w:sz w:val="16"/>
              </w:rPr>
              <w:t>Unknown until runtime</w:t>
            </w:r>
          </w:p>
        </w:tc>
      </w:tr>
    </w:tbl>
    <w:p/>
    <w:p>
      <w:pPr>
        <w:pStyle w:val="Heading2"/>
      </w:pPr>
      <w:r>
        <w:t>Runtime, activation and network</w:t>
      </w:r>
    </w:p>
    <w:p>
      <w:pPr>
        <w:widowControl/>
      </w:pPr>
      <w:r>
        <w:t>Dynamic analysis was selected but blocked. There is no disposable representative Windows 11 Visual Studio host with synthetic website, controlled test account, network capture and rollback. The current macOS host is not an approved disposable full-IDE environment and cannot represent Windows Visual Studio. Activation, child processes, browser arguments, profile permissions, network destinations, telemetry, tool approval, failure behaviour, cleanup and uninstall residue remain Unknown or Not observed.</w:t>
      </w:r>
    </w:p>
    <w:p>
      <w:pPr>
        <w:pStyle w:val="Heading2"/>
      </w:pPr>
      <w:r>
        <w:t>Authentication, authorization and excessive agency</w:t>
      </w:r>
    </w:p>
    <w:p>
      <w:pPr>
        <w:widowControl/>
      </w:pPr>
      <w:r>
        <w:t>The server inherits the authority available to the selected Chrome profile and reachable network. Attaching to a normal profile can expose authenticated tabs, cookies, storage and internal applications. Evaluation must use --isolated, a dedicated synthetic Chrome identity, no password manager, no production credentials, a minimal MCP tool allowlist and per-invocation approval. Remote debugging must never be exposed to an untrusted network.</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Status</w:t>
            </w:r>
          </w:p>
        </w:tc>
        <w:tc>
          <w:tcPr>
            <w:tcW w:type="dxa" w:w="3360"/>
            <w:vAlign w:val="center"/>
            <w:tcMar>
              <w:top w:w="80" w:type="dxa"/>
              <w:start w:w="120" w:type="dxa"/>
              <w:bottom w:w="80" w:type="dxa"/>
              <w:end w:w="120" w:type="dxa"/>
            </w:tcMar>
            <w:shd w:fill="17365D"/>
          </w:tcPr>
          <w:p>
            <w:pPr>
              <w:spacing w:after="20"/>
            </w:pPr>
            <w:r>
              <w:rPr>
                <w:rFonts w:ascii="Calibri" w:hAnsi="Calibri"/>
                <w:b/>
                <w:color w:val="FFFFFF"/>
                <w:sz w:val="16"/>
              </w:rPr>
              <w:t>Verification test</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Isolated profile</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Required; not runtime verified</w:t>
            </w:r>
          </w:p>
        </w:tc>
        <w:tc>
          <w:tcPr>
            <w:tcW w:type="dxa" w:w="3360"/>
            <w:vAlign w:val="center"/>
            <w:tcMar>
              <w:top w:w="80" w:type="dxa"/>
              <w:start w:w="120" w:type="dxa"/>
              <w:bottom w:w="80" w:type="dxa"/>
              <w:end w:w="120" w:type="dxa"/>
            </w:tcMar>
            <w:shd w:fill="FFFFFF"/>
          </w:tcPr>
          <w:p>
            <w:pPr>
              <w:spacing w:after="20"/>
            </w:pPr>
            <w:r>
              <w:rPr>
                <w:rFonts w:ascii="Calibri" w:hAnsi="Calibri"/>
                <w:sz w:val="16"/>
              </w:rPr>
              <w:t>Normal-profile cookies and tabs unavailable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Network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Private and metadata destinations denied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Usage statistics disabled</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Required</w:t>
            </w:r>
          </w:p>
        </w:tc>
        <w:tc>
          <w:tcPr>
            <w:tcW w:type="dxa" w:w="3360"/>
            <w:vAlign w:val="center"/>
            <w:tcMar>
              <w:top w:w="80" w:type="dxa"/>
              <w:start w:w="120" w:type="dxa"/>
              <w:bottom w:w="80" w:type="dxa"/>
              <w:end w:w="120" w:type="dxa"/>
            </w:tcMar>
            <w:shd w:fill="FFFFFF"/>
          </w:tcPr>
          <w:p>
            <w:pPr>
              <w:spacing w:after="20"/>
            </w:pPr>
            <w:r>
              <w:rPr>
                <w:rFonts w:ascii="Calibri" w:hAnsi="Calibri"/>
                <w:sz w:val="16"/>
              </w:rPr>
              <w:t>No statistics egress observed</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Exact tool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Compare negotiated list to approval record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Human 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2700"/>
            <w:vAlign w:val="center"/>
            <w:tcMar>
              <w:top w:w="80" w:type="dxa"/>
              <w:start w:w="120" w:type="dxa"/>
              <w:bottom w:w="80" w:type="dxa"/>
              <w:end w:w="120" w:type="dxa"/>
            </w:tcMar>
            <w:shd w:fill="FFFFFF"/>
          </w:tcPr>
          <w:p>
            <w:pPr>
              <w:spacing w:after="20"/>
            </w:pPr>
            <w:r>
              <w:rPr>
                <w:rFonts w:ascii="Calibri" w:hAnsi="Calibri"/>
                <w:sz w:val="16"/>
              </w:rPr>
              <w:t>Client dependent</w:t>
            </w:r>
          </w:p>
        </w:tc>
        <w:tc>
          <w:tcPr>
            <w:tcW w:type="dxa" w:w="3360"/>
            <w:vAlign w:val="center"/>
            <w:tcMar>
              <w:top w:w="80" w:type="dxa"/>
              <w:start w:w="120" w:type="dxa"/>
              <w:bottom w:w="80" w:type="dxa"/>
              <w:end w:w="120" w:type="dxa"/>
            </w:tcMar>
            <w:shd w:fill="FFFFFF"/>
          </w:tcPr>
          <w:p>
            <w:pPr>
              <w:spacing w:after="20"/>
            </w:pPr>
            <w:r>
              <w:rPr>
                <w:rFonts w:ascii="Calibri" w:hAnsi="Calibri"/>
                <w:sz w:val="16"/>
              </w:rPr>
              <w:t>Injection canary cannot cause write</w:t>
            </w:r>
          </w:p>
        </w:tc>
      </w:tr>
    </w:tbl>
    <w:p/>
    <w:p>
      <w:pPr>
        <w:pStyle w:val="Heading2"/>
      </w:pPr>
      <w:r>
        <w:t>Telemetry, privacy and data classification</w:t>
      </w:r>
    </w:p>
    <w:p>
      <w:pPr>
        <w:widowControl/>
      </w:pPr>
      <w:r>
        <w:t>URLs, page content, screenshots, console output, network payloads, cookies, local storage, traces and heap snapshots can contain personal, confidential or regulated data. Version 1.6.0 exposes a usage-statistics opt-out, but collection was not dynamically observed. Enterprise configuration must disable usage statistics, minimise captured artefacts, prevent normal-profile access, define retention and securely delete task artefacts.</w:t>
      </w:r>
    </w:p>
    <w:p>
      <w:pPr>
        <w:pStyle w:val="Heading2"/>
      </w:pPr>
      <w:r>
        <w:t>MCP capabilities and installed Agent Skills</w:t>
      </w:r>
    </w:p>
    <w:p>
      <w:pPr>
        <w:widowControl/>
      </w:pPr>
      <w:r>
        <w:t>The exact package bundles six Agent Skills: a11y-debugging, chrome-devtools, chrome-devtools-cli, debug-optimize-lcp, memory-leak-debugging and troubleshooting. They are instruction-bearing content separate from MCP tools. Broad debugging triggers, external references, browser authority and update coupling require governance. The memory skill includes compare_snapshots.js; it was statically inspected and not executed. All six are DEFER PENDING EVIDENCE for internal-confidential use and conditional only for isolated synthetic evaluation.</w:t>
      </w:r>
    </w:p>
    <w:p>
      <w:pPr>
        <w:pStyle w:val="Heading2"/>
      </w:pPr>
      <w:r>
        <w:t>Supply chain, threats and findings</w:t>
      </w:r>
    </w:p>
    <w:p>
      <w:pPr>
        <w:widowControl/>
      </w:pPr>
      <w:r>
        <w:t>The exact npm tarball was retained and matched the historical SHA-256. Archive names, file types, executable entry points, scripts, generated JavaScript, third-party bundles and skill content were inspected without activation. No traversal path or symlink was present in the package listing. Scanner absence or clean static results would not prove safety; package-to-source reproducibility and runtime behaviour remain verification gaps.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700"/>
            <w:vAlign w:val="center"/>
            <w:tcMar>
              <w:top w:w="80" w:type="dxa"/>
              <w:start w:w="120" w:type="dxa"/>
              <w:bottom w:w="80" w:type="dxa"/>
              <w:end w:w="120" w:type="dxa"/>
            </w:tcMar>
            <w:shd w:fill="17365D"/>
          </w:tcPr>
          <w:p>
            <w:pPr>
              <w:spacing w:after="20"/>
            </w:pPr>
            <w:r>
              <w:rPr>
                <w:rFonts w:ascii="Calibri" w:hAnsi="Calibri"/>
                <w:b/>
                <w:color w:val="FFFFFF"/>
                <w:sz w:val="16"/>
              </w:rPr>
              <w:t>Finding</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Treatment</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F-001 Untrusted web content can prompt-inject the agent</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AI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F-002 Browser-control tools create excessive agency</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IDE Engineering</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F-003 Remote debugging can expose authenticated browser state</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Endpoint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F-004 Persistent Chrome profiles can retain confidential data</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Endpoint Security</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F-005 Usage statistics may disclose enterprise metadata</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2660"/>
            <w:vAlign w:val="center"/>
            <w:tcMar>
              <w:top w:w="80" w:type="dxa"/>
              <w:start w:w="120" w:type="dxa"/>
              <w:bottom w:w="80" w:type="dxa"/>
              <w:end w:w="120" w:type="dxa"/>
            </w:tcMar>
            <w:shd w:fill="FFFFFF"/>
          </w:tcPr>
          <w:p>
            <w:pPr>
              <w:spacing w:after="20"/>
            </w:pPr>
            <w:r>
              <w:rPr>
                <w:rFonts w:ascii="Calibri" w:hAnsi="Calibri"/>
                <w:sz w:val="16"/>
              </w:rPr>
              <w:t>Privacy and Legal</w:t>
            </w:r>
          </w:p>
        </w:tc>
      </w:tr>
    </w:tbl>
    <w:p/>
    <w:p>
      <w:pPr>
        <w:pStyle w:val="Heading2"/>
      </w:pPr>
      <w:r>
        <w:t>Framework disposition</w:t>
      </w:r>
    </w:p>
    <w:p>
      <w:pPr>
        <w:widowControl/>
      </w:pPr>
      <w:r>
        <w:t>Applicable baselines include OWASP LLM Top 10 2025, OWASP Agentic Top 10 2026, OWASP MCP Top 10, NIST AI RMF 1.0, NIST AI 600-1, NCSC secure AI development guidance, CIS Controls v8.1 and ISO/IEC 27001:2022. OWASP ASVS 5.0.0 Level 2 applies to the API, identity and configuration control surface, especially access control, OAuth, communications, validation, logging and supply-chain requirements. The EU AI Act is conditionally applicable by use case; prohibited/high-risk customer-outcome use is outside this approval.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Framework</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c>
          <w:tcPr>
            <w:tcW w:type="dxa" w:w="5260"/>
            <w:vAlign w:val="center"/>
            <w:tcMar>
              <w:top w:w="80" w:type="dxa"/>
              <w:start w:w="120" w:type="dxa"/>
              <w:bottom w:w="80" w:type="dxa"/>
              <w:end w:w="120" w:type="dxa"/>
            </w:tcMar>
            <w:shd w:fill="17365D"/>
          </w:tcPr>
          <w:p>
            <w:pPr>
              <w:spacing w:after="20"/>
            </w:pPr>
            <w:r>
              <w:rPr>
                <w:rFonts w:ascii="Calibri" w:hAnsi="Calibri"/>
                <w:b/>
                <w:color w:val="FFFFFF"/>
                <w:sz w:val="16"/>
              </w:rPr>
              <w:t>Key mapping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LLM 2025</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prompt injection, sensitive disclosure, excessive agency</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Agentic 2026</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goal hijack, tool misuse, identity abuse</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MCP</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token, tool and supply-chain controls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ASVS 5.0 L2</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V8 authorization, V9 communications, V10 OAuth, V15 supply chain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NIST AI RMF / 600-1</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Govern, Map, Measure, Manage</w:t>
            </w:r>
          </w:p>
        </w:tc>
      </w:tr>
    </w:tbl>
    <w:p/>
    <w:p>
      <w:pPr>
        <w:pStyle w:val="Heading2"/>
      </w:pPr>
      <w:r>
        <w:t>Controls, detection and residual risk</w:t>
      </w:r>
    </w:p>
    <w:p>
      <w:pPr>
        <w:widowControl/>
      </w:pPr>
      <w:r>
        <w:t>Before evaluation, pin the exact package and hash, use a disposable isolated browser profile and synthetic account, disable usage statistics, deny private-network destinations, expose only approved tools and require per-invocation approval. Detect tool-list drift, attempts to connect to a normal profile, unexpected child processes, remote-debugging exposure, disallowed destinations, persistent artefacts and browser actions without approved MCP intent.</w:t>
      </w:r>
    </w:p>
    <w:p>
      <w:pPr>
        <w:pStyle w:val="Heading2"/>
      </w:pPr>
      <w:r>
        <w:t>Confidence, limitations, evidence and verification</w:t>
      </w:r>
    </w:p>
    <w:p>
      <w:pPr>
        <w:widowControl/>
      </w:pPr>
      <w:r>
        <w:t>Confidence is High for package identity, exact hash, stdio transport, tool code and six bundled skills. Confidence is Medium for source-to-package interpretation because reproducible build evidence was not established. Confidence is Low for activation, Chrome arguments, telemetry, profile lifecycle, network behaviour, cleanup and IDE parity because runtime was blocked. Verification requires disposable hosts, a synthetic site and identity, controlled egress, process and filesystem baselines, injection canaries, denied destination tests, telemetry observation and uninstall inspection.</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9">
        <w:r>
          <w:rPr>
            <w:color w:val="0563C1"/>
            <w:u w:val="single"/>
          </w:rPr>
          <w:t>[REF-009]</w:t>
        </w:r>
      </w:hyperlink>
      <w:r>
        <w:t xml:space="preserve"> </w:t>
      </w:r>
      <w:hyperlink w:anchor="REF_010">
        <w:r>
          <w:rPr>
            <w:color w:val="0563C1"/>
            <w:u w:val="single"/>
          </w:rPr>
          <w:t>[REF-010]</w:t>
        </w:r>
      </w:hyperlink>
      <w:r>
        <w:t xml:space="preserve"> </w:t>
      </w:r>
      <w:hyperlink w:anchor="REF_012">
        <w:r>
          <w:rPr>
            <w:color w:val="0563C1"/>
            <w:u w:val="single"/>
          </w:rPr>
          <w:t>[REF-012]</w:t>
        </w:r>
      </w:hyperlink>
    </w:p>
    <w:p>
      <w:pPr>
        <w:pStyle w:val="Heading1"/>
      </w:pPr>
      <w:r>
        <w:t>Part III - Installed Agent Skills</w:t>
      </w:r>
    </w:p>
    <w:p>
      <w:pPr>
        <w:widowControl/>
      </w:pPr>
      <w:r>
        <w:t>Six Agent Skills are bundled in the exact npm package and form part of the complete installation surface. Each was inspected with its transitive references; no bundled script was executed. All six remain deferred for internal-confidential use until the isolated-host runtime and approval controls are verified.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Skill</w:t>
            </w:r>
          </w:p>
        </w:tc>
        <w:tc>
          <w:tcPr>
            <w:tcW w:type="dxa" w:w="2800"/>
            <w:vAlign w:val="center"/>
            <w:tcMar>
              <w:top w:w="80" w:type="dxa"/>
              <w:start w:w="120" w:type="dxa"/>
              <w:bottom w:w="80" w:type="dxa"/>
              <w:end w:w="120" w:type="dxa"/>
            </w:tcMar>
            <w:shd w:fill="17365D"/>
          </w:tcPr>
          <w:p>
            <w:pPr>
              <w:spacing w:after="20"/>
            </w:pPr>
            <w:r>
              <w:rPr>
                <w:rFonts w:ascii="Calibri" w:hAnsi="Calibri"/>
                <w:b/>
                <w:color w:val="FFFFFF"/>
                <w:sz w:val="16"/>
              </w:rPr>
              <w:t>Primary authority</w:t>
            </w:r>
          </w:p>
        </w:tc>
        <w:tc>
          <w:tcPr>
            <w:tcW w:type="dxa" w:w="2000"/>
            <w:vAlign w:val="center"/>
            <w:tcMar>
              <w:top w:w="80" w:type="dxa"/>
              <w:start w:w="120" w:type="dxa"/>
              <w:bottom w:w="80" w:type="dxa"/>
              <w:end w:w="120" w:type="dxa"/>
            </w:tcMar>
            <w:shd w:fill="17365D"/>
          </w:tcPr>
          <w:p>
            <w:pPr>
              <w:spacing w:after="20"/>
            </w:pPr>
            <w:r>
              <w:rPr>
                <w:rFonts w:ascii="Calibri" w:hAnsi="Calibri"/>
                <w:b/>
                <w:color w:val="FFFFFF"/>
                <w:sz w:val="16"/>
              </w:rPr>
              <w:t>Decision</w:t>
            </w:r>
          </w:p>
        </w:tc>
        <w:tc>
          <w:tcPr>
            <w:tcW w:type="dxa" w:w="2760"/>
            <w:vAlign w:val="center"/>
            <w:tcMar>
              <w:top w:w="80" w:type="dxa"/>
              <w:start w:w="120" w:type="dxa"/>
              <w:bottom w:w="80" w:type="dxa"/>
              <w:end w:w="120" w:type="dxa"/>
            </w:tcMar>
            <w:shd w:fill="17365D"/>
          </w:tcPr>
          <w:p>
            <w:pPr>
              <w:spacing w:after="20"/>
            </w:pPr>
            <w:r>
              <w:rPr>
                <w:rFonts w:ascii="Calibri" w:hAnsi="Calibri"/>
                <w:b/>
                <w:color w:val="FFFFFF"/>
                <w:sz w:val="16"/>
              </w:rPr>
              <w:t>Material risk</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a11y-debugging</w:t>
            </w:r>
          </w:p>
        </w:tc>
        <w:tc>
          <w:tcPr>
            <w:tcW w:type="dxa" w:w="2800"/>
            <w:vAlign w:val="center"/>
            <w:tcMar>
              <w:top w:w="80" w:type="dxa"/>
              <w:start w:w="120" w:type="dxa"/>
              <w:bottom w:w="80" w:type="dxa"/>
              <w:end w:w="120" w:type="dxa"/>
            </w:tcMar>
            <w:shd w:fill="FFFFFF"/>
          </w:tcPr>
          <w:p>
            <w:pPr>
              <w:spacing w:after="20"/>
            </w:pPr>
            <w:r>
              <w:rPr>
                <w:rFonts w:ascii="Calibri" w:hAnsi="Calibri"/>
                <w:sz w:val="16"/>
              </w:rPr>
              <w:t>DOM and accessibility inspection</w:t>
            </w:r>
          </w:p>
        </w:tc>
        <w:tc>
          <w:tcPr>
            <w:tcW w:type="dxa" w:w="2000"/>
            <w:vAlign w:val="center"/>
            <w:tcMar>
              <w:top w:w="80" w:type="dxa"/>
              <w:start w:w="120" w:type="dxa"/>
              <w:bottom w:w="80" w:type="dxa"/>
              <w:end w:w="120" w:type="dxa"/>
            </w:tcMar>
            <w:shd w:fill="FFFFFF"/>
          </w:tcPr>
          <w:p>
            <w:pPr>
              <w:spacing w:after="20"/>
            </w:pPr>
            <w:r>
              <w:rPr>
                <w:rFonts w:ascii="Calibri" w:hAnsi="Calibri"/>
                <w:sz w:val="16"/>
              </w:rPr>
              <w:t>Defer pending evidence</w:t>
            </w:r>
          </w:p>
        </w:tc>
        <w:tc>
          <w:tcPr>
            <w:tcW w:type="dxa" w:w="2760"/>
            <w:vAlign w:val="center"/>
            <w:tcMar>
              <w:top w:w="80" w:type="dxa"/>
              <w:start w:w="120" w:type="dxa"/>
              <w:bottom w:w="80" w:type="dxa"/>
              <w:end w:w="120" w:type="dxa"/>
            </w:tcMar>
            <w:shd w:fill="FFFFFF"/>
          </w:tcPr>
          <w:p>
            <w:pPr>
              <w:spacing w:after="20"/>
            </w:pPr>
            <w:r>
              <w:rPr>
                <w:rFonts w:ascii="Calibri" w:hAnsi="Calibri"/>
                <w:sz w:val="16"/>
              </w:rPr>
              <w:t>untrusted page instructions and data</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chrome-devtools</w:t>
            </w:r>
          </w:p>
        </w:tc>
        <w:tc>
          <w:tcPr>
            <w:tcW w:type="dxa" w:w="2800"/>
            <w:vAlign w:val="center"/>
            <w:tcMar>
              <w:top w:w="80" w:type="dxa"/>
              <w:start w:w="120" w:type="dxa"/>
              <w:bottom w:w="80" w:type="dxa"/>
              <w:end w:w="120" w:type="dxa"/>
            </w:tcMar>
            <w:shd w:fill="F2F4F7"/>
          </w:tcPr>
          <w:p>
            <w:pPr>
              <w:spacing w:after="20"/>
            </w:pPr>
            <w:r>
              <w:rPr>
                <w:rFonts w:ascii="Calibri" w:hAnsi="Calibri"/>
                <w:sz w:val="16"/>
              </w:rPr>
              <w:t>broad MCP browser tools</w:t>
            </w:r>
          </w:p>
        </w:tc>
        <w:tc>
          <w:tcPr>
            <w:tcW w:type="dxa" w:w="2000"/>
            <w:vAlign w:val="center"/>
            <w:tcMar>
              <w:top w:w="80" w:type="dxa"/>
              <w:start w:w="120" w:type="dxa"/>
              <w:bottom w:w="80" w:type="dxa"/>
              <w:end w:w="120" w:type="dxa"/>
            </w:tcMar>
            <w:shd w:fill="F2F4F7"/>
          </w:tcPr>
          <w:p>
            <w:pPr>
              <w:spacing w:after="20"/>
            </w:pPr>
            <w:r>
              <w:rPr>
                <w:rFonts w:ascii="Calibri" w:hAnsi="Calibri"/>
                <w:sz w:val="16"/>
              </w:rPr>
              <w:t>Defer pending evidence</w:t>
            </w:r>
          </w:p>
        </w:tc>
        <w:tc>
          <w:tcPr>
            <w:tcW w:type="dxa" w:w="2760"/>
            <w:vAlign w:val="center"/>
            <w:tcMar>
              <w:top w:w="80" w:type="dxa"/>
              <w:start w:w="120" w:type="dxa"/>
              <w:bottom w:w="80" w:type="dxa"/>
              <w:end w:w="120" w:type="dxa"/>
            </w:tcMar>
            <w:shd w:fill="F2F4F7"/>
          </w:tcPr>
          <w:p>
            <w:pPr>
              <w:spacing w:after="20"/>
            </w:pPr>
            <w:r>
              <w:rPr>
                <w:rFonts w:ascii="Calibri" w:hAnsi="Calibri"/>
                <w:sz w:val="16"/>
              </w:rPr>
              <w:t>excessive agency</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chrome-devtools-cli</w:t>
            </w:r>
          </w:p>
        </w:tc>
        <w:tc>
          <w:tcPr>
            <w:tcW w:type="dxa" w:w="2800"/>
            <w:vAlign w:val="center"/>
            <w:tcMar>
              <w:top w:w="80" w:type="dxa"/>
              <w:start w:w="120" w:type="dxa"/>
              <w:bottom w:w="80" w:type="dxa"/>
              <w:end w:w="120" w:type="dxa"/>
            </w:tcMar>
            <w:shd w:fill="FFFFFF"/>
          </w:tcPr>
          <w:p>
            <w:pPr>
              <w:spacing w:after="20"/>
            </w:pPr>
            <w:r>
              <w:rPr>
                <w:rFonts w:ascii="Calibri" w:hAnsi="Calibri"/>
                <w:sz w:val="16"/>
              </w:rPr>
              <w:t>CLI and browser invocation</w:t>
            </w:r>
          </w:p>
        </w:tc>
        <w:tc>
          <w:tcPr>
            <w:tcW w:type="dxa" w:w="2000"/>
            <w:vAlign w:val="center"/>
            <w:tcMar>
              <w:top w:w="80" w:type="dxa"/>
              <w:start w:w="120" w:type="dxa"/>
              <w:bottom w:w="80" w:type="dxa"/>
              <w:end w:w="120" w:type="dxa"/>
            </w:tcMar>
            <w:shd w:fill="FFFFFF"/>
          </w:tcPr>
          <w:p>
            <w:pPr>
              <w:spacing w:after="20"/>
            </w:pPr>
            <w:r>
              <w:rPr>
                <w:rFonts w:ascii="Calibri" w:hAnsi="Calibri"/>
                <w:sz w:val="16"/>
              </w:rPr>
              <w:t>Defer pending evidence</w:t>
            </w:r>
          </w:p>
        </w:tc>
        <w:tc>
          <w:tcPr>
            <w:tcW w:type="dxa" w:w="2760"/>
            <w:vAlign w:val="center"/>
            <w:tcMar>
              <w:top w:w="80" w:type="dxa"/>
              <w:start w:w="120" w:type="dxa"/>
              <w:bottom w:w="80" w:type="dxa"/>
              <w:end w:w="120" w:type="dxa"/>
            </w:tcMar>
            <w:shd w:fill="FFFFFF"/>
          </w:tcPr>
          <w:p>
            <w:pPr>
              <w:spacing w:after="20"/>
            </w:pPr>
            <w:r>
              <w:rPr>
                <w:rFonts w:ascii="Calibri" w:hAnsi="Calibri"/>
                <w:sz w:val="16"/>
              </w:rPr>
              <w:t>process and argument authority</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debug-optimize-lcp</w:t>
            </w:r>
          </w:p>
        </w:tc>
        <w:tc>
          <w:tcPr>
            <w:tcW w:type="dxa" w:w="2800"/>
            <w:vAlign w:val="center"/>
            <w:tcMar>
              <w:top w:w="80" w:type="dxa"/>
              <w:start w:w="120" w:type="dxa"/>
              <w:bottom w:w="80" w:type="dxa"/>
              <w:end w:w="120" w:type="dxa"/>
            </w:tcMar>
            <w:shd w:fill="F2F4F7"/>
          </w:tcPr>
          <w:p>
            <w:pPr>
              <w:spacing w:after="20"/>
            </w:pPr>
            <w:r>
              <w:rPr>
                <w:rFonts w:ascii="Calibri" w:hAnsi="Calibri"/>
                <w:sz w:val="16"/>
              </w:rPr>
              <w:t>performance traces</w:t>
            </w:r>
          </w:p>
        </w:tc>
        <w:tc>
          <w:tcPr>
            <w:tcW w:type="dxa" w:w="2000"/>
            <w:vAlign w:val="center"/>
            <w:tcMar>
              <w:top w:w="80" w:type="dxa"/>
              <w:start w:w="120" w:type="dxa"/>
              <w:bottom w:w="80" w:type="dxa"/>
              <w:end w:w="120" w:type="dxa"/>
            </w:tcMar>
            <w:shd w:fill="F2F4F7"/>
          </w:tcPr>
          <w:p>
            <w:pPr>
              <w:spacing w:after="20"/>
            </w:pPr>
            <w:r>
              <w:rPr>
                <w:rFonts w:ascii="Calibri" w:hAnsi="Calibri"/>
                <w:sz w:val="16"/>
              </w:rPr>
              <w:t>Defer pending evidence</w:t>
            </w:r>
          </w:p>
        </w:tc>
        <w:tc>
          <w:tcPr>
            <w:tcW w:type="dxa" w:w="2760"/>
            <w:vAlign w:val="center"/>
            <w:tcMar>
              <w:top w:w="80" w:type="dxa"/>
              <w:start w:w="120" w:type="dxa"/>
              <w:bottom w:w="80" w:type="dxa"/>
              <w:end w:w="120" w:type="dxa"/>
            </w:tcMar>
            <w:shd w:fill="F2F4F7"/>
          </w:tcPr>
          <w:p>
            <w:pPr>
              <w:spacing w:after="20"/>
            </w:pPr>
            <w:r>
              <w:rPr>
                <w:rFonts w:ascii="Calibri" w:hAnsi="Calibri"/>
                <w:sz w:val="16"/>
              </w:rPr>
              <w:t>network and trace disclosure</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memory-leak-debugging</w:t>
            </w:r>
          </w:p>
        </w:tc>
        <w:tc>
          <w:tcPr>
            <w:tcW w:type="dxa" w:w="2800"/>
            <w:vAlign w:val="center"/>
            <w:tcMar>
              <w:top w:w="80" w:type="dxa"/>
              <w:start w:w="120" w:type="dxa"/>
              <w:bottom w:w="80" w:type="dxa"/>
              <w:end w:w="120" w:type="dxa"/>
            </w:tcMar>
            <w:shd w:fill="FFFFFF"/>
          </w:tcPr>
          <w:p>
            <w:pPr>
              <w:spacing w:after="20"/>
            </w:pPr>
            <w:r>
              <w:rPr>
                <w:rFonts w:ascii="Calibri" w:hAnsi="Calibri"/>
                <w:sz w:val="16"/>
              </w:rPr>
              <w:t>heap snapshots and helper script</w:t>
            </w:r>
          </w:p>
        </w:tc>
        <w:tc>
          <w:tcPr>
            <w:tcW w:type="dxa" w:w="2000"/>
            <w:vAlign w:val="center"/>
            <w:tcMar>
              <w:top w:w="80" w:type="dxa"/>
              <w:start w:w="120" w:type="dxa"/>
              <w:bottom w:w="80" w:type="dxa"/>
              <w:end w:w="120" w:type="dxa"/>
            </w:tcMar>
            <w:shd w:fill="FFFFFF"/>
          </w:tcPr>
          <w:p>
            <w:pPr>
              <w:spacing w:after="20"/>
            </w:pPr>
            <w:r>
              <w:rPr>
                <w:rFonts w:ascii="Calibri" w:hAnsi="Calibri"/>
                <w:sz w:val="16"/>
              </w:rPr>
              <w:t>Defer pending evidence</w:t>
            </w:r>
          </w:p>
        </w:tc>
        <w:tc>
          <w:tcPr>
            <w:tcW w:type="dxa" w:w="2760"/>
            <w:vAlign w:val="center"/>
            <w:tcMar>
              <w:top w:w="80" w:type="dxa"/>
              <w:start w:w="120" w:type="dxa"/>
              <w:bottom w:w="80" w:type="dxa"/>
              <w:end w:w="120" w:type="dxa"/>
            </w:tcMar>
            <w:shd w:fill="FFFFFF"/>
          </w:tcPr>
          <w:p>
            <w:pPr>
              <w:spacing w:after="20"/>
            </w:pPr>
            <w:r>
              <w:rPr>
                <w:rFonts w:ascii="Calibri" w:hAnsi="Calibri"/>
                <w:sz w:val="16"/>
              </w:rPr>
              <w:t>secret-bearing memory and script execution</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troubleshooting</w:t>
            </w:r>
          </w:p>
        </w:tc>
        <w:tc>
          <w:tcPr>
            <w:tcW w:type="dxa" w:w="2800"/>
            <w:vAlign w:val="center"/>
            <w:tcMar>
              <w:top w:w="80" w:type="dxa"/>
              <w:start w:w="120" w:type="dxa"/>
              <w:bottom w:w="80" w:type="dxa"/>
              <w:end w:w="120" w:type="dxa"/>
            </w:tcMar>
            <w:shd w:fill="F2F4F7"/>
          </w:tcPr>
          <w:p>
            <w:pPr>
              <w:spacing w:after="20"/>
            </w:pPr>
            <w:r>
              <w:rPr>
                <w:rFonts w:ascii="Calibri" w:hAnsi="Calibri"/>
                <w:sz w:val="16"/>
              </w:rPr>
              <w:t>configuration diagnostics</w:t>
            </w:r>
          </w:p>
        </w:tc>
        <w:tc>
          <w:tcPr>
            <w:tcW w:type="dxa" w:w="2000"/>
            <w:vAlign w:val="center"/>
            <w:tcMar>
              <w:top w:w="80" w:type="dxa"/>
              <w:start w:w="120" w:type="dxa"/>
              <w:bottom w:w="80" w:type="dxa"/>
              <w:end w:w="120" w:type="dxa"/>
            </w:tcMar>
            <w:shd w:fill="F2F4F7"/>
          </w:tcPr>
          <w:p>
            <w:pPr>
              <w:spacing w:after="20"/>
            </w:pPr>
            <w:r>
              <w:rPr>
                <w:rFonts w:ascii="Calibri" w:hAnsi="Calibri"/>
                <w:sz w:val="16"/>
              </w:rPr>
              <w:t>Defer pending evidence</w:t>
            </w:r>
          </w:p>
        </w:tc>
        <w:tc>
          <w:tcPr>
            <w:tcW w:type="dxa" w:w="2760"/>
            <w:vAlign w:val="center"/>
            <w:tcMar>
              <w:top w:w="80" w:type="dxa"/>
              <w:start w:w="120" w:type="dxa"/>
              <w:bottom w:w="80" w:type="dxa"/>
              <w:end w:w="120" w:type="dxa"/>
            </w:tcMar>
            <w:shd w:fill="F2F4F7"/>
          </w:tcPr>
          <w:p>
            <w:pPr>
              <w:spacing w:after="20"/>
            </w:pPr>
            <w:r>
              <w:rPr>
                <w:rFonts w:ascii="Calibri" w:hAnsi="Calibri"/>
                <w:sz w:val="16"/>
              </w:rPr>
              <w:t>broad file and environment visibility</w:t>
            </w:r>
          </w:p>
        </w:tc>
      </w:tr>
    </w:tbl>
    <w:p/>
    <w:p>
      <w:pPr>
        <w:pStyle w:val="Heading1"/>
      </w:pPr>
      <w:r>
        <w:t>Cross-IDE Comparison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Dimension</w:t>
            </w:r>
          </w:p>
        </w:tc>
        <w:tc>
          <w:tcPr>
            <w:tcW w:type="dxa" w:w="3330"/>
            <w:vAlign w:val="center"/>
            <w:tcMar>
              <w:top w:w="80" w:type="dxa"/>
              <w:start w:w="120" w:type="dxa"/>
              <w:bottom w:w="80" w:type="dxa"/>
              <w:end w:w="120" w:type="dxa"/>
            </w:tcMar>
            <w:shd w:fill="17365D"/>
          </w:tcPr>
          <w:p>
            <w:pPr>
              <w:spacing w:after="20"/>
            </w:pPr>
            <w:r>
              <w:rPr>
                <w:rFonts w:ascii="Calibri" w:hAnsi="Calibri"/>
                <w:b/>
                <w:color w:val="FFFFFF"/>
                <w:sz w:val="16"/>
              </w:rPr>
              <w:t>VS Code Windows/macOS</w:t>
            </w:r>
          </w:p>
        </w:tc>
        <w:tc>
          <w:tcPr>
            <w:tcW w:type="dxa" w:w="3330"/>
            <w:vAlign w:val="center"/>
            <w:tcMar>
              <w:top w:w="80" w:type="dxa"/>
              <w:start w:w="120" w:type="dxa"/>
              <w:bottom w:w="80" w:type="dxa"/>
              <w:end w:w="120" w:type="dxa"/>
            </w:tcMar>
            <w:shd w:fill="17365D"/>
          </w:tcPr>
          <w:p>
            <w:pPr>
              <w:spacing w:after="20"/>
            </w:pPr>
            <w:r>
              <w:rPr>
                <w:rFonts w:ascii="Calibri" w:hAnsi="Calibri"/>
                <w:b/>
                <w:color w:val="FFFFFF"/>
                <w:sz w:val="16"/>
              </w:rPr>
              <w:t>Visual Studio Windows 11</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MCP connection</w:t>
            </w:r>
          </w:p>
        </w:tc>
        <w:tc>
          <w:tcPr>
            <w:tcW w:type="dxa" w:w="3330"/>
            <w:vAlign w:val="center"/>
            <w:tcMar>
              <w:top w:w="80" w:type="dxa"/>
              <w:start w:w="120" w:type="dxa"/>
              <w:bottom w:w="80" w:type="dxa"/>
              <w:end w:w="120" w:type="dxa"/>
            </w:tcMar>
            <w:shd w:fill="FFFFFF"/>
          </w:tcPr>
          <w:p>
            <w:pPr>
              <w:spacing w:after="20"/>
            </w:pPr>
            <w:r>
              <w:rPr>
                <w:rFonts w:ascii="Calibri" w:hAnsi="Calibri"/>
                <w:sz w:val="16"/>
              </w:rPr>
              <w:t>Local stdio</w:t>
            </w:r>
          </w:p>
        </w:tc>
        <w:tc>
          <w:tcPr>
            <w:tcW w:type="dxa" w:w="3330"/>
            <w:vAlign w:val="center"/>
            <w:tcMar>
              <w:top w:w="80" w:type="dxa"/>
              <w:start w:w="120" w:type="dxa"/>
              <w:bottom w:w="80" w:type="dxa"/>
              <w:end w:w="120" w:type="dxa"/>
            </w:tcMar>
            <w:shd w:fill="FFFFFF"/>
          </w:tcPr>
          <w:p>
            <w:pPr>
              <w:spacing w:after="20"/>
            </w:pPr>
            <w:r>
              <w:rPr>
                <w:rFonts w:ascii="Calibri" w:hAnsi="Calibri"/>
                <w:sz w:val="16"/>
              </w:rPr>
              <w:t>Local stdio</w:t>
            </w:r>
          </w:p>
        </w:tc>
      </w:tr>
      <w:tr>
        <w:trPr>
          <w:cantSplit/>
        </w:trPr>
        <w:tc>
          <w:tcPr>
            <w:tcW w:type="dxa" w:w="2700"/>
            <w:vAlign w:val="center"/>
            <w:tcMar>
              <w:top w:w="80" w:type="dxa"/>
              <w:start w:w="120" w:type="dxa"/>
              <w:bottom w:w="80" w:type="dxa"/>
              <w:end w:w="120" w:type="dxa"/>
            </w:tcMar>
            <w:shd w:fill="F2F4F7"/>
          </w:tcPr>
          <w:p>
            <w:pPr>
              <w:spacing w:after="20"/>
            </w:pPr>
            <w:r>
              <w:rPr>
                <w:rFonts w:ascii="Calibri" w:hAnsi="Calibri"/>
                <w:sz w:val="16"/>
              </w:rPr>
              <w:t>Browser authority</w:t>
            </w:r>
          </w:p>
        </w:tc>
        <w:tc>
          <w:tcPr>
            <w:tcW w:type="dxa" w:w="3330"/>
            <w:vAlign w:val="center"/>
            <w:tcMar>
              <w:top w:w="80" w:type="dxa"/>
              <w:start w:w="120" w:type="dxa"/>
              <w:bottom w:w="80" w:type="dxa"/>
              <w:end w:w="120" w:type="dxa"/>
            </w:tcMar>
            <w:shd w:fill="F2F4F7"/>
          </w:tcPr>
          <w:p>
            <w:pPr>
              <w:spacing w:after="20"/>
            </w:pPr>
            <w:r>
              <w:rPr>
                <w:rFonts w:ascii="Calibri" w:hAnsi="Calibri"/>
                <w:sz w:val="16"/>
              </w:rPr>
              <w:t>Chrome DevTools Protocol</w:t>
            </w:r>
          </w:p>
        </w:tc>
        <w:tc>
          <w:tcPr>
            <w:tcW w:type="dxa" w:w="3330"/>
            <w:vAlign w:val="center"/>
            <w:tcMar>
              <w:top w:w="80" w:type="dxa"/>
              <w:start w:w="120" w:type="dxa"/>
              <w:bottom w:w="80" w:type="dxa"/>
              <w:end w:w="120" w:type="dxa"/>
            </w:tcMar>
            <w:shd w:fill="F2F4F7"/>
          </w:tcPr>
          <w:p>
            <w:pPr>
              <w:spacing w:after="20"/>
            </w:pPr>
            <w:r>
              <w:rPr>
                <w:rFonts w:ascii="Calibri" w:hAnsi="Calibri"/>
                <w:sz w:val="16"/>
              </w:rPr>
              <w:t>Chrome DevTools Protocol</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Tool approval</w:t>
            </w:r>
          </w:p>
        </w:tc>
        <w:tc>
          <w:tcPr>
            <w:tcW w:type="dxa" w:w="3330"/>
            <w:vAlign w:val="center"/>
            <w:tcMar>
              <w:top w:w="80" w:type="dxa"/>
              <w:start w:w="120" w:type="dxa"/>
              <w:bottom w:w="80" w:type="dxa"/>
              <w:end w:w="120" w:type="dxa"/>
            </w:tcMar>
            <w:shd w:fill="FFFFFF"/>
          </w:tcPr>
          <w:p>
            <w:pPr>
              <w:spacing w:after="20"/>
            </w:pPr>
            <w:r>
              <w:rPr>
                <w:rFonts w:ascii="Calibri" w:hAnsi="Calibri"/>
                <w:sz w:val="16"/>
              </w:rPr>
              <w:t>Client policy and user approval</w:t>
            </w:r>
          </w:p>
        </w:tc>
        <w:tc>
          <w:tcPr>
            <w:tcW w:type="dxa" w:w="3330"/>
            <w:vAlign w:val="center"/>
            <w:tcMar>
              <w:top w:w="80" w:type="dxa"/>
              <w:start w:w="120" w:type="dxa"/>
              <w:bottom w:w="80" w:type="dxa"/>
              <w:end w:w="120" w:type="dxa"/>
            </w:tcMar>
            <w:shd w:fill="FFFFFF"/>
          </w:tcPr>
          <w:p>
            <w:pPr>
              <w:spacing w:after="20"/>
            </w:pPr>
            <w:r>
              <w:rPr>
                <w:rFonts w:ascii="Calibri" w:hAnsi="Calibri"/>
                <w:sz w:val="16"/>
              </w:rPr>
              <w:t>Client policy and user approval</w:t>
            </w:r>
          </w:p>
        </w:tc>
      </w:tr>
      <w:tr>
        <w:trPr>
          <w:cantSplit/>
        </w:trPr>
        <w:tc>
          <w:tcPr>
            <w:tcW w:type="dxa" w:w="2700"/>
            <w:vAlign w:val="center"/>
            <w:tcMar>
              <w:top w:w="80" w:type="dxa"/>
              <w:start w:w="120" w:type="dxa"/>
              <w:bottom w:w="80" w:type="dxa"/>
              <w:end w:w="120" w:type="dxa"/>
            </w:tcMar>
            <w:shd w:fill="F2F4F7"/>
          </w:tcPr>
          <w:p>
            <w:pPr>
              <w:spacing w:after="20"/>
            </w:pPr>
            <w:r>
              <w:rPr>
                <w:rFonts w:ascii="Calibri" w:hAnsi="Calibri"/>
                <w:sz w:val="16"/>
              </w:rPr>
              <w:t>Runtime evidence</w:t>
            </w:r>
          </w:p>
        </w:tc>
        <w:tc>
          <w:tcPr>
            <w:tcW w:type="dxa" w:w="3330"/>
            <w:vAlign w:val="center"/>
            <w:tcMar>
              <w:top w:w="80" w:type="dxa"/>
              <w:start w:w="120" w:type="dxa"/>
              <w:bottom w:w="80" w:type="dxa"/>
              <w:end w:w="120" w:type="dxa"/>
            </w:tcMar>
            <w:shd w:fill="F2F4F7"/>
          </w:tcPr>
          <w:p>
            <w:pPr>
              <w:spacing w:after="20"/>
            </w:pPr>
            <w:r>
              <w:rPr>
                <w:rFonts w:ascii="Calibri" w:hAnsi="Calibri"/>
                <w:sz w:val="16"/>
              </w:rPr>
              <w:t>Blocked</w:t>
            </w:r>
          </w:p>
        </w:tc>
        <w:tc>
          <w:tcPr>
            <w:tcW w:type="dxa" w:w="3330"/>
            <w:vAlign w:val="center"/>
            <w:tcMar>
              <w:top w:w="80" w:type="dxa"/>
              <w:start w:w="120" w:type="dxa"/>
              <w:bottom w:w="80" w:type="dxa"/>
              <w:end w:w="120" w:type="dxa"/>
            </w:tcMar>
            <w:shd w:fill="F2F4F7"/>
          </w:tcPr>
          <w:p>
            <w:pPr>
              <w:spacing w:after="20"/>
            </w:pPr>
            <w:r>
              <w:rPr>
                <w:rFonts w:ascii="Calibri" w:hAnsi="Calibri"/>
                <w:sz w:val="16"/>
              </w:rPr>
              <w:t>Blocked</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Decision</w:t>
            </w:r>
          </w:p>
        </w:tc>
        <w:tc>
          <w:tcPr>
            <w:tcW w:type="dxa" w:w="3330"/>
            <w:vAlign w:val="center"/>
            <w:tcMar>
              <w:top w:w="80" w:type="dxa"/>
              <w:start w:w="120" w:type="dxa"/>
              <w:bottom w:w="80" w:type="dxa"/>
              <w:end w:w="120" w:type="dxa"/>
            </w:tcMar>
            <w:shd w:fill="FFFFFF"/>
          </w:tcPr>
          <w:p>
            <w:pPr>
              <w:spacing w:after="20"/>
            </w:pPr>
            <w:r>
              <w:rPr>
                <w:rFonts w:ascii="Calibri" w:hAnsi="Calibri"/>
                <w:sz w:val="16"/>
              </w:rPr>
              <w:t>Defer; synthetic evaluation only</w:t>
            </w:r>
          </w:p>
        </w:tc>
        <w:tc>
          <w:tcPr>
            <w:tcW w:type="dxa" w:w="3330"/>
            <w:vAlign w:val="center"/>
            <w:tcMar>
              <w:top w:w="80" w:type="dxa"/>
              <w:start w:w="120" w:type="dxa"/>
              <w:bottom w:w="80" w:type="dxa"/>
              <w:end w:w="120" w:type="dxa"/>
            </w:tcMar>
            <w:shd w:fill="FFFFFF"/>
          </w:tcPr>
          <w:p>
            <w:pPr>
              <w:spacing w:after="20"/>
            </w:pPr>
            <w:r>
              <w:rPr>
                <w:rFonts w:ascii="Calibri" w:hAnsi="Calibri"/>
                <w:sz w:val="16"/>
              </w:rPr>
              <w:t>Defer; synthetic evaluation only</w:t>
            </w:r>
          </w:p>
        </w:tc>
      </w:tr>
    </w:tbl>
    <w:p/>
    <w:p>
      <w:pPr>
        <w:pStyle w:val="Heading1"/>
      </w:pPr>
      <w:r>
        <w:t>Consolidated Supply Chain Assessment</w:t>
      </w:r>
    </w:p>
    <w:p>
      <w:pPr>
        <w:widowControl/>
      </w:pPr>
      <w:r>
        <w:t>The exact npm tarball is customer-retained and its SHA-256 matches the historical assessment. Static inspection found generated JavaScript, third-party bundles, markdown issue descriptions, executable entry points and six skills. Archive inventory found no traversal path or symlink. No package code, lifecycle hook, skill script, Chrome process or MCP server was executed. Static results are evidence, not malware clearance; source-to-package reproducibility and runtime behaviour remain unverified.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Evidence</w:t>
            </w:r>
          </w:p>
        </w:tc>
        <w:tc>
          <w:tcPr>
            <w:tcW w:type="dxa" w:w="4500"/>
            <w:vAlign w:val="center"/>
            <w:tcMar>
              <w:top w:w="80" w:type="dxa"/>
              <w:start w:w="120" w:type="dxa"/>
              <w:bottom w:w="80" w:type="dxa"/>
              <w:end w:w="120" w:type="dxa"/>
            </w:tcMar>
            <w:shd w:fill="17365D"/>
          </w:tcPr>
          <w:p>
            <w:pPr>
              <w:spacing w:after="20"/>
            </w:pPr>
            <w:r>
              <w:rPr>
                <w:rFonts w:ascii="Calibri" w:hAnsi="Calibri"/>
                <w:b/>
                <w:color w:val="FFFFFF"/>
                <w:sz w:val="16"/>
              </w:rPr>
              <w:t>Result</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npm tarball</w:t>
            </w:r>
          </w:p>
        </w:tc>
        <w:tc>
          <w:tcPr>
            <w:tcW w:type="dxa" w:w="4500"/>
            <w:vAlign w:val="center"/>
            <w:tcMar>
              <w:top w:w="80" w:type="dxa"/>
              <w:start w:w="120" w:type="dxa"/>
              <w:bottom w:w="80" w:type="dxa"/>
              <w:end w:w="120" w:type="dxa"/>
            </w:tcMar>
            <w:shd w:fill="FFFFFF"/>
          </w:tcPr>
          <w:p>
            <w:pPr>
              <w:spacing w:after="20"/>
            </w:pPr>
            <w:r>
              <w:rPr>
                <w:rFonts w:ascii="Calibri" w:hAnsi="Calibri"/>
                <w:sz w:val="16"/>
              </w:rPr>
              <w:t>SHA-256 1e632c2d9714b4f82b4cfab4efb9ce575085c75ffe5e9772383129af012c9c84</w:t>
            </w:r>
          </w:p>
        </w:tc>
        <w:tc>
          <w:tcPr>
            <w:tcW w:type="dxa" w:w="2660"/>
            <w:vAlign w:val="center"/>
            <w:tcMar>
              <w:top w:w="80" w:type="dxa"/>
              <w:start w:w="120" w:type="dxa"/>
              <w:bottom w:w="80" w:type="dxa"/>
              <w:end w:w="120" w:type="dxa"/>
            </w:tcMar>
            <w:shd w:fill="FFFFFF"/>
          </w:tcPr>
          <w:p>
            <w:pPr>
              <w:spacing w:after="20"/>
            </w:pPr>
            <w:r>
              <w:rPr>
                <w:rFonts w:ascii="Calibri" w:hAnsi="Calibri"/>
                <w:sz w:val="16"/>
              </w:rPr>
              <w:t>Exact 1.6.0 artefact</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Archive inspection</w:t>
            </w:r>
          </w:p>
        </w:tc>
        <w:tc>
          <w:tcPr>
            <w:tcW w:type="dxa" w:w="4500"/>
            <w:vAlign w:val="center"/>
            <w:tcMar>
              <w:top w:w="80" w:type="dxa"/>
              <w:start w:w="120" w:type="dxa"/>
              <w:bottom w:w="80" w:type="dxa"/>
              <w:end w:w="120" w:type="dxa"/>
            </w:tcMar>
            <w:shd w:fill="F2F4F7"/>
          </w:tcPr>
          <w:p>
            <w:pPr>
              <w:spacing w:after="20"/>
            </w:pPr>
            <w:r>
              <w:rPr>
                <w:rFonts w:ascii="Calibri" w:hAnsi="Calibri"/>
                <w:sz w:val="16"/>
              </w:rPr>
              <w:t>No traversal path or symlink in retained listing</w:t>
            </w:r>
          </w:p>
        </w:tc>
        <w:tc>
          <w:tcPr>
            <w:tcW w:type="dxa" w:w="2660"/>
            <w:vAlign w:val="center"/>
            <w:tcMar>
              <w:top w:w="80" w:type="dxa"/>
              <w:start w:w="120" w:type="dxa"/>
              <w:bottom w:w="80" w:type="dxa"/>
              <w:end w:w="120" w:type="dxa"/>
            </w:tcMar>
            <w:shd w:fill="F2F4F7"/>
          </w:tcPr>
          <w:p>
            <w:pPr>
              <w:spacing w:after="20"/>
            </w:pPr>
            <w:r>
              <w:rPr>
                <w:rFonts w:ascii="Calibri" w:hAnsi="Calibri"/>
                <w:sz w:val="16"/>
              </w:rPr>
              <w:t>Static evidence</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File inventory</w:t>
            </w:r>
          </w:p>
        </w:tc>
        <w:tc>
          <w:tcPr>
            <w:tcW w:type="dxa" w:w="4500"/>
            <w:vAlign w:val="center"/>
            <w:tcMar>
              <w:top w:w="80" w:type="dxa"/>
              <w:start w:w="120" w:type="dxa"/>
              <w:bottom w:w="80" w:type="dxa"/>
              <w:end w:w="120" w:type="dxa"/>
            </w:tcMar>
            <w:shd w:fill="FFFFFF"/>
          </w:tcPr>
          <w:p>
            <w:pPr>
              <w:spacing w:after="20"/>
            </w:pPr>
            <w:r>
              <w:rPr>
                <w:rFonts w:ascii="Calibri" w:hAnsi="Calibri"/>
                <w:sz w:val="16"/>
              </w:rPr>
              <w:t>Generated JavaScript, markdown, JSON, licence and skills</w:t>
            </w:r>
          </w:p>
        </w:tc>
        <w:tc>
          <w:tcPr>
            <w:tcW w:type="dxa" w:w="2660"/>
            <w:vAlign w:val="center"/>
            <w:tcMar>
              <w:top w:w="80" w:type="dxa"/>
              <w:start w:w="120" w:type="dxa"/>
              <w:bottom w:w="80" w:type="dxa"/>
              <w:end w:w="120" w:type="dxa"/>
            </w:tcMar>
            <w:shd w:fill="FFFFFF"/>
          </w:tcPr>
          <w:p>
            <w:pPr>
              <w:spacing w:after="20"/>
            </w:pPr>
            <w:r>
              <w:rPr>
                <w:rFonts w:ascii="Calibri" w:hAnsi="Calibri"/>
                <w:sz w:val="16"/>
              </w:rPr>
              <w:t>Static evidence</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Detonation</w:t>
            </w:r>
          </w:p>
        </w:tc>
        <w:tc>
          <w:tcPr>
            <w:tcW w:type="dxa" w:w="4500"/>
            <w:vAlign w:val="center"/>
            <w:tcMar>
              <w:top w:w="80" w:type="dxa"/>
              <w:start w:w="120" w:type="dxa"/>
              <w:bottom w:w="80" w:type="dxa"/>
              <w:end w:w="120" w:type="dxa"/>
            </w:tcMar>
            <w:shd w:fill="F2F4F7"/>
          </w:tcPr>
          <w:p>
            <w:pPr>
              <w:spacing w:after="20"/>
            </w:pPr>
            <w:r>
              <w:rPr>
                <w:rFonts w:ascii="Calibri" w:hAnsi="Calibri"/>
                <w:sz w:val="16"/>
              </w:rPr>
              <w:t>Not performed</w:t>
            </w:r>
          </w:p>
        </w:tc>
        <w:tc>
          <w:tcPr>
            <w:tcW w:type="dxa" w:w="2660"/>
            <w:vAlign w:val="center"/>
            <w:tcMar>
              <w:top w:w="80" w:type="dxa"/>
              <w:start w:w="120" w:type="dxa"/>
              <w:bottom w:w="80" w:type="dxa"/>
              <w:end w:w="120" w:type="dxa"/>
            </w:tcMar>
            <w:shd w:fill="F2F4F7"/>
          </w:tcPr>
          <w:p>
            <w:pPr>
              <w:spacing w:after="20"/>
            </w:pPr>
            <w:r>
              <w:rPr>
                <w:rFonts w:ascii="Calibri" w:hAnsi="Calibri"/>
                <w:sz w:val="16"/>
              </w:rPr>
              <w:t>Requires disposable runtime</w:t>
            </w:r>
          </w:p>
        </w:tc>
      </w:tr>
    </w:tbl>
    <w:p/>
    <w:p>
      <w:pPr>
        <w:pStyle w:val="Heading1"/>
      </w:pPr>
      <w:r>
        <w:t>Consolidated Privacy and Data Protection Assessment</w:t>
      </w:r>
    </w:p>
    <w:p>
      <w:pPr>
        <w:widowControl/>
      </w:pPr>
      <w:r>
        <w:t>An evaluation can process developer identity, URLs, page content, screenshots, console output, network payloads, cookies, local storage, traces, heap snapshots and security findings. Under UK GDPR, the firm must establish purpose, lawful basis, minimisation, transparency, retention, rights handling, security and transfer safeguards. A DPIA trigger decision is required. FCA and PRA accountability, operational resilience and third-party risk duties remain with the regulated firm.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000"/>
            <w:vAlign w:val="center"/>
            <w:tcMar>
              <w:top w:w="80" w:type="dxa"/>
              <w:start w:w="120" w:type="dxa"/>
              <w:bottom w:w="80" w:type="dxa"/>
              <w:end w:w="120" w:type="dxa"/>
            </w:tcMar>
            <w:shd w:fill="17365D"/>
          </w:tcPr>
          <w:p>
            <w:pPr>
              <w:spacing w:after="20"/>
            </w:pPr>
            <w:r>
              <w:rPr>
                <w:rFonts w:ascii="Calibri" w:hAnsi="Calibri"/>
                <w:b/>
                <w:color w:val="FFFFFF"/>
                <w:sz w:val="16"/>
              </w:rPr>
              <w:t>Data class</w:t>
            </w:r>
          </w:p>
        </w:tc>
        <w:tc>
          <w:tcPr>
            <w:tcW w:type="dxa" w:w="3500"/>
            <w:vAlign w:val="center"/>
            <w:tcMar>
              <w:top w:w="80" w:type="dxa"/>
              <w:start w:w="120" w:type="dxa"/>
              <w:bottom w:w="80" w:type="dxa"/>
              <w:end w:w="120" w:type="dxa"/>
            </w:tcMar>
            <w:shd w:fill="17365D"/>
          </w:tcPr>
          <w:p>
            <w:pPr>
              <w:spacing w:after="20"/>
            </w:pPr>
            <w:r>
              <w:rPr>
                <w:rFonts w:ascii="Calibri" w:hAnsi="Calibri"/>
                <w:b/>
                <w:color w:val="FFFFFF"/>
                <w:sz w:val="16"/>
              </w:rPr>
              <w:t>Example</w:t>
            </w:r>
          </w:p>
        </w:tc>
        <w:tc>
          <w:tcPr>
            <w:tcW w:type="dxa" w:w="3860"/>
            <w:vAlign w:val="center"/>
            <w:tcMar>
              <w:top w:w="80" w:type="dxa"/>
              <w:start w:w="120" w:type="dxa"/>
              <w:bottom w:w="80" w:type="dxa"/>
              <w:end w:w="120" w:type="dxa"/>
            </w:tcMar>
            <w:shd w:fill="17365D"/>
          </w:tcPr>
          <w:p>
            <w:pPr>
              <w:spacing w:after="20"/>
            </w:pPr>
            <w:r>
              <w:rPr>
                <w:rFonts w:ascii="Calibri" w:hAnsi="Calibri"/>
                <w:b/>
                <w:color w:val="FFFFFF"/>
                <w:sz w:val="16"/>
              </w:rPr>
              <w:t>Control</w:t>
            </w:r>
          </w:p>
        </w:tc>
      </w:tr>
      <w:tr>
        <w:trPr>
          <w:cantSplit/>
        </w:trPr>
        <w:tc>
          <w:tcPr>
            <w:tcW w:type="dxa" w:w="2000"/>
            <w:vAlign w:val="center"/>
            <w:tcMar>
              <w:top w:w="80" w:type="dxa"/>
              <w:start w:w="120" w:type="dxa"/>
              <w:bottom w:w="80" w:type="dxa"/>
              <w:end w:w="120" w:type="dxa"/>
            </w:tcMar>
            <w:shd w:fill="FFFFFF"/>
          </w:tcPr>
          <w:p>
            <w:pPr>
              <w:spacing w:after="20"/>
            </w:pPr>
            <w:r>
              <w:rPr>
                <w:rFonts w:ascii="Calibri" w:hAnsi="Calibri"/>
                <w:sz w:val="16"/>
              </w:rPr>
              <w:t>Personal data</w:t>
            </w:r>
          </w:p>
        </w:tc>
        <w:tc>
          <w:tcPr>
            <w:tcW w:type="dxa" w:w="3500"/>
            <w:vAlign w:val="center"/>
            <w:tcMar>
              <w:top w:w="80" w:type="dxa"/>
              <w:start w:w="120" w:type="dxa"/>
              <w:bottom w:w="80" w:type="dxa"/>
              <w:end w:w="120" w:type="dxa"/>
            </w:tcMar>
            <w:shd w:fill="FFFFFF"/>
          </w:tcPr>
          <w:p>
            <w:pPr>
              <w:spacing w:after="20"/>
            </w:pPr>
            <w:r>
              <w:rPr>
                <w:rFonts w:ascii="Calibri" w:hAnsi="Calibri"/>
                <w:sz w:val="16"/>
              </w:rPr>
              <w:t>identities and website content</w:t>
            </w:r>
          </w:p>
        </w:tc>
        <w:tc>
          <w:tcPr>
            <w:tcW w:type="dxa" w:w="3860"/>
            <w:vAlign w:val="center"/>
            <w:tcMar>
              <w:top w:w="80" w:type="dxa"/>
              <w:start w:w="120" w:type="dxa"/>
              <w:bottom w:w="80" w:type="dxa"/>
              <w:end w:w="120" w:type="dxa"/>
            </w:tcMar>
            <w:shd w:fill="FFFFFF"/>
          </w:tcPr>
          <w:p>
            <w:pPr>
              <w:spacing w:after="20"/>
            </w:pPr>
            <w:r>
              <w:rPr>
                <w:rFonts w:ascii="Calibri" w:hAnsi="Calibri"/>
                <w:sz w:val="16"/>
              </w:rPr>
              <w:t>minimise and restrict access</w:t>
            </w:r>
          </w:p>
        </w:tc>
      </w:tr>
      <w:tr>
        <w:trPr>
          <w:cantSplit/>
        </w:trPr>
        <w:tc>
          <w:tcPr>
            <w:tcW w:type="dxa" w:w="2000"/>
            <w:vAlign w:val="center"/>
            <w:tcMar>
              <w:top w:w="80" w:type="dxa"/>
              <w:start w:w="120" w:type="dxa"/>
              <w:bottom w:w="80" w:type="dxa"/>
              <w:end w:w="120" w:type="dxa"/>
            </w:tcMar>
            <w:shd w:fill="F2F4F7"/>
          </w:tcPr>
          <w:p>
            <w:pPr>
              <w:spacing w:after="20"/>
            </w:pPr>
            <w:r>
              <w:rPr>
                <w:rFonts w:ascii="Calibri" w:hAnsi="Calibri"/>
                <w:sz w:val="16"/>
              </w:rPr>
              <w:t>Confidential data</w:t>
            </w:r>
          </w:p>
        </w:tc>
        <w:tc>
          <w:tcPr>
            <w:tcW w:type="dxa" w:w="3500"/>
            <w:vAlign w:val="center"/>
            <w:tcMar>
              <w:top w:w="80" w:type="dxa"/>
              <w:start w:w="120" w:type="dxa"/>
              <w:bottom w:w="80" w:type="dxa"/>
              <w:end w:w="120" w:type="dxa"/>
            </w:tcMar>
            <w:shd w:fill="F2F4F7"/>
          </w:tcPr>
          <w:p>
            <w:pPr>
              <w:spacing w:after="20"/>
            </w:pPr>
            <w:r>
              <w:rPr>
                <w:rFonts w:ascii="Calibri" w:hAnsi="Calibri"/>
                <w:sz w:val="16"/>
              </w:rPr>
              <w:t>internal applications and page content</w:t>
            </w:r>
          </w:p>
        </w:tc>
        <w:tc>
          <w:tcPr>
            <w:tcW w:type="dxa" w:w="3860"/>
            <w:vAlign w:val="center"/>
            <w:tcMar>
              <w:top w:w="80" w:type="dxa"/>
              <w:start w:w="120" w:type="dxa"/>
              <w:bottom w:w="80" w:type="dxa"/>
              <w:end w:w="120" w:type="dxa"/>
            </w:tcMar>
            <w:shd w:fill="F2F4F7"/>
          </w:tcPr>
          <w:p>
            <w:pPr>
              <w:spacing w:after="20"/>
            </w:pPr>
            <w:r>
              <w:rPr>
                <w:rFonts w:ascii="Calibri" w:hAnsi="Calibri"/>
                <w:sz w:val="16"/>
              </w:rPr>
              <w:t>exclude from evaluation</w:t>
            </w:r>
          </w:p>
        </w:tc>
      </w:tr>
      <w:tr>
        <w:trPr>
          <w:cantSplit/>
        </w:trPr>
        <w:tc>
          <w:tcPr>
            <w:tcW w:type="dxa" w:w="2000"/>
            <w:vAlign w:val="center"/>
            <w:tcMar>
              <w:top w:w="80" w:type="dxa"/>
              <w:start w:w="120" w:type="dxa"/>
              <w:bottom w:w="80" w:type="dxa"/>
              <w:end w:w="120" w:type="dxa"/>
            </w:tcMar>
            <w:shd w:fill="FFFFFF"/>
          </w:tcPr>
          <w:p>
            <w:pPr>
              <w:spacing w:after="20"/>
            </w:pPr>
            <w:r>
              <w:rPr>
                <w:rFonts w:ascii="Calibri" w:hAnsi="Calibri"/>
                <w:sz w:val="16"/>
              </w:rPr>
              <w:t>Security data</w:t>
            </w:r>
          </w:p>
        </w:tc>
        <w:tc>
          <w:tcPr>
            <w:tcW w:type="dxa" w:w="3500"/>
            <w:vAlign w:val="center"/>
            <w:tcMar>
              <w:top w:w="80" w:type="dxa"/>
              <w:start w:w="120" w:type="dxa"/>
              <w:bottom w:w="80" w:type="dxa"/>
              <w:end w:w="120" w:type="dxa"/>
            </w:tcMar>
            <w:shd w:fill="FFFFFF"/>
          </w:tcPr>
          <w:p>
            <w:pPr>
              <w:spacing w:after="20"/>
            </w:pPr>
            <w:r>
              <w:rPr>
                <w:rFonts w:ascii="Calibri" w:hAnsi="Calibri"/>
                <w:sz w:val="16"/>
              </w:rPr>
              <w:t>tokens, console, network and heap data</w:t>
            </w:r>
          </w:p>
        </w:tc>
        <w:tc>
          <w:tcPr>
            <w:tcW w:type="dxa" w:w="3860"/>
            <w:vAlign w:val="center"/>
            <w:tcMar>
              <w:top w:w="80" w:type="dxa"/>
              <w:start w:w="120" w:type="dxa"/>
              <w:bottom w:w="80" w:type="dxa"/>
              <w:end w:w="120" w:type="dxa"/>
            </w:tcMar>
            <w:shd w:fill="FFFFFF"/>
          </w:tcPr>
          <w:p>
            <w:pPr>
              <w:spacing w:after="20"/>
            </w:pPr>
            <w:r>
              <w:rPr>
                <w:rFonts w:ascii="Calibri" w:hAnsi="Calibri"/>
                <w:sz w:val="16"/>
              </w:rPr>
              <w:t>redact and DLP</w:t>
            </w:r>
          </w:p>
        </w:tc>
      </w:tr>
      <w:tr>
        <w:trPr>
          <w:cantSplit/>
        </w:trPr>
        <w:tc>
          <w:tcPr>
            <w:tcW w:type="dxa" w:w="2000"/>
            <w:vAlign w:val="center"/>
            <w:tcMar>
              <w:top w:w="80" w:type="dxa"/>
              <w:start w:w="120" w:type="dxa"/>
              <w:bottom w:w="80" w:type="dxa"/>
              <w:end w:w="120" w:type="dxa"/>
            </w:tcMar>
            <w:shd w:fill="F2F4F7"/>
          </w:tcPr>
          <w:p>
            <w:pPr>
              <w:spacing w:after="20"/>
            </w:pPr>
            <w:r>
              <w:rPr>
                <w:rFonts w:ascii="Calibri" w:hAnsi="Calibri"/>
                <w:sz w:val="16"/>
              </w:rPr>
              <w:t>Regulated records</w:t>
            </w:r>
          </w:p>
        </w:tc>
        <w:tc>
          <w:tcPr>
            <w:tcW w:type="dxa" w:w="3500"/>
            <w:vAlign w:val="center"/>
            <w:tcMar>
              <w:top w:w="80" w:type="dxa"/>
              <w:start w:w="120" w:type="dxa"/>
              <w:bottom w:w="80" w:type="dxa"/>
              <w:end w:w="120" w:type="dxa"/>
            </w:tcMar>
            <w:shd w:fill="F2F4F7"/>
          </w:tcPr>
          <w:p>
            <w:pPr>
              <w:spacing w:after="20"/>
            </w:pPr>
            <w:r>
              <w:rPr>
                <w:rFonts w:ascii="Calibri" w:hAnsi="Calibri"/>
                <w:sz w:val="16"/>
              </w:rPr>
              <w:t>claims or customer-linked browser data</w:t>
            </w:r>
          </w:p>
        </w:tc>
        <w:tc>
          <w:tcPr>
            <w:tcW w:type="dxa" w:w="3860"/>
            <w:vAlign w:val="center"/>
            <w:tcMar>
              <w:top w:w="80" w:type="dxa"/>
              <w:start w:w="120" w:type="dxa"/>
              <w:bottom w:w="80" w:type="dxa"/>
              <w:end w:w="120" w:type="dxa"/>
            </w:tcMar>
            <w:shd w:fill="F2F4F7"/>
          </w:tcPr>
          <w:p>
            <w:pPr>
              <w:spacing w:after="20"/>
            </w:pPr>
            <w:r>
              <w:rPr>
                <w:rFonts w:ascii="Calibri" w:hAnsi="Calibri"/>
                <w:sz w:val="16"/>
              </w:rPr>
              <w:t>prohibit without separate approval</w:t>
            </w:r>
          </w:p>
        </w:tc>
      </w:tr>
    </w:tbl>
    <w:p/>
    <w:p>
      <w:pPr>
        <w:pStyle w:val="Heading1"/>
      </w:pPr>
      <w:r>
        <w:t>Enterprise Controls Roadmap</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600"/>
            <w:vAlign w:val="center"/>
            <w:tcMar>
              <w:top w:w="80" w:type="dxa"/>
              <w:start w:w="120" w:type="dxa"/>
              <w:bottom w:w="80" w:type="dxa"/>
              <w:end w:w="120" w:type="dxa"/>
            </w:tcMar>
            <w:shd w:fill="17365D"/>
          </w:tcPr>
          <w:p>
            <w:pPr>
              <w:spacing w:after="20"/>
            </w:pPr>
            <w:r>
              <w:rPr>
                <w:rFonts w:ascii="Calibri" w:hAnsi="Calibri"/>
                <w:b/>
                <w:color w:val="FFFFFF"/>
                <w:sz w:val="16"/>
              </w:rPr>
              <w:t>Milestone</w:t>
            </w:r>
          </w:p>
        </w:tc>
        <w:tc>
          <w:tcPr>
            <w:tcW w:type="dxa" w:w="1600"/>
            <w:vAlign w:val="center"/>
            <w:tcMar>
              <w:top w:w="80" w:type="dxa"/>
              <w:start w:w="120" w:type="dxa"/>
              <w:bottom w:w="80" w:type="dxa"/>
              <w:end w:w="120" w:type="dxa"/>
            </w:tcMar>
            <w:shd w:fill="17365D"/>
          </w:tcPr>
          <w:p>
            <w:pPr>
              <w:spacing w:after="20"/>
            </w:pPr>
            <w:r>
              <w:rPr>
                <w:rFonts w:ascii="Calibri" w:hAnsi="Calibri"/>
                <w:b/>
                <w:color w:val="FFFFFF"/>
                <w:sz w:val="16"/>
              </w:rPr>
              <w:t>Owner</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1760"/>
            <w:vAlign w:val="center"/>
            <w:tcMar>
              <w:top w:w="80" w:type="dxa"/>
              <w:start w:w="120" w:type="dxa"/>
              <w:bottom w:w="80" w:type="dxa"/>
              <w:end w:w="120" w:type="dxa"/>
            </w:tcMar>
            <w:shd w:fill="17365D"/>
          </w:tcPr>
          <w:p>
            <w:pPr>
              <w:spacing w:after="20"/>
            </w:pPr>
            <w:r>
              <w:rPr>
                <w:rFonts w:ascii="Calibri" w:hAnsi="Calibri"/>
                <w:b/>
                <w:color w:val="FFFFFF"/>
                <w:sz w:val="16"/>
              </w:rPr>
              <w:t>Acceptance test</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Before evaluation</w:t>
            </w:r>
          </w:p>
        </w:tc>
        <w:tc>
          <w:tcPr>
            <w:tcW w:type="dxa" w:w="1600"/>
            <w:vAlign w:val="center"/>
            <w:tcMar>
              <w:top w:w="80" w:type="dxa"/>
              <w:start w:w="120" w:type="dxa"/>
              <w:bottom w:w="80" w:type="dxa"/>
              <w:end w:w="120" w:type="dxa"/>
            </w:tcMar>
            <w:shd w:fill="FFFFFF"/>
          </w:tcPr>
          <w:p>
            <w:pPr>
              <w:spacing w:after="20"/>
            </w:pPr>
            <w:r>
              <w:rPr>
                <w:rFonts w:ascii="Calibri" w:hAnsi="Calibri"/>
                <w:sz w:val="16"/>
              </w:rPr>
              <w:t>Platform</w:t>
            </w:r>
          </w:p>
        </w:tc>
        <w:tc>
          <w:tcPr>
            <w:tcW w:type="dxa" w:w="2900"/>
            <w:vAlign w:val="center"/>
            <w:tcMar>
              <w:top w:w="80" w:type="dxa"/>
              <w:start w:w="120" w:type="dxa"/>
              <w:bottom w:w="80" w:type="dxa"/>
              <w:end w:w="120" w:type="dxa"/>
            </w:tcMar>
            <w:shd w:fill="FFFFFF"/>
          </w:tcPr>
          <w:p>
            <w:pPr>
              <w:spacing w:after="20"/>
            </w:pPr>
            <w:r>
              <w:rPr>
                <w:rFonts w:ascii="Calibri" w:hAnsi="Calibri"/>
                <w:sz w:val="16"/>
              </w:rPr>
              <w:t>Exact 1.6.0 tarball hash and exact tools</w:t>
            </w:r>
          </w:p>
        </w:tc>
        <w:tc>
          <w:tcPr>
            <w:tcW w:type="dxa" w:w="1500"/>
            <w:vAlign w:val="center"/>
            <w:tcMar>
              <w:top w:w="80" w:type="dxa"/>
              <w:start w:w="120" w:type="dxa"/>
              <w:bottom w:w="80" w:type="dxa"/>
              <w:end w:w="120" w:type="dxa"/>
            </w:tcMar>
            <w:shd w:fill="FFFFFF"/>
          </w:tcPr>
          <w:p>
            <w:pPr>
              <w:spacing w:after="20"/>
            </w:pPr>
            <w:r>
              <w:rPr>
                <w:rFonts w:ascii="Calibri" w:hAnsi="Calibri"/>
                <w:sz w:val="16"/>
              </w:rPr>
              <w:t>Strong preventive</w:t>
            </w:r>
          </w:p>
        </w:tc>
        <w:tc>
          <w:tcPr>
            <w:tcW w:type="dxa" w:w="1760"/>
            <w:vAlign w:val="center"/>
            <w:tcMar>
              <w:top w:w="80" w:type="dxa"/>
              <w:start w:w="120" w:type="dxa"/>
              <w:bottom w:w="80" w:type="dxa"/>
              <w:end w:w="120" w:type="dxa"/>
            </w:tcMar>
            <w:shd w:fill="FFFFFF"/>
          </w:tcPr>
          <w:p>
            <w:pPr>
              <w:spacing w:after="20"/>
            </w:pPr>
            <w:r>
              <w:rPr>
                <w:rFonts w:ascii="Calibri" w:hAnsi="Calibri"/>
                <w:sz w:val="16"/>
              </w:rPr>
              <w:t>Hash and tool list match</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Before evaluation</w:t>
            </w:r>
          </w:p>
        </w:tc>
        <w:tc>
          <w:tcPr>
            <w:tcW w:type="dxa" w:w="1600"/>
            <w:vAlign w:val="center"/>
            <w:tcMar>
              <w:top w:w="80" w:type="dxa"/>
              <w:start w:w="120" w:type="dxa"/>
              <w:bottom w:w="80" w:type="dxa"/>
              <w:end w:w="120" w:type="dxa"/>
            </w:tcMar>
            <w:shd w:fill="F2F4F7"/>
          </w:tcPr>
          <w:p>
            <w:pPr>
              <w:spacing w:after="20"/>
            </w:pPr>
            <w:r>
              <w:rPr>
                <w:rFonts w:ascii="Calibri" w:hAnsi="Calibri"/>
                <w:sz w:val="16"/>
              </w:rPr>
              <w:t>Endpoint</w:t>
            </w:r>
          </w:p>
        </w:tc>
        <w:tc>
          <w:tcPr>
            <w:tcW w:type="dxa" w:w="2900"/>
            <w:vAlign w:val="center"/>
            <w:tcMar>
              <w:top w:w="80" w:type="dxa"/>
              <w:start w:w="120" w:type="dxa"/>
              <w:bottom w:w="80" w:type="dxa"/>
              <w:end w:w="120" w:type="dxa"/>
            </w:tcMar>
            <w:shd w:fill="F2F4F7"/>
          </w:tcPr>
          <w:p>
            <w:pPr>
              <w:spacing w:after="20"/>
            </w:pPr>
            <w:r>
              <w:rPr>
                <w:rFonts w:ascii="Calibri" w:hAnsi="Calibri"/>
                <w:sz w:val="16"/>
              </w:rPr>
              <w:t>Disposable isolated Chrome identity and profile</w:t>
            </w:r>
          </w:p>
        </w:tc>
        <w:tc>
          <w:tcPr>
            <w:tcW w:type="dxa" w:w="1500"/>
            <w:vAlign w:val="center"/>
            <w:tcMar>
              <w:top w:w="80" w:type="dxa"/>
              <w:start w:w="120" w:type="dxa"/>
              <w:bottom w:w="80" w:type="dxa"/>
              <w:end w:w="120" w:type="dxa"/>
            </w:tcMar>
            <w:shd w:fill="F2F4F7"/>
          </w:tcPr>
          <w:p>
            <w:pPr>
              <w:spacing w:after="20"/>
            </w:pPr>
            <w:r>
              <w:rPr>
                <w:rFonts w:ascii="Calibri" w:hAnsi="Calibri"/>
                <w:sz w:val="16"/>
              </w:rPr>
              <w:t>Strong preventive</w:t>
            </w:r>
          </w:p>
        </w:tc>
        <w:tc>
          <w:tcPr>
            <w:tcW w:type="dxa" w:w="1760"/>
            <w:vAlign w:val="center"/>
            <w:tcMar>
              <w:top w:w="80" w:type="dxa"/>
              <w:start w:w="120" w:type="dxa"/>
              <w:bottom w:w="80" w:type="dxa"/>
              <w:end w:w="120" w:type="dxa"/>
            </w:tcMar>
            <w:shd w:fill="F2F4F7"/>
          </w:tcPr>
          <w:p>
            <w:pPr>
              <w:spacing w:after="20"/>
            </w:pPr>
            <w:r>
              <w:rPr>
                <w:rFonts w:ascii="Calibri" w:hAnsi="Calibri"/>
                <w:sz w:val="16"/>
              </w:rPr>
              <w:t>Normal profile inaccessible</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Before evaluation</w:t>
            </w:r>
          </w:p>
        </w:tc>
        <w:tc>
          <w:tcPr>
            <w:tcW w:type="dxa" w:w="1600"/>
            <w:vAlign w:val="center"/>
            <w:tcMar>
              <w:top w:w="80" w:type="dxa"/>
              <w:start w:w="120" w:type="dxa"/>
              <w:bottom w:w="80" w:type="dxa"/>
              <w:end w:w="120" w:type="dxa"/>
            </w:tcMar>
            <w:shd w:fill="FFFFFF"/>
          </w:tcPr>
          <w:p>
            <w:pPr>
              <w:spacing w:after="20"/>
            </w:pPr>
            <w:r>
              <w:rPr>
                <w:rFonts w:ascii="Calibri" w:hAnsi="Calibri"/>
                <w:sz w:val="16"/>
              </w:rPr>
              <w:t>IDE Engineering</w:t>
            </w:r>
          </w:p>
        </w:tc>
        <w:tc>
          <w:tcPr>
            <w:tcW w:type="dxa" w:w="2900"/>
            <w:vAlign w:val="center"/>
            <w:tcMar>
              <w:top w:w="80" w:type="dxa"/>
              <w:start w:w="120" w:type="dxa"/>
              <w:bottom w:w="80" w:type="dxa"/>
              <w:end w:w="120" w:type="dxa"/>
            </w:tcMar>
            <w:shd w:fill="FFFFFF"/>
          </w:tcPr>
          <w:p>
            <w:pPr>
              <w:spacing w:after="20"/>
            </w:pPr>
            <w:r>
              <w:rPr>
                <w:rFonts w:ascii="Calibri" w:hAnsi="Calibri"/>
                <w:sz w:val="16"/>
              </w:rPr>
              <w:t>Per-invocation approval; no global auto-approval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1760"/>
            <w:vAlign w:val="center"/>
            <w:tcMar>
              <w:top w:w="80" w:type="dxa"/>
              <w:start w:w="120" w:type="dxa"/>
              <w:bottom w:w="80" w:type="dxa"/>
              <w:end w:w="120" w:type="dxa"/>
            </w:tcMar>
            <w:shd w:fill="FFFFFF"/>
          </w:tcPr>
          <w:p>
            <w:pPr>
              <w:spacing w:after="20"/>
            </w:pPr>
            <w:r>
              <w:rPr>
                <w:rFonts w:ascii="Calibri" w:hAnsi="Calibri"/>
                <w:sz w:val="16"/>
              </w:rPr>
              <w:t>Injection canary cannot proceed</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Before evaluation</w:t>
            </w:r>
          </w:p>
        </w:tc>
        <w:tc>
          <w:tcPr>
            <w:tcW w:type="dxa" w:w="1600"/>
            <w:vAlign w:val="center"/>
            <w:tcMar>
              <w:top w:w="80" w:type="dxa"/>
              <w:start w:w="120" w:type="dxa"/>
              <w:bottom w:w="80" w:type="dxa"/>
              <w:end w:w="120" w:type="dxa"/>
            </w:tcMar>
            <w:shd w:fill="F2F4F7"/>
          </w:tcPr>
          <w:p>
            <w:pPr>
              <w:spacing w:after="20"/>
            </w:pPr>
            <w:r>
              <w:rPr>
                <w:rFonts w:ascii="Calibri" w:hAnsi="Calibri"/>
                <w:sz w:val="16"/>
              </w:rPr>
              <w:t>Network</w:t>
            </w:r>
          </w:p>
        </w:tc>
        <w:tc>
          <w:tcPr>
            <w:tcW w:type="dxa" w:w="2900"/>
            <w:vAlign w:val="center"/>
            <w:tcMar>
              <w:top w:w="80" w:type="dxa"/>
              <w:start w:w="120" w:type="dxa"/>
              <w:bottom w:w="80" w:type="dxa"/>
              <w:end w:w="120" w:type="dxa"/>
            </w:tcMar>
            <w:shd w:fill="F2F4F7"/>
          </w:tcPr>
          <w:p>
            <w:pPr>
              <w:spacing w:after="20"/>
            </w:pPr>
            <w:r>
              <w:rPr>
                <w:rFonts w:ascii="Calibri" w:hAnsi="Calibri"/>
                <w:sz w:val="16"/>
              </w:rPr>
              <w:t>Deny private destinations; controlled egress</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1760"/>
            <w:vAlign w:val="center"/>
            <w:tcMar>
              <w:top w:w="80" w:type="dxa"/>
              <w:start w:w="120" w:type="dxa"/>
              <w:bottom w:w="80" w:type="dxa"/>
              <w:end w:w="120" w:type="dxa"/>
            </w:tcMar>
            <w:shd w:fill="F2F4F7"/>
          </w:tcPr>
          <w:p>
            <w:pPr>
              <w:spacing w:after="20"/>
            </w:pPr>
            <w:r>
              <w:rPr>
                <w:rFonts w:ascii="Calibri" w:hAnsi="Calibri"/>
                <w:sz w:val="16"/>
              </w:rPr>
              <w:t>Unapproved destinations blocked</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0-30 days</w:t>
            </w:r>
          </w:p>
        </w:tc>
        <w:tc>
          <w:tcPr>
            <w:tcW w:type="dxa" w:w="1600"/>
            <w:vAlign w:val="center"/>
            <w:tcMar>
              <w:top w:w="80" w:type="dxa"/>
              <w:start w:w="120" w:type="dxa"/>
              <w:bottom w:w="80" w:type="dxa"/>
              <w:end w:w="120" w:type="dxa"/>
            </w:tcMar>
            <w:shd w:fill="FFFFFF"/>
          </w:tcPr>
          <w:p>
            <w:pPr>
              <w:spacing w:after="20"/>
            </w:pPr>
            <w:r>
              <w:rPr>
                <w:rFonts w:ascii="Calibri" w:hAnsi="Calibri"/>
                <w:sz w:val="16"/>
              </w:rPr>
              <w:t>Privacy/Legal</w:t>
            </w:r>
          </w:p>
        </w:tc>
        <w:tc>
          <w:tcPr>
            <w:tcW w:type="dxa" w:w="2900"/>
            <w:vAlign w:val="center"/>
            <w:tcMar>
              <w:top w:w="80" w:type="dxa"/>
              <w:start w:w="120" w:type="dxa"/>
              <w:bottom w:w="80" w:type="dxa"/>
              <w:end w:w="120" w:type="dxa"/>
            </w:tcMar>
            <w:shd w:fill="FFFFFF"/>
          </w:tcPr>
          <w:p>
            <w:pPr>
              <w:spacing w:after="20"/>
            </w:pPr>
            <w:r>
              <w:rPr>
                <w:rFonts w:ascii="Calibri" w:hAnsi="Calibri"/>
                <w:sz w:val="16"/>
              </w:rPr>
              <w:t>DPIA and contractual boundary</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1760"/>
            <w:vAlign w:val="center"/>
            <w:tcMar>
              <w:top w:w="80" w:type="dxa"/>
              <w:start w:w="120" w:type="dxa"/>
              <w:bottom w:w="80" w:type="dxa"/>
              <w:end w:w="120" w:type="dxa"/>
            </w:tcMar>
            <w:shd w:fill="FFFFFF"/>
          </w:tcPr>
          <w:p>
            <w:pPr>
              <w:spacing w:after="20"/>
            </w:pPr>
            <w:r>
              <w:rPr>
                <w:rFonts w:ascii="Calibri" w:hAnsi="Calibri"/>
                <w:sz w:val="16"/>
              </w:rPr>
              <w:t>Recorded accountable approval</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31-90 days</w:t>
            </w:r>
          </w:p>
        </w:tc>
        <w:tc>
          <w:tcPr>
            <w:tcW w:type="dxa" w:w="1600"/>
            <w:vAlign w:val="center"/>
            <w:tcMar>
              <w:top w:w="80" w:type="dxa"/>
              <w:start w:w="120" w:type="dxa"/>
              <w:bottom w:w="80" w:type="dxa"/>
              <w:end w:w="120" w:type="dxa"/>
            </w:tcMar>
            <w:shd w:fill="F2F4F7"/>
          </w:tcPr>
          <w:p>
            <w:pPr>
              <w:spacing w:after="20"/>
            </w:pPr>
            <w:r>
              <w:rPr>
                <w:rFonts w:ascii="Calibri" w:hAnsi="Calibri"/>
                <w:sz w:val="16"/>
              </w:rPr>
              <w:t>Security Testing</w:t>
            </w:r>
          </w:p>
        </w:tc>
        <w:tc>
          <w:tcPr>
            <w:tcW w:type="dxa" w:w="2900"/>
            <w:vAlign w:val="center"/>
            <w:tcMar>
              <w:top w:w="80" w:type="dxa"/>
              <w:start w:w="120" w:type="dxa"/>
              <w:bottom w:w="80" w:type="dxa"/>
              <w:end w:w="120" w:type="dxa"/>
            </w:tcMar>
            <w:shd w:fill="F2F4F7"/>
          </w:tcPr>
          <w:p>
            <w:pPr>
              <w:spacing w:after="20"/>
            </w:pPr>
            <w:r>
              <w:rPr>
                <w:rFonts w:ascii="Calibri" w:hAnsi="Calibri"/>
                <w:sz w:val="16"/>
              </w:rPr>
              <w:t>Disposable-host runtime protocol</w:t>
            </w:r>
          </w:p>
        </w:tc>
        <w:tc>
          <w:tcPr>
            <w:tcW w:type="dxa" w:w="1500"/>
            <w:vAlign w:val="center"/>
            <w:tcMar>
              <w:top w:w="80" w:type="dxa"/>
              <w:start w:w="120" w:type="dxa"/>
              <w:bottom w:w="80" w:type="dxa"/>
              <w:end w:w="120" w:type="dxa"/>
            </w:tcMar>
            <w:shd w:fill="F2F4F7"/>
          </w:tcPr>
          <w:p>
            <w:pPr>
              <w:spacing w:after="20"/>
            </w:pPr>
            <w:r>
              <w:rPr>
                <w:rFonts w:ascii="Calibri" w:hAnsi="Calibri"/>
                <w:sz w:val="16"/>
              </w:rPr>
              <w:t>Verification</w:t>
            </w:r>
          </w:p>
        </w:tc>
        <w:tc>
          <w:tcPr>
            <w:tcW w:type="dxa" w:w="1760"/>
            <w:vAlign w:val="center"/>
            <w:tcMar>
              <w:top w:w="80" w:type="dxa"/>
              <w:start w:w="120" w:type="dxa"/>
              <w:bottom w:w="80" w:type="dxa"/>
              <w:end w:w="120" w:type="dxa"/>
            </w:tcMar>
            <w:shd w:fill="F2F4F7"/>
          </w:tcPr>
          <w:p>
            <w:pPr>
              <w:spacing w:after="20"/>
            </w:pPr>
            <w:r>
              <w:rPr>
                <w:rFonts w:ascii="Calibri" w:hAnsi="Calibri"/>
                <w:sz w:val="16"/>
              </w:rPr>
              <w:t>Lifecycle and misuse tests pass</w:t>
            </w:r>
          </w:p>
        </w:tc>
      </w:tr>
    </w:tbl>
    <w:p/>
    <w:p>
      <w:pPr>
        <w:pStyle w:val="Heading1"/>
      </w:pPr>
      <w:r>
        <w:t>Detection Opportunities and Monitoring Plan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Signal</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Detection</w:t>
            </w:r>
          </w:p>
        </w:tc>
        <w:tc>
          <w:tcPr>
            <w:tcW w:type="dxa" w:w="2800"/>
            <w:vAlign w:val="center"/>
            <w:tcMar>
              <w:top w:w="80" w:type="dxa"/>
              <w:start w:w="120" w:type="dxa"/>
              <w:bottom w:w="80" w:type="dxa"/>
              <w:end w:w="120" w:type="dxa"/>
            </w:tcMar>
            <w:shd w:fill="17365D"/>
          </w:tcPr>
          <w:p>
            <w:pPr>
              <w:spacing w:after="20"/>
            </w:pPr>
            <w:r>
              <w:rPr>
                <w:rFonts w:ascii="Calibri" w:hAnsi="Calibri"/>
                <w:b/>
                <w:color w:val="FFFFFF"/>
                <w:sz w:val="16"/>
              </w:rPr>
              <w:t>Response</w:t>
            </w:r>
          </w:p>
        </w:tc>
        <w:tc>
          <w:tcPr>
            <w:tcW w:type="dxa" w:w="1860"/>
            <w:vAlign w:val="center"/>
            <w:tcMar>
              <w:top w:w="80" w:type="dxa"/>
              <w:start w:w="120" w:type="dxa"/>
              <w:bottom w:w="80" w:type="dxa"/>
              <w:end w:w="120" w:type="dxa"/>
            </w:tcMar>
            <w:shd w:fill="17365D"/>
          </w:tcPr>
          <w:p>
            <w:pPr>
              <w:spacing w:after="20"/>
            </w:pPr>
            <w:r>
              <w:rPr>
                <w:rFonts w:ascii="Calibri" w:hAnsi="Calibri"/>
                <w:b/>
                <w:color w:val="FFFFFF"/>
                <w:sz w:val="16"/>
              </w:rPr>
              <w:t>Strength</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Tool list</w:t>
            </w:r>
          </w:p>
        </w:tc>
        <w:tc>
          <w:tcPr>
            <w:tcW w:type="dxa" w:w="2900"/>
            <w:vAlign w:val="center"/>
            <w:tcMar>
              <w:top w:w="80" w:type="dxa"/>
              <w:start w:w="120" w:type="dxa"/>
              <w:bottom w:w="80" w:type="dxa"/>
              <w:end w:w="120" w:type="dxa"/>
            </w:tcMar>
            <w:shd w:fill="FFFFFF"/>
          </w:tcPr>
          <w:p>
            <w:pPr>
              <w:spacing w:after="20"/>
            </w:pPr>
            <w:r>
              <w:rPr>
                <w:rFonts w:ascii="Calibri" w:hAnsi="Calibri"/>
                <w:sz w:val="16"/>
              </w:rPr>
              <w:t>Schema or allowlist drift</w:t>
            </w:r>
          </w:p>
        </w:tc>
        <w:tc>
          <w:tcPr>
            <w:tcW w:type="dxa" w:w="2800"/>
            <w:vAlign w:val="center"/>
            <w:tcMar>
              <w:top w:w="80" w:type="dxa"/>
              <w:start w:w="120" w:type="dxa"/>
              <w:bottom w:w="80" w:type="dxa"/>
              <w:end w:w="120" w:type="dxa"/>
            </w:tcMar>
            <w:shd w:fill="FFFFFF"/>
          </w:tcPr>
          <w:p>
            <w:pPr>
              <w:spacing w:after="20"/>
            </w:pPr>
            <w:r>
              <w:rPr>
                <w:rFonts w:ascii="Calibri" w:hAnsi="Calibri"/>
                <w:sz w:val="16"/>
              </w:rPr>
              <w:t>Disable pending review</w:t>
            </w:r>
          </w:p>
        </w:tc>
        <w:tc>
          <w:tcPr>
            <w:tcW w:type="dxa" w:w="1860"/>
            <w:vAlign w:val="center"/>
            <w:tcMar>
              <w:top w:w="80" w:type="dxa"/>
              <w:start w:w="120" w:type="dxa"/>
              <w:bottom w:w="80" w:type="dxa"/>
              <w:end w:w="120" w:type="dxa"/>
            </w:tcMar>
            <w:shd w:fill="FFFFFF"/>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Browser action</w:t>
            </w:r>
          </w:p>
        </w:tc>
        <w:tc>
          <w:tcPr>
            <w:tcW w:type="dxa" w:w="2900"/>
            <w:vAlign w:val="center"/>
            <w:tcMar>
              <w:top w:w="80" w:type="dxa"/>
              <w:start w:w="120" w:type="dxa"/>
              <w:bottom w:w="80" w:type="dxa"/>
              <w:end w:w="120" w:type="dxa"/>
            </w:tcMar>
            <w:shd w:fill="F2F4F7"/>
          </w:tcPr>
          <w:p>
            <w:pPr>
              <w:spacing w:after="20"/>
            </w:pPr>
            <w:r>
              <w:rPr>
                <w:rFonts w:ascii="Calibri" w:hAnsi="Calibri"/>
                <w:sz w:val="16"/>
              </w:rPr>
              <w:t>Action without correlated approved intent</w:t>
            </w:r>
          </w:p>
        </w:tc>
        <w:tc>
          <w:tcPr>
            <w:tcW w:type="dxa" w:w="2800"/>
            <w:vAlign w:val="center"/>
            <w:tcMar>
              <w:top w:w="80" w:type="dxa"/>
              <w:start w:w="120" w:type="dxa"/>
              <w:bottom w:w="80" w:type="dxa"/>
              <w:end w:w="120" w:type="dxa"/>
            </w:tcMar>
            <w:shd w:fill="F2F4F7"/>
          </w:tcPr>
          <w:p>
            <w:pPr>
              <w:spacing w:after="20"/>
            </w:pPr>
            <w:r>
              <w:rPr>
                <w:rFonts w:ascii="Calibri" w:hAnsi="Calibri"/>
                <w:sz w:val="16"/>
              </w:rPr>
              <w:t>Terminate and investigate</w:t>
            </w:r>
          </w:p>
        </w:tc>
        <w:tc>
          <w:tcPr>
            <w:tcW w:type="dxa" w:w="1860"/>
            <w:vAlign w:val="center"/>
            <w:tcMar>
              <w:top w:w="80" w:type="dxa"/>
              <w:start w:w="120" w:type="dxa"/>
              <w:bottom w:w="80" w:type="dxa"/>
              <w:end w:w="120" w:type="dxa"/>
            </w:tcMar>
            <w:shd w:fill="F2F4F7"/>
          </w:tcPr>
          <w:p>
            <w:pPr>
              <w:spacing w:after="20"/>
            </w:pPr>
            <w:r>
              <w:rPr>
                <w:rFonts w:ascii="Calibri" w:hAnsi="Calibri"/>
                <w:sz w:val="16"/>
              </w:rPr>
              <w:t>Detective</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Profile</w:t>
            </w:r>
          </w:p>
        </w:tc>
        <w:tc>
          <w:tcPr>
            <w:tcW w:type="dxa" w:w="2900"/>
            <w:vAlign w:val="center"/>
            <w:tcMar>
              <w:top w:w="80" w:type="dxa"/>
              <w:start w:w="120" w:type="dxa"/>
              <w:bottom w:w="80" w:type="dxa"/>
              <w:end w:w="120" w:type="dxa"/>
            </w:tcMar>
            <w:shd w:fill="FFFFFF"/>
          </w:tcPr>
          <w:p>
            <w:pPr>
              <w:spacing w:after="20"/>
            </w:pPr>
            <w:r>
              <w:rPr>
                <w:rFonts w:ascii="Calibri" w:hAnsi="Calibri"/>
                <w:sz w:val="16"/>
              </w:rPr>
              <w:t>Normal-profile attachment attempt</w:t>
            </w:r>
          </w:p>
        </w:tc>
        <w:tc>
          <w:tcPr>
            <w:tcW w:type="dxa" w:w="2800"/>
            <w:vAlign w:val="center"/>
            <w:tcMar>
              <w:top w:w="80" w:type="dxa"/>
              <w:start w:w="120" w:type="dxa"/>
              <w:bottom w:w="80" w:type="dxa"/>
              <w:end w:w="120" w:type="dxa"/>
            </w:tcMar>
            <w:shd w:fill="FFFFFF"/>
          </w:tcPr>
          <w:p>
            <w:pPr>
              <w:spacing w:after="20"/>
            </w:pPr>
            <w:r>
              <w:rPr>
                <w:rFonts w:ascii="Calibri" w:hAnsi="Calibri"/>
                <w:sz w:val="16"/>
              </w:rPr>
              <w:t>Block and revoke</w:t>
            </w:r>
          </w:p>
        </w:tc>
        <w:tc>
          <w:tcPr>
            <w:tcW w:type="dxa" w:w="1860"/>
            <w:vAlign w:val="center"/>
            <w:tcMar>
              <w:top w:w="80" w:type="dxa"/>
              <w:start w:w="120" w:type="dxa"/>
              <w:bottom w:w="80" w:type="dxa"/>
              <w:end w:w="120" w:type="dxa"/>
            </w:tcMar>
            <w:shd w:fill="FFFFFF"/>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Network</w:t>
            </w:r>
          </w:p>
        </w:tc>
        <w:tc>
          <w:tcPr>
            <w:tcW w:type="dxa" w:w="2900"/>
            <w:vAlign w:val="center"/>
            <w:tcMar>
              <w:top w:w="80" w:type="dxa"/>
              <w:start w:w="120" w:type="dxa"/>
              <w:bottom w:w="80" w:type="dxa"/>
              <w:end w:w="120" w:type="dxa"/>
            </w:tcMar>
            <w:shd w:fill="F2F4F7"/>
          </w:tcPr>
          <w:p>
            <w:pPr>
              <w:spacing w:after="20"/>
            </w:pPr>
            <w:r>
              <w:rPr>
                <w:rFonts w:ascii="Calibri" w:hAnsi="Calibri"/>
                <w:sz w:val="16"/>
              </w:rPr>
              <w:t>Unexpected endpoint or IP behavior</w:t>
            </w:r>
          </w:p>
        </w:tc>
        <w:tc>
          <w:tcPr>
            <w:tcW w:type="dxa" w:w="2800"/>
            <w:vAlign w:val="center"/>
            <w:tcMar>
              <w:top w:w="80" w:type="dxa"/>
              <w:start w:w="120" w:type="dxa"/>
              <w:bottom w:w="80" w:type="dxa"/>
              <w:end w:w="120" w:type="dxa"/>
            </w:tcMar>
            <w:shd w:fill="F2F4F7"/>
          </w:tcPr>
          <w:p>
            <w:pPr>
              <w:spacing w:after="20"/>
            </w:pPr>
            <w:r>
              <w:rPr>
                <w:rFonts w:ascii="Calibri" w:hAnsi="Calibri"/>
                <w:sz w:val="16"/>
              </w:rPr>
              <w:t>Terminate session</w:t>
            </w:r>
          </w:p>
        </w:tc>
        <w:tc>
          <w:tcPr>
            <w:tcW w:type="dxa" w:w="1860"/>
            <w:vAlign w:val="center"/>
            <w:tcMar>
              <w:top w:w="80" w:type="dxa"/>
              <w:start w:w="120" w:type="dxa"/>
              <w:bottom w:w="80" w:type="dxa"/>
              <w:end w:w="120" w:type="dxa"/>
            </w:tcMar>
            <w:shd w:fill="F2F4F7"/>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Content</w:t>
            </w:r>
          </w:p>
        </w:tc>
        <w:tc>
          <w:tcPr>
            <w:tcW w:type="dxa" w:w="2900"/>
            <w:vAlign w:val="center"/>
            <w:tcMar>
              <w:top w:w="80" w:type="dxa"/>
              <w:start w:w="120" w:type="dxa"/>
              <w:bottom w:w="80" w:type="dxa"/>
              <w:end w:w="120" w:type="dxa"/>
            </w:tcMar>
            <w:shd w:fill="FFFFFF"/>
          </w:tcPr>
          <w:p>
            <w:pPr>
              <w:spacing w:after="20"/>
            </w:pPr>
            <w:r>
              <w:rPr>
                <w:rFonts w:ascii="Calibri" w:hAnsi="Calibri"/>
                <w:sz w:val="16"/>
              </w:rPr>
              <w:t>Prompt-injection canary</w:t>
            </w:r>
          </w:p>
        </w:tc>
        <w:tc>
          <w:tcPr>
            <w:tcW w:type="dxa" w:w="2800"/>
            <w:vAlign w:val="center"/>
            <w:tcMar>
              <w:top w:w="80" w:type="dxa"/>
              <w:start w:w="120" w:type="dxa"/>
              <w:bottom w:w="80" w:type="dxa"/>
              <w:end w:w="120" w:type="dxa"/>
            </w:tcMar>
            <w:shd w:fill="FFFFFF"/>
          </w:tcPr>
          <w:p>
            <w:pPr>
              <w:spacing w:after="20"/>
            </w:pPr>
            <w:r>
              <w:rPr>
                <w:rFonts w:ascii="Calibri" w:hAnsi="Calibri"/>
                <w:sz w:val="16"/>
              </w:rPr>
              <w:t>Block tool chain</w:t>
            </w:r>
          </w:p>
        </w:tc>
        <w:tc>
          <w:tcPr>
            <w:tcW w:type="dxa" w:w="1860"/>
            <w:vAlign w:val="center"/>
            <w:tcMar>
              <w:top w:w="80" w:type="dxa"/>
              <w:start w:w="120" w:type="dxa"/>
              <w:bottom w:w="80" w:type="dxa"/>
              <w:end w:w="120" w:type="dxa"/>
            </w:tcMar>
            <w:shd w:fill="FFFFFF"/>
          </w:tcPr>
          <w:p>
            <w:pPr>
              <w:spacing w:after="20"/>
            </w:pPr>
            <w:r>
              <w:rPr>
                <w:rFonts w:ascii="Calibri" w:hAnsi="Calibri"/>
                <w:sz w:val="16"/>
              </w:rPr>
              <w:t>Detective</w:t>
            </w:r>
          </w:p>
        </w:tc>
      </w:tr>
    </w:tbl>
    <w:p/>
    <w:p>
      <w:pPr>
        <w:pStyle w:val="Heading1"/>
      </w:pPr>
      <w:r>
        <w:t>Consolidated Risk Register</w:t>
      </w:r>
    </w:p>
    <w:p>
      <w:pPr>
        <w:widowControl/>
      </w:pPr>
      <w:r>
        <w:t>Legend: ID is the unique finding identifier. Risk is the adverse scenario. Inherent is likelihood (L) x impact (I) before controls. Residual uses residual likelihood (rL) x residual impact (rI) after verified controls. Treatment is the required response; Owner is accountable. Rating bands: 1-4 Low, 5-9 Moderate, 10-16 High, 17-25 Critical.</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900"/>
            <w:vAlign w:val="center"/>
            <w:tcMar>
              <w:top w:w="80" w:type="dxa"/>
              <w:start w:w="120" w:type="dxa"/>
              <w:bottom w:w="80" w:type="dxa"/>
              <w:end w:w="120" w:type="dxa"/>
            </w:tcMar>
            <w:shd w:fill="17365D"/>
          </w:tcPr>
          <w:p>
            <w:pPr>
              <w:spacing w:after="20"/>
            </w:pPr>
            <w:r>
              <w:rPr>
                <w:rFonts w:ascii="Calibri" w:hAnsi="Calibri"/>
                <w:b/>
                <w:color w:val="FFFFFF"/>
                <w:sz w:val="16"/>
              </w:rPr>
              <w:t>ID</w:t>
            </w:r>
          </w:p>
        </w:tc>
        <w:tc>
          <w:tcPr>
            <w:tcW w:type="dxa" w:w="3000"/>
            <w:vAlign w:val="center"/>
            <w:tcMar>
              <w:top w:w="80" w:type="dxa"/>
              <w:start w:w="120" w:type="dxa"/>
              <w:bottom w:w="80" w:type="dxa"/>
              <w:end w:w="120" w:type="dxa"/>
            </w:tcMar>
            <w:shd w:fill="17365D"/>
          </w:tcPr>
          <w:p>
            <w:pPr>
              <w:spacing w:after="20"/>
            </w:pPr>
            <w:r>
              <w:rPr>
                <w:rFonts w:ascii="Calibri" w:hAnsi="Calibri"/>
                <w:b/>
                <w:color w:val="FFFFFF"/>
                <w:sz w:val="16"/>
              </w:rPr>
              <w:t>Risk</w:t>
            </w:r>
          </w:p>
        </w:tc>
        <w:tc>
          <w:tcPr>
            <w:tcW w:type="dxa" w:w="14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4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Treatment / Owner</w:t>
            </w:r>
          </w:p>
        </w:tc>
        <w:tc>
          <w:tcPr>
            <w:tcW w:type="dxa" w:w="960"/>
            <w:vAlign w:val="center"/>
            <w:tcMar>
              <w:top w:w="80" w:type="dxa"/>
              <w:start w:w="120" w:type="dxa"/>
              <w:bottom w:w="80" w:type="dxa"/>
              <w:end w:w="120" w:type="dxa"/>
            </w:tcMar>
            <w:shd w:fill="17365D"/>
          </w:tcPr>
          <w:p>
            <w:pPr>
              <w:spacing w:after="20"/>
            </w:pPr>
            <w:r>
              <w:rPr>
                <w:rFonts w:ascii="Calibri" w:hAnsi="Calibri"/>
                <w:b/>
                <w:color w:val="FFFFFF"/>
                <w:sz w:val="16"/>
              </w:rPr>
              <w:t>Target date</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F-001</w:t>
            </w:r>
          </w:p>
        </w:tc>
        <w:tc>
          <w:tcPr>
            <w:tcW w:type="dxa" w:w="3000"/>
            <w:vAlign w:val="center"/>
            <w:tcMar>
              <w:top w:w="80" w:type="dxa"/>
              <w:start w:w="120" w:type="dxa"/>
              <w:bottom w:w="80" w:type="dxa"/>
              <w:end w:w="120" w:type="dxa"/>
            </w:tcMar>
            <w:shd w:fill="FFFFFF"/>
          </w:tcPr>
          <w:p>
            <w:pPr>
              <w:spacing w:after="20"/>
            </w:pPr>
            <w:r>
              <w:rPr>
                <w:rFonts w:ascii="Calibri" w:hAnsi="Calibri"/>
                <w:sz w:val="16"/>
              </w:rPr>
              <w:t>Untrusted web content can prompt-inject the agent</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AI Security</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F-002</w:t>
            </w:r>
          </w:p>
        </w:tc>
        <w:tc>
          <w:tcPr>
            <w:tcW w:type="dxa" w:w="3000"/>
            <w:vAlign w:val="center"/>
            <w:tcMar>
              <w:top w:w="80" w:type="dxa"/>
              <w:start w:w="120" w:type="dxa"/>
              <w:bottom w:w="80" w:type="dxa"/>
              <w:end w:w="120" w:type="dxa"/>
            </w:tcMar>
            <w:shd w:fill="F2F4F7"/>
          </w:tcPr>
          <w:p>
            <w:pPr>
              <w:spacing w:after="20"/>
            </w:pPr>
            <w:r>
              <w:rPr>
                <w:rFonts w:ascii="Calibri" w:hAnsi="Calibri"/>
                <w:sz w:val="16"/>
              </w:rPr>
              <w:t>Browser-control tools create excessive agency</w:t>
            </w:r>
          </w:p>
        </w:tc>
        <w:tc>
          <w:tcPr>
            <w:tcW w:type="dxa" w:w="14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IDE Engineering</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F-003</w:t>
            </w:r>
          </w:p>
        </w:tc>
        <w:tc>
          <w:tcPr>
            <w:tcW w:type="dxa" w:w="3000"/>
            <w:vAlign w:val="center"/>
            <w:tcMar>
              <w:top w:w="80" w:type="dxa"/>
              <w:start w:w="120" w:type="dxa"/>
              <w:bottom w:w="80" w:type="dxa"/>
              <w:end w:w="120" w:type="dxa"/>
            </w:tcMar>
            <w:shd w:fill="FFFFFF"/>
          </w:tcPr>
          <w:p>
            <w:pPr>
              <w:spacing w:after="20"/>
            </w:pPr>
            <w:r>
              <w:rPr>
                <w:rFonts w:ascii="Calibri" w:hAnsi="Calibri"/>
                <w:sz w:val="16"/>
              </w:rPr>
              <w:t>Remote debugging can expose authenticated browser state</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Endpoint Security</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F-004</w:t>
            </w:r>
          </w:p>
        </w:tc>
        <w:tc>
          <w:tcPr>
            <w:tcW w:type="dxa" w:w="3000"/>
            <w:vAlign w:val="center"/>
            <w:tcMar>
              <w:top w:w="80" w:type="dxa"/>
              <w:start w:w="120" w:type="dxa"/>
              <w:bottom w:w="80" w:type="dxa"/>
              <w:end w:w="120" w:type="dxa"/>
            </w:tcMar>
            <w:shd w:fill="F2F4F7"/>
          </w:tcPr>
          <w:p>
            <w:pPr>
              <w:spacing w:after="20"/>
            </w:pPr>
            <w:r>
              <w:rPr>
                <w:rFonts w:ascii="Calibri" w:hAnsi="Calibri"/>
                <w:sz w:val="16"/>
              </w:rPr>
              <w:t>Persistent Chrome profiles can retain confidential data</w:t>
            </w:r>
          </w:p>
        </w:tc>
        <w:tc>
          <w:tcPr>
            <w:tcW w:type="dxa" w:w="14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Endpoint Security</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F-005</w:t>
            </w:r>
          </w:p>
        </w:tc>
        <w:tc>
          <w:tcPr>
            <w:tcW w:type="dxa" w:w="3000"/>
            <w:vAlign w:val="center"/>
            <w:tcMar>
              <w:top w:w="80" w:type="dxa"/>
              <w:start w:w="120" w:type="dxa"/>
              <w:bottom w:w="80" w:type="dxa"/>
              <w:end w:w="120" w:type="dxa"/>
            </w:tcMar>
            <w:shd w:fill="FFFFFF"/>
          </w:tcPr>
          <w:p>
            <w:pPr>
              <w:spacing w:after="20"/>
            </w:pPr>
            <w:r>
              <w:rPr>
                <w:rFonts w:ascii="Calibri" w:hAnsi="Calibri"/>
                <w:sz w:val="16"/>
              </w:rPr>
              <w:t>Usage statistics may disclose enterprise metadata</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1700"/>
            <w:vAlign w:val="center"/>
            <w:tcMar>
              <w:top w:w="80" w:type="dxa"/>
              <w:start w:w="120" w:type="dxa"/>
              <w:bottom w:w="80" w:type="dxa"/>
              <w:end w:w="120" w:type="dxa"/>
            </w:tcMar>
            <w:shd w:fill="FFFFFF"/>
          </w:tcPr>
          <w:p>
            <w:pPr>
              <w:spacing w:after="20"/>
            </w:pPr>
            <w:r>
              <w:rPr>
                <w:rFonts w:ascii="Calibri" w:hAnsi="Calibri"/>
                <w:sz w:val="16"/>
              </w:rPr>
              <w:t>Privacy and Legal</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F-006</w:t>
            </w:r>
          </w:p>
        </w:tc>
        <w:tc>
          <w:tcPr>
            <w:tcW w:type="dxa" w:w="3000"/>
            <w:vAlign w:val="center"/>
            <w:tcMar>
              <w:top w:w="80" w:type="dxa"/>
              <w:start w:w="120" w:type="dxa"/>
              <w:bottom w:w="80" w:type="dxa"/>
              <w:end w:w="120" w:type="dxa"/>
            </w:tcMar>
            <w:shd w:fill="F2F4F7"/>
          </w:tcPr>
          <w:p>
            <w:pPr>
              <w:spacing w:after="20"/>
            </w:pPr>
            <w:r>
              <w:rPr>
                <w:rFonts w:ascii="Calibri" w:hAnsi="Calibri"/>
                <w:sz w:val="16"/>
              </w:rPr>
              <w:t>Mutable npx installation weakens version integrity</w:t>
            </w:r>
          </w:p>
        </w:tc>
        <w:tc>
          <w:tcPr>
            <w:tcW w:type="dxa" w:w="1400"/>
            <w:vAlign w:val="center"/>
            <w:tcMar>
              <w:top w:w="80" w:type="dxa"/>
              <w:start w:w="120" w:type="dxa"/>
              <w:bottom w:w="80" w:type="dxa"/>
              <w:end w:w="120" w:type="dxa"/>
            </w:tcMar>
            <w:shd w:fill="F2F4F7"/>
          </w:tcPr>
          <w:p>
            <w:pPr>
              <w:spacing w:after="20"/>
            </w:pPr>
            <w:r>
              <w:rPr>
                <w:rFonts w:ascii="Calibri" w:hAnsi="Calibri"/>
                <w:sz w:val="16"/>
              </w:rPr>
              <w:t>4 x 4 = 16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4 = 8 Moderate</w:t>
            </w:r>
          </w:p>
        </w:tc>
        <w:tc>
          <w:tcPr>
            <w:tcW w:type="dxa" w:w="1700"/>
            <w:vAlign w:val="center"/>
            <w:tcMar>
              <w:top w:w="80" w:type="dxa"/>
              <w:start w:w="120" w:type="dxa"/>
              <w:bottom w:w="80" w:type="dxa"/>
              <w:end w:w="120" w:type="dxa"/>
            </w:tcMar>
            <w:shd w:fill="F2F4F7"/>
          </w:tcPr>
          <w:p>
            <w:pPr>
              <w:spacing w:after="20"/>
            </w:pPr>
            <w:r>
              <w:rPr>
                <w:rFonts w:ascii="Calibri" w:hAnsi="Calibri"/>
                <w:sz w:val="16"/>
              </w:rPr>
              <w:t>Platform Engineering</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F-007</w:t>
            </w:r>
          </w:p>
        </w:tc>
        <w:tc>
          <w:tcPr>
            <w:tcW w:type="dxa" w:w="3000"/>
            <w:vAlign w:val="center"/>
            <w:tcMar>
              <w:top w:w="80" w:type="dxa"/>
              <w:start w:w="120" w:type="dxa"/>
              <w:bottom w:w="80" w:type="dxa"/>
              <w:end w:w="120" w:type="dxa"/>
            </w:tcMar>
            <w:shd w:fill="FFFFFF"/>
          </w:tcPr>
          <w:p>
            <w:pPr>
              <w:spacing w:after="20"/>
            </w:pPr>
            <w:r>
              <w:rPr>
                <w:rFonts w:ascii="Calibri" w:hAnsi="Calibri"/>
                <w:sz w:val="16"/>
              </w:rPr>
              <w:t>Browser network access can reach sensitive destinations</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Network Security</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F-008</w:t>
            </w:r>
          </w:p>
        </w:tc>
        <w:tc>
          <w:tcPr>
            <w:tcW w:type="dxa" w:w="3000"/>
            <w:vAlign w:val="center"/>
            <w:tcMar>
              <w:top w:w="80" w:type="dxa"/>
              <w:start w:w="120" w:type="dxa"/>
              <w:bottom w:w="80" w:type="dxa"/>
              <w:end w:w="120" w:type="dxa"/>
            </w:tcMar>
            <w:shd w:fill="F2F4F7"/>
          </w:tcPr>
          <w:p>
            <w:pPr>
              <w:spacing w:after="20"/>
            </w:pPr>
            <w:r>
              <w:rPr>
                <w:rFonts w:ascii="Calibri" w:hAnsi="Calibri"/>
                <w:sz w:val="16"/>
              </w:rPr>
              <w:t>Script and file tools can alter systems or evidence</w:t>
            </w:r>
          </w:p>
        </w:tc>
        <w:tc>
          <w:tcPr>
            <w:tcW w:type="dxa" w:w="14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AI Security</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F-009</w:t>
            </w:r>
          </w:p>
        </w:tc>
        <w:tc>
          <w:tcPr>
            <w:tcW w:type="dxa" w:w="3000"/>
            <w:vAlign w:val="center"/>
            <w:tcMar>
              <w:top w:w="80" w:type="dxa"/>
              <w:start w:w="120" w:type="dxa"/>
              <w:bottom w:w="80" w:type="dxa"/>
              <w:end w:w="120" w:type="dxa"/>
            </w:tcMar>
            <w:shd w:fill="FFFFFF"/>
          </w:tcPr>
          <w:p>
            <w:pPr>
              <w:spacing w:after="20"/>
            </w:pPr>
            <w:r>
              <w:rPr>
                <w:rFonts w:ascii="Calibri" w:hAnsi="Calibri"/>
                <w:sz w:val="16"/>
              </w:rPr>
              <w:t>Bundled Agent Skills expand the instruction supply chain</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AI Governance</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F-010</w:t>
            </w:r>
          </w:p>
        </w:tc>
        <w:tc>
          <w:tcPr>
            <w:tcW w:type="dxa" w:w="3000"/>
            <w:vAlign w:val="center"/>
            <w:tcMar>
              <w:top w:w="80" w:type="dxa"/>
              <w:start w:w="120" w:type="dxa"/>
              <w:bottom w:w="80" w:type="dxa"/>
              <w:end w:w="120" w:type="dxa"/>
            </w:tcMar>
            <w:shd w:fill="F2F4F7"/>
          </w:tcPr>
          <w:p>
            <w:pPr>
              <w:spacing w:after="20"/>
            </w:pPr>
            <w:r>
              <w:rPr>
                <w:rFonts w:ascii="Calibri" w:hAnsi="Calibri"/>
                <w:sz w:val="16"/>
              </w:rPr>
              <w:t>Cross-IDE lifecycle and control parity are unverified</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Endpoint Engineering</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F-011</w:t>
            </w:r>
          </w:p>
        </w:tc>
        <w:tc>
          <w:tcPr>
            <w:tcW w:type="dxa" w:w="3000"/>
            <w:vAlign w:val="center"/>
            <w:tcMar>
              <w:top w:w="80" w:type="dxa"/>
              <w:start w:w="120" w:type="dxa"/>
              <w:bottom w:w="80" w:type="dxa"/>
              <w:end w:w="120" w:type="dxa"/>
            </w:tcMar>
            <w:shd w:fill="FFFFFF"/>
          </w:tcPr>
          <w:p>
            <w:pPr>
              <w:spacing w:after="20"/>
            </w:pPr>
            <w:r>
              <w:rPr>
                <w:rFonts w:ascii="Calibri" w:hAnsi="Calibri"/>
                <w:sz w:val="16"/>
              </w:rPr>
              <w:t>Representative runtime evidence is absent</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Security Testing</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approval</w:t>
            </w:r>
          </w:p>
        </w:tc>
      </w:tr>
    </w:tbl>
    <w:p/>
    <w:p>
      <w:pPr>
        <w:pStyle w:val="Heading1"/>
      </w:pPr>
      <w:r>
        <w:t>Residual Risk and Approval Recommendation</w:t>
      </w:r>
    </w:p>
    <w:p>
      <w:pPr>
        <w:widowControl/>
      </w:pPr>
      <w:r>
        <w:t>DEFER PENDING EVIDENCE for internal-confidential use in both IDEs. Permit only a short, isolated evaluation with synthetic sites and identities after mandatory controls are evidenced. Production profiles, credentials, internal applications, customer data, unattended automation, persistent approval and mutable @latest installation are prohibited. Residual risk remains High until representative runtime, privacy, lifecycle and monitoring evidence is accepted by accountable owners.</w:t>
      </w:r>
    </w:p>
    <w:p>
      <w:pPr>
        <w:pStyle w:val="Heading1"/>
      </w:pPr>
      <w:r>
        <w:t>Limitations and Confidence Levels</w:t>
      </w:r>
    </w:p>
    <w:p>
      <w:pPr>
        <w:widowControl/>
      </w:pPr>
      <w:r>
        <w:t>The original 15 July 2026 report bytes were not available. Historical task records preserve its scope, six-skill coverage, 11 findings, 20-page visual QA result and conditional decision. This v1.1 report is a fresh authoritative regeneration, not a byte-identical revision. No package, Chrome, skill script or MCP process was executed. Activation, payloads, browser arguments, telemetry, failure handling, updates and uninstall residue remain Unknown. These gaps are not treated as passed controls.</w:t>
      </w:r>
    </w:p>
    <w:p>
      <w:pPr>
        <w:pStyle w:val="Heading1"/>
      </w:pPr>
      <w:r>
        <w:t>Evidence Register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Evidence ID</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2500"/>
            <w:vAlign w:val="center"/>
            <w:tcMar>
              <w:top w:w="80" w:type="dxa"/>
              <w:start w:w="120" w:type="dxa"/>
              <w:bottom w:w="80" w:type="dxa"/>
              <w:end w:w="120" w:type="dxa"/>
            </w:tcMar>
            <w:shd w:fill="17365D"/>
          </w:tcPr>
          <w:p>
            <w:pPr>
              <w:spacing w:after="20"/>
            </w:pPr>
            <w:r>
              <w:rPr>
                <w:rFonts w:ascii="Calibri" w:hAnsi="Calibri"/>
                <w:b/>
                <w:color w:val="FFFFFF"/>
                <w:sz w:val="16"/>
              </w:rPr>
              <w:t>State</w:t>
            </w:r>
          </w:p>
        </w:tc>
        <w:tc>
          <w:tcPr>
            <w:tcW w:type="dxa" w:w="2460"/>
            <w:vAlign w:val="center"/>
            <w:tcMar>
              <w:top w:w="80" w:type="dxa"/>
              <w:start w:w="120" w:type="dxa"/>
              <w:bottom w:w="80" w:type="dxa"/>
              <w:end w:w="120" w:type="dxa"/>
            </w:tcMar>
            <w:shd w:fill="17365D"/>
          </w:tcPr>
          <w:p>
            <w:pPr>
              <w:spacing w:after="20"/>
            </w:pPr>
            <w:r>
              <w:rPr>
                <w:rFonts w:ascii="Calibri" w:hAnsi="Calibri"/>
                <w:b/>
                <w:color w:val="FFFFFF"/>
                <w:sz w:val="16"/>
              </w:rPr>
              <w:t>Retention</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EVD-001</w:t>
            </w:r>
          </w:p>
        </w:tc>
        <w:tc>
          <w:tcPr>
            <w:tcW w:type="dxa" w:w="2900"/>
            <w:vAlign w:val="center"/>
            <w:tcMar>
              <w:top w:w="80" w:type="dxa"/>
              <w:start w:w="120" w:type="dxa"/>
              <w:bottom w:w="80" w:type="dxa"/>
              <w:end w:w="120" w:type="dxa"/>
            </w:tcMar>
            <w:shd w:fill="FFFFFF"/>
          </w:tcPr>
          <w:p>
            <w:pPr>
              <w:spacing w:after="20"/>
            </w:pPr>
            <w:r>
              <w:rPr>
                <w:rFonts w:ascii="Calibri" w:hAnsi="Calibri"/>
                <w:sz w:val="16"/>
              </w:rPr>
              <w:t>npm metadata for 1.6.0</w:t>
            </w:r>
          </w:p>
        </w:tc>
        <w:tc>
          <w:tcPr>
            <w:tcW w:type="dxa" w:w="2500"/>
            <w:vAlign w:val="center"/>
            <w:tcMar>
              <w:top w:w="80" w:type="dxa"/>
              <w:start w:w="120" w:type="dxa"/>
              <w:bottom w:w="80" w:type="dxa"/>
              <w:end w:w="120" w:type="dxa"/>
            </w:tcMar>
            <w:shd w:fill="FFFFFF"/>
          </w:tcPr>
          <w:p>
            <w:pPr>
              <w:spacing w:after="20"/>
            </w:pPr>
            <w:r>
              <w:rPr>
                <w:rFonts w:ascii="Calibri" w:hAnsi="Calibri"/>
                <w:sz w:val="16"/>
              </w:rPr>
              <w:t>Current verified metadata</w:t>
            </w:r>
          </w:p>
        </w:tc>
        <w:tc>
          <w:tcPr>
            <w:tcW w:type="dxa" w:w="2460"/>
            <w:vAlign w:val="center"/>
            <w:tcMar>
              <w:top w:w="80" w:type="dxa"/>
              <w:start w:w="120" w:type="dxa"/>
              <w:bottom w:w="80" w:type="dxa"/>
              <w:end w:w="120" w:type="dxa"/>
            </w:tcMar>
            <w:shd w:fill="FFFFFF"/>
          </w:tcPr>
          <w:p>
            <w:pPr>
              <w:spacing w:after="20"/>
            </w:pPr>
            <w:r>
              <w:rPr>
                <w:rFonts w:ascii="Calibri" w:hAnsi="Calibri"/>
                <w:sz w:val="16"/>
              </w:rPr>
              <w:t>JSON retained</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EVD-002</w:t>
            </w:r>
          </w:p>
        </w:tc>
        <w:tc>
          <w:tcPr>
            <w:tcW w:type="dxa" w:w="2900"/>
            <w:vAlign w:val="center"/>
            <w:tcMar>
              <w:top w:w="80" w:type="dxa"/>
              <w:start w:w="120" w:type="dxa"/>
              <w:bottom w:w="80" w:type="dxa"/>
              <w:end w:w="120" w:type="dxa"/>
            </w:tcMar>
            <w:shd w:fill="F2F4F7"/>
          </w:tcPr>
          <w:p>
            <w:pPr>
              <w:spacing w:after="20"/>
            </w:pPr>
            <w:r>
              <w:rPr>
                <w:rFonts w:ascii="Calibri" w:hAnsi="Calibri"/>
                <w:sz w:val="16"/>
              </w:rPr>
              <w:t>Exact npm tarball</w:t>
            </w:r>
          </w:p>
        </w:tc>
        <w:tc>
          <w:tcPr>
            <w:tcW w:type="dxa" w:w="2500"/>
            <w:vAlign w:val="center"/>
            <w:tcMar>
              <w:top w:w="80" w:type="dxa"/>
              <w:start w:w="120" w:type="dxa"/>
              <w:bottom w:w="80" w:type="dxa"/>
              <w:end w:w="120" w:type="dxa"/>
            </w:tcMar>
            <w:shd w:fill="F2F4F7"/>
          </w:tcPr>
          <w:p>
            <w:pPr>
              <w:spacing w:after="20"/>
            </w:pPr>
            <w:r>
              <w:rPr>
                <w:rFonts w:ascii="Calibri" w:hAnsi="Calibri"/>
                <w:sz w:val="16"/>
              </w:rPr>
              <w:t>Historical SHA-256 reproduced</w:t>
            </w:r>
          </w:p>
        </w:tc>
        <w:tc>
          <w:tcPr>
            <w:tcW w:type="dxa" w:w="2460"/>
            <w:vAlign w:val="center"/>
            <w:tcMar>
              <w:top w:w="80" w:type="dxa"/>
              <w:start w:w="120" w:type="dxa"/>
              <w:bottom w:w="80" w:type="dxa"/>
              <w:end w:w="120" w:type="dxa"/>
            </w:tcMar>
            <w:shd w:fill="F2F4F7"/>
          </w:tcPr>
          <w:p>
            <w:pPr>
              <w:spacing w:after="20"/>
            </w:pPr>
            <w:r>
              <w:rPr>
                <w:rFonts w:ascii="Calibri" w:hAnsi="Calibri"/>
                <w:sz w:val="16"/>
              </w:rPr>
              <w:t>Tarball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EVD-003</w:t>
            </w:r>
          </w:p>
        </w:tc>
        <w:tc>
          <w:tcPr>
            <w:tcW w:type="dxa" w:w="2900"/>
            <w:vAlign w:val="center"/>
            <w:tcMar>
              <w:top w:w="80" w:type="dxa"/>
              <w:start w:w="120" w:type="dxa"/>
              <w:bottom w:w="80" w:type="dxa"/>
              <w:end w:w="120" w:type="dxa"/>
            </w:tcMar>
            <w:shd w:fill="FFFFFF"/>
          </w:tcPr>
          <w:p>
            <w:pPr>
              <w:spacing w:after="20"/>
            </w:pPr>
            <w:r>
              <w:rPr>
                <w:rFonts w:ascii="Calibri" w:hAnsi="Calibri"/>
                <w:sz w:val="16"/>
              </w:rPr>
              <w:t>Package file inventory</w:t>
            </w:r>
          </w:p>
        </w:tc>
        <w:tc>
          <w:tcPr>
            <w:tcW w:type="dxa" w:w="2500"/>
            <w:vAlign w:val="center"/>
            <w:tcMar>
              <w:top w:w="80" w:type="dxa"/>
              <w:start w:w="120" w:type="dxa"/>
              <w:bottom w:w="80" w:type="dxa"/>
              <w:end w:w="120" w:type="dxa"/>
            </w:tcMar>
            <w:shd w:fill="FFFFFF"/>
          </w:tcPr>
          <w:p>
            <w:pPr>
              <w:spacing w:after="20"/>
            </w:pPr>
            <w:r>
              <w:rPr>
                <w:rFonts w:ascii="Calibri" w:hAnsi="Calibri"/>
                <w:sz w:val="16"/>
              </w:rPr>
              <w:t>Current verified static evidence</w:t>
            </w:r>
          </w:p>
        </w:tc>
        <w:tc>
          <w:tcPr>
            <w:tcW w:type="dxa" w:w="2460"/>
            <w:vAlign w:val="center"/>
            <w:tcMar>
              <w:top w:w="80" w:type="dxa"/>
              <w:start w:w="120" w:type="dxa"/>
              <w:bottom w:w="80" w:type="dxa"/>
              <w:end w:w="120" w:type="dxa"/>
            </w:tcMar>
            <w:shd w:fill="FFFFFF"/>
          </w:tcPr>
          <w:p>
            <w:pPr>
              <w:spacing w:after="20"/>
            </w:pPr>
            <w:r>
              <w:rPr>
                <w:rFonts w:ascii="Calibri" w:hAnsi="Calibri"/>
                <w:sz w:val="16"/>
              </w:rPr>
              <w:t>Inventory retained</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EVD-004</w:t>
            </w:r>
          </w:p>
        </w:tc>
        <w:tc>
          <w:tcPr>
            <w:tcW w:type="dxa" w:w="2900"/>
            <w:vAlign w:val="center"/>
            <w:tcMar>
              <w:top w:w="80" w:type="dxa"/>
              <w:start w:w="120" w:type="dxa"/>
              <w:bottom w:w="80" w:type="dxa"/>
              <w:end w:w="120" w:type="dxa"/>
            </w:tcMar>
            <w:shd w:fill="F2F4F7"/>
          </w:tcPr>
          <w:p>
            <w:pPr>
              <w:spacing w:after="20"/>
            </w:pPr>
            <w:r>
              <w:rPr>
                <w:rFonts w:ascii="Calibri" w:hAnsi="Calibri"/>
                <w:sz w:val="16"/>
              </w:rPr>
              <w:t>Per-file SHA-256 manifest</w:t>
            </w:r>
          </w:p>
        </w:tc>
        <w:tc>
          <w:tcPr>
            <w:tcW w:type="dxa" w:w="2500"/>
            <w:vAlign w:val="center"/>
            <w:tcMar>
              <w:top w:w="80" w:type="dxa"/>
              <w:start w:w="120" w:type="dxa"/>
              <w:bottom w:w="80" w:type="dxa"/>
              <w:end w:w="120" w:type="dxa"/>
            </w:tcMar>
            <w:shd w:fill="F2F4F7"/>
          </w:tcPr>
          <w:p>
            <w:pPr>
              <w:spacing w:after="20"/>
            </w:pPr>
            <w:r>
              <w:rPr>
                <w:rFonts w:ascii="Calibri" w:hAnsi="Calibri"/>
                <w:sz w:val="16"/>
              </w:rPr>
              <w:t>Current verified static evidence</w:t>
            </w:r>
          </w:p>
        </w:tc>
        <w:tc>
          <w:tcPr>
            <w:tcW w:type="dxa" w:w="2460"/>
            <w:vAlign w:val="center"/>
            <w:tcMar>
              <w:top w:w="80" w:type="dxa"/>
              <w:start w:w="120" w:type="dxa"/>
              <w:bottom w:w="80" w:type="dxa"/>
              <w:end w:w="120" w:type="dxa"/>
            </w:tcMar>
            <w:shd w:fill="F2F4F7"/>
          </w:tcPr>
          <w:p>
            <w:pPr>
              <w:spacing w:after="20"/>
            </w:pPr>
            <w:r>
              <w:rPr>
                <w:rFonts w:ascii="Calibri" w:hAnsi="Calibri"/>
                <w:sz w:val="16"/>
              </w:rPr>
              <w:t>Manifest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EVD-005</w:t>
            </w:r>
          </w:p>
        </w:tc>
        <w:tc>
          <w:tcPr>
            <w:tcW w:type="dxa" w:w="2900"/>
            <w:vAlign w:val="center"/>
            <w:tcMar>
              <w:top w:w="80" w:type="dxa"/>
              <w:start w:w="120" w:type="dxa"/>
              <w:bottom w:w="80" w:type="dxa"/>
              <w:end w:w="120" w:type="dxa"/>
            </w:tcMar>
            <w:shd w:fill="FFFFFF"/>
          </w:tcPr>
          <w:p>
            <w:pPr>
              <w:spacing w:after="20"/>
            </w:pPr>
            <w:r>
              <w:rPr>
                <w:rFonts w:ascii="Calibri" w:hAnsi="Calibri"/>
                <w:sz w:val="16"/>
              </w:rPr>
              <w:t>Six bundled Agent Skills</w:t>
            </w:r>
          </w:p>
        </w:tc>
        <w:tc>
          <w:tcPr>
            <w:tcW w:type="dxa" w:w="2500"/>
            <w:vAlign w:val="center"/>
            <w:tcMar>
              <w:top w:w="80" w:type="dxa"/>
              <w:start w:w="120" w:type="dxa"/>
              <w:bottom w:w="80" w:type="dxa"/>
              <w:end w:w="120" w:type="dxa"/>
            </w:tcMar>
            <w:shd w:fill="FFFFFF"/>
          </w:tcPr>
          <w:p>
            <w:pPr>
              <w:spacing w:after="20"/>
            </w:pPr>
            <w:r>
              <w:rPr>
                <w:rFonts w:ascii="Calibri" w:hAnsi="Calibri"/>
                <w:sz w:val="16"/>
              </w:rPr>
              <w:t>Current verified package evidence</w:t>
            </w:r>
          </w:p>
        </w:tc>
        <w:tc>
          <w:tcPr>
            <w:tcW w:type="dxa" w:w="2460"/>
            <w:vAlign w:val="center"/>
            <w:tcMar>
              <w:top w:w="80" w:type="dxa"/>
              <w:start w:w="120" w:type="dxa"/>
              <w:bottom w:w="80" w:type="dxa"/>
              <w:end w:w="120" w:type="dxa"/>
            </w:tcMar>
            <w:shd w:fill="FFFFFF"/>
          </w:tcPr>
          <w:p>
            <w:pPr>
              <w:spacing w:after="20"/>
            </w:pPr>
            <w:r>
              <w:rPr>
                <w:rFonts w:ascii="Calibri" w:hAnsi="Calibri"/>
                <w:sz w:val="16"/>
              </w:rPr>
              <w:t>Package retained</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EVD-006</w:t>
            </w:r>
          </w:p>
        </w:tc>
        <w:tc>
          <w:tcPr>
            <w:tcW w:type="dxa" w:w="2900"/>
            <w:vAlign w:val="center"/>
            <w:tcMar>
              <w:top w:w="80" w:type="dxa"/>
              <w:start w:w="120" w:type="dxa"/>
              <w:bottom w:w="80" w:type="dxa"/>
              <w:end w:w="120" w:type="dxa"/>
            </w:tcMar>
            <w:shd w:fill="F2F4F7"/>
          </w:tcPr>
          <w:p>
            <w:pPr>
              <w:spacing w:after="20"/>
            </w:pPr>
            <w:r>
              <w:rPr>
                <w:rFonts w:ascii="Calibri" w:hAnsi="Calibri"/>
                <w:sz w:val="16"/>
              </w:rPr>
              <w:t>Representative runtime</w:t>
            </w:r>
          </w:p>
        </w:tc>
        <w:tc>
          <w:tcPr>
            <w:tcW w:type="dxa" w:w="2500"/>
            <w:vAlign w:val="center"/>
            <w:tcMar>
              <w:top w:w="80" w:type="dxa"/>
              <w:start w:w="120" w:type="dxa"/>
              <w:bottom w:w="80" w:type="dxa"/>
              <w:end w:w="120" w:type="dxa"/>
            </w:tcMar>
            <w:shd w:fill="F2F4F7"/>
          </w:tcPr>
          <w:p>
            <w:pPr>
              <w:spacing w:after="20"/>
            </w:pPr>
            <w:r>
              <w:rPr>
                <w:rFonts w:ascii="Calibri" w:hAnsi="Calibri"/>
                <w:sz w:val="16"/>
              </w:rPr>
              <w:t>Blocked / not observed</w:t>
            </w:r>
          </w:p>
        </w:tc>
        <w:tc>
          <w:tcPr>
            <w:tcW w:type="dxa" w:w="2460"/>
            <w:vAlign w:val="center"/>
            <w:tcMar>
              <w:top w:w="80" w:type="dxa"/>
              <w:start w:w="120" w:type="dxa"/>
              <w:bottom w:w="80" w:type="dxa"/>
              <w:end w:w="120" w:type="dxa"/>
            </w:tcMar>
            <w:shd w:fill="F2F4F7"/>
          </w:tcPr>
          <w:p>
            <w:pPr>
              <w:spacing w:after="20"/>
            </w:pPr>
            <w:r>
              <w:rPr>
                <w:rFonts w:ascii="Calibri" w:hAnsi="Calibri"/>
                <w:sz w:val="16"/>
              </w:rPr>
              <w:t>Verification plan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EVD-007</w:t>
            </w:r>
          </w:p>
        </w:tc>
        <w:tc>
          <w:tcPr>
            <w:tcW w:type="dxa" w:w="2900"/>
            <w:vAlign w:val="center"/>
            <w:tcMar>
              <w:top w:w="80" w:type="dxa"/>
              <w:start w:w="120" w:type="dxa"/>
              <w:bottom w:w="80" w:type="dxa"/>
              <w:end w:w="120" w:type="dxa"/>
            </w:tcMar>
            <w:shd w:fill="FFFFFF"/>
          </w:tcPr>
          <w:p>
            <w:pPr>
              <w:spacing w:after="20"/>
            </w:pPr>
            <w:r>
              <w:rPr>
                <w:rFonts w:ascii="Calibri" w:hAnsi="Calibri"/>
                <w:sz w:val="16"/>
              </w:rPr>
              <w:t>Historical report</w:t>
            </w:r>
          </w:p>
        </w:tc>
        <w:tc>
          <w:tcPr>
            <w:tcW w:type="dxa" w:w="2500"/>
            <w:vAlign w:val="center"/>
            <w:tcMar>
              <w:top w:w="80" w:type="dxa"/>
              <w:start w:w="120" w:type="dxa"/>
              <w:bottom w:w="80" w:type="dxa"/>
              <w:end w:w="120" w:type="dxa"/>
            </w:tcMar>
            <w:shd w:fill="FFFFFF"/>
          </w:tcPr>
          <w:p>
            <w:pPr>
              <w:spacing w:after="20"/>
            </w:pPr>
            <w:r>
              <w:rPr>
                <w:rFonts w:ascii="Calibri" w:hAnsi="Calibri"/>
                <w:sz w:val="16"/>
              </w:rPr>
              <w:t>Missing</w:t>
            </w:r>
          </w:p>
        </w:tc>
        <w:tc>
          <w:tcPr>
            <w:tcW w:type="dxa" w:w="2460"/>
            <w:vAlign w:val="center"/>
            <w:tcMar>
              <w:top w:w="80" w:type="dxa"/>
              <w:start w:w="120" w:type="dxa"/>
              <w:bottom w:w="80" w:type="dxa"/>
              <w:end w:w="120" w:type="dxa"/>
            </w:tcMar>
            <w:shd w:fill="FFFFFF"/>
          </w:tcPr>
          <w:p>
            <w:pPr>
              <w:spacing w:after="20"/>
            </w:pPr>
            <w:r>
              <w:rPr>
                <w:rFonts w:ascii="Calibri" w:hAnsi="Calibri"/>
                <w:sz w:val="16"/>
              </w:rPr>
              <w:t>Task-record provenance retained</w:t>
            </w:r>
          </w:p>
        </w:tc>
      </w:tr>
    </w:tbl>
    <w:p/>
    <w:p>
      <w:pPr>
        <w:pStyle w:val="Heading1"/>
      </w:pPr>
      <w:r>
        <w:t>References</w:t>
      </w:r>
    </w:p>
    <w:p>
      <w:bookmarkStart w:id="5001" w:name="REF_001"/>
      <w:bookmarkEnd w:id="5001"/>
      <w:r>
        <w:t xml:space="preserve">REF-001 - Chrome DevTools MCP source repository. Google ChromeDevTools. </w:t>
      </w:r>
      <w:hyperlink r:id="rId12">
        <w:r>
          <w:rPr>
            <w:color w:val="0563C1"/>
            <w:u w:val="single"/>
          </w:rPr>
          <w:t>Open primary source</w:t>
        </w:r>
      </w:hyperlink>
      <w:r>
        <w:t xml:space="preserve"> Accessed 25 July 2026.</w:t>
      </w:r>
    </w:p>
    <w:p>
      <w:bookmarkStart w:id="5002" w:name="REF_002"/>
      <w:bookmarkEnd w:id="5002"/>
      <w:r>
        <w:t xml:space="preserve">REF-002 - chrome-devtools-mcp 1.6.0. npm. </w:t>
      </w:r>
      <w:hyperlink r:id="rId13">
        <w:r>
          <w:rPr>
            <w:color w:val="0563C1"/>
            <w:u w:val="single"/>
          </w:rPr>
          <w:t>Open primary source</w:t>
        </w:r>
      </w:hyperlink>
      <w:r>
        <w:t xml:space="preserve"> Accessed 25 July 2026.</w:t>
      </w:r>
    </w:p>
    <w:p>
      <w:bookmarkStart w:id="5003" w:name="REF_003"/>
      <w:bookmarkEnd w:id="5003"/>
      <w:r>
        <w:t xml:space="preserve">REF-003 - Chrome DevTools MCP README. Google ChromeDevTools. </w:t>
      </w:r>
      <w:hyperlink r:id="rId14">
        <w:r>
          <w:rPr>
            <w:color w:val="0563C1"/>
            <w:u w:val="single"/>
          </w:rPr>
          <w:t>Open primary source</w:t>
        </w:r>
      </w:hyperlink>
      <w:r>
        <w:t xml:space="preserve"> Accessed 25 July 2026.</w:t>
      </w:r>
    </w:p>
    <w:p>
      <w:bookmarkStart w:id="5004" w:name="REF_004"/>
      <w:bookmarkEnd w:id="5004"/>
      <w:r>
        <w:t xml:space="preserve">REF-004 - Chrome remote debugging security change. Chrome for Developers. </w:t>
      </w:r>
      <w:hyperlink r:id="rId15">
        <w:r>
          <w:rPr>
            <w:color w:val="0563C1"/>
            <w:u w:val="single"/>
          </w:rPr>
          <w:t>Open primary source</w:t>
        </w:r>
      </w:hyperlink>
      <w:r>
        <w:t xml:space="preserve"> Accessed 25 July 2026.</w:t>
      </w:r>
    </w:p>
    <w:p>
      <w:bookmarkStart w:id="5005" w:name="REF_005"/>
      <w:bookmarkEnd w:id="5005"/>
      <w:r>
        <w:t xml:space="preserve">REF-005 - Google Privacy Policy. Google. </w:t>
      </w:r>
      <w:hyperlink r:id="rId16">
        <w:r>
          <w:rPr>
            <w:color w:val="0563C1"/>
            <w:u w:val="single"/>
          </w:rPr>
          <w:t>Open primary source</w:t>
        </w:r>
      </w:hyperlink>
      <w:r>
        <w:t xml:space="preserve"> Accessed 25 July 2026.</w:t>
      </w:r>
    </w:p>
    <w:p>
      <w:bookmarkStart w:id="5006" w:name="REF_006"/>
      <w:bookmarkEnd w:id="5006"/>
      <w:r>
        <w:t xml:space="preserve">REF-006 - Chrome DevTools Protocol. ChromeDevTools. </w:t>
      </w:r>
      <w:hyperlink r:id="rId17">
        <w:r>
          <w:rPr>
            <w:color w:val="0563C1"/>
            <w:u w:val="single"/>
          </w:rPr>
          <w:t>Open primary source</w:t>
        </w:r>
      </w:hyperlink>
      <w:r>
        <w:t xml:space="preserve"> Accessed 25 July 2026.</w:t>
      </w:r>
    </w:p>
    <w:p>
      <w:bookmarkStart w:id="5007" w:name="REF_007"/>
      <w:bookmarkEnd w:id="5007"/>
      <w:r>
        <w:t xml:space="preserve">REF-007 - Model Context Protocol specification. Linux Foundation. </w:t>
      </w:r>
      <w:hyperlink r:id="rId18">
        <w:r>
          <w:rPr>
            <w:color w:val="0563C1"/>
            <w:u w:val="single"/>
          </w:rPr>
          <w:t>Open primary source</w:t>
        </w:r>
      </w:hyperlink>
      <w:r>
        <w:t xml:space="preserve"> Accessed 25 July 2026.</w:t>
      </w:r>
    </w:p>
    <w:p>
      <w:bookmarkStart w:id="5008" w:name="REF_008"/>
      <w:bookmarkEnd w:id="5008"/>
      <w:r>
        <w:t xml:space="preserve">REF-008 - VS Code MCP servers. Microsoft. </w:t>
      </w:r>
      <w:hyperlink r:id="rId19">
        <w:r>
          <w:rPr>
            <w:color w:val="0563C1"/>
            <w:u w:val="single"/>
          </w:rPr>
          <w:t>Open primary source</w:t>
        </w:r>
      </w:hyperlink>
      <w:r>
        <w:t xml:space="preserve"> Accessed 25 July 2026.</w:t>
      </w:r>
    </w:p>
    <w:p>
      <w:bookmarkStart w:id="5009" w:name="REF_009"/>
      <w:bookmarkEnd w:id="5009"/>
      <w:r>
        <w:t xml:space="preserve">REF-009 - Visual Studio MCP servers. Microsoft. </w:t>
      </w:r>
      <w:hyperlink r:id="rId20">
        <w:r>
          <w:rPr>
            <w:color w:val="0563C1"/>
            <w:u w:val="single"/>
          </w:rPr>
          <w:t>Open primary source</w:t>
        </w:r>
      </w:hyperlink>
      <w:r>
        <w:t xml:space="preserve"> Accessed 25 July 2026.</w:t>
      </w:r>
    </w:p>
    <w:p>
      <w:bookmarkStart w:id="5010" w:name="REF_010"/>
      <w:bookmarkEnd w:id="5010"/>
      <w:r>
        <w:t xml:space="preserve">REF-010 - OWASP Top 10 for LLM Applications 2025. OWASP. </w:t>
      </w:r>
      <w:hyperlink r:id="rId21">
        <w:r>
          <w:rPr>
            <w:color w:val="0563C1"/>
            <w:u w:val="single"/>
          </w:rPr>
          <w:t>Open primary source</w:t>
        </w:r>
      </w:hyperlink>
      <w:r>
        <w:t xml:space="preserve"> Accessed 25 July 2026.</w:t>
      </w:r>
    </w:p>
    <w:p>
      <w:bookmarkStart w:id="5011" w:name="REF_011"/>
      <w:bookmarkEnd w:id="5011"/>
      <w:r>
        <w:t xml:space="preserve">REF-011 - OWASP Top 10 for Agentic Applications 2026. OWASP. </w:t>
      </w:r>
      <w:hyperlink r:id="rId22">
        <w:r>
          <w:rPr>
            <w:color w:val="0563C1"/>
            <w:u w:val="single"/>
          </w:rPr>
          <w:t>Open primary source</w:t>
        </w:r>
      </w:hyperlink>
      <w:r>
        <w:t xml:space="preserve"> Accessed 25 July 2026.</w:t>
      </w:r>
    </w:p>
    <w:p>
      <w:bookmarkStart w:id="5012" w:name="REF_012"/>
      <w:bookmarkEnd w:id="5012"/>
      <w:r>
        <w:t xml:space="preserve">REF-012 - OWASP MCP Top 10. OWASP. </w:t>
      </w:r>
      <w:hyperlink r:id="rId23">
        <w:r>
          <w:rPr>
            <w:color w:val="0563C1"/>
            <w:u w:val="single"/>
          </w:rPr>
          <w:t>Open primary source</w:t>
        </w:r>
      </w:hyperlink>
      <w:r>
        <w:t xml:space="preserve"> Accessed 25 July 2026.</w:t>
      </w:r>
    </w:p>
    <w:p>
      <w:bookmarkStart w:id="5013" w:name="REF_013"/>
      <w:bookmarkEnd w:id="5013"/>
      <w:r>
        <w:t xml:space="preserve">REF-013 - OWASP ASVS 5.0.0. OWASP. </w:t>
      </w:r>
      <w:hyperlink r:id="rId24">
        <w:r>
          <w:rPr>
            <w:color w:val="0563C1"/>
            <w:u w:val="single"/>
          </w:rPr>
          <w:t>Open primary source</w:t>
        </w:r>
      </w:hyperlink>
      <w:r>
        <w:t xml:space="preserve"> Accessed 25 July 2026.</w:t>
      </w:r>
    </w:p>
    <w:p>
      <w:bookmarkStart w:id="5014" w:name="REF_014"/>
      <w:bookmarkEnd w:id="5014"/>
      <w:r>
        <w:t xml:space="preserve">REF-014 - NIST AI Risk Management Framework. NIST. </w:t>
      </w:r>
      <w:hyperlink r:id="rId25">
        <w:r>
          <w:rPr>
            <w:color w:val="0563C1"/>
            <w:u w:val="single"/>
          </w:rPr>
          <w:t>Open primary source</w:t>
        </w:r>
      </w:hyperlink>
      <w:r>
        <w:t xml:space="preserve"> Accessed 25 July 2026.</w:t>
      </w:r>
    </w:p>
    <w:p>
      <w:bookmarkStart w:id="5015" w:name="REF_015"/>
      <w:bookmarkEnd w:id="5015"/>
      <w:r>
        <w:t xml:space="preserve">REF-015 - NIST AI 600-1 Generative AI Profile. NIST. </w:t>
      </w:r>
      <w:hyperlink r:id="rId26">
        <w:r>
          <w:rPr>
            <w:color w:val="0563C1"/>
            <w:u w:val="single"/>
          </w:rPr>
          <w:t>Open primary source</w:t>
        </w:r>
      </w:hyperlink>
      <w:r>
        <w:t xml:space="preserve"> Accessed 25 July 2026.</w:t>
      </w:r>
    </w:p>
    <w:p>
      <w:bookmarkStart w:id="5016" w:name="REF_016"/>
      <w:bookmarkEnd w:id="5016"/>
      <w:r>
        <w:t xml:space="preserve">REF-016 - NCSC secure AI system development. UK NCSC. </w:t>
      </w:r>
      <w:hyperlink r:id="rId27">
        <w:r>
          <w:rPr>
            <w:color w:val="0563C1"/>
            <w:u w:val="single"/>
          </w:rPr>
          <w:t>Open primary source</w:t>
        </w:r>
      </w:hyperlink>
      <w:r>
        <w:t xml:space="preserve"> Accessed 25 July 2026.</w:t>
      </w:r>
    </w:p>
    <w:p>
      <w:bookmarkStart w:id="5017" w:name="REF_017"/>
      <w:bookmarkEnd w:id="5017"/>
      <w:r>
        <w:t xml:space="preserve">REF-017 - ICO AI and data-protection guidance. ICO. </w:t>
      </w:r>
      <w:hyperlink r:id="rId28">
        <w:r>
          <w:rPr>
            <w:color w:val="0563C1"/>
            <w:u w:val="single"/>
          </w:rPr>
          <w:t>Open primary source</w:t>
        </w:r>
      </w:hyperlink>
      <w:r>
        <w:t xml:space="preserve"> Accessed 25 July 2026.</w:t>
      </w:r>
    </w:p>
    <w:p>
      <w:bookmarkStart w:id="5018" w:name="REF_018"/>
      <w:bookmarkEnd w:id="5018"/>
      <w:r>
        <w:t xml:space="preserve">REF-018 - FCA operational resilience. FCA. </w:t>
      </w:r>
      <w:hyperlink r:id="rId29">
        <w:r>
          <w:rPr>
            <w:color w:val="0563C1"/>
            <w:u w:val="single"/>
          </w:rPr>
          <w:t>Open primary source</w:t>
        </w:r>
      </w:hyperlink>
      <w:r>
        <w:t xml:space="preserve"> Accessed 25 July 2026.</w:t>
      </w:r>
    </w:p>
    <w:p>
      <w:bookmarkStart w:id="5019" w:name="REF_019"/>
      <w:bookmarkEnd w:id="5019"/>
      <w:r>
        <w:t xml:space="preserve">REF-019 - PRA SS2/21 third-party risk. PRA. </w:t>
      </w:r>
      <w:hyperlink r:id="rId30">
        <w:r>
          <w:rPr>
            <w:color w:val="0563C1"/>
            <w:u w:val="single"/>
          </w:rPr>
          <w:t>Open primary source</w:t>
        </w:r>
      </w:hyperlink>
      <w:r>
        <w:t xml:space="preserve"> Accessed 25 July 2026.</w:t>
      </w:r>
    </w:p>
    <w:p>
      <w:pPr>
        <w:pStyle w:val="Heading1"/>
      </w:pPr>
      <w:r>
        <w:t>Appendices</w:t>
      </w:r>
    </w:p>
    <w:p>
      <w:pPr>
        <w:pStyle w:val="Heading2"/>
      </w:pPr>
      <w:r>
        <w:t>Appendix A - Host Verification Procedure</w:t>
      </w:r>
    </w:p>
    <w:p>
      <w:pPr>
        <w:widowControl/>
      </w:pPr>
      <w:r>
        <w:t>Provision disposable Windows 11 VS Code and Visual Studio hosts and a disposable macOS VS Code host; use a synthetic website and dedicated Chrome identity; baseline configuration, processes, files, profile, network, logs and tool schemas; pin the exact package and tool list; disable usage statistics; exercise benign and adversarial workflows; capture process, network and artefact deltas; test injection canaries, denied destinations, schema drift, failure behaviour, update and uninstall; destroy task data and hosts; retain sanitised evidence and hashes.</w:t>
      </w:r>
    </w:p>
    <w:p>
      <w:pPr>
        <w:pStyle w:val="Heading2"/>
      </w:pPr>
      <w:r>
        <w:t>Appendix B - Secure Configuration Baseline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Setting</w:t>
            </w:r>
          </w:p>
        </w:tc>
        <w:tc>
          <w:tcPr>
            <w:tcW w:type="dxa" w:w="3500"/>
            <w:vAlign w:val="center"/>
            <w:tcMar>
              <w:top w:w="80" w:type="dxa"/>
              <w:start w:w="120" w:type="dxa"/>
              <w:bottom w:w="80" w:type="dxa"/>
              <w:end w:w="120" w:type="dxa"/>
            </w:tcMar>
            <w:shd w:fill="17365D"/>
          </w:tcPr>
          <w:p>
            <w:pPr>
              <w:spacing w:after="20"/>
            </w:pPr>
            <w:r>
              <w:rPr>
                <w:rFonts w:ascii="Calibri" w:hAnsi="Calibri"/>
                <w:b/>
                <w:color w:val="FFFFFF"/>
                <w:sz w:val="16"/>
              </w:rPr>
              <w:t>Required value</w:t>
            </w:r>
          </w:p>
        </w:tc>
        <w:tc>
          <w:tcPr>
            <w:tcW w:type="dxa" w:w="3460"/>
            <w:vAlign w:val="center"/>
            <w:tcMar>
              <w:top w:w="80" w:type="dxa"/>
              <w:start w:w="120" w:type="dxa"/>
              <w:bottom w:w="80" w:type="dxa"/>
              <w:end w:w="120" w:type="dxa"/>
            </w:tcMar>
            <w:shd w:fill="17365D"/>
          </w:tcPr>
          <w:p>
            <w:pPr>
              <w:spacing w:after="20"/>
            </w:pPr>
            <w:r>
              <w:rPr>
                <w:rFonts w:ascii="Calibri" w:hAnsi="Calibri"/>
                <w:b/>
                <w:color w:val="FFFFFF"/>
                <w:sz w:val="16"/>
              </w:rPr>
              <w:t>Failure behavior</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Package</w:t>
            </w:r>
          </w:p>
        </w:tc>
        <w:tc>
          <w:tcPr>
            <w:tcW w:type="dxa" w:w="3500"/>
            <w:vAlign w:val="center"/>
            <w:tcMar>
              <w:top w:w="80" w:type="dxa"/>
              <w:start w:w="120" w:type="dxa"/>
              <w:bottom w:w="80" w:type="dxa"/>
              <w:end w:w="120" w:type="dxa"/>
            </w:tcMar>
            <w:shd w:fill="FFFFFF"/>
          </w:tcPr>
          <w:p>
            <w:pPr>
              <w:spacing w:after="20"/>
            </w:pPr>
            <w:r>
              <w:rPr>
                <w:rFonts w:ascii="Calibri" w:hAnsi="Calibri"/>
                <w:sz w:val="16"/>
              </w:rPr>
              <w:t>Exact 1.6.0 tarball and SHA-256</w:t>
            </w:r>
          </w:p>
        </w:tc>
        <w:tc>
          <w:tcPr>
            <w:tcW w:type="dxa" w:w="3460"/>
            <w:vAlign w:val="center"/>
            <w:tcMar>
              <w:top w:w="80" w:type="dxa"/>
              <w:start w:w="120" w:type="dxa"/>
              <w:bottom w:w="80" w:type="dxa"/>
              <w:end w:w="120" w:type="dxa"/>
            </w:tcMar>
            <w:shd w:fill="FFFFFF"/>
          </w:tcPr>
          <w:p>
            <w:pPr>
              <w:spacing w:after="20"/>
            </w:pPr>
            <w:r>
              <w:rPr>
                <w:rFonts w:ascii="Calibri" w:hAnsi="Calibri"/>
                <w:sz w:val="16"/>
              </w:rPr>
              <w:t>Do not start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Profile</w:t>
            </w:r>
          </w:p>
        </w:tc>
        <w:tc>
          <w:tcPr>
            <w:tcW w:type="dxa" w:w="3500"/>
            <w:vAlign w:val="center"/>
            <w:tcMar>
              <w:top w:w="80" w:type="dxa"/>
              <w:start w:w="120" w:type="dxa"/>
              <w:bottom w:w="80" w:type="dxa"/>
              <w:end w:w="120" w:type="dxa"/>
            </w:tcMar>
            <w:shd w:fill="F2F4F7"/>
          </w:tcPr>
          <w:p>
            <w:pPr>
              <w:spacing w:after="20"/>
            </w:pPr>
            <w:r>
              <w:rPr>
                <w:rFonts w:ascii="Calibri" w:hAnsi="Calibri"/>
                <w:sz w:val="16"/>
              </w:rPr>
              <w:t>--isolated and disposable identity</w:t>
            </w:r>
          </w:p>
        </w:tc>
        <w:tc>
          <w:tcPr>
            <w:tcW w:type="dxa" w:w="3460"/>
            <w:vAlign w:val="center"/>
            <w:tcMar>
              <w:top w:w="80" w:type="dxa"/>
              <w:start w:w="120" w:type="dxa"/>
              <w:bottom w:w="80" w:type="dxa"/>
              <w:end w:w="120" w:type="dxa"/>
            </w:tcMar>
            <w:shd w:fill="F2F4F7"/>
          </w:tcPr>
          <w:p>
            <w:pPr>
              <w:spacing w:after="20"/>
            </w:pPr>
            <w:r>
              <w:rPr>
                <w:rFonts w:ascii="Calibri" w:hAnsi="Calibri"/>
                <w:sz w:val="16"/>
              </w:rPr>
              <w:t>Do not attach</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Tool filter</w:t>
            </w:r>
          </w:p>
        </w:tc>
        <w:tc>
          <w:tcPr>
            <w:tcW w:type="dxa" w:w="3500"/>
            <w:vAlign w:val="center"/>
            <w:tcMar>
              <w:top w:w="80" w:type="dxa"/>
              <w:start w:w="120" w:type="dxa"/>
              <w:bottom w:w="80" w:type="dxa"/>
              <w:end w:w="120" w:type="dxa"/>
            </w:tcMar>
            <w:shd w:fill="FFFFFF"/>
          </w:tcPr>
          <w:p>
            <w:pPr>
              <w:spacing w:after="20"/>
            </w:pPr>
            <w:r>
              <w:rPr>
                <w:rFonts w:ascii="Calibri" w:hAnsi="Calibri"/>
                <w:sz w:val="16"/>
              </w:rPr>
              <w:t>Exact approved MCP tools</w:t>
            </w:r>
          </w:p>
        </w:tc>
        <w:tc>
          <w:tcPr>
            <w:tcW w:type="dxa" w:w="3460"/>
            <w:vAlign w:val="center"/>
            <w:tcMar>
              <w:top w:w="80" w:type="dxa"/>
              <w:start w:w="120" w:type="dxa"/>
              <w:bottom w:w="80" w:type="dxa"/>
              <w:end w:w="120" w:type="dxa"/>
            </w:tcMar>
            <w:shd w:fill="FFFFFF"/>
          </w:tcPr>
          <w:p>
            <w:pPr>
              <w:spacing w:after="20"/>
            </w:pPr>
            <w:r>
              <w:rPr>
                <w:rFonts w:ascii="Calibri" w:hAnsi="Calibri"/>
                <w:sz w:val="16"/>
              </w:rPr>
              <w:t>No tools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Network</w:t>
            </w:r>
          </w:p>
        </w:tc>
        <w:tc>
          <w:tcPr>
            <w:tcW w:type="dxa" w:w="3500"/>
            <w:vAlign w:val="center"/>
            <w:tcMar>
              <w:top w:w="80" w:type="dxa"/>
              <w:start w:w="120" w:type="dxa"/>
              <w:bottom w:w="80" w:type="dxa"/>
              <w:end w:w="120" w:type="dxa"/>
            </w:tcMar>
            <w:shd w:fill="F2F4F7"/>
          </w:tcPr>
          <w:p>
            <w:pPr>
              <w:spacing w:after="20"/>
            </w:pPr>
            <w:r>
              <w:rPr>
                <w:rFonts w:ascii="Calibri" w:hAnsi="Calibri"/>
                <w:sz w:val="16"/>
              </w:rPr>
              <w:t>Synthetic destinations only</w:t>
            </w:r>
          </w:p>
        </w:tc>
        <w:tc>
          <w:tcPr>
            <w:tcW w:type="dxa" w:w="3460"/>
            <w:vAlign w:val="center"/>
            <w:tcMar>
              <w:top w:w="80" w:type="dxa"/>
              <w:start w:w="120" w:type="dxa"/>
              <w:bottom w:w="80" w:type="dxa"/>
              <w:end w:w="120" w:type="dxa"/>
            </w:tcMar>
            <w:shd w:fill="F2F4F7"/>
          </w:tcPr>
          <w:p>
            <w:pPr>
              <w:spacing w:after="20"/>
            </w:pPr>
            <w:r>
              <w:rPr>
                <w:rFonts w:ascii="Calibri" w:hAnsi="Calibri"/>
                <w:sz w:val="16"/>
              </w:rPr>
              <w:t>Request denied</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Approval</w:t>
            </w:r>
          </w:p>
        </w:tc>
        <w:tc>
          <w:tcPr>
            <w:tcW w:type="dxa" w:w="3500"/>
            <w:vAlign w:val="center"/>
            <w:tcMar>
              <w:top w:w="80" w:type="dxa"/>
              <w:start w:w="120" w:type="dxa"/>
              <w:bottom w:w="80" w:type="dxa"/>
              <w:end w:w="120" w:type="dxa"/>
            </w:tcMar>
            <w:shd w:fill="FFFFFF"/>
          </w:tcPr>
          <w:p>
            <w:pPr>
              <w:spacing w:after="20"/>
            </w:pPr>
            <w:r>
              <w:rPr>
                <w:rFonts w:ascii="Calibri" w:hAnsi="Calibri"/>
                <w:sz w:val="16"/>
              </w:rPr>
              <w:t>Per invocation for material actions</w:t>
            </w:r>
          </w:p>
        </w:tc>
        <w:tc>
          <w:tcPr>
            <w:tcW w:type="dxa" w:w="3460"/>
            <w:vAlign w:val="center"/>
            <w:tcMar>
              <w:top w:w="80" w:type="dxa"/>
              <w:start w:w="120" w:type="dxa"/>
              <w:bottom w:w="80" w:type="dxa"/>
              <w:end w:w="120" w:type="dxa"/>
            </w:tcMar>
            <w:shd w:fill="FFFFFF"/>
          </w:tcPr>
          <w:p>
            <w:pPr>
              <w:spacing w:after="20"/>
            </w:pPr>
            <w:r>
              <w:rPr>
                <w:rFonts w:ascii="Calibri" w:hAnsi="Calibri"/>
                <w:sz w:val="16"/>
              </w:rPr>
              <w:t>Action denied</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Data</w:t>
            </w:r>
          </w:p>
        </w:tc>
        <w:tc>
          <w:tcPr>
            <w:tcW w:type="dxa" w:w="3500"/>
            <w:vAlign w:val="center"/>
            <w:tcMar>
              <w:top w:w="80" w:type="dxa"/>
              <w:start w:w="120" w:type="dxa"/>
              <w:bottom w:w="80" w:type="dxa"/>
              <w:end w:w="120" w:type="dxa"/>
            </w:tcMar>
            <w:shd w:fill="F2F4F7"/>
          </w:tcPr>
          <w:p>
            <w:pPr>
              <w:spacing w:after="20"/>
            </w:pPr>
            <w:r>
              <w:rPr>
                <w:rFonts w:ascii="Calibri" w:hAnsi="Calibri"/>
                <w:sz w:val="16"/>
              </w:rPr>
              <w:t>Synthetic/non-sensitive</w:t>
            </w:r>
          </w:p>
        </w:tc>
        <w:tc>
          <w:tcPr>
            <w:tcW w:type="dxa" w:w="3460"/>
            <w:vAlign w:val="center"/>
            <w:tcMar>
              <w:top w:w="80" w:type="dxa"/>
              <w:start w:w="120" w:type="dxa"/>
              <w:bottom w:w="80" w:type="dxa"/>
              <w:end w:w="120" w:type="dxa"/>
            </w:tcMar>
            <w:shd w:fill="F2F4F7"/>
          </w:tcPr>
          <w:p>
            <w:pPr>
              <w:spacing w:after="20"/>
            </w:pPr>
            <w:r>
              <w:rPr>
                <w:rFonts w:ascii="Calibri" w:hAnsi="Calibri"/>
                <w:sz w:val="16"/>
              </w:rPr>
              <w:t>Payload blocked</w:t>
            </w:r>
          </w:p>
        </w:tc>
      </w:tr>
    </w:tbl>
    <w:p/>
    <w:p>
      <w:pPr>
        <w:pStyle w:val="Heading2"/>
      </w:pPr>
      <w:r>
        <w:t>Appendix C - Evidence-State Definitions</w:t>
      </w:r>
    </w:p>
    <w:p>
      <w:pPr>
        <w:widowControl/>
      </w:pPr>
      <w:r>
        <w:t>Verified means directly supported by retained evidence. Inferred means a reasoned conclusion from verified evidence. Not observed means the selected observation did not occur. Not applicable means the control or surface does not apply to the assessed installation. Unknown means evidence was unavailable. Blocked means the analysis was selected but prerequisites were absent. These labels prevent missing public evidence from being represented as absence.</w:t>
      </w:r>
    </w:p>
    <w:p>
      <w:pPr>
        <w:pStyle w:val="Heading1"/>
      </w:pPr>
      <w:r>
        <w:t>Glossary</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Term</w:t>
            </w:r>
          </w:p>
        </w:tc>
        <w:tc>
          <w:tcPr>
            <w:tcW w:type="dxa" w:w="7160"/>
            <w:vAlign w:val="center"/>
            <w:tcMar>
              <w:top w:w="80" w:type="dxa"/>
              <w:start w:w="120" w:type="dxa"/>
              <w:bottom w:w="80" w:type="dxa"/>
              <w:end w:w="120" w:type="dxa"/>
            </w:tcMar>
            <w:shd w:fill="17365D"/>
          </w:tcPr>
          <w:p>
            <w:pPr>
              <w:spacing w:after="20"/>
            </w:pPr>
            <w:r>
              <w:rPr>
                <w:rFonts w:ascii="Calibri" w:hAnsi="Calibri"/>
                <w:b/>
                <w:color w:val="FFFFFF"/>
                <w:sz w:val="16"/>
              </w:rPr>
              <w:t>Meaning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MCP</w:t>
            </w:r>
          </w:p>
        </w:tc>
        <w:tc>
          <w:tcPr>
            <w:tcW w:type="dxa" w:w="7160"/>
            <w:vAlign w:val="center"/>
            <w:tcMar>
              <w:top w:w="80" w:type="dxa"/>
              <w:start w:w="120" w:type="dxa"/>
              <w:bottom w:w="80" w:type="dxa"/>
              <w:end w:w="120" w:type="dxa"/>
            </w:tcMar>
            <w:shd w:fill="FFFFFF"/>
          </w:tcPr>
          <w:p>
            <w:pPr>
              <w:spacing w:after="20"/>
            </w:pPr>
            <w:r>
              <w:rPr>
                <w:rFonts w:ascii="Calibri" w:hAnsi="Calibri"/>
                <w:sz w:val="16"/>
              </w:rPr>
              <w:t>Model Context Protocol</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CDP</w:t>
            </w:r>
          </w:p>
        </w:tc>
        <w:tc>
          <w:tcPr>
            <w:tcW w:type="dxa" w:w="7160"/>
            <w:vAlign w:val="center"/>
            <w:tcMar>
              <w:top w:w="80" w:type="dxa"/>
              <w:start w:w="120" w:type="dxa"/>
              <w:bottom w:w="80" w:type="dxa"/>
              <w:end w:w="120" w:type="dxa"/>
            </w:tcMar>
            <w:shd w:fill="F2F4F7"/>
          </w:tcPr>
          <w:p>
            <w:pPr>
              <w:spacing w:after="20"/>
            </w:pPr>
            <w:r>
              <w:rPr>
                <w:rFonts w:ascii="Calibri" w:hAnsi="Calibri"/>
                <w:sz w:val="16"/>
              </w:rPr>
              <w:t>Chrome DevTools Protocol</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Tool allowlist</w:t>
            </w:r>
          </w:p>
        </w:tc>
        <w:tc>
          <w:tcPr>
            <w:tcW w:type="dxa" w:w="7160"/>
            <w:vAlign w:val="center"/>
            <w:tcMar>
              <w:top w:w="80" w:type="dxa"/>
              <w:start w:w="120" w:type="dxa"/>
              <w:bottom w:w="80" w:type="dxa"/>
              <w:end w:w="120" w:type="dxa"/>
            </w:tcMar>
            <w:shd w:fill="FFFFFF"/>
          </w:tcPr>
          <w:p>
            <w:pPr>
              <w:spacing w:after="20"/>
            </w:pPr>
            <w:r>
              <w:rPr>
                <w:rFonts w:ascii="Calibri" w:hAnsi="Calibri"/>
                <w:sz w:val="16"/>
              </w:rPr>
              <w:t>Exact approved MCP tool names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Prompt injection</w:t>
            </w:r>
          </w:p>
        </w:tc>
        <w:tc>
          <w:tcPr>
            <w:tcW w:type="dxa" w:w="7160"/>
            <w:vAlign w:val="center"/>
            <w:tcMar>
              <w:top w:w="80" w:type="dxa"/>
              <w:start w:w="120" w:type="dxa"/>
              <w:bottom w:w="80" w:type="dxa"/>
              <w:end w:w="120" w:type="dxa"/>
            </w:tcMar>
            <w:shd w:fill="F2F4F7"/>
          </w:tcPr>
          <w:p>
            <w:pPr>
              <w:spacing w:after="20"/>
            </w:pPr>
            <w:r>
              <w:rPr>
                <w:rFonts w:ascii="Calibri" w:hAnsi="Calibri"/>
                <w:sz w:val="16"/>
              </w:rPr>
              <w:t>Untrusted content that attempts to redirect model or agent behavior</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Control strength</w:t>
            </w:r>
          </w:p>
        </w:tc>
        <w:tc>
          <w:tcPr>
            <w:tcW w:type="dxa" w:w="7160"/>
            <w:vAlign w:val="center"/>
            <w:tcMar>
              <w:top w:w="80" w:type="dxa"/>
              <w:start w:w="120" w:type="dxa"/>
              <w:bottom w:w="80" w:type="dxa"/>
              <w:end w:w="120" w:type="dxa"/>
            </w:tcMar>
            <w:shd w:fill="FFFFFF"/>
          </w:tcPr>
          <w:p>
            <w:pPr>
              <w:spacing w:after="20"/>
            </w:pPr>
            <w:r>
              <w:rPr>
                <w:rFonts w:ascii="Calibri" w:hAnsi="Calibri"/>
                <w:sz w:val="16"/>
              </w:rPr>
              <w:t>Assurance based on enforcement and verification, not intent</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Residual risk</w:t>
            </w:r>
          </w:p>
        </w:tc>
        <w:tc>
          <w:tcPr>
            <w:tcW w:type="dxa" w:w="7160"/>
            <w:vAlign w:val="center"/>
            <w:tcMar>
              <w:top w:w="80" w:type="dxa"/>
              <w:start w:w="120" w:type="dxa"/>
              <w:bottom w:w="80" w:type="dxa"/>
              <w:end w:w="120" w:type="dxa"/>
            </w:tcMar>
            <w:shd w:fill="F2F4F7"/>
          </w:tcPr>
          <w:p>
            <w:pPr>
              <w:spacing w:after="20"/>
            </w:pPr>
            <w:r>
              <w:rPr>
                <w:rFonts w:ascii="Calibri" w:hAnsi="Calibri"/>
                <w:sz w:val="16"/>
              </w:rPr>
              <w:t>Risk remaining after crediting verified controls</w:t>
            </w:r>
          </w:p>
        </w:tc>
      </w:tr>
    </w:tbl>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Assessment Automation  |  25 July 2026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  CHROME DEVTOOLS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ChromeDevTools/chrome-devtools-mcp" TargetMode="External"/><Relationship Id="rId13" Type="http://schemas.openxmlformats.org/officeDocument/2006/relationships/hyperlink" Target="https://www.npmjs.com/package/chrome-devtools-mcp/v/1.6.0" TargetMode="External"/><Relationship Id="rId14" Type="http://schemas.openxmlformats.org/officeDocument/2006/relationships/hyperlink" Target="https://github.com/ChromeDevTools/chrome-devtools-mcp/blob/main/README.md" TargetMode="External"/><Relationship Id="rId15" Type="http://schemas.openxmlformats.org/officeDocument/2006/relationships/hyperlink" Target="https://developer.chrome.com/blog/remote-debugging-port" TargetMode="External"/><Relationship Id="rId16" Type="http://schemas.openxmlformats.org/officeDocument/2006/relationships/hyperlink" Target="https://policies.google.com/privacy" TargetMode="External"/><Relationship Id="rId17" Type="http://schemas.openxmlformats.org/officeDocument/2006/relationships/hyperlink" Target="https://chromedevtools.github.io/devtools-protocol/" TargetMode="External"/><Relationship Id="rId18" Type="http://schemas.openxmlformats.org/officeDocument/2006/relationships/hyperlink" Target="https://modelcontextprotocol.io/specification/" TargetMode="External"/><Relationship Id="rId19" Type="http://schemas.openxmlformats.org/officeDocument/2006/relationships/hyperlink" Target="https://code.visualstudio.com/docs/agent-customization/mcp-servers" TargetMode="External"/><Relationship Id="rId20" Type="http://schemas.openxmlformats.org/officeDocument/2006/relationships/hyperlink" Target="https://learn.microsoft.com/en-us/visualstudio/ide/mcp-servers?view=visualstudio" TargetMode="External"/><Relationship Id="rId21" Type="http://schemas.openxmlformats.org/officeDocument/2006/relationships/hyperlink" Target="https://genai.owasp.org/resource/owasp-top-10-for-llm-applications-2025/" TargetMode="External"/><Relationship Id="rId22" Type="http://schemas.openxmlformats.org/officeDocument/2006/relationships/hyperlink" Target="https://genai.owasp.org/resource/owasp-top-10-for-agentic-applications-for-2026/" TargetMode="External"/><Relationship Id="rId23" Type="http://schemas.openxmlformats.org/officeDocument/2006/relationships/hyperlink" Target="https://owasp.org/www-project-mcp-top-10/" TargetMode="External"/><Relationship Id="rId24" Type="http://schemas.openxmlformats.org/officeDocument/2006/relationships/hyperlink" Target="https://owasp.org/www-project-application-security-verification-standard/"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doi.org/10.6028/NIST.AI.600-1" TargetMode="External"/><Relationship Id="rId27" Type="http://schemas.openxmlformats.org/officeDocument/2006/relationships/hyperlink" Target="https://www.ncsc.gov.uk/collection/guidelines-secure-ai-system-development" TargetMode="External"/><Relationship Id="rId28" Type="http://schemas.openxmlformats.org/officeDocument/2006/relationships/hyperlink" Target="https://ico.org.uk/for-organisations/uk-gdpr-guidance-and-resources/artificial-intelligence/" TargetMode="External"/><Relationship Id="rId29" Type="http://schemas.openxmlformats.org/officeDocument/2006/relationships/hyperlink" Target="https://www.fca.org.uk/firms/operational-resilience" TargetMode="External"/><Relationship Id="rId30" Type="http://schemas.openxmlformats.org/officeDocument/2006/relationships/hyperlink" Target="https://www.bankofengland.co.uk/prudential-regulation/publication/2021/march/outsourcing-and-third-party-risk-management-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Chrome DevTools MCP Security Assessment</dc:title>
  <dc:subject>VS Code and Visual Studio security assessment</dc:subject>
  <dc:creator/>
  <cp:keywords>MCP, Chrome browser and DevTools, VS Code, Visual Studio, UK financial services</cp:keywords>
  <dc:description>generated by python-docx</dc:description>
  <cp:lastModifiedBy/>
  <cp:revision>1</cp:revision>
  <dcterms:created xsi:type="dcterms:W3CDTF">2013-12-23T23:15:00Z</dcterms:created>
  <dcterms:modified xsi:type="dcterms:W3CDTF">2013-12-23T23:15:00Z</dcterms:modified>
  <cp:category/>
</cp:coreProperties>
</file>