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Dynatrace Hosted MCP Server</w:t>
      </w:r>
    </w:p>
    <w:p>
      <w:pPr>
        <w:pStyle w:val="Subtitle"/>
        <w:jc w:val="center"/>
      </w:pPr>
      <w:r>
        <w:t>VS Code and Visual Studio | UK Insurance | Current GA Service</w:t>
      </w:r>
    </w:p>
    <w:p>
      <w:pPr>
        <w:jc w:val="center"/>
      </w:pPr>
      <w:r>
        <w:rPr>
          <w:rFonts w:ascii="Calibri" w:hAnsi="Calibri"/>
          <w:b/>
          <w:color w:val="1F4E79"/>
          <w:sz w:val="24"/>
        </w:rPr>
        <w:t>Microsoft IDE AI Integration Security Assessment</w:t>
      </w:r>
    </w:p>
    <w:p/>
    <w:p>
      <w:pPr>
        <w:spacing w:after="60"/>
        <w:jc w:val="center"/>
      </w:pPr>
      <w:r>
        <w:rPr>
          <w:rFonts w:ascii="Calibri" w:hAnsi="Calibri"/>
          <w:b/>
          <w:color w:val="1F4E79"/>
          <w:sz w:val="18"/>
        </w:rPr>
        <w:t xml:space="preserve">Decision: </w:t>
      </w:r>
      <w:r>
        <w:rPr>
          <w:rFonts w:ascii="Calibri" w:hAnsi="Calibri"/>
          <w:sz w:val="18"/>
        </w:rPr>
        <w:t>Approve with conditions - read-only pilot only</w:t>
      </w:r>
    </w:p>
    <w:p>
      <w:pPr>
        <w:spacing w:after="60"/>
        <w:jc w:val="center"/>
      </w:pPr>
      <w:r>
        <w:rPr>
          <w:rFonts w:ascii="Calibri" w:hAnsi="Calibri"/>
          <w:b/>
          <w:color w:val="1F4E79"/>
          <w:sz w:val="18"/>
        </w:rPr>
        <w:t xml:space="preserve">Overall residual risk: </w:t>
      </w:r>
      <w:r>
        <w:rPr>
          <w:rFonts w:ascii="Calibri" w:hAnsi="Calibri"/>
          <w:sz w:val="18"/>
        </w:rPr>
        <w:t>High until conditions are verified; Moderate target</w:t>
      </w:r>
    </w:p>
    <w:p>
      <w:pPr>
        <w:spacing w:after="60"/>
        <w:jc w:val="center"/>
      </w:pPr>
      <w:r>
        <w:rPr>
          <w:rFonts w:ascii="Calibri" w:hAnsi="Calibri"/>
          <w:b/>
          <w:color w:val="1F4E79"/>
          <w:sz w:val="18"/>
        </w:rPr>
        <w:t xml:space="preserve">Assessment date: </w:t>
      </w:r>
      <w:r>
        <w:rPr>
          <w:rFonts w:ascii="Calibri" w:hAnsi="Calibri"/>
          <w:sz w:val="18"/>
        </w:rPr>
        <w:t>25 July 2026</w:t>
      </w:r>
    </w:p>
    <w:p>
      <w:pPr>
        <w:spacing w:after="60"/>
        <w:jc w:val="center"/>
      </w:pPr>
      <w:r>
        <w:rPr>
          <w:rFonts w:ascii="Calibri" w:hAnsi="Calibri"/>
          <w:b/>
          <w:color w:val="1F4E79"/>
          <w:sz w:val="18"/>
        </w:rPr>
        <w:t xml:space="preserve">Document version: </w:t>
      </w:r>
      <w:r>
        <w:rPr>
          <w:rFonts w:ascii="Calibri" w:hAnsi="Calibri"/>
          <w:sz w:val="18"/>
        </w:rPr>
        <w:t>1.1</w:t>
      </w:r>
    </w:p>
    <w:p/>
    <w:p>
      <w:pPr>
        <w:jc w:val="center"/>
      </w:pPr>
      <w:r>
        <w:rPr>
          <w:rFonts w:ascii="Calibri" w:hAnsi="Calibri"/>
          <w:b/>
          <w:color w:val="9C0006"/>
          <w:sz w:val="18"/>
        </w:rPr>
        <w:t>PUBLIC</w:t>
      </w:r>
    </w:p>
    <w:p>
      <w:r>
        <w:br w:type="page"/>
      </w:r>
    </w:p>
    <w:p>
      <w:bookmarkStart w:id="1" w:name="DOCUMENT_CONTROL"/>
      <w:pPr>
        <w:pStyle w:val="Heading1"/>
      </w:pPr>
      <w:r>
        <w:t>Document control</w:t>
      </w:r>
      <w:bookmarkEnd w:id="1"/>
      <w:r>
        <w:t xml:space="preserve">  </w:t>
      </w:r>
      <w:hyperlink w:anchor="CONTENTS">
        <w:r>
          <w:rPr>
            <w:rStyle w:val="Hyperlink"/>
            <w:sz w:val="14"/>
          </w:rPr>
          <w:t>Back to contents</w:t>
        </w:r>
      </w:hyperlink>
    </w:p>
    <w:p>
      <w:pPr>
        <w:pStyle w:val="Caption"/>
      </w:pPr>
      <w:r>
        <w:t>Table 1. Document control</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D9EAF7"/>
            <w:tcMar>
              <w:top w:w="80" w:type="dxa"/>
              <w:start w:w="120" w:type="dxa"/>
              <w:bottom w:w="80" w:type="dxa"/>
              <w:end w:w="120" w:type="dxa"/>
            </w:tcMar>
            <w:vAlign w:val="center"/>
          </w:tcPr>
          <w:p>
            <w:pPr>
              <w:keepNext/>
            </w:pPr>
            <w:r>
              <w:rPr>
                <w:rFonts w:ascii="Calibri" w:hAnsi="Calibri"/>
                <w:b/>
                <w:color w:val="1F4E79"/>
                <w:sz w:val="17"/>
              </w:rPr>
              <w:t>Field</w:t>
            </w:r>
          </w:p>
        </w:tc>
        <w:tc>
          <w:tcPr>
            <w:tcW w:type="dxa" w:w="6960"/>
            <w:shd w:fill="D9EAF7"/>
            <w:tcMar>
              <w:top w:w="80" w:type="dxa"/>
              <w:start w:w="120" w:type="dxa"/>
              <w:bottom w:w="80" w:type="dxa"/>
              <w:end w:w="120" w:type="dxa"/>
            </w:tcMar>
            <w:vAlign w:val="center"/>
          </w:tcPr>
          <w:p>
            <w:pPr>
              <w:keepNext/>
            </w:pPr>
            <w:r>
              <w:rPr>
                <w:rFonts w:ascii="Calibri" w:hAnsi="Calibri"/>
                <w:b/>
                <w:color w:val="1F4E79"/>
                <w:sz w:val="17"/>
              </w:rPr>
              <w:t>Value</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Classification</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PUBLIC</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Authoritative version</w:t>
            </w:r>
          </w:p>
        </w:tc>
        <w:tc>
          <w:tcPr>
            <w:tcW w:type="dxa" w:w="6960"/>
            <w:tcMar>
              <w:top w:w="80" w:type="dxa"/>
              <w:start w:w="120" w:type="dxa"/>
              <w:bottom w:w="80" w:type="dxa"/>
              <w:end w:w="120" w:type="dxa"/>
            </w:tcMar>
            <w:vAlign w:val="center"/>
          </w:tcPr>
          <w:p>
            <w:r>
              <w:t>1.1</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Assessment date</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25 July 2026</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Audience</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UK insurance security, privacy, technology risk, procurement and accountable owner</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Scope</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Dynatrace-hosted remote dynatrace-mcp; current service; VS Code and Visual Studio; UK insurance; static-only</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Runtime analysis</w:t>
            </w:r>
          </w:p>
        </w:tc>
        <w:tc>
          <w:tcPr>
            <w:tcW w:type="dxa" w:w="6960"/>
            <w:tcMar>
              <w:top w:w="80" w:type="dxa"/>
              <w:start w:w="120" w:type="dxa"/>
              <w:bottom w:w="80" w:type="dxa"/>
              <w:end w:w="120" w:type="dxa"/>
            </w:tcMar>
            <w:vAlign w:val="center"/>
          </w:tcPr>
          <w:p>
            <w:r>
              <w:t>Selected; blocked or historical only as stated in the current limitations</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Malware-focused review</w:t>
            </w:r>
          </w:p>
        </w:tc>
        <w:tc>
          <w:tcPr>
            <w:tcW w:type="dxa" w:w="6960"/>
            <w:tcMar>
              <w:top w:w="80" w:type="dxa"/>
              <w:start w:w="120" w:type="dxa"/>
              <w:bottom w:w="80" w:type="dxa"/>
              <w:end w:w="120" w:type="dxa"/>
            </w:tcMar>
            <w:vAlign w:val="center"/>
          </w:tcPr>
          <w:p>
            <w:r>
              <w:t>Yes; current evidence retained with explicit scope limits</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Privacy assessment</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Yes</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7"/>
              </w:rPr>
              <w:t>Review trigger</w:t>
            </w:r>
          </w:p>
        </w:tc>
        <w:tc>
          <w:tcPr>
            <w:tcW w:type="dxa" w:w="6960"/>
            <w:tcMar>
              <w:top w:w="80" w:type="dxa"/>
              <w:start w:w="120" w:type="dxa"/>
              <w:bottom w:w="80" w:type="dxa"/>
              <w:end w:w="120" w:type="dxa"/>
            </w:tcMar>
            <w:vAlign w:val="center"/>
          </w:tcPr>
          <w:p>
            <w:pPr>
              <w:spacing w:after="20" w:line="240" w:lineRule="auto"/>
            </w:pPr>
            <w:r>
              <w:rPr>
                <w:rFonts w:ascii="Calibri" w:hAnsi="Calibri"/>
                <w:sz w:val="17"/>
              </w:rPr>
              <w:t>12 months; material tool/schema/authentication change; security advisory; production-data proposal</w:t>
            </w:r>
          </w:p>
        </w:tc>
      </w:tr>
    </w:tbl>
    <w:p>
      <w:pPr>
        <w:spacing w:after="40"/>
      </w:pPr>
    </w:p>
    <w:p>
      <w:bookmarkStart w:id="2" w:name="REVISION_HISTORY"/>
      <w:pPr>
        <w:pStyle w:val="Heading2"/>
      </w:pPr>
      <w:r>
        <w:t>Revision history</w:t>
      </w:r>
      <w:bookmarkEnd w:id="2"/>
      <w:r>
        <w:t xml:space="preserve">  </w:t>
      </w:r>
      <w:hyperlink w:anchor="CONTENTS">
        <w:r>
          <w:rPr>
            <w:rStyle w:val="Hyperlink"/>
            <w:sz w:val="14"/>
          </w:rPr>
          <w:t>Back to contents</w:t>
        </w:r>
      </w:hyperlink>
    </w:p>
    <w:p>
      <w:pPr>
        <w:pStyle w:val="Caption"/>
      </w:pPr>
      <w:r>
        <w:t>Table 2. Revision history</w:t>
      </w:r>
    </w:p>
    <w:tbl>
      <w:tblPr>
        <w:tblStyle w:val="TableGrid"/>
        <w:tblW w:type="dxa" w:w="9360"/>
        <w:jc w:val="left"/>
        <w:tblLayout w:type="fixed"/>
        <w:tblLook w:firstColumn="1" w:firstRow="1" w:lastColumn="0" w:lastRow="0" w:noHBand="0" w:noVBand="1" w:val="04A0"/>
        <w:tblInd w:w="120" w:type="dxa"/>
      </w:tblPr>
      <w:tblGrid>
        <w:gridCol w:w="1000"/>
        <w:gridCol w:w="1500"/>
        <w:gridCol w:w="4960"/>
        <w:gridCol w:w="1900"/>
      </w:tblGrid>
      <w:tr>
        <w:trPr>
          <w:tblHeader w:val="true"/>
          <w:cantSplit/>
        </w:trPr>
        <w:tc>
          <w:tcPr>
            <w:tcW w:type="dxa" w:w="1000"/>
            <w:shd w:fill="D9EAF7"/>
            <w:tcMar>
              <w:top w:w="80" w:type="dxa"/>
              <w:start w:w="120" w:type="dxa"/>
              <w:bottom w:w="80" w:type="dxa"/>
              <w:end w:w="120" w:type="dxa"/>
            </w:tcMar>
            <w:vAlign w:val="center"/>
          </w:tcPr>
          <w:p>
            <w:pPr>
              <w:keepNext/>
            </w:pPr>
            <w:r>
              <w:rPr>
                <w:rFonts w:ascii="Calibri" w:hAnsi="Calibri"/>
                <w:b/>
                <w:color w:val="1F4E79"/>
                <w:sz w:val="16"/>
              </w:rPr>
              <w:t>Version</w:t>
            </w:r>
          </w:p>
        </w:tc>
        <w:tc>
          <w:tcPr>
            <w:tcW w:type="dxa" w:w="1500"/>
            <w:shd w:fill="D9EAF7"/>
            <w:tcMar>
              <w:top w:w="80" w:type="dxa"/>
              <w:start w:w="120" w:type="dxa"/>
              <w:bottom w:w="80" w:type="dxa"/>
              <w:end w:w="120" w:type="dxa"/>
            </w:tcMar>
            <w:vAlign w:val="center"/>
          </w:tcPr>
          <w:p>
            <w:pPr>
              <w:keepNext/>
            </w:pPr>
            <w:r>
              <w:rPr>
                <w:rFonts w:ascii="Calibri" w:hAnsi="Calibri"/>
                <w:b/>
                <w:color w:val="1F4E79"/>
                <w:sz w:val="16"/>
              </w:rPr>
              <w:t>Date</w:t>
            </w:r>
          </w:p>
        </w:tc>
        <w:tc>
          <w:tcPr>
            <w:tcW w:type="dxa" w:w="4960"/>
            <w:shd w:fill="D9EAF7"/>
            <w:tcMar>
              <w:top w:w="80" w:type="dxa"/>
              <w:start w:w="120" w:type="dxa"/>
              <w:bottom w:w="80" w:type="dxa"/>
              <w:end w:w="120" w:type="dxa"/>
            </w:tcMar>
            <w:vAlign w:val="center"/>
          </w:tcPr>
          <w:p>
            <w:pPr>
              <w:keepNext/>
            </w:pPr>
            <w:r>
              <w:rPr>
                <w:rFonts w:ascii="Calibri" w:hAnsi="Calibri"/>
                <w:b/>
                <w:color w:val="1F4E79"/>
                <w:sz w:val="16"/>
              </w:rPr>
              <w:t>Change</w:t>
            </w:r>
          </w:p>
        </w:tc>
        <w:tc>
          <w:tcPr>
            <w:tcW w:type="dxa" w:w="1900"/>
            <w:shd w:fill="D9EAF7"/>
            <w:tcMar>
              <w:top w:w="80" w:type="dxa"/>
              <w:start w:w="120" w:type="dxa"/>
              <w:bottom w:w="80" w:type="dxa"/>
              <w:end w:w="120" w:type="dxa"/>
            </w:tcMar>
            <w:vAlign w:val="center"/>
          </w:tcPr>
          <w:p>
            <w:pPr>
              <w:keepNext/>
            </w:pPr>
            <w:r>
              <w:rPr>
                <w:rFonts w:ascii="Calibri" w:hAnsi="Calibri"/>
                <w:b/>
                <w:color w:val="1F4E79"/>
                <w:sz w:val="16"/>
              </w:rPr>
              <w:t>Owner</w:t>
            </w:r>
          </w:p>
        </w:tc>
      </w:tr>
      <w:tr>
        <w:trPr>
          <w:cantSplit/>
        </w:trPr>
        <w:tc>
          <w:tcPr>
            <w:tcW w:type="dxa" w:w="1000"/>
            <w:tcMar>
              <w:top w:w="80" w:type="dxa"/>
              <w:start w:w="120" w:type="dxa"/>
              <w:bottom w:w="80" w:type="dxa"/>
              <w:end w:w="120" w:type="dxa"/>
            </w:tcMar>
            <w:vAlign w:val="center"/>
          </w:tcPr>
          <w:p>
            <w:pPr>
              <w:spacing w:after="20" w:line="240" w:lineRule="auto"/>
            </w:pPr>
            <w:r>
              <w:rPr>
                <w:rFonts w:ascii="Calibri" w:hAnsi="Calibri"/>
                <w:sz w:val="16"/>
              </w:rPr>
              <w:t>1.0</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25 July 2026</w:t>
            </w:r>
          </w:p>
        </w:tc>
        <w:tc>
          <w:tcPr>
            <w:tcW w:type="dxa" w:w="4960"/>
            <w:tcMar>
              <w:top w:w="80" w:type="dxa"/>
              <w:start w:w="120" w:type="dxa"/>
              <w:bottom w:w="80" w:type="dxa"/>
              <w:end w:w="120" w:type="dxa"/>
            </w:tcMar>
            <w:vAlign w:val="center"/>
          </w:tcPr>
          <w:p>
            <w:pPr>
              <w:spacing w:after="20" w:line="240" w:lineRule="auto"/>
            </w:pPr>
            <w:r>
              <w:rPr>
                <w:rFonts w:ascii="Calibri" w:hAnsi="Calibri"/>
                <w:sz w:val="16"/>
              </w:rPr>
              <w:t>Initial static assessment</w:t>
            </w:r>
          </w:p>
        </w:tc>
        <w:tc>
          <w:tcPr>
            <w:tcW w:type="dxa" w:w="1900"/>
            <w:tcMar>
              <w:top w:w="80" w:type="dxa"/>
              <w:start w:w="120" w:type="dxa"/>
              <w:bottom w:w="80" w:type="dxa"/>
              <w:end w:w="120" w:type="dxa"/>
            </w:tcMar>
            <w:vAlign w:val="center"/>
          </w:tcPr>
          <w:p>
            <w:pPr>
              <w:spacing w:after="20" w:line="240" w:lineRule="auto"/>
            </w:pPr>
            <w:r>
              <w:rPr>
                <w:rFonts w:ascii="Calibri" w:hAnsi="Calibri"/>
                <w:sz w:val="16"/>
              </w:rPr>
              <w:t>Technology Risk</w:t>
            </w:r>
          </w:p>
        </w:tc>
      </w:tr>
    </w:tbl>
    <w:p>
      <w:pPr>
        <w:spacing w:after="40"/>
      </w:pPr>
    </w:p>
    <w:p>
      <w:bookmarkStart w:id="3" w:name="CONTENTS"/>
      <w:pPr>
        <w:pStyle w:val="Heading1"/>
        <w:pageBreakBefore w:val="0"/>
      </w:pPr>
      <w:r>
        <w:t>Contents</w:t>
      </w:r>
      <w:bookmarkEnd w:id="3"/>
    </w:p>
    <w:p>
      <w:pPr>
        <w:spacing w:after="60"/>
      </w:pPr>
      <w:hyperlink w:anchor="EXECUTIVE_SUMMARY">
        <w:r>
          <w:rPr>
            <w:rStyle w:val="Hyperlink"/>
            <w:sz w:val="20"/>
          </w:rPr>
          <w:t>Executive Summary</w:t>
        </w:r>
      </w:hyperlink>
    </w:p>
    <w:p>
      <w:pPr>
        <w:spacing w:after="60"/>
      </w:pPr>
      <w:hyperlink w:anchor="PURPOSE">
        <w:r>
          <w:rPr>
            <w:rStyle w:val="Hyperlink"/>
            <w:sz w:val="20"/>
          </w:rPr>
          <w:t>Purpose &amp; Function Overview</w:t>
        </w:r>
      </w:hyperlink>
    </w:p>
    <w:p>
      <w:pPr>
        <w:spacing w:after="60"/>
      </w:pPr>
      <w:hyperlink w:anchor="SCOPE">
        <w:r>
          <w:rPr>
            <w:rStyle w:val="Hyperlink"/>
            <w:sz w:val="20"/>
          </w:rPr>
          <w:t>Scope, Assumptions, Methodology and Criteria</w:t>
        </w:r>
      </w:hyperlink>
    </w:p>
    <w:p>
      <w:pPr>
        <w:spacing w:after="60"/>
      </w:pPr>
      <w:hyperlink w:anchor="IDENTITY">
        <w:r>
          <w:rPr>
            <w:rStyle w:val="Hyperlink"/>
            <w:sz w:val="20"/>
          </w:rPr>
          <w:t>Product Identity and Version</w:t>
        </w:r>
      </w:hyperlink>
    </w:p>
    <w:p>
      <w:pPr>
        <w:spacing w:after="60"/>
      </w:pPr>
      <w:hyperlink w:anchor="VSCODE">
        <w:r>
          <w:rPr>
            <w:rStyle w:val="Hyperlink"/>
            <w:sz w:val="20"/>
          </w:rPr>
          <w:t>Part I - VS Code Assessment</w:t>
        </w:r>
      </w:hyperlink>
    </w:p>
    <w:p>
      <w:pPr>
        <w:spacing w:after="60"/>
      </w:pPr>
      <w:hyperlink w:anchor="VISUAL_STUDIO">
        <w:r>
          <w:rPr>
            <w:rStyle w:val="Hyperlink"/>
            <w:sz w:val="20"/>
          </w:rPr>
          <w:t>Part II - Visual Studio Assessment</w:t>
        </w:r>
      </w:hyperlink>
    </w:p>
    <w:p>
      <w:pPr>
        <w:spacing w:after="60"/>
      </w:pPr>
      <w:hyperlink w:anchor="SKILLS">
        <w:r>
          <w:rPr>
            <w:rStyle w:val="Hyperlink"/>
            <w:sz w:val="20"/>
          </w:rPr>
          <w:t>Installed Agent Skills</w:t>
        </w:r>
      </w:hyperlink>
    </w:p>
    <w:p>
      <w:pPr>
        <w:spacing w:after="60"/>
      </w:pPr>
      <w:hyperlink w:anchor="CROSS_IDE">
        <w:r>
          <w:rPr>
            <w:rStyle w:val="Hyperlink"/>
            <w:sz w:val="20"/>
          </w:rPr>
          <w:t>Cross-IDE and Composition Risk</w:t>
        </w:r>
      </w:hyperlink>
    </w:p>
    <w:p>
      <w:pPr>
        <w:spacing w:after="60"/>
      </w:pPr>
      <w:hyperlink w:anchor="PRIVACY">
        <w:r>
          <w:rPr>
            <w:rStyle w:val="Hyperlink"/>
            <w:sz w:val="20"/>
          </w:rPr>
          <w:t>Privacy and UK Insurance Assessment</w:t>
        </w:r>
      </w:hyperlink>
    </w:p>
    <w:p>
      <w:pPr>
        <w:spacing w:after="60"/>
      </w:pPr>
      <w:hyperlink w:anchor="ROADMAP">
        <w:r>
          <w:rPr>
            <w:rStyle w:val="Hyperlink"/>
            <w:sz w:val="20"/>
          </w:rPr>
          <w:t>Enterprise Controls Roadmap</w:t>
        </w:r>
      </w:hyperlink>
    </w:p>
    <w:p>
      <w:pPr>
        <w:spacing w:after="60"/>
      </w:pPr>
      <w:hyperlink w:anchor="RISK_REGISTER">
        <w:r>
          <w:rPr>
            <w:rStyle w:val="Hyperlink"/>
            <w:sz w:val="20"/>
          </w:rPr>
          <w:t>Consolidated Risk Register</w:t>
        </w:r>
      </w:hyperlink>
    </w:p>
    <w:p>
      <w:pPr>
        <w:spacing w:after="60"/>
      </w:pPr>
      <w:hyperlink w:anchor="APPROVAL">
        <w:r>
          <w:rPr>
            <w:rStyle w:val="Hyperlink"/>
            <w:sz w:val="20"/>
          </w:rPr>
          <w:t>Residual Risk and Approval</w:t>
        </w:r>
      </w:hyperlink>
    </w:p>
    <w:p>
      <w:pPr>
        <w:spacing w:after="60"/>
      </w:pPr>
      <w:hyperlink w:anchor="LIMITATIONS">
        <w:r>
          <w:rPr>
            <w:rStyle w:val="Hyperlink"/>
            <w:sz w:val="20"/>
          </w:rPr>
          <w:t>Limitations and Confidence</w:t>
        </w:r>
      </w:hyperlink>
    </w:p>
    <w:p>
      <w:pPr>
        <w:spacing w:after="60"/>
      </w:pPr>
      <w:hyperlink w:anchor="EVIDENCE">
        <w:r>
          <w:rPr>
            <w:rStyle w:val="Hyperlink"/>
            <w:sz w:val="20"/>
          </w:rPr>
          <w:t>Evidence Register</w:t>
        </w:r>
      </w:hyperlink>
    </w:p>
    <w:p>
      <w:pPr>
        <w:spacing w:after="60"/>
      </w:pPr>
      <w:hyperlink w:anchor="REFERENCES">
        <w:r>
          <w:rPr>
            <w:rStyle w:val="Hyperlink"/>
            <w:sz w:val="20"/>
          </w:rPr>
          <w:t>References</w:t>
        </w:r>
      </w:hyperlink>
    </w:p>
    <w:p>
      <w:pPr>
        <w:spacing w:after="60"/>
      </w:pPr>
      <w:hyperlink w:anchor="APPENDIX">
        <w:r>
          <w:rPr>
            <w:rStyle w:val="Hyperlink"/>
            <w:sz w:val="20"/>
          </w:rPr>
          <w:t>Appendix - Host Verification Plan</w:t>
        </w:r>
      </w:hyperlink>
    </w:p>
    <w:p>
      <w:r>
        <w:br w:type="page"/>
      </w:r>
    </w:p>
    <w:p>
      <w:bookmarkStart w:id="4" w:name="EXECUTIVE_SUMMARY"/>
      <w:pPr>
        <w:pStyle w:val="Heading1"/>
      </w:pPr>
      <w:r>
        <w:t>Executive Summary</w:t>
      </w:r>
      <w:bookmarkEnd w:id="4"/>
    </w:p>
    <w:p>
      <w:pPr>
        <w:spacing w:before="80" w:after="160"/>
        <w:ind w:left="173" w:right="173"/>
        <w:shd w:fill="F2F4F7"/>
        <w:pBdr>
          <w:left w:val="single" w:sz="20" w:space="8" w:color="9C6500"/>
        </w:pBdr>
      </w:pPr>
      <w:r>
        <w:rPr>
          <w:rFonts w:ascii="Calibri" w:hAnsi="Calibri"/>
          <w:b/>
          <w:color w:val="9C6500"/>
          <w:sz w:val="21"/>
        </w:rPr>
        <w:t xml:space="preserve">Decision: </w:t>
      </w:r>
      <w:r>
        <w:rPr>
          <w:rFonts w:ascii="Calibri" w:hAnsi="Calibri"/>
          <w:sz w:val="21"/>
        </w:rPr>
        <w:t>Approve with conditions - read-only pilot only. Overall residual risk: High until conditions are verified; Moderate target.</w:t>
      </w:r>
    </w:p>
    <w:p>
      <w:pPr>
        <w:spacing w:after="160" w:line="280" w:lineRule="auto"/>
        <w:numPr>
          <w:ilvl w:val="0"/>
          <w:numId w:val="10"/>
        </w:numPr>
      </w:pPr>
      <w:r>
        <w:rPr>
          <w:rFonts w:ascii="Calibri" w:hAnsi="Calibri"/>
          <w:b/>
          <w:sz w:val="21"/>
        </w:rPr>
        <w:t xml:space="preserve">Pilot only. </w:t>
      </w:r>
      <w:r>
        <w:rPr>
          <w:rFonts w:ascii="Calibri" w:hAnsi="Calibri"/>
          <w:sz w:val="21"/>
        </w:rPr>
        <w:t>Approve with conditions for a segregated, read-only pilot using synthetic or non-personal operational data; defer production insurance-data use.</w:t>
      </w:r>
      <w:r>
        <w:t xml:space="preserve"> </w:t>
      </w:r>
      <w:hyperlink w:anchor="REF_001">
        <w:r>
          <w:rPr>
            <w:rStyle w:val="Hyperlink"/>
            <w:sz w:val="16"/>
          </w:rPr>
          <w:t>[REF-001]</w:t>
        </w:r>
      </w:hyperlink>
      <w:r>
        <w:t xml:space="preserve"> </w:t>
      </w:r>
      <w:hyperlink w:anchor="REF_002">
        <w:r>
          <w:rPr>
            <w:rStyle w:val="Hyperlink"/>
            <w:sz w:val="16"/>
          </w:rPr>
          <w:t>[REF-002]</w:t>
        </w:r>
      </w:hyperlink>
    </w:p>
    <w:p>
      <w:pPr>
        <w:spacing w:after="160" w:line="280" w:lineRule="auto"/>
        <w:numPr>
          <w:ilvl w:val="0"/>
          <w:numId w:val="10"/>
        </w:numPr>
      </w:pPr>
      <w:r>
        <w:rPr>
          <w:rFonts w:ascii="Calibri" w:hAnsi="Calibri"/>
          <w:b/>
          <w:sz w:val="21"/>
        </w:rPr>
        <w:t xml:space="preserve">No immutable version. </w:t>
      </w:r>
      <w:r>
        <w:rPr>
          <w:rFonts w:ascii="Calibri" w:hAnsi="Calibri"/>
          <w:sz w:val="21"/>
        </w:rPr>
        <w:t>The hosted service is GA, but no public semantic build, package hash, SBOM or customer-selectable release channel was found; four published tools remain Preview.</w:t>
      </w:r>
      <w:r>
        <w:t xml:space="preserve"> </w:t>
      </w:r>
      <w:hyperlink w:anchor="REF_002">
        <w:r>
          <w:rPr>
            <w:rStyle w:val="Hyperlink"/>
            <w:sz w:val="16"/>
          </w:rPr>
          <w:t>[REF-002]</w:t>
        </w:r>
      </w:hyperlink>
      <w:r>
        <w:t xml:space="preserve"> </w:t>
      </w:r>
      <w:hyperlink w:anchor="REF_003">
        <w:r>
          <w:rPr>
            <w:rStyle w:val="Hyperlink"/>
            <w:sz w:val="16"/>
          </w:rPr>
          <w:t>[REF-003]</w:t>
        </w:r>
      </w:hyperlink>
      <w:r>
        <w:t xml:space="preserve"> </w:t>
      </w:r>
      <w:hyperlink w:anchor="REF_015">
        <w:r>
          <w:rPr>
            <w:rStyle w:val="Hyperlink"/>
            <w:sz w:val="16"/>
          </w:rPr>
          <w:t>[REF-015]</w:t>
        </w:r>
      </w:hyperlink>
    </w:p>
    <w:p>
      <w:pPr>
        <w:spacing w:after="160" w:line="280" w:lineRule="auto"/>
        <w:numPr>
          <w:ilvl w:val="0"/>
          <w:numId w:val="10"/>
        </w:numPr>
      </w:pPr>
      <w:r>
        <w:rPr>
          <w:rFonts w:ascii="Calibri" w:hAnsi="Calibri"/>
          <w:b/>
          <w:sz w:val="21"/>
        </w:rPr>
        <w:t xml:space="preserve">Credentials require redesign. </w:t>
      </w:r>
      <w:r>
        <w:rPr>
          <w:rFonts w:ascii="Calibri" w:hAnsi="Calibri"/>
          <w:sz w:val="21"/>
        </w:rPr>
        <w:t>The vendor VS Code example embeds a bearer token in workspace JSON; long-lived Platform Tokens and manual refresh create material secret-exposure risk.</w:t>
      </w:r>
      <w:r>
        <w:t xml:space="preserve"> </w:t>
      </w:r>
      <w:hyperlink w:anchor="REF_001">
        <w:r>
          <w:rPr>
            <w:rStyle w:val="Hyperlink"/>
            <w:sz w:val="16"/>
          </w:rPr>
          <w:t>[REF-001]</w:t>
        </w:r>
      </w:hyperlink>
      <w:r>
        <w:t xml:space="preserve"> </w:t>
      </w:r>
      <w:hyperlink w:anchor="REF_006">
        <w:r>
          <w:rPr>
            <w:rStyle w:val="Hyperlink"/>
            <w:sz w:val="16"/>
          </w:rPr>
          <w:t>[REF-006]</w:t>
        </w:r>
      </w:hyperlink>
      <w:r>
        <w:t xml:space="preserve"> </w:t>
      </w:r>
      <w:hyperlink w:anchor="REF_007">
        <w:r>
          <w:rPr>
            <w:rStyle w:val="Hyperlink"/>
            <w:sz w:val="16"/>
          </w:rPr>
          <w:t>[REF-007]</w:t>
        </w:r>
      </w:hyperlink>
    </w:p>
    <w:p>
      <w:pPr>
        <w:spacing w:after="160" w:line="280" w:lineRule="auto"/>
        <w:numPr>
          <w:ilvl w:val="0"/>
          <w:numId w:val="10"/>
        </w:numPr>
      </w:pPr>
      <w:r>
        <w:rPr>
          <w:rFonts w:ascii="Calibri" w:hAnsi="Calibri"/>
          <w:b/>
          <w:sz w:val="21"/>
        </w:rPr>
        <w:t xml:space="preserve">Production data is high impact. </w:t>
      </w:r>
      <w:r>
        <w:rPr>
          <w:rFonts w:ascii="Calibri" w:hAnsi="Calibri"/>
          <w:sz w:val="21"/>
        </w:rPr>
        <w:t>Tool results can expose logs, traces, real-user data, vulnerabilities, documents and topology; prompt injection and over-broad DQL can propagate that data into an IDE agent.</w:t>
      </w:r>
      <w:r>
        <w:t xml:space="preserve"> </w:t>
      </w:r>
      <w:hyperlink w:anchor="REF_003">
        <w:r>
          <w:rPr>
            <w:rStyle w:val="Hyperlink"/>
            <w:sz w:val="16"/>
          </w:rPr>
          <w:t>[REF-003]</w:t>
        </w:r>
      </w:hyperlink>
      <w:r>
        <w:t xml:space="preserve"> </w:t>
      </w:r>
      <w:hyperlink w:anchor="REF_005">
        <w:r>
          <w:rPr>
            <w:rStyle w:val="Hyperlink"/>
            <w:sz w:val="16"/>
          </w:rPr>
          <w:t>[REF-005]</w:t>
        </w:r>
      </w:hyperlink>
    </w:p>
    <w:p>
      <w:pPr>
        <w:spacing w:after="160" w:line="280" w:lineRule="auto"/>
        <w:numPr>
          <w:ilvl w:val="0"/>
          <w:numId w:val="10"/>
        </w:numPr>
      </w:pPr>
      <w:r>
        <w:rPr>
          <w:rFonts w:ascii="Calibri" w:hAnsi="Calibri"/>
          <w:b/>
          <w:sz w:val="21"/>
        </w:rPr>
        <w:t xml:space="preserve">Regulated evidence is incomplete. </w:t>
      </w:r>
      <w:r>
        <w:rPr>
          <w:rFonts w:ascii="Calibri" w:hAnsi="Calibri"/>
          <w:sz w:val="21"/>
        </w:rPr>
        <w:t>Obtain MCP-specific retention, deletion, audit, subprocessor, security-advisory, SLA and Visual Studio support evidence before production approval.</w:t>
      </w:r>
      <w:r>
        <w:t xml:space="preserve"> </w:t>
      </w:r>
      <w:hyperlink w:anchor="REF_005">
        <w:r>
          <w:rPr>
            <w:rStyle w:val="Hyperlink"/>
            <w:sz w:val="16"/>
          </w:rPr>
          <w:t>[REF-005]</w:t>
        </w:r>
      </w:hyperlink>
      <w:r>
        <w:t xml:space="preserve"> </w:t>
      </w:r>
      <w:hyperlink w:anchor="REF_011">
        <w:r>
          <w:rPr>
            <w:rStyle w:val="Hyperlink"/>
            <w:sz w:val="16"/>
          </w:rPr>
          <w:t>[REF-011]</w:t>
        </w:r>
      </w:hyperlink>
      <w:r>
        <w:t xml:space="preserve"> </w:t>
      </w:r>
      <w:hyperlink w:anchor="REF_012">
        <w:r>
          <w:rPr>
            <w:rStyle w:val="Hyperlink"/>
            <w:sz w:val="16"/>
          </w:rPr>
          <w:t>[REF-012]</w:t>
        </w:r>
      </w:hyperlink>
      <w:r>
        <w:t xml:space="preserve"> </w:t>
      </w:r>
      <w:hyperlink w:anchor="REF_013">
        <w:r>
          <w:rPr>
            <w:rStyle w:val="Hyperlink"/>
            <w:sz w:val="16"/>
          </w:rPr>
          <w:t>[REF-013]</w:t>
        </w:r>
      </w:hyperlink>
    </w:p>
    <w:p>
      <w:pPr>
        <w:pStyle w:val="ListBullet"/>
      </w:pPr>
      <w:r>
        <w:t>Decision — Decision: APPROVE WITH CONDITIONS only for a time-limited, non-production, read-only pilot using synthetic or deliberately sanitised data.</w:t>
      </w:r>
    </w:p>
    <w:p>
      <w:pPr>
        <w:pStyle w:val="ListBullet"/>
      </w:pPr>
      <w:r>
        <w:t>Identity — The exact publisher artifact or hosted-service documentation is retained with cryptographic provenance.</w:t>
      </w:r>
    </w:p>
    <w:p>
      <w:pPr>
        <w:pStyle w:val="ListBullet"/>
      </w:pPr>
      <w:r>
        <w:t>Authority — Intended MCP capabilities remain security relevant even where malware and static scanners report no malicious code.</w:t>
      </w:r>
    </w:p>
    <w:p>
      <w:pPr>
        <w:pStyle w:val="ListBullet"/>
      </w:pPr>
      <w:r>
        <w:t>Runtime evidence — Blocked: no disposable representative Windows 11, macOS, Visual Studio, or Dynatrace tenant test environment and credentials were available.</w:t>
      </w:r>
    </w:p>
    <w:p>
      <w:pPr>
        <w:pStyle w:val="ListBullet"/>
      </w:pPr>
      <w:r>
        <w:t>Publication — This regenerated report is a candidate pending independent pull-request review and is not merged or approved by generation alone.</w:t>
      </w:r>
    </w:p>
    <w:p>
      <w:bookmarkStart w:id="5" w:name="PURPOSE"/>
      <w:pPr>
        <w:pStyle w:val="Heading1"/>
      </w:pPr>
      <w:r>
        <w:t>Purpose &amp; Function Overview</w:t>
      </w:r>
      <w:bookmarkEnd w:id="5"/>
      <w:r>
        <w:t xml:space="preserve">  </w:t>
      </w:r>
      <w:hyperlink w:anchor="CONTENTS">
        <w:r>
          <w:rPr>
            <w:rStyle w:val="Hyperlink"/>
            <w:sz w:val="14"/>
          </w:rPr>
          <w:t>Back to contents</w:t>
        </w:r>
      </w:hyperlink>
    </w:p>
    <w:p>
      <w:r>
        <w:rPr>
          <w:rFonts w:ascii="Calibri" w:hAnsi="Calibri"/>
          <w:sz w:val="21"/>
        </w:rPr>
        <w:t>The service exposes Dynatrace observability and Intelligence capabilities to external MCP clients. Published capabilities include DQL analysis, entity resolution, problems, vulnerability findings, Kubernetes events, forecasting, documents and help. The current list is analysis/read oriented; no published state-changing tool was observed.</w:t>
      </w:r>
      <w:r>
        <w:t xml:space="preserve"> </w:t>
      </w:r>
      <w:hyperlink w:anchor="REF_001">
        <w:r>
          <w:rPr>
            <w:rStyle w:val="Hyperlink"/>
            <w:sz w:val="16"/>
          </w:rPr>
          <w:t>[REF-001]</w:t>
        </w:r>
      </w:hyperlink>
      <w:r>
        <w:t xml:space="preserve"> </w:t>
      </w:r>
      <w:hyperlink w:anchor="REF_003">
        <w:r>
          <w:rPr>
            <w:rStyle w:val="Hyperlink"/>
            <w:sz w:val="16"/>
          </w:rPr>
          <w:t>[REF-003]</w:t>
        </w:r>
      </w:hyperlink>
    </w:p>
    <w:p>
      <w:bookmarkStart w:id="6" w:name="SCOPE"/>
      <w:pPr>
        <w:pStyle w:val="Heading1"/>
      </w:pPr>
      <w:r>
        <w:t>Scope, Assumptions, Methodology and Assessment Criteria</w:t>
      </w:r>
      <w:bookmarkEnd w:id="6"/>
      <w:r>
        <w:t xml:space="preserve">  </w:t>
      </w:r>
      <w:hyperlink w:anchor="CONTENTS">
        <w:r>
          <w:rPr>
            <w:rStyle w:val="Hyperlink"/>
            <w:sz w:val="14"/>
          </w:rPr>
          <w:t>Back to contents</w:t>
        </w:r>
      </w:hyperlink>
    </w:p>
    <w:p>
      <w:r>
        <w:rPr>
          <w:rFonts w:ascii="Calibri" w:hAnsi="Calibri"/>
          <w:sz w:val="21"/>
        </w:rPr>
        <w:t>Static assessment of current public primary evidence as at 25 July 2026. No tenant authentication, tool invocation, traffic capture, installation or execution was authorised. Evidence states are Verified, Inferred, Not observed, Not applicable and Unknown. Risk uses likelihood x impact on a 1-5 scale; 1-4 Low, 5-9 Moderate, 10-16 High and 17-25 Critical.</w:t>
      </w:r>
    </w:p>
    <w:p>
      <w:pPr>
        <w:spacing w:before="80" w:after="160"/>
        <w:ind w:left="173" w:right="173"/>
        <w:shd w:fill="F2F4F7"/>
        <w:pBdr>
          <w:left w:val="single" w:sz="20" w:space="8" w:color="9C6500"/>
        </w:pBdr>
      </w:pPr>
      <w:r>
        <w:rPr>
          <w:rFonts w:ascii="Calibri" w:hAnsi="Calibri"/>
          <w:b/>
          <w:color w:val="9C6500"/>
          <w:sz w:val="21"/>
        </w:rPr>
        <w:t xml:space="preserve">Readiness: </w:t>
      </w:r>
      <w:r>
        <w:rPr>
          <w:rFonts w:ascii="Calibri" w:hAnsi="Calibri"/>
          <w:sz w:val="21"/>
        </w:rPr>
        <w:t>Ready for static assessment and Word delivery. Partially ready for deployment approval because tenant-specific, contractual and runtime evidence is unavailable.</w:t>
      </w:r>
    </w:p>
    <w:p>
      <w:bookmarkStart w:id="7" w:name="IDENTITY"/>
      <w:pPr>
        <w:pStyle w:val="Heading1"/>
      </w:pPr>
      <w:r>
        <w:t>Product Identity and Version</w:t>
      </w:r>
      <w:bookmarkEnd w:id="7"/>
      <w:r>
        <w:t xml:space="preserve">  </w:t>
      </w:r>
      <w:hyperlink w:anchor="CONTENTS">
        <w:r>
          <w:rPr>
            <w:rStyle w:val="Hyperlink"/>
            <w:sz w:val="14"/>
          </w:rPr>
          <w:t>Back to contents</w:t>
        </w:r>
      </w:hyperlink>
    </w:p>
    <w:p>
      <w:pPr>
        <w:pStyle w:val="Caption"/>
      </w:pPr>
      <w:r>
        <w:t>Table 3. Hosted service identity</w:t>
      </w:r>
    </w:p>
    <w:tbl>
      <w:tblPr>
        <w:tblStyle w:val="TableGrid"/>
        <w:tblW w:type="dxa" w:w="9360"/>
        <w:jc w:val="left"/>
        <w:tblLayout w:type="fixed"/>
        <w:tblLook w:firstColumn="1" w:firstRow="1" w:lastColumn="0" w:lastRow="0" w:noHBand="0" w:noVBand="1" w:val="04A0"/>
        <w:tblInd w:w="120" w:type="dxa"/>
      </w:tblPr>
      <w:tblGrid>
        <w:gridCol w:w="2400"/>
        <w:gridCol w:w="6960"/>
      </w:tblGrid>
      <w:tr>
        <w:trPr>
          <w:tblHeader w:val="true"/>
          <w:cantSplit/>
        </w:trPr>
        <w:tc>
          <w:tcPr>
            <w:tcW w:type="dxa" w:w="2400"/>
            <w:shd w:fill="D9EAF7"/>
            <w:tcMar>
              <w:top w:w="80" w:type="dxa"/>
              <w:start w:w="120" w:type="dxa"/>
              <w:bottom w:w="80" w:type="dxa"/>
              <w:end w:w="120" w:type="dxa"/>
            </w:tcMar>
            <w:vAlign w:val="center"/>
          </w:tcPr>
          <w:p>
            <w:pPr>
              <w:keepNext/>
            </w:pPr>
            <w:r>
              <w:rPr>
                <w:rFonts w:ascii="Calibri" w:hAnsi="Calibri"/>
                <w:b/>
                <w:color w:val="1F4E79"/>
                <w:sz w:val="16"/>
              </w:rPr>
              <w:t>Field</w:t>
            </w:r>
          </w:p>
        </w:tc>
        <w:tc>
          <w:tcPr>
            <w:tcW w:type="dxa" w:w="6960"/>
            <w:shd w:fill="D9EAF7"/>
            <w:tcMar>
              <w:top w:w="80" w:type="dxa"/>
              <w:start w:w="120" w:type="dxa"/>
              <w:bottom w:w="80" w:type="dxa"/>
              <w:end w:w="120" w:type="dxa"/>
            </w:tcMar>
            <w:vAlign w:val="center"/>
          </w:tcPr>
          <w:p>
            <w:pPr>
              <w:keepNext/>
            </w:pPr>
            <w:r>
              <w:rPr>
                <w:rFonts w:ascii="Calibri" w:hAnsi="Calibri"/>
                <w:b/>
                <w:color w:val="1F4E79"/>
                <w:sz w:val="16"/>
              </w:rPr>
              <w:t>Assessment</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Product</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Dynatrace MCP Server / server name dynatrace-mcp</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Provider</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Dynatrace</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Delivery</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Tenant-hosted remote MCP service</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Endpoint</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https://{environment}.apps.dynatrace.com/platform-reserved/mcp-gateway/v0.1/servers/dynatrace-mcp/mcp</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Status</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Generally available; stale Preview-program listing remains; four tools are Preview</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Version</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Unknown - no public semantic service version; v0.1 is treated as route version only</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Package / hash / SBOM</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Not applicable to customer acquisition / not publicly available</w:t>
            </w:r>
          </w:p>
        </w:tc>
      </w:tr>
      <w:tr>
        <w:trPr>
          <w:cantSplit/>
        </w:trPr>
        <w:tc>
          <w:tcPr>
            <w:tcW w:type="dxa" w:w="2400"/>
            <w:tcMar>
              <w:top w:w="80" w:type="dxa"/>
              <w:start w:w="120" w:type="dxa"/>
              <w:bottom w:w="80" w:type="dxa"/>
              <w:end w:w="120" w:type="dxa"/>
            </w:tcMar>
            <w:vAlign w:val="center"/>
          </w:tcPr>
          <w:p>
            <w:pPr>
              <w:spacing w:after="20" w:line="240" w:lineRule="auto"/>
            </w:pPr>
            <w:r>
              <w:rPr>
                <w:rFonts w:ascii="Calibri" w:hAnsi="Calibri"/>
                <w:sz w:val="16"/>
              </w:rPr>
              <w:t>Support</w:t>
            </w:r>
          </w:p>
        </w:tc>
        <w:tc>
          <w:tcPr>
            <w:tcW w:type="dxa" w:w="6960"/>
            <w:tcMar>
              <w:top w:w="80" w:type="dxa"/>
              <w:start w:w="120" w:type="dxa"/>
              <w:bottom w:w="80" w:type="dxa"/>
              <w:end w:w="120" w:type="dxa"/>
            </w:tcMar>
            <w:vAlign w:val="center"/>
          </w:tcPr>
          <w:p>
            <w:pPr>
              <w:spacing w:after="20" w:line="240" w:lineRule="auto"/>
            </w:pPr>
            <w:r>
              <w:rPr>
                <w:rFonts w:ascii="Calibri" w:hAnsi="Calibri"/>
                <w:sz w:val="16"/>
              </w:rPr>
              <w:t>Dynatrace support channel shown on Hub listing</w:t>
            </w:r>
          </w:p>
        </w:tc>
      </w:tr>
    </w:tbl>
    <w:p>
      <w:pPr>
        <w:spacing w:after="40"/>
      </w:pPr>
    </w:p>
    <w:p>
      <w:pPr>
        <w:jc w:val="center"/>
      </w:pPr>
      <w:r>
        <w:drawing>
          <wp:inline xmlns:a="http://schemas.openxmlformats.org/drawingml/2006/main" xmlns:pic="http://schemas.openxmlformats.org/drawingml/2006/picture">
            <wp:extent cx="5577840" cy="2265998"/>
            <wp:docPr id="1" name="Picture 1" descr="VS Code or Visual Studio sends MCP requests across a customer-to-Dynatrace SaaS trust boundary to a tenant MCP gateway, which accesses Dynatrace Grail and Intelligence services." title="Hosted MCP trust boundaries and primary data flow"/>
            <wp:cNvGraphicFramePr>
              <a:graphicFrameLocks noChangeAspect="1"/>
            </wp:cNvGraphicFramePr>
            <a:graphic>
              <a:graphicData uri="http://schemas.openxmlformats.org/drawingml/2006/picture">
                <pic:pic>
                  <pic:nvPicPr>
                    <pic:cNvPr id="0" name="remote_architecture.png"/>
                    <pic:cNvPicPr/>
                  </pic:nvPicPr>
                  <pic:blipFill>
                    <a:blip r:embed="rId11"/>
                    <a:stretch>
                      <a:fillRect/>
                    </a:stretch>
                  </pic:blipFill>
                  <pic:spPr>
                    <a:xfrm>
                      <a:off x="0" y="0"/>
                      <a:ext cx="5577840" cy="2265998"/>
                    </a:xfrm>
                    <a:prstGeom prst="rect"/>
                  </pic:spPr>
                </pic:pic>
              </a:graphicData>
            </a:graphic>
          </wp:inline>
        </w:drawing>
      </w:r>
    </w:p>
    <w:p>
      <w:pPr>
        <w:pStyle w:val="Caption"/>
        <w:jc w:val="center"/>
      </w:pPr>
      <w:r>
        <w:t>Figure 1. Hosted MCP trust boundaries and primary data flow</w:t>
      </w:r>
    </w:p>
    <w:p>
      <w:pPr>
        <w:pStyle w:val="Caption"/>
      </w:pPr>
      <w:r>
        <w:t>Table 4. Published hosted tool inventory</w:t>
      </w:r>
    </w:p>
    <w:tbl>
      <w:tblPr>
        <w:tblStyle w:val="TableGrid"/>
        <w:tblW w:type="dxa" w:w="9360"/>
        <w:jc w:val="left"/>
        <w:tblLayout w:type="fixed"/>
        <w:tblLook w:firstColumn="1" w:firstRow="1" w:lastColumn="0" w:lastRow="0" w:noHBand="0" w:noVBand="1" w:val="04A0"/>
        <w:tblInd w:w="120" w:type="dxa"/>
      </w:tblPr>
      <w:tblGrid>
        <w:gridCol w:w="2600"/>
        <w:gridCol w:w="1500"/>
        <w:gridCol w:w="5260"/>
      </w:tblGrid>
      <w:tr>
        <w:trPr>
          <w:tblHeader w:val="true"/>
          <w:cantSplit/>
        </w:trPr>
        <w:tc>
          <w:tcPr>
            <w:tcW w:type="dxa" w:w="2600"/>
            <w:shd w:fill="D9EAF7"/>
            <w:tcMar>
              <w:top w:w="80" w:type="dxa"/>
              <w:start w:w="120" w:type="dxa"/>
              <w:bottom w:w="80" w:type="dxa"/>
              <w:end w:w="120" w:type="dxa"/>
            </w:tcMar>
            <w:vAlign w:val="center"/>
          </w:tcPr>
          <w:p>
            <w:pPr>
              <w:keepNext/>
            </w:pPr>
            <w:r>
              <w:rPr>
                <w:rFonts w:ascii="Calibri" w:hAnsi="Calibri"/>
                <w:b/>
                <w:color w:val="1F4E79"/>
                <w:sz w:val="16"/>
              </w:rPr>
              <w:t>Tool/agent</w:t>
            </w:r>
          </w:p>
        </w:tc>
        <w:tc>
          <w:tcPr>
            <w:tcW w:type="dxa" w:w="1500"/>
            <w:shd w:fill="D9EAF7"/>
            <w:tcMar>
              <w:top w:w="80" w:type="dxa"/>
              <w:start w:w="120" w:type="dxa"/>
              <w:bottom w:w="80" w:type="dxa"/>
              <w:end w:w="120" w:type="dxa"/>
            </w:tcMar>
            <w:vAlign w:val="center"/>
          </w:tcPr>
          <w:p>
            <w:pPr>
              <w:keepNext/>
            </w:pPr>
            <w:r>
              <w:rPr>
                <w:rFonts w:ascii="Calibri" w:hAnsi="Calibri"/>
                <w:b/>
                <w:color w:val="1F4E79"/>
                <w:sz w:val="16"/>
              </w:rPr>
              <w:t>State</w:t>
            </w:r>
          </w:p>
        </w:tc>
        <w:tc>
          <w:tcPr>
            <w:tcW w:type="dxa" w:w="5260"/>
            <w:shd w:fill="D9EAF7"/>
            <w:tcMar>
              <w:top w:w="80" w:type="dxa"/>
              <w:start w:w="120" w:type="dxa"/>
              <w:bottom w:w="80" w:type="dxa"/>
              <w:end w:w="120" w:type="dxa"/>
            </w:tcMar>
            <w:vAlign w:val="center"/>
          </w:tcPr>
          <w:p>
            <w:pPr>
              <w:keepNext/>
            </w:pPr>
            <w:r>
              <w:rPr>
                <w:rFonts w:ascii="Calibri" w:hAnsi="Calibri"/>
                <w:b/>
                <w:color w:val="1F4E79"/>
                <w:sz w:val="16"/>
              </w:rPr>
              <w:t>Purpose</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Data Analysis</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Public</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Execute DQL; raw result; 1,000-record limit</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Grail Query</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Preview</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Natural language to DQL</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DQL Explanation</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Preview</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Explain DQL</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Smartscape</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Public</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Resolve entity names and IDs</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Root Cause / Details</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Public</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List and inspect problems</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Troubleshooting</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Preview</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Find troubleshooting guides</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Vulnerability</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Public</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List open vulnerabilities</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Kubernetes</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Public</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Retrieve cluster events</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Forecasting / Changepoint</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Public</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Timeseries prediction and change detection</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Document</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Public</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Find dashboards and notebooks</w:t>
            </w:r>
          </w:p>
        </w:tc>
      </w:tr>
      <w:tr>
        <w:trPr>
          <w:cantSplit/>
        </w:trPr>
        <w:tc>
          <w:tcPr>
            <w:tcW w:type="dxa" w:w="2600"/>
            <w:tcMar>
              <w:top w:w="80" w:type="dxa"/>
              <w:start w:w="120" w:type="dxa"/>
              <w:bottom w:w="80" w:type="dxa"/>
              <w:end w:w="120" w:type="dxa"/>
            </w:tcMar>
            <w:vAlign w:val="center"/>
          </w:tcPr>
          <w:p>
            <w:pPr>
              <w:spacing w:after="20" w:line="240" w:lineRule="auto"/>
            </w:pPr>
            <w:r>
              <w:rPr>
                <w:rFonts w:ascii="Calibri" w:hAnsi="Calibri"/>
                <w:sz w:val="16"/>
              </w:rPr>
              <w:t>Help</w:t>
            </w:r>
          </w:p>
        </w:tc>
        <w:tc>
          <w:tcPr>
            <w:tcW w:type="dxa" w:w="1500"/>
            <w:tcMar>
              <w:top w:w="80" w:type="dxa"/>
              <w:start w:w="120" w:type="dxa"/>
              <w:bottom w:w="80" w:type="dxa"/>
              <w:end w:w="120" w:type="dxa"/>
            </w:tcMar>
            <w:vAlign w:val="center"/>
          </w:tcPr>
          <w:p>
            <w:pPr>
              <w:spacing w:after="20" w:line="240" w:lineRule="auto"/>
            </w:pPr>
            <w:r>
              <w:rPr>
                <w:rFonts w:ascii="Calibri" w:hAnsi="Calibri"/>
                <w:sz w:val="16"/>
              </w:rPr>
              <w:t>Preview</w:t>
            </w:r>
          </w:p>
        </w:tc>
        <w:tc>
          <w:tcPr>
            <w:tcW w:type="dxa" w:w="5260"/>
            <w:tcMar>
              <w:top w:w="80" w:type="dxa"/>
              <w:start w:w="120" w:type="dxa"/>
              <w:bottom w:w="80" w:type="dxa"/>
              <w:end w:w="120" w:type="dxa"/>
            </w:tcMar>
            <w:vAlign w:val="center"/>
          </w:tcPr>
          <w:p>
            <w:pPr>
              <w:spacing w:after="20" w:line="240" w:lineRule="auto"/>
            </w:pPr>
            <w:r>
              <w:rPr>
                <w:rFonts w:ascii="Calibri" w:hAnsi="Calibri"/>
                <w:sz w:val="16"/>
              </w:rPr>
              <w:t>General Dynatrace information</w:t>
            </w:r>
          </w:p>
        </w:tc>
      </w:tr>
    </w:tbl>
    <w:p>
      <w:pPr>
        <w:spacing w:after="40"/>
      </w:pPr>
    </w:p>
    <w:p>
      <w:bookmarkStart w:id="8" w:name="VSCODE"/>
      <w:pPr>
        <w:pStyle w:val="Heading1"/>
      </w:pPr>
      <w:r>
        <w:t>Part I - VS Code Assessment</w:t>
      </w:r>
      <w:bookmarkEnd w:id="8"/>
      <w:r>
        <w:t xml:space="preserve">  </w:t>
      </w:r>
      <w:hyperlink w:anchor="CONTENTS">
        <w:r>
          <w:rPr>
            <w:rStyle w:val="Hyperlink"/>
            <w:sz w:val="14"/>
          </w:rPr>
          <w:t>Back to contents</w:t>
        </w:r>
      </w:hyperlink>
    </w:p>
    <w:p>
      <w:pPr>
        <w:pStyle w:val="Heading2"/>
      </w:pPr>
      <w:r>
        <w:t>VS Code executive decision</w:t>
      </w:r>
      <w:r>
        <w:t xml:space="preserve">  </w:t>
      </w:r>
      <w:hyperlink w:anchor="CONTENTS">
        <w:r>
          <w:rPr>
            <w:rStyle w:val="Hyperlink"/>
            <w:sz w:val="14"/>
          </w:rPr>
          <w:t>Back to contents</w:t>
        </w:r>
      </w:hyperlink>
    </w:p>
    <w:p>
      <w:pPr>
        <w:spacing w:before="80" w:after="160"/>
        <w:ind w:left="173" w:right="173"/>
        <w:shd w:fill="F2F4F7"/>
        <w:pBdr>
          <w:left w:val="single" w:sz="20" w:space="8" w:color="9C6500"/>
        </w:pBdr>
      </w:pPr>
      <w:r>
        <w:rPr>
          <w:rFonts w:ascii="Calibri" w:hAnsi="Calibri"/>
          <w:b/>
          <w:color w:val="9C6500"/>
          <w:sz w:val="21"/>
        </w:rPr>
        <w:t xml:space="preserve">Decision: </w:t>
      </w:r>
      <w:r>
        <w:rPr>
          <w:rFonts w:ascii="Calibri" w:hAnsi="Calibri"/>
          <w:sz w:val="21"/>
        </w:rPr>
        <w:t>Approve with conditions for a read-only pilot only.</w:t>
      </w:r>
    </w:p>
    <w:p>
      <w:r>
        <w:rPr>
          <w:rFonts w:ascii="Calibri" w:hAnsi="Calibri"/>
          <w:sz w:val="21"/>
        </w:rPr>
        <w:t>Verified vendor-supported configuration through .vscode/mcp.json and GitHub Copilot Chat or another MCP-enabled extension.</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p>
    <w:p>
      <w:pPr>
        <w:pStyle w:val="Heading2"/>
      </w:pPr>
      <w:r>
        <w:t>Purpose, architecture and trust boundaries</w:t>
      </w:r>
      <w:r>
        <w:t xml:space="preserve">  </w:t>
      </w:r>
      <w:hyperlink w:anchor="CONTENTS">
        <w:r>
          <w:rPr>
            <w:rStyle w:val="Hyperlink"/>
            <w:sz w:val="14"/>
          </w:rPr>
          <w:t>Back to contents</w:t>
        </w:r>
      </w:hyperlink>
    </w:p>
    <w:p>
      <w:r>
        <w:rPr>
          <w:rFonts w:ascii="Calibri" w:hAnsi="Calibri"/>
          <w:sz w:val="21"/>
        </w:rPr>
        <w:t>VS Code is the MCP client; the remote gateway is the server; Dynatrace tenant services and selected LLM providers are downstream trust zones. Returned telemetry and documents remain untrusted content.</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p>
    <w:p>
      <w:pPr>
        <w:pStyle w:val="Heading2"/>
      </w:pPr>
      <w:r>
        <w:t>Installation manifest and uninstall behaviour</w:t>
      </w:r>
      <w:r>
        <w:t xml:space="preserve">  </w:t>
      </w:r>
      <w:hyperlink w:anchor="CONTENTS">
        <w:r>
          <w:rPr>
            <w:rStyle w:val="Hyperlink"/>
            <w:sz w:val="14"/>
          </w:rPr>
          <w:t>Back to contents</w:t>
        </w:r>
      </w:hyperlink>
    </w:p>
    <w:p>
      <w:pPr>
        <w:pStyle w:val="Caption"/>
      </w:pPr>
      <w:r>
        <w:t>Table 5. VS Code installation and expected host state</w:t>
      </w:r>
    </w:p>
    <w:tbl>
      <w:tblPr>
        <w:tblStyle w:val="TableGrid"/>
        <w:tblW w:type="dxa" w:w="9360"/>
        <w:jc w:val="left"/>
        <w:tblLayout w:type="fixed"/>
        <w:tblLook w:firstColumn="1" w:firstRow="1" w:lastColumn="0" w:lastRow="0" w:noHBand="0" w:noVBand="1" w:val="04A0"/>
        <w:tblInd w:w="120" w:type="dxa"/>
      </w:tblPr>
      <w:tblGrid>
        <w:gridCol w:w="1800"/>
        <w:gridCol w:w="3100"/>
        <w:gridCol w:w="2400"/>
        <w:gridCol w:w="2060"/>
      </w:tblGrid>
      <w:tr>
        <w:trPr>
          <w:tblHeader w:val="true"/>
          <w:cantSplit/>
        </w:trPr>
        <w:tc>
          <w:tcPr>
            <w:tcW w:type="dxa" w:w="1800"/>
            <w:shd w:fill="D9EAF7"/>
            <w:tcMar>
              <w:top w:w="80" w:type="dxa"/>
              <w:start w:w="120" w:type="dxa"/>
              <w:bottom w:w="80" w:type="dxa"/>
              <w:end w:w="120" w:type="dxa"/>
            </w:tcMar>
            <w:vAlign w:val="center"/>
          </w:tcPr>
          <w:p>
            <w:pPr>
              <w:keepNext/>
            </w:pPr>
            <w:r>
              <w:rPr>
                <w:rFonts w:ascii="Calibri" w:hAnsi="Calibri"/>
                <w:b/>
                <w:color w:val="1F4E79"/>
                <w:sz w:val="15"/>
              </w:rPr>
              <w:t>Item</w:t>
            </w:r>
          </w:p>
        </w:tc>
        <w:tc>
          <w:tcPr>
            <w:tcW w:type="dxa" w:w="3100"/>
            <w:shd w:fill="D9EAF7"/>
            <w:tcMar>
              <w:top w:w="80" w:type="dxa"/>
              <w:start w:w="120" w:type="dxa"/>
              <w:bottom w:w="80" w:type="dxa"/>
              <w:end w:w="120" w:type="dxa"/>
            </w:tcMar>
            <w:vAlign w:val="center"/>
          </w:tcPr>
          <w:p>
            <w:pPr>
              <w:keepNext/>
            </w:pPr>
            <w:r>
              <w:rPr>
                <w:rFonts w:ascii="Calibri" w:hAnsi="Calibri"/>
                <w:b/>
                <w:color w:val="1F4E79"/>
                <w:sz w:val="15"/>
              </w:rPr>
              <w:t>Expected path/state</w:t>
            </w:r>
          </w:p>
        </w:tc>
        <w:tc>
          <w:tcPr>
            <w:tcW w:type="dxa" w:w="2400"/>
            <w:shd w:fill="D9EAF7"/>
            <w:tcMar>
              <w:top w:w="80" w:type="dxa"/>
              <w:start w:w="120" w:type="dxa"/>
              <w:bottom w:w="80" w:type="dxa"/>
              <w:end w:w="120" w:type="dxa"/>
            </w:tcMar>
            <w:vAlign w:val="center"/>
          </w:tcPr>
          <w:p>
            <w:pPr>
              <w:keepNext/>
            </w:pPr>
            <w:r>
              <w:rPr>
                <w:rFonts w:ascii="Calibri" w:hAnsi="Calibri"/>
                <w:b/>
                <w:color w:val="1F4E79"/>
                <w:sz w:val="15"/>
              </w:rPr>
              <w:t>Privilege / persistence</w:t>
            </w:r>
          </w:p>
        </w:tc>
        <w:tc>
          <w:tcPr>
            <w:tcW w:type="dxa" w:w="2060"/>
            <w:shd w:fill="D9EAF7"/>
            <w:tcMar>
              <w:top w:w="80" w:type="dxa"/>
              <w:start w:w="120" w:type="dxa"/>
              <w:bottom w:w="80" w:type="dxa"/>
              <w:end w:w="120" w:type="dxa"/>
            </w:tcMar>
            <w:vAlign w:val="center"/>
          </w:tcPr>
          <w:p>
            <w:pPr>
              <w:keepNext/>
            </w:pPr>
            <w:r>
              <w:rPr>
                <w:rFonts w:ascii="Calibri" w:hAnsi="Calibri"/>
                <w:b/>
                <w:color w:val="1F4E79"/>
                <w:sz w:val="15"/>
              </w:rPr>
              <w:t>Evidence state</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MCP configuration</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Workspace .vscode/mcp.json or Visual Studio solution/user MCP configuration</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User/workspace persistence; may enter source control</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Expected; not observed</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Bearer/OAuth secret</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Client secret store or configuration input</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Credential privilege; persistence client-dependent</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Unknown on host</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IDE process</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VS Code or devenv.exe plus Copilot/agent</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User context</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Expected; not observed</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Local server binary</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None</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Not applicable</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Verified delivery model</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Services/tasks/registry</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No product-specific local service expected</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Client-dependent</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Not observed; runtime required</w:t>
            </w:r>
          </w:p>
        </w:tc>
      </w:tr>
    </w:tbl>
    <w:p>
      <w:pPr>
        <w:spacing w:after="40"/>
      </w:pPr>
    </w:p>
    <w:p>
      <w:pPr>
        <w:pStyle w:val="Heading2"/>
      </w:pPr>
      <w:r>
        <w:t>Runtime processes, network, authentication and telemetry</w:t>
      </w:r>
      <w:r>
        <w:t xml:space="preserve">  </w:t>
      </w:r>
      <w:hyperlink w:anchor="CONTENTS">
        <w:r>
          <w:rPr>
            <w:rStyle w:val="Hyperlink"/>
            <w:sz w:val="14"/>
          </w:rPr>
          <w:t>Back to contents</w:t>
        </w:r>
      </w:hyperlink>
    </w:p>
    <w:p>
      <w:r>
        <w:rPr>
          <w:rFonts w:ascii="Calibri" w:hAnsi="Calibri"/>
          <w:sz w:val="21"/>
        </w:rPr>
        <w:t>Every call uses a bearer token. Gateway permissions mcp-gateway:servers:read/invoke and tool/data scopes apply to both user and token. Prefer client-mediated OAuth Authorization Code with PKCE over embedded Platform Tokens.</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p>
    <w:p>
      <w:r>
        <w:rPr>
          <w:rFonts w:ascii="Calibri" w:hAnsi="Calibri"/>
          <w:sz w:val="21"/>
        </w:rPr>
        <w:t>Dynatrace may retain prompts, responses and intermediate tool results. GenAI events can contain user identity, input, response, context, session and tool fields. MCP-specific retention and access rules are Unknown.</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p>
    <w:p>
      <w:pPr>
        <w:pStyle w:val="Heading2"/>
      </w:pPr>
      <w:r>
        <w:t>MCP surface, skills and supply chain</w:t>
      </w:r>
      <w:r>
        <w:t xml:space="preserve">  </w:t>
      </w:r>
      <w:hyperlink w:anchor="CONTENTS">
        <w:r>
          <w:rPr>
            <w:rStyle w:val="Hyperlink"/>
            <w:sz w:val="14"/>
          </w:rPr>
          <w:t>Back to contents</w:t>
        </w:r>
      </w:hyperlink>
    </w:p>
    <w:p>
      <w:r>
        <w:rPr>
          <w:rFonts w:ascii="Calibri" w:hAnsi="Calibri"/>
          <w:sz w:val="21"/>
        </w:rPr>
        <w:t>There is no local product package or Agent Skill. The remotely supplied tool list is mutable; exact schemas and change-notification guarantees were not public.</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08">
        <w:r>
          <w:rPr>
            <w:rStyle w:val="Hyperlink"/>
            <w:sz w:val="16"/>
          </w:rPr>
          <w:t>[REF-008]</w:t>
        </w:r>
      </w:hyperlink>
      <w:r>
        <w:t xml:space="preserve"> </w:t>
      </w:r>
      <w:hyperlink w:anchor="REF_009">
        <w:r>
          <w:rPr>
            <w:rStyle w:val="Hyperlink"/>
            <w:sz w:val="16"/>
          </w:rPr>
          <w:t>[REF-009]</w:t>
        </w:r>
      </w:hyperlink>
      <w:r>
        <w:t xml:space="preserve"> </w:t>
      </w:r>
      <w:hyperlink w:anchor="REF_010">
        <w:r>
          <w:rPr>
            <w:rStyle w:val="Hyperlink"/>
            <w:sz w:val="16"/>
          </w:rPr>
          <w:t>[REF-010]</w:t>
        </w:r>
      </w:hyperlink>
    </w:p>
    <w:p>
      <w:pPr>
        <w:pStyle w:val="Heading2"/>
      </w:pPr>
      <w:r>
        <w:t>Threats, controls and framework disposition</w:t>
      </w:r>
      <w:r>
        <w:t xml:space="preserve">  </w:t>
      </w:r>
      <w:hyperlink w:anchor="CONTENTS">
        <w:r>
          <w:rPr>
            <w:rStyle w:val="Hyperlink"/>
            <w:sz w:val="14"/>
          </w:rPr>
          <w:t>Back to contents</w:t>
        </w:r>
      </w:hyperlink>
    </w:p>
    <w:p>
      <w:pPr>
        <w:pStyle w:val="Caption"/>
      </w:pPr>
      <w:r>
        <w:t>Table 6. Framework disposition and focused mappings</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rPr>
          <w:tblHeader w:val="true"/>
          <w:cantSplit/>
        </w:trPr>
        <w:tc>
          <w:tcPr>
            <w:tcW w:type="dxa" w:w="2100"/>
            <w:shd w:fill="D9EAF7"/>
            <w:tcMar>
              <w:top w:w="80" w:type="dxa"/>
              <w:start w:w="120" w:type="dxa"/>
              <w:bottom w:w="80" w:type="dxa"/>
              <w:end w:w="120" w:type="dxa"/>
            </w:tcMar>
            <w:vAlign w:val="center"/>
          </w:tcPr>
          <w:p>
            <w:pPr>
              <w:keepNext/>
            </w:pPr>
            <w:r>
              <w:rPr>
                <w:rFonts w:ascii="Calibri" w:hAnsi="Calibri"/>
                <w:b/>
                <w:color w:val="1F4E79"/>
                <w:sz w:val="14"/>
              </w:rPr>
              <w:t>Framework</w:t>
            </w:r>
          </w:p>
        </w:tc>
        <w:tc>
          <w:tcPr>
            <w:tcW w:type="dxa" w:w="2600"/>
            <w:shd w:fill="D9EAF7"/>
            <w:tcMar>
              <w:top w:w="80" w:type="dxa"/>
              <w:start w:w="120" w:type="dxa"/>
              <w:bottom w:w="80" w:type="dxa"/>
              <w:end w:w="120" w:type="dxa"/>
            </w:tcMar>
            <w:vAlign w:val="center"/>
          </w:tcPr>
          <w:p>
            <w:pPr>
              <w:keepNext/>
            </w:pPr>
            <w:r>
              <w:rPr>
                <w:rFonts w:ascii="Calibri" w:hAnsi="Calibri"/>
                <w:b/>
                <w:color w:val="1F4E79"/>
                <w:sz w:val="14"/>
              </w:rPr>
              <w:t>Edition / disposition</w:t>
            </w:r>
          </w:p>
        </w:tc>
        <w:tc>
          <w:tcPr>
            <w:tcW w:type="dxa" w:w="4660"/>
            <w:shd w:fill="D9EAF7"/>
            <w:tcMar>
              <w:top w:w="80" w:type="dxa"/>
              <w:start w:w="120" w:type="dxa"/>
              <w:bottom w:w="80" w:type="dxa"/>
              <w:end w:w="120" w:type="dxa"/>
            </w:tcMar>
            <w:vAlign w:val="center"/>
          </w:tcPr>
          <w:p>
            <w:pPr>
              <w:keepNext/>
            </w:pPr>
            <w:r>
              <w:rPr>
                <w:rFonts w:ascii="Calibri" w:hAnsi="Calibri"/>
                <w:b/>
                <w:color w:val="1F4E79"/>
                <w:sz w:val="14"/>
              </w:rPr>
              <w:t>Applied mapping</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LLM Top 10</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2025;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LLM01/02/03/05/06/07/09/10: injection, disclosure, supply chain, output handling, agency, leakage, misinformation and consumption.</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Agentic AI</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Top 10 for Agentic Applications 2026;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ASI01-06, ASI08-09; ASI07/10 when composed with other agents.</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MCP Top 10</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v0.1 (2025), early-version guidance;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MCP01-10, especially token exposure, scope creep, tool poisoning, contextual injection, audit and shadow servers.</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MITRE ATLAS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ATLAS-2026.06;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AML.T0051, T0010.005, T0053, T0057, T0080, T0083, T0086, T0098, T0109 and T0034.</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NIST AI RMF</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AI RMF 1.0 / AI 600-1;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GOVERN, MAP, MEASURE, MANAGE; privacy, information security, human-AI configuration, component integration and confabulation.</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CIS Controls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v8.1;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Controls 1-8, 10, 12-13, 15-18: inventory, configuration, access, vulnerability, logging, provider lifecycle and testing.</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ISO/IEC 27001</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27001:2022 + Amd 1:2024;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Annex A 5.9, 5.12-23, 5.24-34, 8.1-16, 8.20-32.</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NCSC secure AI</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v1.1 (2023);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Secure design, development, deployment, operation and maintenance.</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ASVS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5.0.0 Level 2;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v5.0.0-1.2.4/5, 1.3.6, 8.1.1, 8.3.1, 10.2.1, 10.2.3, 10.4.6, 12.2.1, 13.1.4, 13.2.4.</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UK GDPR / DPA 2018</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Binding law;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Arts 5, 6, 9, 13/14, 22, 25, 28, 30, 32-35 and 44-49; DPIA screening required.</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FCA / PRA</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Rules and supervisory expectations;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FCA Principles 3/11, SYSC 15A and conditional SYSC 8; PRA Fundamental Rules, SS1/21 and SS2/21.</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PECR / EU DORA / PRA SS1/23</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Conditional or not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PECR only for relevant terminal/electronic communications use; DORA not triggered by UK status; SS1/23 is banks-only.</w:t>
            </w:r>
          </w:p>
        </w:tc>
      </w:tr>
    </w:tbl>
    <w:p>
      <w:pPr>
        <w:spacing w:after="40"/>
      </w:pPr>
    </w:p>
    <w:p>
      <w:pPr>
        <w:pStyle w:val="Heading2"/>
      </w:pPr>
      <w:r>
        <w:t>Enterprise controls and host verification</w:t>
      </w:r>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Allowlist the exact server identity, endpoint/package version and individual tools; disable wildcard tool grants.</w:t>
      </w:r>
    </w:p>
    <w:p>
      <w:pPr>
        <w:spacing w:after="160" w:line="280" w:lineRule="auto"/>
        <w:numPr>
          <w:ilvl w:val="0"/>
          <w:numId w:val="10"/>
        </w:numPr>
      </w:pPr>
      <w:r>
        <w:rPr>
          <w:rFonts w:ascii="Calibri" w:hAnsi="Calibri"/>
          <w:sz w:val="21"/>
        </w:rPr>
        <w:t>Use task-specific least-privilege identities, short-lived credentials and negative authorization tests.</w:t>
      </w:r>
    </w:p>
    <w:p>
      <w:pPr>
        <w:spacing w:after="160" w:line="280" w:lineRule="auto"/>
        <w:numPr>
          <w:ilvl w:val="0"/>
          <w:numId w:val="10"/>
        </w:numPr>
      </w:pPr>
      <w:r>
        <w:rPr>
          <w:rFonts w:ascii="Calibri" w:hAnsi="Calibri"/>
          <w:sz w:val="21"/>
        </w:rPr>
        <w:t>Treat every log, document, problem and tool response as untrusted data; block instruction-following from retrieved content.</w:t>
      </w:r>
    </w:p>
    <w:p>
      <w:pPr>
        <w:spacing w:after="160" w:line="280" w:lineRule="auto"/>
        <w:numPr>
          <w:ilvl w:val="0"/>
          <w:numId w:val="10"/>
        </w:numPr>
      </w:pPr>
      <w:r>
        <w:rPr>
          <w:rFonts w:ascii="Calibri" w:hAnsi="Calibri"/>
          <w:sz w:val="21"/>
        </w:rPr>
        <w:t>Require human review for DQL and all consequential outputs; prohibit automated claims, pricing, underwriting or customer decisions.</w:t>
      </w:r>
    </w:p>
    <w:p>
      <w:pPr>
        <w:spacing w:after="160" w:line="280" w:lineRule="auto"/>
        <w:numPr>
          <w:ilvl w:val="0"/>
          <w:numId w:val="10"/>
        </w:numPr>
      </w:pPr>
      <w:r>
        <w:rPr>
          <w:rFonts w:ascii="Calibri" w:hAnsi="Calibri"/>
          <w:sz w:val="21"/>
        </w:rPr>
        <w:t>Export auditable invocation records; alert on server/tool/schema changes, credential misuse, broad queries, write tools and unusual cost.</w:t>
      </w:r>
    </w:p>
    <w:p>
      <w:pPr>
        <w:pStyle w:val="Heading2"/>
      </w:pPr>
      <w:r>
        <w:t>Residual risk, confidence and IDE-specific limitations</w:t>
      </w:r>
      <w:r>
        <w:t xml:space="preserve">  </w:t>
      </w:r>
      <w:hyperlink w:anchor="CONTENTS">
        <w:r>
          <w:rPr>
            <w:rStyle w:val="Hyperlink"/>
            <w:sz w:val="14"/>
          </w:rPr>
          <w:t>Back to contents</w:t>
        </w:r>
      </w:hyperlink>
    </w:p>
    <w:p>
      <w:r>
        <w:rPr>
          <w:rFonts w:ascii="Calibri" w:hAnsi="Calibri"/>
          <w:sz w:val="21"/>
        </w:rPr>
        <w:t>Confidence is Medium: primary vendor and Microsoft documentation is current, but runtime behaviour, tenant policy enforcement, client secret storage, network traces and uninstall residue were not observed. Complete the host verification plan before operational approval.</w:t>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Blocked: no disposable representative Windows 11, macOS, Visual Studio, or Dynatrace tenant test environment and credentials were available; this limitation is not treated as a passed control. No bundled Agent Skill was found in the assessed installation surface unless the product-specific section states otherwise.</w:t>
      </w:r>
    </w:p>
    <w:p>
      <w:bookmarkStart w:id="9" w:name="VISUAL_STUDIO"/>
      <w:pPr>
        <w:pStyle w:val="Heading1"/>
      </w:pPr>
      <w:r>
        <w:t>Part II - Visual Studio Assessment</w:t>
      </w:r>
      <w:bookmarkEnd w:id="9"/>
      <w:r>
        <w:t xml:space="preserve">  </w:t>
      </w:r>
      <w:hyperlink w:anchor="CONTENTS">
        <w:r>
          <w:rPr>
            <w:rStyle w:val="Hyperlink"/>
            <w:sz w:val="14"/>
          </w:rPr>
          <w:t>Back to contents</w:t>
        </w:r>
      </w:hyperlink>
    </w:p>
    <w:p>
      <w:pPr>
        <w:pStyle w:val="Heading2"/>
      </w:pPr>
      <w:r>
        <w:t>Visual Studio executive decision</w:t>
      </w:r>
      <w:r>
        <w:t xml:space="preserve">  </w:t>
      </w:r>
      <w:hyperlink w:anchor="CONTENTS">
        <w:r>
          <w:rPr>
            <w:rStyle w:val="Hyperlink"/>
            <w:sz w:val="14"/>
          </w:rPr>
          <w:t>Back to contents</w:t>
        </w:r>
      </w:hyperlink>
    </w:p>
    <w:p>
      <w:pPr>
        <w:spacing w:before="80" w:after="160"/>
        <w:ind w:left="173" w:right="173"/>
        <w:shd w:fill="F2F4F7"/>
        <w:pBdr>
          <w:left w:val="single" w:sz="20" w:space="8" w:color="9C6500"/>
        </w:pBdr>
      </w:pPr>
      <w:r>
        <w:rPr>
          <w:rFonts w:ascii="Calibri" w:hAnsi="Calibri"/>
          <w:b/>
          <w:color w:val="9C6500"/>
          <w:sz w:val="21"/>
        </w:rPr>
        <w:t xml:space="preserve">Decision: </w:t>
      </w:r>
      <w:r>
        <w:rPr>
          <w:rFonts w:ascii="Calibri" w:hAnsi="Calibri"/>
          <w:sz w:val="21"/>
        </w:rPr>
        <w:t>Approve with conditions only after vendor confirmation and host validation.</w:t>
      </w:r>
    </w:p>
    <w:p>
      <w:r>
        <w:rPr>
          <w:rFonts w:ascii="Calibri" w:hAnsi="Calibri"/>
          <w:sz w:val="21"/>
        </w:rPr>
        <w:t>Inferred compatible through Visual Studio 2026 or Visual Studio 2022 17.14+ MCP support. No Dynatrace-specific Visual Studio procedure or support statement was found.</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11">
        <w:r>
          <w:rPr>
            <w:rStyle w:val="Hyperlink"/>
            <w:sz w:val="16"/>
          </w:rPr>
          <w:t>[REF-011]</w:t>
        </w:r>
      </w:hyperlink>
      <w:r>
        <w:t xml:space="preserve"> </w:t>
      </w:r>
      <w:hyperlink w:anchor="REF_014">
        <w:r>
          <w:rPr>
            <w:rStyle w:val="Hyperlink"/>
            <w:sz w:val="16"/>
          </w:rPr>
          <w:t>[REF-014]</w:t>
        </w:r>
      </w:hyperlink>
    </w:p>
    <w:p>
      <w:pPr>
        <w:pStyle w:val="Heading2"/>
      </w:pPr>
      <w:r>
        <w:t>Purpose, architecture and trust boundaries</w:t>
      </w:r>
      <w:r>
        <w:t xml:space="preserve">  </w:t>
      </w:r>
      <w:hyperlink w:anchor="CONTENTS">
        <w:r>
          <w:rPr>
            <w:rStyle w:val="Hyperlink"/>
            <w:sz w:val="14"/>
          </w:rPr>
          <w:t>Back to contents</w:t>
        </w:r>
      </w:hyperlink>
    </w:p>
    <w:p>
      <w:r>
        <w:rPr>
          <w:rFonts w:ascii="Calibri" w:hAnsi="Calibri"/>
          <w:sz w:val="21"/>
        </w:rPr>
        <w:t>Visual Studio and GitHub Copilot agent mode act as the client; remote URL transport reaches the tenant gateway. Solution-level discovery expands the risk of untrusted repository configuration.</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11">
        <w:r>
          <w:rPr>
            <w:rStyle w:val="Hyperlink"/>
            <w:sz w:val="16"/>
          </w:rPr>
          <w:t>[REF-011]</w:t>
        </w:r>
      </w:hyperlink>
      <w:r>
        <w:t xml:space="preserve"> </w:t>
      </w:r>
      <w:hyperlink w:anchor="REF_014">
        <w:r>
          <w:rPr>
            <w:rStyle w:val="Hyperlink"/>
            <w:sz w:val="16"/>
          </w:rPr>
          <w:t>[REF-014]</w:t>
        </w:r>
      </w:hyperlink>
    </w:p>
    <w:p>
      <w:pPr>
        <w:pStyle w:val="Heading2"/>
      </w:pPr>
      <w:r>
        <w:t>Installation manifest and uninstall behaviour</w:t>
      </w:r>
      <w:r>
        <w:t xml:space="preserve">  </w:t>
      </w:r>
      <w:hyperlink w:anchor="CONTENTS">
        <w:r>
          <w:rPr>
            <w:rStyle w:val="Hyperlink"/>
            <w:sz w:val="14"/>
          </w:rPr>
          <w:t>Back to contents</w:t>
        </w:r>
      </w:hyperlink>
    </w:p>
    <w:p>
      <w:pPr>
        <w:pStyle w:val="Caption"/>
      </w:pPr>
      <w:r>
        <w:t>Table 7. Visual Studio installation and expected host state</w:t>
      </w:r>
    </w:p>
    <w:tbl>
      <w:tblPr>
        <w:tblStyle w:val="TableGrid"/>
        <w:tblW w:type="dxa" w:w="9360"/>
        <w:jc w:val="left"/>
        <w:tblLayout w:type="fixed"/>
        <w:tblLook w:firstColumn="1" w:firstRow="1" w:lastColumn="0" w:lastRow="0" w:noHBand="0" w:noVBand="1" w:val="04A0"/>
        <w:tblInd w:w="120" w:type="dxa"/>
      </w:tblPr>
      <w:tblGrid>
        <w:gridCol w:w="1800"/>
        <w:gridCol w:w="3100"/>
        <w:gridCol w:w="2400"/>
        <w:gridCol w:w="2060"/>
      </w:tblGrid>
      <w:tr>
        <w:trPr>
          <w:tblHeader w:val="true"/>
          <w:cantSplit/>
        </w:trPr>
        <w:tc>
          <w:tcPr>
            <w:tcW w:type="dxa" w:w="1800"/>
            <w:shd w:fill="D9EAF7"/>
            <w:tcMar>
              <w:top w:w="80" w:type="dxa"/>
              <w:start w:w="120" w:type="dxa"/>
              <w:bottom w:w="80" w:type="dxa"/>
              <w:end w:w="120" w:type="dxa"/>
            </w:tcMar>
            <w:vAlign w:val="center"/>
          </w:tcPr>
          <w:p>
            <w:pPr>
              <w:keepNext/>
            </w:pPr>
            <w:r>
              <w:rPr>
                <w:rFonts w:ascii="Calibri" w:hAnsi="Calibri"/>
                <w:b/>
                <w:color w:val="1F4E79"/>
                <w:sz w:val="15"/>
              </w:rPr>
              <w:t>Item</w:t>
            </w:r>
          </w:p>
        </w:tc>
        <w:tc>
          <w:tcPr>
            <w:tcW w:type="dxa" w:w="3100"/>
            <w:shd w:fill="D9EAF7"/>
            <w:tcMar>
              <w:top w:w="80" w:type="dxa"/>
              <w:start w:w="120" w:type="dxa"/>
              <w:bottom w:w="80" w:type="dxa"/>
              <w:end w:w="120" w:type="dxa"/>
            </w:tcMar>
            <w:vAlign w:val="center"/>
          </w:tcPr>
          <w:p>
            <w:pPr>
              <w:keepNext/>
            </w:pPr>
            <w:r>
              <w:rPr>
                <w:rFonts w:ascii="Calibri" w:hAnsi="Calibri"/>
                <w:b/>
                <w:color w:val="1F4E79"/>
                <w:sz w:val="15"/>
              </w:rPr>
              <w:t>Expected path/state</w:t>
            </w:r>
          </w:p>
        </w:tc>
        <w:tc>
          <w:tcPr>
            <w:tcW w:type="dxa" w:w="2400"/>
            <w:shd w:fill="D9EAF7"/>
            <w:tcMar>
              <w:top w:w="80" w:type="dxa"/>
              <w:start w:w="120" w:type="dxa"/>
              <w:bottom w:w="80" w:type="dxa"/>
              <w:end w:w="120" w:type="dxa"/>
            </w:tcMar>
            <w:vAlign w:val="center"/>
          </w:tcPr>
          <w:p>
            <w:pPr>
              <w:keepNext/>
            </w:pPr>
            <w:r>
              <w:rPr>
                <w:rFonts w:ascii="Calibri" w:hAnsi="Calibri"/>
                <w:b/>
                <w:color w:val="1F4E79"/>
                <w:sz w:val="15"/>
              </w:rPr>
              <w:t>Privilege / persistence</w:t>
            </w:r>
          </w:p>
        </w:tc>
        <w:tc>
          <w:tcPr>
            <w:tcW w:type="dxa" w:w="2060"/>
            <w:shd w:fill="D9EAF7"/>
            <w:tcMar>
              <w:top w:w="80" w:type="dxa"/>
              <w:start w:w="120" w:type="dxa"/>
              <w:bottom w:w="80" w:type="dxa"/>
              <w:end w:w="120" w:type="dxa"/>
            </w:tcMar>
            <w:vAlign w:val="center"/>
          </w:tcPr>
          <w:p>
            <w:pPr>
              <w:keepNext/>
            </w:pPr>
            <w:r>
              <w:rPr>
                <w:rFonts w:ascii="Calibri" w:hAnsi="Calibri"/>
                <w:b/>
                <w:color w:val="1F4E79"/>
                <w:sz w:val="15"/>
              </w:rPr>
              <w:t>Evidence state</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MCP configuration</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Workspace .vscode/mcp.json or Visual Studio solution/user MCP configuration</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User/workspace persistence; may enter source control</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Expected; not observed</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Bearer/OAuth secret</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Client secret store or configuration input</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Credential privilege; persistence client-dependent</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Unknown on host</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IDE process</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VS Code or devenv.exe plus Copilot/agent</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User context</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Expected; not observed</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Local server binary</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None</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Not applicable</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Verified delivery model</w:t>
            </w:r>
          </w:p>
        </w:tc>
      </w:tr>
      <w:tr>
        <w:trPr>
          <w:cantSplit/>
        </w:trPr>
        <w:tc>
          <w:tcPr>
            <w:tcW w:type="dxa" w:w="1800"/>
            <w:tcMar>
              <w:top w:w="80" w:type="dxa"/>
              <w:start w:w="120" w:type="dxa"/>
              <w:bottom w:w="80" w:type="dxa"/>
              <w:end w:w="120" w:type="dxa"/>
            </w:tcMar>
            <w:vAlign w:val="center"/>
          </w:tcPr>
          <w:p>
            <w:pPr>
              <w:spacing w:after="20" w:line="240" w:lineRule="auto"/>
            </w:pPr>
            <w:r>
              <w:rPr>
                <w:rFonts w:ascii="Calibri" w:hAnsi="Calibri"/>
                <w:sz w:val="15"/>
              </w:rPr>
              <w:t>Services/tasks/registry</w:t>
            </w:r>
          </w:p>
        </w:tc>
        <w:tc>
          <w:tcPr>
            <w:tcW w:type="dxa" w:w="3100"/>
            <w:tcMar>
              <w:top w:w="80" w:type="dxa"/>
              <w:start w:w="120" w:type="dxa"/>
              <w:bottom w:w="80" w:type="dxa"/>
              <w:end w:w="120" w:type="dxa"/>
            </w:tcMar>
            <w:vAlign w:val="center"/>
          </w:tcPr>
          <w:p>
            <w:pPr>
              <w:spacing w:after="20" w:line="240" w:lineRule="auto"/>
            </w:pPr>
            <w:r>
              <w:rPr>
                <w:rFonts w:ascii="Calibri" w:hAnsi="Calibri"/>
                <w:sz w:val="15"/>
              </w:rPr>
              <w:t>No product-specific local service expected</w:t>
            </w:r>
          </w:p>
        </w:tc>
        <w:tc>
          <w:tcPr>
            <w:tcW w:type="dxa" w:w="2400"/>
            <w:tcMar>
              <w:top w:w="80" w:type="dxa"/>
              <w:start w:w="120" w:type="dxa"/>
              <w:bottom w:w="80" w:type="dxa"/>
              <w:end w:w="120" w:type="dxa"/>
            </w:tcMar>
            <w:vAlign w:val="center"/>
          </w:tcPr>
          <w:p>
            <w:pPr>
              <w:spacing w:after="20" w:line="240" w:lineRule="auto"/>
            </w:pPr>
            <w:r>
              <w:rPr>
                <w:rFonts w:ascii="Calibri" w:hAnsi="Calibri"/>
                <w:sz w:val="15"/>
              </w:rPr>
              <w:t>Client-dependent</w:t>
            </w:r>
          </w:p>
        </w:tc>
        <w:tc>
          <w:tcPr>
            <w:tcW w:type="dxa" w:w="2060"/>
            <w:tcMar>
              <w:top w:w="80" w:type="dxa"/>
              <w:start w:w="120" w:type="dxa"/>
              <w:bottom w:w="80" w:type="dxa"/>
              <w:end w:w="120" w:type="dxa"/>
            </w:tcMar>
            <w:vAlign w:val="center"/>
          </w:tcPr>
          <w:p>
            <w:pPr>
              <w:spacing w:after="20" w:line="240" w:lineRule="auto"/>
            </w:pPr>
            <w:r>
              <w:rPr>
                <w:rFonts w:ascii="Calibri" w:hAnsi="Calibri"/>
                <w:sz w:val="15"/>
              </w:rPr>
              <w:t>Not observed; runtime required</w:t>
            </w:r>
          </w:p>
        </w:tc>
      </w:tr>
    </w:tbl>
    <w:p>
      <w:pPr>
        <w:spacing w:after="40"/>
      </w:pPr>
    </w:p>
    <w:p>
      <w:pPr>
        <w:pStyle w:val="Heading2"/>
      </w:pPr>
      <w:r>
        <w:t>Runtime processes, network, authentication and telemetry</w:t>
      </w:r>
      <w:r>
        <w:t xml:space="preserve">  </w:t>
      </w:r>
      <w:hyperlink w:anchor="CONTENTS">
        <w:r>
          <w:rPr>
            <w:rStyle w:val="Hyperlink"/>
            <w:sz w:val="14"/>
          </w:rPr>
          <w:t>Back to contents</w:t>
        </w:r>
      </w:hyperlink>
    </w:p>
    <w:p>
      <w:r>
        <w:rPr>
          <w:rFonts w:ascii="Calibri" w:hAnsi="Calibri"/>
          <w:sz w:val="21"/>
        </w:rPr>
        <w:t>Microsoft supports remote MCP configuration, tool confirmation and enterprise allowlisting, but Dynatrace-specific secret-storage and refresh behaviour requires host validation.</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11">
        <w:r>
          <w:rPr>
            <w:rStyle w:val="Hyperlink"/>
            <w:sz w:val="16"/>
          </w:rPr>
          <w:t>[REF-011]</w:t>
        </w:r>
      </w:hyperlink>
      <w:r>
        <w:t xml:space="preserve"> </w:t>
      </w:r>
      <w:hyperlink w:anchor="REF_014">
        <w:r>
          <w:rPr>
            <w:rStyle w:val="Hyperlink"/>
            <w:sz w:val="16"/>
          </w:rPr>
          <w:t>[REF-014]</w:t>
        </w:r>
      </w:hyperlink>
    </w:p>
    <w:p>
      <w:r>
        <w:rPr>
          <w:rFonts w:ascii="Calibri" w:hAnsi="Calibri"/>
          <w:sz w:val="21"/>
        </w:rPr>
        <w:t>The same Dynatrace processing and retention uncertainties apply. Visual Studio host logs, caches and credential state were not observed.</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11">
        <w:r>
          <w:rPr>
            <w:rStyle w:val="Hyperlink"/>
            <w:sz w:val="16"/>
          </w:rPr>
          <w:t>[REF-011]</w:t>
        </w:r>
      </w:hyperlink>
      <w:r>
        <w:t xml:space="preserve"> </w:t>
      </w:r>
      <w:hyperlink w:anchor="REF_014">
        <w:r>
          <w:rPr>
            <w:rStyle w:val="Hyperlink"/>
            <w:sz w:val="16"/>
          </w:rPr>
          <w:t>[REF-014]</w:t>
        </w:r>
      </w:hyperlink>
    </w:p>
    <w:p>
      <w:pPr>
        <w:pStyle w:val="Heading2"/>
      </w:pPr>
      <w:r>
        <w:t>MCP surface, skills and supply chain</w:t>
      </w:r>
      <w:r>
        <w:t xml:space="preserve">  </w:t>
      </w:r>
      <w:hyperlink w:anchor="CONTENTS">
        <w:r>
          <w:rPr>
            <w:rStyle w:val="Hyperlink"/>
            <w:sz w:val="14"/>
          </w:rPr>
          <w:t>Back to contents</w:t>
        </w:r>
      </w:hyperlink>
    </w:p>
    <w:p>
      <w:r>
        <w:rPr>
          <w:rFonts w:ascii="Calibri" w:hAnsi="Calibri"/>
          <w:sz w:val="21"/>
        </w:rPr>
        <w:t>No VSIX or local server package is required for the hosted candidate. Server identity and tools must be allowlisted and changes reapproved.</w:t>
      </w:r>
      <w:r>
        <w:t xml:space="preserve"> </w:t>
      </w:r>
      <w:hyperlink w:anchor="REF_001">
        <w:r>
          <w:rPr>
            <w:rStyle w:val="Hyperlink"/>
            <w:sz w:val="16"/>
          </w:rPr>
          <w:t>[REF-001]</w:t>
        </w:r>
      </w:hyperlink>
      <w:r>
        <w:t xml:space="preserve"> </w:t>
      </w:r>
      <w:hyperlink w:anchor="REF_005">
        <w:r>
          <w:rPr>
            <w:rStyle w:val="Hyperlink"/>
            <w:sz w:val="16"/>
          </w:rPr>
          <w:t>[REF-005]</w:t>
        </w:r>
      </w:hyperlink>
      <w:r>
        <w:t xml:space="preserve"> </w:t>
      </w:r>
      <w:hyperlink w:anchor="REF_011">
        <w:r>
          <w:rPr>
            <w:rStyle w:val="Hyperlink"/>
            <w:sz w:val="16"/>
          </w:rPr>
          <w:t>[REF-011]</w:t>
        </w:r>
      </w:hyperlink>
      <w:r>
        <w:t xml:space="preserve"> </w:t>
      </w:r>
      <w:hyperlink w:anchor="REF_014">
        <w:r>
          <w:rPr>
            <w:rStyle w:val="Hyperlink"/>
            <w:sz w:val="16"/>
          </w:rPr>
          <w:t>[REF-014]</w:t>
        </w:r>
      </w:hyperlink>
    </w:p>
    <w:p>
      <w:pPr>
        <w:pStyle w:val="Heading2"/>
      </w:pPr>
      <w:r>
        <w:t>Threats, controls and framework disposition</w:t>
      </w:r>
      <w:r>
        <w:t xml:space="preserve">  </w:t>
      </w:r>
      <w:hyperlink w:anchor="CONTENTS">
        <w:r>
          <w:rPr>
            <w:rStyle w:val="Hyperlink"/>
            <w:sz w:val="14"/>
          </w:rPr>
          <w:t>Back to contents</w:t>
        </w:r>
      </w:hyperlink>
    </w:p>
    <w:p>
      <w:pPr>
        <w:pStyle w:val="Caption"/>
      </w:pPr>
      <w:r>
        <w:t>Table 8. Framework disposition and focused mappings</w:t>
      </w:r>
    </w:p>
    <w:tbl>
      <w:tblPr>
        <w:tblStyle w:val="TableGrid"/>
        <w:tblW w:type="dxa" w:w="9360"/>
        <w:jc w:val="left"/>
        <w:tblLayout w:type="fixed"/>
        <w:tblLook w:firstColumn="1" w:firstRow="1" w:lastColumn="0" w:lastRow="0" w:noHBand="0" w:noVBand="1" w:val="04A0"/>
        <w:tblInd w:w="120" w:type="dxa"/>
      </w:tblPr>
      <w:tblGrid>
        <w:gridCol w:w="2100"/>
        <w:gridCol w:w="2600"/>
        <w:gridCol w:w="4660"/>
      </w:tblGrid>
      <w:tr>
        <w:trPr>
          <w:tblHeader w:val="true"/>
          <w:cantSplit/>
        </w:trPr>
        <w:tc>
          <w:tcPr>
            <w:tcW w:type="dxa" w:w="2100"/>
            <w:shd w:fill="D9EAF7"/>
            <w:tcMar>
              <w:top w:w="80" w:type="dxa"/>
              <w:start w:w="120" w:type="dxa"/>
              <w:bottom w:w="80" w:type="dxa"/>
              <w:end w:w="120" w:type="dxa"/>
            </w:tcMar>
            <w:vAlign w:val="center"/>
          </w:tcPr>
          <w:p>
            <w:pPr>
              <w:keepNext/>
            </w:pPr>
            <w:r>
              <w:rPr>
                <w:rFonts w:ascii="Calibri" w:hAnsi="Calibri"/>
                <w:b/>
                <w:color w:val="1F4E79"/>
                <w:sz w:val="14"/>
              </w:rPr>
              <w:t>Framework</w:t>
            </w:r>
          </w:p>
        </w:tc>
        <w:tc>
          <w:tcPr>
            <w:tcW w:type="dxa" w:w="2600"/>
            <w:shd w:fill="D9EAF7"/>
            <w:tcMar>
              <w:top w:w="80" w:type="dxa"/>
              <w:start w:w="120" w:type="dxa"/>
              <w:bottom w:w="80" w:type="dxa"/>
              <w:end w:w="120" w:type="dxa"/>
            </w:tcMar>
            <w:vAlign w:val="center"/>
          </w:tcPr>
          <w:p>
            <w:pPr>
              <w:keepNext/>
            </w:pPr>
            <w:r>
              <w:rPr>
                <w:rFonts w:ascii="Calibri" w:hAnsi="Calibri"/>
                <w:b/>
                <w:color w:val="1F4E79"/>
                <w:sz w:val="14"/>
              </w:rPr>
              <w:t>Edition / disposition</w:t>
            </w:r>
          </w:p>
        </w:tc>
        <w:tc>
          <w:tcPr>
            <w:tcW w:type="dxa" w:w="4660"/>
            <w:shd w:fill="D9EAF7"/>
            <w:tcMar>
              <w:top w:w="80" w:type="dxa"/>
              <w:start w:w="120" w:type="dxa"/>
              <w:bottom w:w="80" w:type="dxa"/>
              <w:end w:w="120" w:type="dxa"/>
            </w:tcMar>
            <w:vAlign w:val="center"/>
          </w:tcPr>
          <w:p>
            <w:pPr>
              <w:keepNext/>
            </w:pPr>
            <w:r>
              <w:rPr>
                <w:rFonts w:ascii="Calibri" w:hAnsi="Calibri"/>
                <w:b/>
                <w:color w:val="1F4E79"/>
                <w:sz w:val="14"/>
              </w:rPr>
              <w:t>Applied mapping</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LLM Top 10</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2025;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LLM01/02/03/05/06/07/09/10: injection, disclosure, supply chain, output handling, agency, leakage, misinformation and consumption.</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Agentic AI</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Top 10 for Agentic Applications 2026;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ASI01-06, ASI08-09; ASI07/10 when composed with other agents.</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MCP Top 10</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v0.1 (2025), early-version guidance;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MCP01-10, especially token exposure, scope creep, tool poisoning, contextual injection, audit and shadow servers.</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MITRE ATLAS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ATLAS-2026.06;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AML.T0051, T0010.005, T0053, T0057, T0080, T0083, T0086, T0098, T0109 and T0034.</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NIST AI RMF</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AI RMF 1.0 / AI 600-1;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GOVERN, MAP, MEASURE, MANAGE; privacy, information security, human-AI configuration, component integration and confabulation.</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CIS Controls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v8.1;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Controls 1-8, 10, 12-13, 15-18: inventory, configuration, access, vulnerability, logging, provider lifecycle and testing.</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ISO/IEC 27001</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27001:2022 + Amd 1:2024;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Annex A 5.9, 5.12-23, 5.24-34, 8.1-16, 8.20-32.</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NCSC secure AI</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v1.1 (2023);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Secure design, development, deployment, operation and maintenance.</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OWASP ASVS</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5.0.0 Level 2;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v5.0.0-1.2.4/5, 1.3.6, 8.1.1, 8.3.1, 10.2.1, 10.2.3, 10.4.6, 12.2.1, 13.1.4, 13.2.4.</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UK GDPR / DPA 2018</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Binding law;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Arts 5, 6, 9, 13/14, 22, 25, 28, 30, 32-35 and 44-49; DPIA screening required.</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FCA / PRA</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Rules and supervisory expectations;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FCA Principles 3/11, SYSC 15A and conditional SYSC 8; PRA Fundamental Rules, SS1/21 and SS2/21.</w:t>
            </w:r>
          </w:p>
        </w:tc>
      </w:tr>
      <w:tr>
        <w:trPr>
          <w:cantSplit/>
        </w:trPr>
        <w:tc>
          <w:tcPr>
            <w:tcW w:type="dxa" w:w="2100"/>
            <w:tcMar>
              <w:top w:w="80" w:type="dxa"/>
              <w:start w:w="120" w:type="dxa"/>
              <w:bottom w:w="80" w:type="dxa"/>
              <w:end w:w="120" w:type="dxa"/>
            </w:tcMar>
            <w:vAlign w:val="center"/>
          </w:tcPr>
          <w:p>
            <w:pPr>
              <w:spacing w:after="20" w:line="240" w:lineRule="auto"/>
            </w:pPr>
            <w:r>
              <w:rPr>
                <w:rFonts w:ascii="Calibri" w:hAnsi="Calibri"/>
                <w:sz w:val="14"/>
              </w:rPr>
              <w:t>PECR / EU DORA / PRA SS1/23</w:t>
            </w:r>
          </w:p>
        </w:tc>
        <w:tc>
          <w:tcPr>
            <w:tcW w:type="dxa" w:w="2600"/>
            <w:tcMar>
              <w:top w:w="80" w:type="dxa"/>
              <w:start w:w="120" w:type="dxa"/>
              <w:bottom w:w="80" w:type="dxa"/>
              <w:end w:w="120" w:type="dxa"/>
            </w:tcMar>
            <w:vAlign w:val="center"/>
          </w:tcPr>
          <w:p>
            <w:pPr>
              <w:spacing w:after="20" w:line="240" w:lineRule="auto"/>
            </w:pPr>
            <w:r>
              <w:rPr>
                <w:rFonts w:ascii="Calibri" w:hAnsi="Calibri"/>
                <w:sz w:val="14"/>
              </w:rPr>
              <w:t>Conditional or not applicable</w:t>
            </w:r>
          </w:p>
        </w:tc>
        <w:tc>
          <w:tcPr>
            <w:tcW w:type="dxa" w:w="4660"/>
            <w:tcMar>
              <w:top w:w="80" w:type="dxa"/>
              <w:start w:w="120" w:type="dxa"/>
              <w:bottom w:w="80" w:type="dxa"/>
              <w:end w:w="120" w:type="dxa"/>
            </w:tcMar>
            <w:vAlign w:val="center"/>
          </w:tcPr>
          <w:p>
            <w:pPr>
              <w:spacing w:after="20" w:line="240" w:lineRule="auto"/>
            </w:pPr>
            <w:r>
              <w:rPr>
                <w:rFonts w:ascii="Calibri" w:hAnsi="Calibri"/>
                <w:sz w:val="14"/>
              </w:rPr>
              <w:t>PECR only for relevant terminal/electronic communications use; DORA not triggered by UK status; SS1/23 is banks-only.</w:t>
            </w:r>
          </w:p>
        </w:tc>
      </w:tr>
    </w:tbl>
    <w:p>
      <w:pPr>
        <w:spacing w:after="40"/>
      </w:pPr>
    </w:p>
    <w:p>
      <w:pPr>
        <w:pStyle w:val="Heading2"/>
      </w:pPr>
      <w:r>
        <w:t>Enterprise controls and host verification</w:t>
      </w:r>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Allowlist the exact server identity, endpoint/package version and individual tools; disable wildcard tool grants.</w:t>
      </w:r>
    </w:p>
    <w:p>
      <w:pPr>
        <w:spacing w:after="160" w:line="280" w:lineRule="auto"/>
        <w:numPr>
          <w:ilvl w:val="0"/>
          <w:numId w:val="10"/>
        </w:numPr>
      </w:pPr>
      <w:r>
        <w:rPr>
          <w:rFonts w:ascii="Calibri" w:hAnsi="Calibri"/>
          <w:sz w:val="21"/>
        </w:rPr>
        <w:t>Use task-specific least-privilege identities, short-lived credentials and negative authorization tests.</w:t>
      </w:r>
    </w:p>
    <w:p>
      <w:pPr>
        <w:spacing w:after="160" w:line="280" w:lineRule="auto"/>
        <w:numPr>
          <w:ilvl w:val="0"/>
          <w:numId w:val="10"/>
        </w:numPr>
      </w:pPr>
      <w:r>
        <w:rPr>
          <w:rFonts w:ascii="Calibri" w:hAnsi="Calibri"/>
          <w:sz w:val="21"/>
        </w:rPr>
        <w:t>Treat every log, document, problem and tool response as untrusted data; block instruction-following from retrieved content.</w:t>
      </w:r>
    </w:p>
    <w:p>
      <w:pPr>
        <w:spacing w:after="160" w:line="280" w:lineRule="auto"/>
        <w:numPr>
          <w:ilvl w:val="0"/>
          <w:numId w:val="10"/>
        </w:numPr>
      </w:pPr>
      <w:r>
        <w:rPr>
          <w:rFonts w:ascii="Calibri" w:hAnsi="Calibri"/>
          <w:sz w:val="21"/>
        </w:rPr>
        <w:t>Require human review for DQL and all consequential outputs; prohibit automated claims, pricing, underwriting or customer decisions.</w:t>
      </w:r>
    </w:p>
    <w:p>
      <w:pPr>
        <w:spacing w:after="160" w:line="280" w:lineRule="auto"/>
        <w:numPr>
          <w:ilvl w:val="0"/>
          <w:numId w:val="10"/>
        </w:numPr>
      </w:pPr>
      <w:r>
        <w:rPr>
          <w:rFonts w:ascii="Calibri" w:hAnsi="Calibri"/>
          <w:sz w:val="21"/>
        </w:rPr>
        <w:t>Export auditable invocation records; alert on server/tool/schema changes, credential misuse, broad queries, write tools and unusual cost.</w:t>
      </w:r>
    </w:p>
    <w:p>
      <w:pPr>
        <w:pStyle w:val="Heading2"/>
      </w:pPr>
      <w:r>
        <w:t>Residual risk, confidence and IDE-specific limitations</w:t>
      </w:r>
      <w:r>
        <w:t xml:space="preserve">  </w:t>
      </w:r>
      <w:hyperlink w:anchor="CONTENTS">
        <w:r>
          <w:rPr>
            <w:rStyle w:val="Hyperlink"/>
            <w:sz w:val="14"/>
          </w:rPr>
          <w:t>Back to contents</w:t>
        </w:r>
      </w:hyperlink>
    </w:p>
    <w:p>
      <w:r>
        <w:rPr>
          <w:rFonts w:ascii="Calibri" w:hAnsi="Calibri"/>
          <w:sz w:val="21"/>
        </w:rPr>
        <w:t>Confidence is Medium: primary vendor and Microsoft documentation is current, but runtime behaviour, tenant policy enforcement, client secret storage, network traces and uninstall residue were not observed. Complete the host verification plan before operational approval.</w:t>
      </w:r>
    </w:p>
    <w:p>
      <w:bookmarkStart w:id="10" w:name="SKILLS"/>
      <w:pPr>
        <w:pStyle w:val="Heading1"/>
      </w:pPr>
      <w:r>
        <w:t>Installed Agent Skills</w:t>
      </w:r>
      <w:bookmarkEnd w:id="10"/>
      <w:r>
        <w:t xml:space="preserve">  </w:t>
      </w:r>
      <w:hyperlink w:anchor="CONTENTS">
        <w:r>
          <w:rPr>
            <w:rStyle w:val="Hyperlink"/>
            <w:sz w:val="14"/>
          </w:rPr>
          <w:t>Back to contents</w:t>
        </w:r>
      </w:hyperlink>
    </w:p>
    <w:p>
      <w:r>
        <w:rPr>
          <w:rFonts w:ascii="Calibri" w:hAnsi="Calibri"/>
          <w:sz w:val="21"/>
        </w:rPr>
        <w:t>Not applicable. No installed or bundled Agent Skill was identified for the hosted service in either IDE. MCP tools are not Agent Skills. Repository-specific instruction files supplied by future use cases must be assessed independently.</w:t>
      </w:r>
    </w:p>
    <w:p>
      <w:bookmarkStart w:id="11" w:name="CROSS_IDE"/>
      <w:pPr>
        <w:pStyle w:val="Heading1"/>
      </w:pPr>
      <w:r>
        <w:t>Cross-IDE and Composition Risk</w:t>
      </w:r>
      <w:bookmarkEnd w:id="11"/>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A read-only MCP can still disclose sensitive telemetry when composed with file, terminal, messaging, ticketing or deployment tools.</w:t>
      </w:r>
      <w:r>
        <w:t xml:space="preserve"> </w:t>
      </w:r>
      <w:hyperlink w:anchor="REF_003">
        <w:r>
          <w:rPr>
            <w:rStyle w:val="Hyperlink"/>
            <w:sz w:val="16"/>
          </w:rPr>
          <w:t>[REF-003]</w:t>
        </w:r>
      </w:hyperlink>
      <w:r>
        <w:t xml:space="preserve"> </w:t>
      </w:r>
      <w:hyperlink w:anchor="REF_009">
        <w:r>
          <w:rPr>
            <w:rStyle w:val="Hyperlink"/>
            <w:sz w:val="16"/>
          </w:rPr>
          <w:t>[REF-009]</w:t>
        </w:r>
      </w:hyperlink>
      <w:r>
        <w:t xml:space="preserve"> </w:t>
      </w:r>
      <w:hyperlink w:anchor="REF_010">
        <w:r>
          <w:rPr>
            <w:rStyle w:val="Hyperlink"/>
            <w:sz w:val="16"/>
          </w:rPr>
          <w:t>[REF-010]</w:t>
        </w:r>
      </w:hyperlink>
    </w:p>
    <w:p>
      <w:pPr>
        <w:spacing w:after="160" w:line="280" w:lineRule="auto"/>
        <w:numPr>
          <w:ilvl w:val="0"/>
          <w:numId w:val="10"/>
        </w:numPr>
      </w:pPr>
      <w:r>
        <w:rPr>
          <w:rFonts w:ascii="Calibri" w:hAnsi="Calibri"/>
          <w:sz w:val="21"/>
        </w:rPr>
        <w:t>Retrieved logs, documents and problem descriptions can contain attacker-controlled text that attempts to redirect the agent.</w:t>
      </w:r>
      <w:r>
        <w:t xml:space="preserve"> </w:t>
      </w:r>
      <w:hyperlink w:anchor="REF_003">
        <w:r>
          <w:rPr>
            <w:rStyle w:val="Hyperlink"/>
            <w:sz w:val="16"/>
          </w:rPr>
          <w:t>[REF-003]</w:t>
        </w:r>
      </w:hyperlink>
      <w:r>
        <w:t xml:space="preserve"> </w:t>
      </w:r>
      <w:hyperlink w:anchor="REF_009">
        <w:r>
          <w:rPr>
            <w:rStyle w:val="Hyperlink"/>
            <w:sz w:val="16"/>
          </w:rPr>
          <w:t>[REF-009]</w:t>
        </w:r>
      </w:hyperlink>
      <w:r>
        <w:t xml:space="preserve"> </w:t>
      </w:r>
      <w:hyperlink w:anchor="REF_010">
        <w:r>
          <w:rPr>
            <w:rStyle w:val="Hyperlink"/>
            <w:sz w:val="16"/>
          </w:rPr>
          <w:t>[REF-010]</w:t>
        </w:r>
      </w:hyperlink>
    </w:p>
    <w:p>
      <w:pPr>
        <w:spacing w:after="160" w:line="280" w:lineRule="auto"/>
        <w:numPr>
          <w:ilvl w:val="0"/>
          <w:numId w:val="10"/>
        </w:numPr>
      </w:pPr>
      <w:r>
        <w:rPr>
          <w:rFonts w:ascii="Calibri" w:hAnsi="Calibri"/>
          <w:sz w:val="21"/>
        </w:rPr>
        <w:t>A growing remote tool inventory can silently expand the approved capability boundary unless the client detects and blocks drift.</w:t>
      </w:r>
      <w:r>
        <w:t xml:space="preserve"> </w:t>
      </w:r>
      <w:hyperlink w:anchor="REF_003">
        <w:r>
          <w:rPr>
            <w:rStyle w:val="Hyperlink"/>
            <w:sz w:val="16"/>
          </w:rPr>
          <w:t>[REF-003]</w:t>
        </w:r>
      </w:hyperlink>
      <w:r>
        <w:t xml:space="preserve"> </w:t>
      </w:r>
      <w:hyperlink w:anchor="REF_009">
        <w:r>
          <w:rPr>
            <w:rStyle w:val="Hyperlink"/>
            <w:sz w:val="16"/>
          </w:rPr>
          <w:t>[REF-009]</w:t>
        </w:r>
      </w:hyperlink>
      <w:r>
        <w:t xml:space="preserve"> </w:t>
      </w:r>
      <w:hyperlink w:anchor="REF_010">
        <w:r>
          <w:rPr>
            <w:rStyle w:val="Hyperlink"/>
            <w:sz w:val="16"/>
          </w:rPr>
          <w:t>[REF-010]</w:t>
        </w:r>
      </w:hyperlink>
    </w:p>
    <w:p>
      <w:pPr>
        <w:spacing w:after="160" w:line="280" w:lineRule="auto"/>
        <w:numPr>
          <w:ilvl w:val="0"/>
          <w:numId w:val="10"/>
        </w:numPr>
      </w:pPr>
      <w:r>
        <w:rPr>
          <w:rFonts w:ascii="Calibri" w:hAnsi="Calibri"/>
          <w:sz w:val="21"/>
        </w:rPr>
        <w:t>Settings Sync or repository-stored MCP configuration can distribute endpoints and, if misconfigured, secrets across devices or teams.</w:t>
      </w:r>
      <w:r>
        <w:t xml:space="preserve"> </w:t>
      </w:r>
      <w:hyperlink w:anchor="REF_003">
        <w:r>
          <w:rPr>
            <w:rStyle w:val="Hyperlink"/>
            <w:sz w:val="16"/>
          </w:rPr>
          <w:t>[REF-003]</w:t>
        </w:r>
      </w:hyperlink>
      <w:r>
        <w:t xml:space="preserve"> </w:t>
      </w:r>
      <w:hyperlink w:anchor="REF_009">
        <w:r>
          <w:rPr>
            <w:rStyle w:val="Hyperlink"/>
            <w:sz w:val="16"/>
          </w:rPr>
          <w:t>[REF-009]</w:t>
        </w:r>
      </w:hyperlink>
      <w:r>
        <w:t xml:space="preserve"> </w:t>
      </w:r>
      <w:hyperlink w:anchor="REF_010">
        <w:r>
          <w:rPr>
            <w:rStyle w:val="Hyperlink"/>
            <w:sz w:val="16"/>
          </w:rPr>
          <w:t>[REF-010]</w:t>
        </w:r>
      </w:hyperlink>
    </w:p>
    <w:p>
      <w:bookmarkStart w:id="12" w:name="PRIVACY"/>
      <w:pPr>
        <w:pStyle w:val="Heading1"/>
      </w:pPr>
      <w:r>
        <w:t>Privacy and UK Insurance Assessment</w:t>
      </w:r>
      <w:bookmarkEnd w:id="12"/>
      <w:r>
        <w:t xml:space="preserve">  </w:t>
      </w:r>
      <w:hyperlink w:anchor="CONTENTS">
        <w:r>
          <w:rPr>
            <w:rStyle w:val="Hyperlink"/>
            <w:sz w:val="14"/>
          </w:rPr>
          <w:t>Back to contents</w:t>
        </w:r>
      </w:hyperlink>
    </w:p>
    <w:p>
      <w:r>
        <w:rPr>
          <w:rFonts w:ascii="Calibri" w:hAnsi="Calibri"/>
          <w:sz w:val="21"/>
        </w:rPr>
        <w:t>Observability content can include personal identifiers, IP addresses, user journeys, claims/customer information, employee data and special-category data. UK GDPR and DPA 2018 therefore apply unless a demonstrably non-personal segregated dataset is used. Complete a DPIA before production personal-data processing; document controller/processor/subprocessor roles, lawful basis, minimisation, transparency, retention, data-subject rights, transfers, deletion and breach handling.</w:t>
      </w:r>
      <w:r>
        <w:t xml:space="preserve"> </w:t>
      </w:r>
      <w:hyperlink w:anchor="REF_005">
        <w:r>
          <w:rPr>
            <w:rStyle w:val="Hyperlink"/>
            <w:sz w:val="16"/>
          </w:rPr>
          <w:t>[REF-005]</w:t>
        </w:r>
      </w:hyperlink>
      <w:r>
        <w:t xml:space="preserve"> </w:t>
      </w:r>
      <w:hyperlink w:anchor="REF_012">
        <w:r>
          <w:rPr>
            <w:rStyle w:val="Hyperlink"/>
            <w:sz w:val="16"/>
          </w:rPr>
          <w:t>[REF-012]</w:t>
        </w:r>
      </w:hyperlink>
      <w:r>
        <w:t xml:space="preserve"> </w:t>
      </w:r>
      <w:hyperlink w:anchor="REF_026">
        <w:r>
          <w:rPr>
            <w:rStyle w:val="Hyperlink"/>
            <w:sz w:val="16"/>
          </w:rPr>
          <w:t>[REF-026]</w:t>
        </w:r>
      </w:hyperlink>
      <w:r>
        <w:t xml:space="preserve"> </w:t>
      </w:r>
      <w:hyperlink w:anchor="REF_030">
        <w:r>
          <w:rPr>
            <w:rStyle w:val="Hyperlink"/>
            <w:sz w:val="16"/>
          </w:rPr>
          <w:t>[REF-030]</w:t>
        </w:r>
      </w:hyperlink>
      <w:r>
        <w:t xml:space="preserve"> </w:t>
      </w:r>
      <w:hyperlink w:anchor="REF_031">
        <w:r>
          <w:rPr>
            <w:rStyle w:val="Hyperlink"/>
            <w:sz w:val="16"/>
          </w:rPr>
          <w:t>[REF-031]</w:t>
        </w:r>
      </w:hyperlink>
    </w:p>
    <w:p>
      <w:r>
        <w:rPr>
          <w:rFonts w:ascii="Calibri" w:hAnsi="Calibri"/>
          <w:sz w:val="21"/>
        </w:rPr>
        <w:t>For an insurer, determine materiality and whether the service supports an important business service. Map dependencies, impact tolerances, scenario tests, continuity, audit rights, incident handling and exit. PRA SS1/23 is banks-only; EU DORA is not triggered solely by UK regulation; the critical-third-party regime does not directly designate Dynatrace on current public evidence.</w:t>
      </w:r>
      <w:r>
        <w:t xml:space="preserve"> </w:t>
      </w:r>
      <w:hyperlink w:anchor="REF_027">
        <w:r>
          <w:rPr>
            <w:rStyle w:val="Hyperlink"/>
            <w:sz w:val="16"/>
          </w:rPr>
          <w:t>[REF-027]</w:t>
        </w:r>
      </w:hyperlink>
      <w:r>
        <w:t xml:space="preserve"> </w:t>
      </w:r>
      <w:hyperlink w:anchor="REF_028">
        <w:r>
          <w:rPr>
            <w:rStyle w:val="Hyperlink"/>
            <w:sz w:val="16"/>
          </w:rPr>
          <w:t>[REF-028]</w:t>
        </w:r>
      </w:hyperlink>
      <w:r>
        <w:t xml:space="preserve"> </w:t>
      </w:r>
      <w:hyperlink w:anchor="REF_029">
        <w:r>
          <w:rPr>
            <w:rStyle w:val="Hyperlink"/>
            <w:sz w:val="16"/>
          </w:rPr>
          <w:t>[REF-029]</w:t>
        </w:r>
      </w:hyperlink>
      <w:r>
        <w:t xml:space="preserve"> </w:t>
      </w:r>
      <w:hyperlink w:anchor="REF_032">
        <w:r>
          <w:rPr>
            <w:rStyle w:val="Hyperlink"/>
            <w:sz w:val="16"/>
          </w:rPr>
          <w:t>[REF-032]</w:t>
        </w:r>
      </w:hyperlink>
      <w:r>
        <w:t xml:space="preserve"> </w:t>
      </w:r>
      <w:hyperlink w:anchor="REF_033">
        <w:r>
          <w:rPr>
            <w:rStyle w:val="Hyperlink"/>
            <w:sz w:val="16"/>
          </w:rPr>
          <w:t>[REF-033]</w:t>
        </w:r>
      </w:hyperlink>
      <w:r>
        <w:t xml:space="preserve"> </w:t>
      </w:r>
      <w:hyperlink w:anchor="REF_034">
        <w:r>
          <w:rPr>
            <w:rStyle w:val="Hyperlink"/>
            <w:sz w:val="16"/>
          </w:rPr>
          <w:t>[REF-034]</w:t>
        </w:r>
      </w:hyperlink>
    </w:p>
    <w:p>
      <w:bookmarkStart w:id="13" w:name="ROADMAP"/>
      <w:pPr>
        <w:pStyle w:val="Heading1"/>
      </w:pPr>
      <w:r>
        <w:t>Enterprise Controls Roadmap</w:t>
      </w:r>
      <w:bookmarkEnd w:id="13"/>
      <w:r>
        <w:t xml:space="preserve">  </w:t>
      </w:r>
      <w:hyperlink w:anchor="CONTENTS">
        <w:r>
          <w:rPr>
            <w:rStyle w:val="Hyperlink"/>
            <w:sz w:val="14"/>
          </w:rPr>
          <w:t>Back to contents</w:t>
        </w:r>
      </w:hyperlink>
    </w:p>
    <w:p>
      <w:pPr>
        <w:pStyle w:val="Caption"/>
      </w:pPr>
      <w:r>
        <w:t>Table 9. Prioritised control roadmap</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D9EAF7"/>
            <w:tcMar>
              <w:top w:w="80" w:type="dxa"/>
              <w:start w:w="120" w:type="dxa"/>
              <w:bottom w:w="80" w:type="dxa"/>
              <w:end w:w="120" w:type="dxa"/>
            </w:tcMar>
            <w:vAlign w:val="center"/>
          </w:tcPr>
          <w:p>
            <w:pPr>
              <w:keepNext/>
            </w:pPr>
            <w:r>
              <w:rPr>
                <w:rFonts w:ascii="Calibri" w:hAnsi="Calibri"/>
                <w:b/>
                <w:color w:val="1F4E79"/>
                <w:sz w:val="16"/>
              </w:rPr>
              <w:t>Gate</w:t>
            </w:r>
          </w:p>
        </w:tc>
        <w:tc>
          <w:tcPr>
            <w:tcW w:type="dxa" w:w="7460"/>
            <w:shd w:fill="D9EAF7"/>
            <w:tcMar>
              <w:top w:w="80" w:type="dxa"/>
              <w:start w:w="120" w:type="dxa"/>
              <w:bottom w:w="80" w:type="dxa"/>
              <w:end w:w="120" w:type="dxa"/>
            </w:tcMar>
            <w:vAlign w:val="center"/>
          </w:tcPr>
          <w:p>
            <w:pPr>
              <w:keepNext/>
            </w:pPr>
            <w:r>
              <w:rPr>
                <w:rFonts w:ascii="Calibri" w:hAnsi="Calibri"/>
                <w:b/>
                <w:color w:val="1F4E79"/>
                <w:sz w:val="16"/>
              </w:rPr>
              <w:t>Required control evidence</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Before pilot</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Dedicated non-production tenant/data; prohibit claims, health, payments, authentication and customer data; DPIA screen.</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Before connection</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Short-lived OAuth, secret-manager inputs, narrow user/token scopes, server and per-tool allowlist, no tools=* wildcard.</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Before use</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Prompt-injection controls, DQL review, output redaction, human validation and agent-composition boundary.</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Before production</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Executed DPA/service description, subprocessors/regions/transfers, retention/deletion, SLA scope, audit and incident evidence.</w:t>
            </w:r>
          </w:p>
        </w:tc>
      </w:tr>
      <w:tr>
        <w:trPr>
          <w:cantSplit/>
        </w:trPr>
        <w:tc>
          <w:tcPr>
            <w:tcW w:type="dxa" w:w="1900"/>
            <w:tcMar>
              <w:top w:w="80" w:type="dxa"/>
              <w:start w:w="120" w:type="dxa"/>
              <w:bottom w:w="80" w:type="dxa"/>
              <w:end w:w="120" w:type="dxa"/>
            </w:tcMar>
            <w:vAlign w:val="center"/>
          </w:tcPr>
          <w:p>
            <w:pPr>
              <w:spacing w:after="20" w:line="240" w:lineRule="auto"/>
            </w:pPr>
            <w:r>
              <w:rPr>
                <w:rFonts w:ascii="Calibri" w:hAnsi="Calibri"/>
                <w:sz w:val="16"/>
              </w:rPr>
              <w:t>Ongoing</w:t>
            </w:r>
          </w:p>
        </w:tc>
        <w:tc>
          <w:tcPr>
            <w:tcW w:type="dxa" w:w="7460"/>
            <w:tcMar>
              <w:top w:w="80" w:type="dxa"/>
              <w:start w:w="120" w:type="dxa"/>
              <w:bottom w:w="80" w:type="dxa"/>
              <w:end w:w="120" w:type="dxa"/>
            </w:tcMar>
            <w:vAlign w:val="center"/>
          </w:tcPr>
          <w:p>
            <w:pPr>
              <w:spacing w:after="20" w:line="240" w:lineRule="auto"/>
            </w:pPr>
            <w:r>
              <w:rPr>
                <w:rFonts w:ascii="Calibri" w:hAnsi="Calibri"/>
                <w:sz w:val="16"/>
              </w:rPr>
              <w:t>Tool/schema drift detection, invocation logging, quarterly access review, revocation/outage scenario tests and annual reassessment.</w:t>
            </w:r>
          </w:p>
        </w:tc>
      </w:tr>
    </w:tbl>
    <w:p>
      <w:pPr>
        <w:spacing w:after="40"/>
      </w:pPr>
    </w:p>
    <w:p>
      <w:bookmarkStart w:id="14" w:name="RISK_REGISTER"/>
      <w:pPr>
        <w:pStyle w:val="Heading1"/>
      </w:pPr>
      <w:r>
        <w:t>Consolidated Risk Register</w:t>
      </w:r>
      <w:bookmarkEnd w:id="14"/>
      <w:r>
        <w:t xml:space="preserve">  </w:t>
      </w:r>
      <w:hyperlink w:anchor="CONTENTS">
        <w:r>
          <w:rPr>
            <w:rStyle w:val="Hyperlink"/>
            <w:sz w:val="14"/>
          </w:rPr>
          <w:t>Back to contents</w:t>
        </w:r>
      </w:hyperlink>
    </w:p>
    <w:p>
      <w:r>
        <w:rPr>
          <w:rFonts w:ascii="Calibri" w:hAnsi="Calibri"/>
          <w:sz w:val="21"/>
        </w:rPr>
        <w:t>Legend: ID = unique finding; Risk = adverse scenario; Scope = affected component; Inherent = likelihood x impact before controls; Controls = verified control summary; Residual = re-scored likelihood x impact; Treatment = required action; Owner = accountable role. Bands: 1-4 Low, 5-9 Moderate, 10-16 High, 17-25 Critical.</w:t>
      </w:r>
    </w:p>
    <w:p>
      <w:pPr>
        <w:pStyle w:val="Caption"/>
      </w:pPr>
      <w:r>
        <w:t>Table 10. Consolidated risk register</w:t>
      </w:r>
    </w:p>
    <w:tbl>
      <w:tblPr>
        <w:tblStyle w:val="TableGrid"/>
        <w:tblW w:type="dxa" w:w="9360"/>
        <w:jc w:val="left"/>
        <w:tblLayout w:type="fixed"/>
        <w:tblLook w:firstColumn="1" w:firstRow="1" w:lastColumn="0" w:lastRow="0" w:noHBand="0" w:noVBand="1" w:val="04A0"/>
        <w:tblInd w:w="120" w:type="dxa"/>
      </w:tblPr>
      <w:tblGrid>
        <w:gridCol w:w="520"/>
        <w:gridCol w:w="1600"/>
        <w:gridCol w:w="900"/>
        <w:gridCol w:w="900"/>
        <w:gridCol w:w="1350"/>
        <w:gridCol w:w="900"/>
        <w:gridCol w:w="2050"/>
        <w:gridCol w:w="1140"/>
      </w:tblGrid>
      <w:tr>
        <w:trPr>
          <w:tblHeader w:val="true"/>
          <w:cantSplit/>
        </w:trPr>
        <w:tc>
          <w:tcPr>
            <w:tcW w:type="dxa" w:w="520"/>
            <w:shd w:fill="D9EAF7"/>
            <w:tcMar>
              <w:top w:w="80" w:type="dxa"/>
              <w:start w:w="120" w:type="dxa"/>
              <w:bottom w:w="80" w:type="dxa"/>
              <w:end w:w="120" w:type="dxa"/>
            </w:tcMar>
            <w:vAlign w:val="center"/>
          </w:tcPr>
          <w:p>
            <w:pPr>
              <w:keepNext/>
            </w:pPr>
            <w:r>
              <w:rPr>
                <w:rFonts w:ascii="Calibri" w:hAnsi="Calibri"/>
                <w:b/>
                <w:color w:val="1F4E79"/>
                <w:sz w:val="13"/>
              </w:rPr>
              <w:t>ID</w:t>
            </w:r>
          </w:p>
        </w:tc>
        <w:tc>
          <w:tcPr>
            <w:tcW w:type="dxa" w:w="1600"/>
            <w:shd w:fill="D9EAF7"/>
            <w:tcMar>
              <w:top w:w="80" w:type="dxa"/>
              <w:start w:w="120" w:type="dxa"/>
              <w:bottom w:w="80" w:type="dxa"/>
              <w:end w:w="120" w:type="dxa"/>
            </w:tcMar>
            <w:vAlign w:val="center"/>
          </w:tcPr>
          <w:p>
            <w:pPr>
              <w:keepNext/>
            </w:pPr>
            <w:r>
              <w:rPr>
                <w:rFonts w:ascii="Calibri" w:hAnsi="Calibri"/>
                <w:b/>
                <w:color w:val="1F4E79"/>
                <w:sz w:val="13"/>
              </w:rPr>
              <w:t>Risk</w:t>
            </w:r>
          </w:p>
        </w:tc>
        <w:tc>
          <w:tcPr>
            <w:tcW w:type="dxa" w:w="900"/>
            <w:shd w:fill="D9EAF7"/>
            <w:tcMar>
              <w:top w:w="80" w:type="dxa"/>
              <w:start w:w="120" w:type="dxa"/>
              <w:bottom w:w="80" w:type="dxa"/>
              <w:end w:w="120" w:type="dxa"/>
            </w:tcMar>
            <w:vAlign w:val="center"/>
          </w:tcPr>
          <w:p>
            <w:pPr>
              <w:keepNext/>
            </w:pPr>
            <w:r>
              <w:rPr>
                <w:rFonts w:ascii="Calibri" w:hAnsi="Calibri"/>
                <w:b/>
                <w:color w:val="1F4E79"/>
                <w:sz w:val="13"/>
              </w:rPr>
              <w:t>Scope</w:t>
            </w:r>
          </w:p>
        </w:tc>
        <w:tc>
          <w:tcPr>
            <w:tcW w:type="dxa" w:w="900"/>
            <w:shd w:fill="D9EAF7"/>
            <w:tcMar>
              <w:top w:w="80" w:type="dxa"/>
              <w:start w:w="120" w:type="dxa"/>
              <w:bottom w:w="80" w:type="dxa"/>
              <w:end w:w="120" w:type="dxa"/>
            </w:tcMar>
            <w:vAlign w:val="center"/>
          </w:tcPr>
          <w:p>
            <w:pPr>
              <w:keepNext/>
            </w:pPr>
            <w:r>
              <w:rPr>
                <w:rFonts w:ascii="Calibri" w:hAnsi="Calibri"/>
                <w:b/>
                <w:color w:val="1F4E79"/>
                <w:sz w:val="13"/>
              </w:rPr>
              <w:t>Inherent</w:t>
            </w:r>
          </w:p>
        </w:tc>
        <w:tc>
          <w:tcPr>
            <w:tcW w:type="dxa" w:w="1350"/>
            <w:shd w:fill="D9EAF7"/>
            <w:tcMar>
              <w:top w:w="80" w:type="dxa"/>
              <w:start w:w="120" w:type="dxa"/>
              <w:bottom w:w="80" w:type="dxa"/>
              <w:end w:w="120" w:type="dxa"/>
            </w:tcMar>
            <w:vAlign w:val="center"/>
          </w:tcPr>
          <w:p>
            <w:pPr>
              <w:keepNext/>
            </w:pPr>
            <w:r>
              <w:rPr>
                <w:rFonts w:ascii="Calibri" w:hAnsi="Calibri"/>
                <w:b/>
                <w:color w:val="1F4E79"/>
                <w:sz w:val="13"/>
              </w:rPr>
              <w:t>Controls</w:t>
            </w:r>
          </w:p>
        </w:tc>
        <w:tc>
          <w:tcPr>
            <w:tcW w:type="dxa" w:w="900"/>
            <w:shd w:fill="D9EAF7"/>
            <w:tcMar>
              <w:top w:w="80" w:type="dxa"/>
              <w:start w:w="120" w:type="dxa"/>
              <w:bottom w:w="80" w:type="dxa"/>
              <w:end w:w="120" w:type="dxa"/>
            </w:tcMar>
            <w:vAlign w:val="center"/>
          </w:tcPr>
          <w:p>
            <w:pPr>
              <w:keepNext/>
            </w:pPr>
            <w:r>
              <w:rPr>
                <w:rFonts w:ascii="Calibri" w:hAnsi="Calibri"/>
                <w:b/>
                <w:color w:val="1F4E79"/>
                <w:sz w:val="13"/>
              </w:rPr>
              <w:t>Residual</w:t>
            </w:r>
          </w:p>
        </w:tc>
        <w:tc>
          <w:tcPr>
            <w:tcW w:type="dxa" w:w="2050"/>
            <w:shd w:fill="D9EAF7"/>
            <w:tcMar>
              <w:top w:w="80" w:type="dxa"/>
              <w:start w:w="120" w:type="dxa"/>
              <w:bottom w:w="80" w:type="dxa"/>
              <w:end w:w="120" w:type="dxa"/>
            </w:tcMar>
            <w:vAlign w:val="center"/>
          </w:tcPr>
          <w:p>
            <w:pPr>
              <w:keepNext/>
            </w:pPr>
            <w:r>
              <w:rPr>
                <w:rFonts w:ascii="Calibri" w:hAnsi="Calibri"/>
                <w:b/>
                <w:color w:val="1F4E79"/>
                <w:sz w:val="13"/>
              </w:rPr>
              <w:t>Treatment</w:t>
            </w:r>
          </w:p>
        </w:tc>
        <w:tc>
          <w:tcPr>
            <w:tcW w:type="dxa" w:w="1140"/>
            <w:shd w:fill="D9EAF7"/>
            <w:tcMar>
              <w:top w:w="80" w:type="dxa"/>
              <w:start w:w="120" w:type="dxa"/>
              <w:bottom w:w="80" w:type="dxa"/>
              <w:end w:w="120" w:type="dxa"/>
            </w:tcMar>
            <w:vAlign w:val="center"/>
          </w:tcPr>
          <w:p>
            <w:pPr>
              <w:keepNext/>
            </w:pPr>
            <w:r>
              <w:rPr>
                <w:rFonts w:ascii="Calibri" w:hAnsi="Calibri"/>
                <w:b/>
                <w:color w:val="1F4E79"/>
                <w:sz w:val="13"/>
              </w:rPr>
              <w:t>Owner</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R-01</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Production/customer-data disclosure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Both IDEs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4x5=20 Critical</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Tenant scopes/masking; incomplete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3x5=15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Non-personal pilot; DPIA; field/bucket allowlists</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DPO / Data Owner</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R-02</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Bearer token exposure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Client config</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4x5=20 Critical</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PKCE/OAuth available; examples embed token</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2x5=10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Short-lived OAuth; secret store; rotation/revocation</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IAM</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R-03</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Prompt injection from retrieved data</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MCP results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4x5=20 Critical</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Read-oriented tools only</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3x5=15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Treat output as data; tool isolation; confirmation</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AI Security</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R-04</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Excessive DQL authorization</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Grail</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4x5=20 Critical</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User+token scopes; 1,000 rows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3x5=15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Task roles; negative tests; query policy</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Dynatrace Owner</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R-05</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Prompt/event retention ambiguity</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Dynatrace/LLM</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3x5=15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Trust controls; public privacy claims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3x4=12 High</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Written retention/access/deletion evidence</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DPO / Vendor Risk</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R-06</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Tool/schema drift</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Remote service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3x4=12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Client trust prompts; incomplete notice evidence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2x4=8 Moderate</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Per-tool allowlist and drift reapproval</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Platform Eng</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R-07</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Incorrect AI/DQL conclusions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Operations</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4x4=16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Human review possible</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2x4=8 Moderate</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No automated insurance decisions; validation</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Business Owner</w:t>
            </w:r>
          </w:p>
        </w:tc>
      </w:tr>
      <w:tr>
        <w:trPr>
          <w:cantSplit/>
        </w:trPr>
        <w:tc>
          <w:tcPr>
            <w:tcW w:type="dxa" w:w="520"/>
            <w:tcMar>
              <w:top w:w="80" w:type="dxa"/>
              <w:start w:w="120" w:type="dxa"/>
              <w:bottom w:w="80" w:type="dxa"/>
              <w:end w:w="120" w:type="dxa"/>
            </w:tcMar>
            <w:vAlign w:val="center"/>
          </w:tcPr>
          <w:p>
            <w:pPr>
              <w:spacing w:after="20" w:line="240" w:lineRule="auto"/>
            </w:pPr>
            <w:r>
              <w:rPr>
                <w:rFonts w:ascii="Calibri" w:hAnsi="Calibri"/>
                <w:sz w:val="13"/>
              </w:rPr>
              <w:t>R-08</w:t>
            </w:r>
          </w:p>
        </w:tc>
        <w:tc>
          <w:tcPr>
            <w:tcW w:type="dxa" w:w="1600"/>
            <w:tcMar>
              <w:top w:w="80" w:type="dxa"/>
              <w:start w:w="120" w:type="dxa"/>
              <w:bottom w:w="80" w:type="dxa"/>
              <w:end w:w="120" w:type="dxa"/>
            </w:tcMar>
            <w:vAlign w:val="center"/>
          </w:tcPr>
          <w:p>
            <w:pPr>
              <w:spacing w:after="20" w:line="240" w:lineRule="auto"/>
            </w:pPr>
            <w:r>
              <w:rPr>
                <w:rFonts w:ascii="Calibri" w:hAnsi="Calibri"/>
                <w:sz w:val="13"/>
              </w:rPr>
              <w:t>Availability/concentration</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SaaS chain</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3x4=12 High</w:t>
            </w:r>
          </w:p>
        </w:tc>
        <w:tc>
          <w:tcPr>
            <w:tcW w:type="dxa" w:w="1350"/>
            <w:tcMar>
              <w:top w:w="80" w:type="dxa"/>
              <w:start w:w="120" w:type="dxa"/>
              <w:bottom w:w="80" w:type="dxa"/>
              <w:end w:w="120" w:type="dxa"/>
            </w:tcMar>
            <w:vAlign w:val="center"/>
          </w:tcPr>
          <w:p>
            <w:pPr>
              <w:spacing w:after="20" w:line="240" w:lineRule="auto"/>
            </w:pPr>
            <w:r>
              <w:rPr>
                <w:rFonts w:ascii="Calibri" w:hAnsi="Calibri"/>
                <w:sz w:val="13"/>
              </w:rPr>
              <w:t>General SLA; MCP inclusion unknown</w:t>
            </w:r>
          </w:p>
        </w:tc>
        <w:tc>
          <w:tcPr>
            <w:tcW w:type="dxa" w:w="900"/>
            <w:tcMar>
              <w:top w:w="80" w:type="dxa"/>
              <w:start w:w="120" w:type="dxa"/>
              <w:bottom w:w="80" w:type="dxa"/>
              <w:end w:w="120" w:type="dxa"/>
            </w:tcMar>
            <w:vAlign w:val="center"/>
          </w:tcPr>
          <w:p>
            <w:pPr>
              <w:spacing w:after="20" w:line="240" w:lineRule="auto"/>
            </w:pPr>
            <w:r>
              <w:rPr>
                <w:rFonts w:ascii="Calibri" w:hAnsi="Calibri"/>
                <w:sz w:val="13"/>
              </w:rPr>
              <w:t>2x4=8 Moderate</w:t>
            </w:r>
          </w:p>
        </w:tc>
        <w:tc>
          <w:tcPr>
            <w:tcW w:type="dxa" w:w="2050"/>
            <w:tcMar>
              <w:top w:w="80" w:type="dxa"/>
              <w:start w:w="120" w:type="dxa"/>
              <w:bottom w:w="80" w:type="dxa"/>
              <w:end w:w="120" w:type="dxa"/>
            </w:tcMar>
            <w:vAlign w:val="center"/>
          </w:tcPr>
          <w:p>
            <w:pPr>
              <w:spacing w:after="20" w:line="240" w:lineRule="auto"/>
            </w:pPr>
            <w:r>
              <w:rPr>
                <w:rFonts w:ascii="Calibri" w:hAnsi="Calibri"/>
                <w:sz w:val="13"/>
              </w:rPr>
              <w:t>Impact mapping, fallback and exit tests</w:t>
            </w:r>
          </w:p>
        </w:tc>
        <w:tc>
          <w:tcPr>
            <w:tcW w:type="dxa" w:w="1140"/>
            <w:tcMar>
              <w:top w:w="80" w:type="dxa"/>
              <w:start w:w="120" w:type="dxa"/>
              <w:bottom w:w="80" w:type="dxa"/>
              <w:end w:w="120" w:type="dxa"/>
            </w:tcMar>
            <w:vAlign w:val="center"/>
          </w:tcPr>
          <w:p>
            <w:pPr>
              <w:spacing w:after="20" w:line="240" w:lineRule="auto"/>
            </w:pPr>
            <w:r>
              <w:rPr>
                <w:rFonts w:ascii="Calibri" w:hAnsi="Calibri"/>
                <w:sz w:val="13"/>
              </w:rPr>
              <w:t>Operational Resilience</w:t>
            </w:r>
          </w:p>
        </w:tc>
      </w:tr>
    </w:tbl>
    <w:p>
      <w:pPr>
        <w:spacing w:after="40"/>
      </w:pPr>
    </w:p>
    <w:p>
      <w:pPr>
        <w:pStyle w:val="Heading2"/>
      </w:pPr>
      <w:r>
        <w:t>R-01 - Production/customer-data disclosure</w:t>
      </w:r>
      <w:r>
        <w:t xml:space="preserve">  </w:t>
      </w:r>
      <w:hyperlink w:anchor="CONTENTS">
        <w:r>
          <w:rPr>
            <w:rStyle w:val="Hyperlink"/>
            <w:sz w:val="14"/>
          </w:rPr>
          <w:t>Back to contents</w:t>
        </w:r>
      </w:hyperlink>
    </w:p>
    <w:p>
      <w:r>
        <w:rPr>
          <w:rFonts w:ascii="Calibri" w:hAnsi="Calibri"/>
          <w:b/>
          <w:sz w:val="21"/>
        </w:rPr>
        <w:t xml:space="preserve">Threat scenario: </w:t>
      </w:r>
      <w:r>
        <w:rPr>
          <w:rFonts w:ascii="Calibri" w:hAnsi="Calibri"/>
          <w:sz w:val="21"/>
        </w:rPr>
        <w:t>An agent retrieves broad logs/RUM or documents containing policyholder or employee data and transmits it to an IDE/LLM context.</w:t>
      </w:r>
    </w:p>
    <w:p>
      <w:r>
        <w:rPr>
          <w:rFonts w:ascii="Calibri" w:hAnsi="Calibri"/>
          <w:b/>
          <w:sz w:val="21"/>
        </w:rPr>
        <w:t xml:space="preserve">Evidence: </w:t>
      </w:r>
      <w:r>
        <w:rPr>
          <w:rFonts w:ascii="Calibri" w:hAnsi="Calibri"/>
          <w:sz w:val="21"/>
        </w:rPr>
        <w:t>EVD-003, EVD-005</w:t>
      </w:r>
    </w:p>
    <w:p>
      <w:r>
        <w:rPr>
          <w:rFonts w:ascii="Calibri" w:hAnsi="Calibri"/>
          <w:b/>
          <w:sz w:val="21"/>
        </w:rPr>
        <w:t xml:space="preserve">Existing controls: </w:t>
      </w:r>
      <w:r>
        <w:rPr>
          <w:rFonts w:ascii="Calibri" w:hAnsi="Calibri"/>
          <w:sz w:val="21"/>
        </w:rPr>
        <w:t>User/token scopes and tenant security controls; effectiveness not tenant-tested.</w:t>
      </w:r>
    </w:p>
    <w:p>
      <w:r>
        <w:rPr>
          <w:rFonts w:ascii="Calibri" w:hAnsi="Calibri"/>
          <w:b/>
          <w:sz w:val="21"/>
        </w:rPr>
        <w:t xml:space="preserve">Required treatment and verification: </w:t>
      </w:r>
      <w:r>
        <w:rPr>
          <w:rFonts w:ascii="Calibri" w:hAnsi="Calibri"/>
          <w:sz w:val="21"/>
        </w:rPr>
        <w:t>Segregate pilot data; complete DPIA and field/bucket controls.</w:t>
      </w:r>
    </w:p>
    <w:p>
      <w:pPr>
        <w:pStyle w:val="Heading2"/>
      </w:pPr>
      <w:r>
        <w:t>R-02 - Bearer-token exposure</w:t>
      </w:r>
      <w:r>
        <w:t xml:space="preserve">  </w:t>
      </w:r>
      <w:hyperlink w:anchor="CONTENTS">
        <w:r>
          <w:rPr>
            <w:rStyle w:val="Hyperlink"/>
            <w:sz w:val="14"/>
          </w:rPr>
          <w:t>Back to contents</w:t>
        </w:r>
      </w:hyperlink>
    </w:p>
    <w:p>
      <w:r>
        <w:rPr>
          <w:rFonts w:ascii="Calibri" w:hAnsi="Calibri"/>
          <w:b/>
          <w:sz w:val="21"/>
        </w:rPr>
        <w:t xml:space="preserve">Threat scenario: </w:t>
      </w:r>
      <w:r>
        <w:rPr>
          <w:rFonts w:ascii="Calibri" w:hAnsi="Calibri"/>
          <w:sz w:val="21"/>
        </w:rPr>
        <w:t>A long-lived token embedded in workspace JSON is committed, synced or read by untrusted code.</w:t>
      </w:r>
    </w:p>
    <w:p>
      <w:r>
        <w:rPr>
          <w:rFonts w:ascii="Calibri" w:hAnsi="Calibri"/>
          <w:b/>
          <w:sz w:val="21"/>
        </w:rPr>
        <w:t xml:space="preserve">Evidence: </w:t>
      </w:r>
      <w:r>
        <w:rPr>
          <w:rFonts w:ascii="Calibri" w:hAnsi="Calibri"/>
          <w:sz w:val="21"/>
        </w:rPr>
        <w:t>EVD-001, EVD-004</w:t>
      </w:r>
    </w:p>
    <w:p>
      <w:r>
        <w:rPr>
          <w:rFonts w:ascii="Calibri" w:hAnsi="Calibri"/>
          <w:b/>
          <w:sz w:val="21"/>
        </w:rPr>
        <w:t xml:space="preserve">Existing controls: </w:t>
      </w:r>
      <w:r>
        <w:rPr>
          <w:rFonts w:ascii="Calibri" w:hAnsi="Calibri"/>
          <w:sz w:val="21"/>
        </w:rPr>
        <w:t>OAuth with PKCE exists; vendor sample still uses inline bearer token.</w:t>
      </w:r>
    </w:p>
    <w:p>
      <w:r>
        <w:rPr>
          <w:rFonts w:ascii="Calibri" w:hAnsi="Calibri"/>
          <w:b/>
          <w:sz w:val="21"/>
        </w:rPr>
        <w:t xml:space="preserve">Required treatment and verification: </w:t>
      </w:r>
      <w:r>
        <w:rPr>
          <w:rFonts w:ascii="Calibri" w:hAnsi="Calibri"/>
          <w:sz w:val="21"/>
        </w:rPr>
        <w:t>Use short-lived OAuth and managed secret inputs; test revocation.</w:t>
      </w:r>
    </w:p>
    <w:p>
      <w:pPr>
        <w:pStyle w:val="Heading2"/>
      </w:pPr>
      <w:r>
        <w:t>R-03 - Prompt injection</w:t>
      </w:r>
      <w:r>
        <w:t xml:space="preserve">  </w:t>
      </w:r>
      <w:hyperlink w:anchor="CONTENTS">
        <w:r>
          <w:rPr>
            <w:rStyle w:val="Hyperlink"/>
            <w:sz w:val="14"/>
          </w:rPr>
          <w:t>Back to contents</w:t>
        </w:r>
      </w:hyperlink>
    </w:p>
    <w:p>
      <w:r>
        <w:rPr>
          <w:rFonts w:ascii="Calibri" w:hAnsi="Calibri"/>
          <w:b/>
          <w:sz w:val="21"/>
        </w:rPr>
        <w:t xml:space="preserve">Threat scenario: </w:t>
      </w:r>
      <w:r>
        <w:rPr>
          <w:rFonts w:ascii="Calibri" w:hAnsi="Calibri"/>
          <w:sz w:val="21"/>
        </w:rPr>
        <w:t>Attacker-authored log/document content instructs the IDE agent to invoke other tools or disclose context.</w:t>
      </w:r>
    </w:p>
    <w:p>
      <w:r>
        <w:rPr>
          <w:rFonts w:ascii="Calibri" w:hAnsi="Calibri"/>
          <w:b/>
          <w:sz w:val="21"/>
        </w:rPr>
        <w:t xml:space="preserve">Evidence: </w:t>
      </w:r>
      <w:r>
        <w:rPr>
          <w:rFonts w:ascii="Calibri" w:hAnsi="Calibri"/>
          <w:sz w:val="21"/>
        </w:rPr>
        <w:t>EVD-003</w:t>
      </w:r>
    </w:p>
    <w:p>
      <w:r>
        <w:rPr>
          <w:rFonts w:ascii="Calibri" w:hAnsi="Calibri"/>
          <w:b/>
          <w:sz w:val="21"/>
        </w:rPr>
        <w:t xml:space="preserve">Existing controls: </w:t>
      </w:r>
      <w:r>
        <w:rPr>
          <w:rFonts w:ascii="Calibri" w:hAnsi="Calibri"/>
          <w:sz w:val="21"/>
        </w:rPr>
        <w:t>Read-oriented tool inventory reduces but does not eliminate composition risk.</w:t>
      </w:r>
    </w:p>
    <w:p>
      <w:r>
        <w:rPr>
          <w:rFonts w:ascii="Calibri" w:hAnsi="Calibri"/>
          <w:b/>
          <w:sz w:val="21"/>
        </w:rPr>
        <w:t xml:space="preserve">Required treatment and verification: </w:t>
      </w:r>
      <w:r>
        <w:rPr>
          <w:rFonts w:ascii="Calibri" w:hAnsi="Calibri"/>
          <w:sz w:val="21"/>
        </w:rPr>
        <w:t>Data/instruction separation, tool isolation and per-call confirmation.</w:t>
      </w:r>
    </w:p>
    <w:p>
      <w:bookmarkStart w:id="15" w:name="APPROVAL"/>
      <w:pPr>
        <w:pStyle w:val="Heading1"/>
      </w:pPr>
      <w:r>
        <w:t>Residual Risk and Approval</w:t>
      </w:r>
      <w:bookmarkEnd w:id="15"/>
      <w:r>
        <w:t xml:space="preserve">  </w:t>
      </w:r>
      <w:hyperlink w:anchor="CONTENTS">
        <w:r>
          <w:rPr>
            <w:rStyle w:val="Hyperlink"/>
            <w:sz w:val="14"/>
          </w:rPr>
          <w:t>Back to contents</w:t>
        </w:r>
      </w:hyperlink>
    </w:p>
    <w:p>
      <w:pPr>
        <w:spacing w:before="80" w:after="160"/>
        <w:ind w:left="173" w:right="173"/>
        <w:shd w:fill="F2F4F7"/>
        <w:pBdr>
          <w:left w:val="single" w:sz="20" w:space="8" w:color="9C6500"/>
        </w:pBdr>
      </w:pPr>
      <w:r>
        <w:rPr>
          <w:rFonts w:ascii="Calibri" w:hAnsi="Calibri"/>
          <w:b/>
          <w:color w:val="9C6500"/>
          <w:sz w:val="21"/>
        </w:rPr>
        <w:t xml:space="preserve">Approval: </w:t>
      </w:r>
      <w:r>
        <w:rPr>
          <w:rFonts w:ascii="Calibri" w:hAnsi="Calibri"/>
          <w:sz w:val="21"/>
        </w:rPr>
        <w:t>Approve with conditions for a non-production, read-only pilot only. Production/customer-data use is deferred until the contractual, privacy, advisory, tenant authorization and runtime host-verification evidence is accepted by Technology Risk, the DPO and the accountable business owner.</w:t>
      </w:r>
    </w:p>
    <w:p>
      <w:bookmarkStart w:id="16" w:name="LIMITATIONS"/>
      <w:pPr>
        <w:pStyle w:val="Heading1"/>
      </w:pPr>
      <w:r>
        <w:t>Limitations and Confidence</w:t>
      </w:r>
      <w:bookmarkEnd w:id="16"/>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No runtime installation, authentication, traffic capture, tool invocation, IDE cache inspection or uninstall test.</w:t>
      </w:r>
    </w:p>
    <w:p>
      <w:pPr>
        <w:spacing w:after="160" w:line="280" w:lineRule="auto"/>
        <w:numPr>
          <w:ilvl w:val="0"/>
          <w:numId w:val="10"/>
        </w:numPr>
      </w:pPr>
      <w:r>
        <w:rPr>
          <w:rFonts w:ascii="Calibri" w:hAnsi="Calibri"/>
          <w:sz w:val="21"/>
        </w:rPr>
        <w:t>No public immutable service build, SBOM, complete schemas, tenant-dependent tool inventory or MCP-specific advisory result.</w:t>
      </w:r>
    </w:p>
    <w:p>
      <w:pPr>
        <w:spacing w:after="160" w:line="280" w:lineRule="auto"/>
        <w:numPr>
          <w:ilvl w:val="0"/>
          <w:numId w:val="10"/>
        </w:numPr>
      </w:pPr>
      <w:r>
        <w:rPr>
          <w:rFonts w:ascii="Calibri" w:hAnsi="Calibri"/>
          <w:sz w:val="21"/>
        </w:rPr>
        <w:t>No executed contract, DPA schedule, subprocessor list, region selection, SLA inclusion or penetration-test evidence.</w:t>
      </w:r>
    </w:p>
    <w:p>
      <w:pPr>
        <w:spacing w:after="160" w:line="280" w:lineRule="auto"/>
        <w:numPr>
          <w:ilvl w:val="0"/>
          <w:numId w:val="10"/>
        </w:numPr>
      </w:pPr>
      <w:r>
        <w:rPr>
          <w:rFonts w:ascii="Calibri" w:hAnsi="Calibri"/>
          <w:sz w:val="21"/>
        </w:rPr>
        <w:t>Visual Studio compatibility is inferred from Microsoft MCP support, not verified by Dynatrace-specific instructions.</w:t>
      </w:r>
    </w:p>
    <w:p>
      <w:pPr>
        <w:spacing w:after="160" w:line="280" w:lineRule="auto"/>
        <w:numPr>
          <w:ilvl w:val="0"/>
          <w:numId w:val="10"/>
        </w:numPr>
      </w:pPr>
      <w:r>
        <w:rPr>
          <w:rFonts w:ascii="Calibri" w:hAnsi="Calibri"/>
          <w:sz w:val="21"/>
        </w:rPr>
        <w:t>Medium overall confidence; risk severity is not reduced because evidence is incomplete.</w:t>
      </w:r>
    </w:p>
    <w:p>
      <w:bookmarkStart w:id="17" w:name="EVIDENCE"/>
      <w:pPr>
        <w:pStyle w:val="Heading1"/>
      </w:pPr>
      <w:r>
        <w:t>Evidence Register</w:t>
      </w:r>
      <w:bookmarkEnd w:id="17"/>
      <w:r>
        <w:t xml:space="preserve">  </w:t>
      </w:r>
      <w:hyperlink w:anchor="CONTENTS">
        <w:r>
          <w:rPr>
            <w:rStyle w:val="Hyperlink"/>
            <w:sz w:val="14"/>
          </w:rPr>
          <w:t>Back to contents</w:t>
        </w:r>
      </w:hyperlink>
    </w:p>
    <w:p>
      <w:pPr>
        <w:pStyle w:val="Caption"/>
      </w:pPr>
      <w:r>
        <w:t>Table 11. Evidence register</w:t>
      </w:r>
    </w:p>
    <w:tbl>
      <w:tblPr>
        <w:tblStyle w:val="TableGrid"/>
        <w:tblW w:type="dxa" w:w="9360"/>
        <w:jc w:val="left"/>
        <w:tblLayout w:type="fixed"/>
        <w:tblLook w:firstColumn="1" w:firstRow="1" w:lastColumn="0" w:lastRow="0" w:noHBand="0" w:noVBand="1" w:val="04A0"/>
        <w:tblInd w:w="120" w:type="dxa"/>
      </w:tblPr>
      <w:tblGrid>
        <w:gridCol w:w="900"/>
        <w:gridCol w:w="1200"/>
        <w:gridCol w:w="2700"/>
        <w:gridCol w:w="2100"/>
        <w:gridCol w:w="2460"/>
      </w:tblGrid>
      <w:tr>
        <w:trPr>
          <w:tblHeader w:val="true"/>
          <w:cantSplit/>
        </w:trPr>
        <w:tc>
          <w:tcPr>
            <w:tcW w:type="dxa" w:w="900"/>
            <w:shd w:fill="D9EAF7"/>
            <w:tcMar>
              <w:top w:w="80" w:type="dxa"/>
              <w:start w:w="120" w:type="dxa"/>
              <w:bottom w:w="80" w:type="dxa"/>
              <w:end w:w="120" w:type="dxa"/>
            </w:tcMar>
            <w:vAlign w:val="center"/>
          </w:tcPr>
          <w:p>
            <w:pPr>
              <w:keepNext/>
            </w:pPr>
            <w:r>
              <w:rPr>
                <w:rFonts w:ascii="Calibri" w:hAnsi="Calibri"/>
                <w:b/>
                <w:color w:val="1F4E79"/>
                <w:sz w:val="14"/>
              </w:rPr>
              <w:t>ID</w:t>
            </w:r>
          </w:p>
        </w:tc>
        <w:tc>
          <w:tcPr>
            <w:tcW w:type="dxa" w:w="1200"/>
            <w:shd w:fill="D9EAF7"/>
            <w:tcMar>
              <w:top w:w="80" w:type="dxa"/>
              <w:start w:w="120" w:type="dxa"/>
              <w:bottom w:w="80" w:type="dxa"/>
              <w:end w:w="120" w:type="dxa"/>
            </w:tcMar>
            <w:vAlign w:val="center"/>
          </w:tcPr>
          <w:p>
            <w:pPr>
              <w:keepNext/>
            </w:pPr>
            <w:r>
              <w:rPr>
                <w:rFonts w:ascii="Calibri" w:hAnsi="Calibri"/>
                <w:b/>
                <w:color w:val="1F4E79"/>
                <w:sz w:val="14"/>
              </w:rPr>
              <w:t>State</w:t>
            </w:r>
          </w:p>
        </w:tc>
        <w:tc>
          <w:tcPr>
            <w:tcW w:type="dxa" w:w="2700"/>
            <w:shd w:fill="D9EAF7"/>
            <w:tcMar>
              <w:top w:w="80" w:type="dxa"/>
              <w:start w:w="120" w:type="dxa"/>
              <w:bottom w:w="80" w:type="dxa"/>
              <w:end w:w="120" w:type="dxa"/>
            </w:tcMar>
            <w:vAlign w:val="center"/>
          </w:tcPr>
          <w:p>
            <w:pPr>
              <w:keepNext/>
            </w:pPr>
            <w:r>
              <w:rPr>
                <w:rFonts w:ascii="Calibri" w:hAnsi="Calibri"/>
                <w:b/>
                <w:color w:val="1F4E79"/>
                <w:sz w:val="14"/>
              </w:rPr>
              <w:t>Evidence</w:t>
            </w:r>
          </w:p>
        </w:tc>
        <w:tc>
          <w:tcPr>
            <w:tcW w:type="dxa" w:w="2100"/>
            <w:shd w:fill="D9EAF7"/>
            <w:tcMar>
              <w:top w:w="80" w:type="dxa"/>
              <w:start w:w="120" w:type="dxa"/>
              <w:bottom w:w="80" w:type="dxa"/>
              <w:end w:w="120" w:type="dxa"/>
            </w:tcMar>
            <w:vAlign w:val="center"/>
          </w:tcPr>
          <w:p>
            <w:pPr>
              <w:keepNext/>
            </w:pPr>
            <w:r>
              <w:rPr>
                <w:rFonts w:ascii="Calibri" w:hAnsi="Calibri"/>
                <w:b/>
                <w:color w:val="1F4E79"/>
                <w:sz w:val="14"/>
              </w:rPr>
              <w:t>Source</w:t>
            </w:r>
          </w:p>
        </w:tc>
        <w:tc>
          <w:tcPr>
            <w:tcW w:type="dxa" w:w="2460"/>
            <w:shd w:fill="D9EAF7"/>
            <w:tcMar>
              <w:top w:w="80" w:type="dxa"/>
              <w:start w:w="120" w:type="dxa"/>
              <w:bottom w:w="80" w:type="dxa"/>
              <w:end w:w="120" w:type="dxa"/>
            </w:tcMar>
            <w:vAlign w:val="center"/>
          </w:tcPr>
          <w:p>
            <w:pPr>
              <w:keepNext/>
            </w:pPr>
            <w:r>
              <w:rPr>
                <w:rFonts w:ascii="Calibri" w:hAnsi="Calibri"/>
                <w:b/>
                <w:color w:val="1F4E79"/>
                <w:sz w:val="14"/>
              </w:rPr>
              <w:t>Limitation</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EVD-001</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Hosted endpoint, scopes and VS Code example</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Dynatrace MCP docs</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Current public documentation</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EVD-002</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GA status and provider</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Dynatrace Hub / announcement</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No immutable build identifier</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EVD-003</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13 published read-oriented tools; 4 Preview</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Dynatrace MCP tools Hub</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Schemas not public</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EVD-004</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Token/OAuth properties</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Dynatrace IAM docs</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Host storage not observed</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EVD-005</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Verified / Unknown</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AI processing and event fields; retention gaps</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Dynatrace privacy/system model</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MCP-specific rules unclear</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EVD-006</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Inferred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Visual Studio protocol compatibility</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Microsoft Visual Studio docs</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No vendor-specific validation</w:t>
            </w:r>
          </w:p>
        </w:tc>
      </w:tr>
      <w:tr>
        <w:trPr>
          <w:cantSplit/>
        </w:trPr>
        <w:tc>
          <w:tcPr>
            <w:tcW w:type="dxa" w:w="900"/>
            <w:tcMar>
              <w:top w:w="80" w:type="dxa"/>
              <w:start w:w="120" w:type="dxa"/>
              <w:bottom w:w="80" w:type="dxa"/>
              <w:end w:w="120" w:type="dxa"/>
            </w:tcMar>
            <w:vAlign w:val="center"/>
          </w:tcPr>
          <w:p>
            <w:pPr>
              <w:spacing w:after="20" w:line="240" w:lineRule="auto"/>
            </w:pPr>
            <w:r>
              <w:rPr>
                <w:rFonts w:ascii="Calibri" w:hAnsi="Calibri"/>
                <w:sz w:val="14"/>
              </w:rPr>
              <w:t>EVD-007</w:t>
            </w:r>
          </w:p>
        </w:tc>
        <w:tc>
          <w:tcPr>
            <w:tcW w:type="dxa" w:w="1200"/>
            <w:tcMar>
              <w:top w:w="80" w:type="dxa"/>
              <w:start w:w="120" w:type="dxa"/>
              <w:bottom w:w="80" w:type="dxa"/>
              <w:end w:w="120" w:type="dxa"/>
            </w:tcMar>
            <w:vAlign w:val="center"/>
          </w:tcPr>
          <w:p>
            <w:pPr>
              <w:spacing w:after="20" w:line="240" w:lineRule="auto"/>
            </w:pPr>
            <w:r>
              <w:rPr>
                <w:rFonts w:ascii="Calibri" w:hAnsi="Calibri"/>
                <w:sz w:val="14"/>
              </w:rPr>
              <w:t>Not observed</w:t>
            </w:r>
          </w:p>
        </w:tc>
        <w:tc>
          <w:tcPr>
            <w:tcW w:type="dxa" w:w="2700"/>
            <w:tcMar>
              <w:top w:w="80" w:type="dxa"/>
              <w:start w:w="120" w:type="dxa"/>
              <w:bottom w:w="80" w:type="dxa"/>
              <w:end w:w="120" w:type="dxa"/>
            </w:tcMar>
            <w:vAlign w:val="center"/>
          </w:tcPr>
          <w:p>
            <w:pPr>
              <w:spacing w:after="20" w:line="240" w:lineRule="auto"/>
            </w:pPr>
            <w:r>
              <w:rPr>
                <w:rFonts w:ascii="Calibri" w:hAnsi="Calibri"/>
                <w:sz w:val="14"/>
              </w:rPr>
              <w:t>Local package, Agent Skills, services/tasks</w:t>
            </w:r>
          </w:p>
        </w:tc>
        <w:tc>
          <w:tcPr>
            <w:tcW w:type="dxa" w:w="2100"/>
            <w:tcMar>
              <w:top w:w="80" w:type="dxa"/>
              <w:start w:w="120" w:type="dxa"/>
              <w:bottom w:w="80" w:type="dxa"/>
              <w:end w:w="120" w:type="dxa"/>
            </w:tcMar>
            <w:vAlign w:val="center"/>
          </w:tcPr>
          <w:p>
            <w:pPr>
              <w:spacing w:after="20" w:line="240" w:lineRule="auto"/>
            </w:pPr>
            <w:r>
              <w:rPr>
                <w:rFonts w:ascii="Calibri" w:hAnsi="Calibri"/>
                <w:sz w:val="14"/>
              </w:rPr>
              <w:t>Static delivery-model review</w:t>
            </w:r>
          </w:p>
        </w:tc>
        <w:tc>
          <w:tcPr>
            <w:tcW w:type="dxa" w:w="2460"/>
            <w:tcMar>
              <w:top w:w="80" w:type="dxa"/>
              <w:start w:w="120" w:type="dxa"/>
              <w:bottom w:w="80" w:type="dxa"/>
              <w:end w:w="120" w:type="dxa"/>
            </w:tcMar>
            <w:vAlign w:val="center"/>
          </w:tcPr>
          <w:p>
            <w:pPr>
              <w:spacing w:after="20" w:line="240" w:lineRule="auto"/>
            </w:pPr>
            <w:r>
              <w:rPr>
                <w:rFonts w:ascii="Calibri" w:hAnsi="Calibri"/>
                <w:sz w:val="14"/>
              </w:rPr>
              <w:t>Runtime required for host state</w:t>
            </w:r>
          </w:p>
        </w:tc>
      </w:tr>
    </w:tbl>
    <w:p>
      <w:pPr>
        <w:spacing w:after="40"/>
      </w:pPr>
    </w:p>
    <w:p>
      <w:bookmarkStart w:id="18" w:name="REFERENCES"/>
      <w:pPr>
        <w:pStyle w:val="Heading1"/>
      </w:pPr>
      <w:r>
        <w:t>References</w:t>
      </w:r>
      <w:bookmarkEnd w:id="18"/>
      <w:r>
        <w:t xml:space="preserve">  </w:t>
      </w:r>
      <w:hyperlink w:anchor="CONTENTS">
        <w:r>
          <w:rPr>
            <w:rStyle w:val="Hyperlink"/>
            <w:sz w:val="14"/>
          </w:rPr>
          <w:t>Back to contents</w:t>
        </w:r>
      </w:hyperlink>
    </w:p>
    <w:p>
      <w:r>
        <w:rPr>
          <w:rFonts w:ascii="Calibri" w:hAnsi="Calibri"/>
          <w:sz w:val="21"/>
        </w:rPr>
        <w:t>Reference entries were accessed on 25 July 2026. In-text [REF-nnn] links jump to these entries; each source title links to the external primary source.</w:t>
      </w:r>
    </w:p>
    <w:p>
      <w:pPr>
        <w:pStyle w:val="Caption"/>
      </w:pPr>
      <w:r>
        <w:t>Table 12. Reference register</w:t>
      </w:r>
    </w:p>
    <w:tbl>
      <w:tblPr>
        <w:tblStyle w:val="TableGrid"/>
        <w:tblW w:type="dxa" w:w="9360"/>
        <w:jc w:val="left"/>
        <w:tblLayout w:type="fixed"/>
        <w:tblLook w:firstColumn="1" w:firstRow="1" w:lastColumn="0" w:lastRow="0" w:noHBand="0" w:noVBand="1" w:val="04A0"/>
        <w:tblInd w:w="120" w:type="dxa"/>
      </w:tblPr>
      <w:tblGrid>
        <w:gridCol w:w="1000"/>
        <w:gridCol w:w="5000"/>
        <w:gridCol w:w="3360"/>
      </w:tblGrid>
      <w:tr>
        <w:trPr>
          <w:tblHeader w:val="true"/>
          <w:cantSplit/>
        </w:trPr>
        <w:tc>
          <w:tcPr>
            <w:tcW w:type="dxa" w:w="1000"/>
            <w:shd w:fill="D9EAF7"/>
            <w:tcMar>
              <w:top w:w="80" w:type="dxa"/>
              <w:start w:w="120" w:type="dxa"/>
              <w:bottom w:w="80" w:type="dxa"/>
              <w:end w:w="120" w:type="dxa"/>
            </w:tcMar>
            <w:vAlign w:val="center"/>
          </w:tcPr>
          <w:p>
            <w:pPr>
              <w:keepNext/>
            </w:pPr>
            <w:r>
              <w:t>ID</w:t>
            </w:r>
          </w:p>
        </w:tc>
        <w:tc>
          <w:tcPr>
            <w:tcW w:type="dxa" w:w="5000"/>
            <w:shd w:fill="D9EAF7"/>
            <w:tcMar>
              <w:top w:w="80" w:type="dxa"/>
              <w:start w:w="120" w:type="dxa"/>
              <w:bottom w:w="80" w:type="dxa"/>
              <w:end w:w="120" w:type="dxa"/>
            </w:tcMar>
            <w:vAlign w:val="center"/>
          </w:tcPr>
          <w:p>
            <w:pPr>
              <w:keepNext/>
            </w:pPr>
            <w:r>
              <w:t>Primary source</w:t>
            </w:r>
          </w:p>
        </w:tc>
        <w:tc>
          <w:tcPr>
            <w:tcW w:type="dxa" w:w="3360"/>
            <w:shd w:fill="D9EAF7"/>
            <w:tcMar>
              <w:top w:w="80" w:type="dxa"/>
              <w:start w:w="120" w:type="dxa"/>
              <w:bottom w:w="80" w:type="dxa"/>
              <w:end w:w="120" w:type="dxa"/>
            </w:tcMar>
            <w:vAlign w:val="center"/>
          </w:tcPr>
          <w:p>
            <w:pPr>
              <w:keepNext/>
            </w:pPr>
            <w:r>
              <w:t>Applicability / status</w:t>
            </w:r>
          </w:p>
        </w:tc>
      </w:tr>
      <w:tr>
        <w:trPr>
          <w:cantSplit/>
        </w:trPr>
        <w:tc>
          <w:tcPr>
            <w:tcW w:type="dxa" w:w="1000"/>
            <w:tcMar>
              <w:top w:w="80" w:type="dxa"/>
              <w:start w:w="120" w:type="dxa"/>
              <w:bottom w:w="80" w:type="dxa"/>
              <w:end w:w="120" w:type="dxa"/>
            </w:tcMar>
            <w:vAlign w:val="center"/>
          </w:tcPr>
          <w:p>
            <w:pPr>
              <w:spacing w:after="20"/>
            </w:pPr>
            <w:bookmarkStart w:id="19" w:name="REF_001"/>
            <w:r>
              <w:rPr>
                <w:rFonts w:ascii="Calibri" w:hAnsi="Calibri"/>
                <w:sz w:val="16"/>
              </w:rPr>
              <w:t>REF-001</w:t>
            </w:r>
            <w:bookmarkEnd w:id="19"/>
          </w:p>
        </w:tc>
        <w:tc>
          <w:tcPr>
            <w:tcW w:type="dxa" w:w="5000"/>
            <w:tcMar>
              <w:top w:w="80" w:type="dxa"/>
              <w:start w:w="120" w:type="dxa"/>
              <w:bottom w:w="80" w:type="dxa"/>
              <w:end w:w="120" w:type="dxa"/>
            </w:tcMar>
            <w:vAlign w:val="center"/>
          </w:tcPr>
          <w:p>
            <w:pPr>
              <w:spacing w:after="20"/>
            </w:pPr>
            <w:hyperlink r:id="rId12">
              <w:r>
                <w:rPr>
                  <w:rStyle w:val="Hyperlink"/>
                  <w:sz w:val="16"/>
                </w:rPr>
                <w:t>Dynatrace MCP server documentation</w:t>
              </w:r>
            </w:hyperlink>
          </w:p>
        </w:tc>
        <w:tc>
          <w:tcPr>
            <w:tcW w:type="dxa" w:w="3360"/>
            <w:tcMar>
              <w:top w:w="80" w:type="dxa"/>
              <w:start w:w="120" w:type="dxa"/>
              <w:bottom w:w="80" w:type="dxa"/>
              <w:end w:w="120" w:type="dxa"/>
            </w:tcMar>
            <w:vAlign w:val="center"/>
          </w:tcPr>
          <w:p>
            <w:pPr>
              <w:spacing w:after="20"/>
            </w:pPr>
            <w:r>
              <w:rPr>
                <w:rFonts w:ascii="Calibri" w:hAnsi="Calibri"/>
                <w:sz w:val="16"/>
              </w:rPr>
              <w:t>Current product configuration</w:t>
            </w:r>
          </w:p>
        </w:tc>
      </w:tr>
      <w:tr>
        <w:trPr>
          <w:cantSplit/>
        </w:trPr>
        <w:tc>
          <w:tcPr>
            <w:tcW w:type="dxa" w:w="1000"/>
            <w:tcMar>
              <w:top w:w="80" w:type="dxa"/>
              <w:start w:w="120" w:type="dxa"/>
              <w:bottom w:w="80" w:type="dxa"/>
              <w:end w:w="120" w:type="dxa"/>
            </w:tcMar>
            <w:vAlign w:val="center"/>
          </w:tcPr>
          <w:p>
            <w:pPr>
              <w:spacing w:after="20"/>
            </w:pPr>
            <w:bookmarkStart w:id="20" w:name="REF_002"/>
            <w:r>
              <w:rPr>
                <w:rFonts w:ascii="Calibri" w:hAnsi="Calibri"/>
                <w:sz w:val="16"/>
              </w:rPr>
              <w:t>REF-002</w:t>
            </w:r>
            <w:bookmarkEnd w:id="20"/>
          </w:p>
        </w:tc>
        <w:tc>
          <w:tcPr>
            <w:tcW w:type="dxa" w:w="5000"/>
            <w:tcMar>
              <w:top w:w="80" w:type="dxa"/>
              <w:start w:w="120" w:type="dxa"/>
              <w:bottom w:w="80" w:type="dxa"/>
              <w:end w:w="120" w:type="dxa"/>
            </w:tcMar>
            <w:vAlign w:val="center"/>
          </w:tcPr>
          <w:p>
            <w:pPr>
              <w:spacing w:after="20"/>
            </w:pPr>
            <w:hyperlink r:id="rId13">
              <w:r>
                <w:rPr>
                  <w:rStyle w:val="Hyperlink"/>
                  <w:sz w:val="16"/>
                </w:rPr>
                <w:t>Dynatrace MCP Server Hub listing</w:t>
              </w:r>
            </w:hyperlink>
          </w:p>
        </w:tc>
        <w:tc>
          <w:tcPr>
            <w:tcW w:type="dxa" w:w="3360"/>
            <w:tcMar>
              <w:top w:w="80" w:type="dxa"/>
              <w:start w:w="120" w:type="dxa"/>
              <w:bottom w:w="80" w:type="dxa"/>
              <w:end w:w="120" w:type="dxa"/>
            </w:tcMar>
            <w:vAlign w:val="center"/>
          </w:tcPr>
          <w:p>
            <w:pPr>
              <w:spacing w:after="20"/>
            </w:pPr>
            <w:r>
              <w:rPr>
                <w:rFonts w:ascii="Calibri" w:hAnsi="Calibri"/>
                <w:sz w:val="16"/>
              </w:rPr>
              <w:t>Current GA provider listing</w:t>
            </w:r>
          </w:p>
        </w:tc>
      </w:tr>
      <w:tr>
        <w:trPr>
          <w:cantSplit/>
        </w:trPr>
        <w:tc>
          <w:tcPr>
            <w:tcW w:type="dxa" w:w="1000"/>
            <w:tcMar>
              <w:top w:w="80" w:type="dxa"/>
              <w:start w:w="120" w:type="dxa"/>
              <w:bottom w:w="80" w:type="dxa"/>
              <w:end w:w="120" w:type="dxa"/>
            </w:tcMar>
            <w:vAlign w:val="center"/>
          </w:tcPr>
          <w:p>
            <w:pPr>
              <w:spacing w:after="20"/>
            </w:pPr>
            <w:bookmarkStart w:id="21" w:name="REF_003"/>
            <w:r>
              <w:rPr>
                <w:rFonts w:ascii="Calibri" w:hAnsi="Calibri"/>
                <w:sz w:val="16"/>
              </w:rPr>
              <w:t>REF-003</w:t>
            </w:r>
            <w:bookmarkEnd w:id="21"/>
          </w:p>
        </w:tc>
        <w:tc>
          <w:tcPr>
            <w:tcW w:type="dxa" w:w="5000"/>
            <w:tcMar>
              <w:top w:w="80" w:type="dxa"/>
              <w:start w:w="120" w:type="dxa"/>
              <w:bottom w:w="80" w:type="dxa"/>
              <w:end w:w="120" w:type="dxa"/>
            </w:tcMar>
            <w:vAlign w:val="center"/>
          </w:tcPr>
          <w:p>
            <w:pPr>
              <w:spacing w:after="20"/>
            </w:pPr>
            <w:hyperlink r:id="rId14">
              <w:r>
                <w:rPr>
                  <w:rStyle w:val="Hyperlink"/>
                  <w:sz w:val="16"/>
                </w:rPr>
                <w:t>Dynatrace MCP Server Tools</w:t>
              </w:r>
            </w:hyperlink>
          </w:p>
        </w:tc>
        <w:tc>
          <w:tcPr>
            <w:tcW w:type="dxa" w:w="3360"/>
            <w:tcMar>
              <w:top w:w="80" w:type="dxa"/>
              <w:start w:w="120" w:type="dxa"/>
              <w:bottom w:w="80" w:type="dxa"/>
              <w:end w:w="120" w:type="dxa"/>
            </w:tcMar>
            <w:vAlign w:val="center"/>
          </w:tcPr>
          <w:p>
            <w:pPr>
              <w:spacing w:after="20"/>
            </w:pPr>
            <w:r>
              <w:rPr>
                <w:rFonts w:ascii="Calibri" w:hAnsi="Calibri"/>
                <w:sz w:val="16"/>
              </w:rPr>
              <w:t>Current tool inventory and states</w:t>
            </w:r>
          </w:p>
        </w:tc>
      </w:tr>
      <w:tr>
        <w:trPr>
          <w:cantSplit/>
        </w:trPr>
        <w:tc>
          <w:tcPr>
            <w:tcW w:type="dxa" w:w="1000"/>
            <w:tcMar>
              <w:top w:w="80" w:type="dxa"/>
              <w:start w:w="120" w:type="dxa"/>
              <w:bottom w:w="80" w:type="dxa"/>
              <w:end w:w="120" w:type="dxa"/>
            </w:tcMar>
            <w:vAlign w:val="center"/>
          </w:tcPr>
          <w:p>
            <w:pPr>
              <w:spacing w:after="20"/>
            </w:pPr>
            <w:bookmarkStart w:id="22" w:name="REF_004"/>
            <w:r>
              <w:rPr>
                <w:rFonts w:ascii="Calibri" w:hAnsi="Calibri"/>
                <w:sz w:val="16"/>
              </w:rPr>
              <w:t>REF-004</w:t>
            </w:r>
            <w:bookmarkEnd w:id="22"/>
          </w:p>
        </w:tc>
        <w:tc>
          <w:tcPr>
            <w:tcW w:type="dxa" w:w="5000"/>
            <w:tcMar>
              <w:top w:w="80" w:type="dxa"/>
              <w:start w:w="120" w:type="dxa"/>
              <w:bottom w:w="80" w:type="dxa"/>
              <w:end w:w="120" w:type="dxa"/>
            </w:tcMar>
            <w:vAlign w:val="center"/>
          </w:tcPr>
          <w:p>
            <w:pPr>
              <w:spacing w:after="20"/>
            </w:pPr>
            <w:hyperlink r:id="rId15">
              <w:r>
                <w:rPr>
                  <w:rStyle w:val="Hyperlink"/>
                  <w:sz w:val="16"/>
                </w:rPr>
                <w:t>Dynatrace GA announcement</w:t>
              </w:r>
            </w:hyperlink>
          </w:p>
        </w:tc>
        <w:tc>
          <w:tcPr>
            <w:tcW w:type="dxa" w:w="3360"/>
            <w:tcMar>
              <w:top w:w="80" w:type="dxa"/>
              <w:start w:w="120" w:type="dxa"/>
              <w:bottom w:w="80" w:type="dxa"/>
              <w:end w:w="120" w:type="dxa"/>
            </w:tcMar>
            <w:vAlign w:val="center"/>
          </w:tcPr>
          <w:p>
            <w:pPr>
              <w:spacing w:after="20"/>
            </w:pPr>
            <w:r>
              <w:rPr>
                <w:rFonts w:ascii="Calibri" w:hAnsi="Calibri"/>
                <w:sz w:val="16"/>
              </w:rPr>
              <w:t>GA product announcement</w:t>
            </w:r>
          </w:p>
        </w:tc>
      </w:tr>
      <w:tr>
        <w:trPr>
          <w:cantSplit/>
        </w:trPr>
        <w:tc>
          <w:tcPr>
            <w:tcW w:type="dxa" w:w="1000"/>
            <w:tcMar>
              <w:top w:w="80" w:type="dxa"/>
              <w:start w:w="120" w:type="dxa"/>
              <w:bottom w:w="80" w:type="dxa"/>
              <w:end w:w="120" w:type="dxa"/>
            </w:tcMar>
            <w:vAlign w:val="center"/>
          </w:tcPr>
          <w:p>
            <w:pPr>
              <w:spacing w:after="20"/>
            </w:pPr>
            <w:bookmarkStart w:id="23" w:name="REF_005"/>
            <w:r>
              <w:rPr>
                <w:rFonts w:ascii="Calibri" w:hAnsi="Calibri"/>
                <w:sz w:val="16"/>
              </w:rPr>
              <w:t>REF-005</w:t>
            </w:r>
            <w:bookmarkEnd w:id="23"/>
          </w:p>
        </w:tc>
        <w:tc>
          <w:tcPr>
            <w:tcW w:type="dxa" w:w="5000"/>
            <w:tcMar>
              <w:top w:w="80" w:type="dxa"/>
              <w:start w:w="120" w:type="dxa"/>
              <w:bottom w:w="80" w:type="dxa"/>
              <w:end w:w="120" w:type="dxa"/>
            </w:tcMar>
            <w:vAlign w:val="center"/>
          </w:tcPr>
          <w:p>
            <w:pPr>
              <w:spacing w:after="20"/>
            </w:pPr>
            <w:hyperlink r:id="rId16">
              <w:r>
                <w:rPr>
                  <w:rStyle w:val="Hyperlink"/>
                  <w:sz w:val="16"/>
                </w:rPr>
                <w:t>Dynatrace agentic and generative AI data privacy</w:t>
              </w:r>
            </w:hyperlink>
          </w:p>
        </w:tc>
        <w:tc>
          <w:tcPr>
            <w:tcW w:type="dxa" w:w="3360"/>
            <w:tcMar>
              <w:top w:w="80" w:type="dxa"/>
              <w:start w:w="120" w:type="dxa"/>
              <w:bottom w:w="80" w:type="dxa"/>
              <w:end w:w="120" w:type="dxa"/>
            </w:tcMar>
            <w:vAlign w:val="center"/>
          </w:tcPr>
          <w:p>
            <w:pPr>
              <w:spacing w:after="20"/>
            </w:pPr>
            <w:r>
              <w:rPr>
                <w:rFonts w:ascii="Calibri" w:hAnsi="Calibri"/>
                <w:sz w:val="16"/>
              </w:rPr>
              <w:t>AI processing, masking and retention claims</w:t>
            </w:r>
          </w:p>
        </w:tc>
      </w:tr>
      <w:tr>
        <w:trPr>
          <w:cantSplit/>
        </w:trPr>
        <w:tc>
          <w:tcPr>
            <w:tcW w:type="dxa" w:w="1000"/>
            <w:tcMar>
              <w:top w:w="80" w:type="dxa"/>
              <w:start w:w="120" w:type="dxa"/>
              <w:bottom w:w="80" w:type="dxa"/>
              <w:end w:w="120" w:type="dxa"/>
            </w:tcMar>
            <w:vAlign w:val="center"/>
          </w:tcPr>
          <w:p>
            <w:pPr>
              <w:spacing w:after="20"/>
            </w:pPr>
            <w:bookmarkStart w:id="24" w:name="REF_006"/>
            <w:r>
              <w:rPr>
                <w:rFonts w:ascii="Calibri" w:hAnsi="Calibri"/>
                <w:sz w:val="16"/>
              </w:rPr>
              <w:t>REF-006</w:t>
            </w:r>
            <w:bookmarkEnd w:id="24"/>
          </w:p>
        </w:tc>
        <w:tc>
          <w:tcPr>
            <w:tcW w:type="dxa" w:w="5000"/>
            <w:tcMar>
              <w:top w:w="80" w:type="dxa"/>
              <w:start w:w="120" w:type="dxa"/>
              <w:bottom w:w="80" w:type="dxa"/>
              <w:end w:w="120" w:type="dxa"/>
            </w:tcMar>
            <w:vAlign w:val="center"/>
          </w:tcPr>
          <w:p>
            <w:pPr>
              <w:spacing w:after="20"/>
            </w:pPr>
            <w:hyperlink r:id="rId17">
              <w:r>
                <w:rPr>
                  <w:rStyle w:val="Hyperlink"/>
                  <w:sz w:val="16"/>
                </w:rPr>
                <w:t>Dynatrace Platform Tokens</w:t>
              </w:r>
            </w:hyperlink>
          </w:p>
        </w:tc>
        <w:tc>
          <w:tcPr>
            <w:tcW w:type="dxa" w:w="3360"/>
            <w:tcMar>
              <w:top w:w="80" w:type="dxa"/>
              <w:start w:w="120" w:type="dxa"/>
              <w:bottom w:w="80" w:type="dxa"/>
              <w:end w:w="120" w:type="dxa"/>
            </w:tcMar>
            <w:vAlign w:val="center"/>
          </w:tcPr>
          <w:p>
            <w:pPr>
              <w:spacing w:after="20"/>
            </w:pPr>
            <w:r>
              <w:rPr>
                <w:rFonts w:ascii="Calibri" w:hAnsi="Calibri"/>
                <w:sz w:val="16"/>
              </w:rPr>
              <w:t>Token lifecycle</w:t>
            </w:r>
          </w:p>
        </w:tc>
      </w:tr>
      <w:tr>
        <w:trPr>
          <w:cantSplit/>
        </w:trPr>
        <w:tc>
          <w:tcPr>
            <w:tcW w:type="dxa" w:w="1000"/>
            <w:tcMar>
              <w:top w:w="80" w:type="dxa"/>
              <w:start w:w="120" w:type="dxa"/>
              <w:bottom w:w="80" w:type="dxa"/>
              <w:end w:w="120" w:type="dxa"/>
            </w:tcMar>
            <w:vAlign w:val="center"/>
          </w:tcPr>
          <w:p>
            <w:pPr>
              <w:spacing w:after="20"/>
            </w:pPr>
            <w:bookmarkStart w:id="25" w:name="REF_007"/>
            <w:r>
              <w:rPr>
                <w:rFonts w:ascii="Calibri" w:hAnsi="Calibri"/>
                <w:sz w:val="16"/>
              </w:rPr>
              <w:t>REF-007</w:t>
            </w:r>
            <w:bookmarkEnd w:id="25"/>
          </w:p>
        </w:tc>
        <w:tc>
          <w:tcPr>
            <w:tcW w:type="dxa" w:w="5000"/>
            <w:tcMar>
              <w:top w:w="80" w:type="dxa"/>
              <w:start w:w="120" w:type="dxa"/>
              <w:bottom w:w="80" w:type="dxa"/>
              <w:end w:w="120" w:type="dxa"/>
            </w:tcMar>
            <w:vAlign w:val="center"/>
          </w:tcPr>
          <w:p>
            <w:pPr>
              <w:spacing w:after="20"/>
            </w:pPr>
            <w:hyperlink r:id="rId18">
              <w:r>
                <w:rPr>
                  <w:rStyle w:val="Hyperlink"/>
                  <w:sz w:val="16"/>
                </w:rPr>
                <w:t>Dynatrace OAuth clients</w:t>
              </w:r>
            </w:hyperlink>
          </w:p>
        </w:tc>
        <w:tc>
          <w:tcPr>
            <w:tcW w:type="dxa" w:w="3360"/>
            <w:tcMar>
              <w:top w:w="80" w:type="dxa"/>
              <w:start w:w="120" w:type="dxa"/>
              <w:bottom w:w="80" w:type="dxa"/>
              <w:end w:w="120" w:type="dxa"/>
            </w:tcMar>
            <w:vAlign w:val="center"/>
          </w:tcPr>
          <w:p>
            <w:pPr>
              <w:spacing w:after="20"/>
            </w:pPr>
            <w:r>
              <w:rPr>
                <w:rFonts w:ascii="Calibri" w:hAnsi="Calibri"/>
                <w:sz w:val="16"/>
              </w:rPr>
              <w:t>OAuth properties</w:t>
            </w:r>
          </w:p>
        </w:tc>
      </w:tr>
      <w:tr>
        <w:trPr>
          <w:cantSplit/>
        </w:trPr>
        <w:tc>
          <w:tcPr>
            <w:tcW w:type="dxa" w:w="1000"/>
            <w:tcMar>
              <w:top w:w="80" w:type="dxa"/>
              <w:start w:w="120" w:type="dxa"/>
              <w:bottom w:w="80" w:type="dxa"/>
              <w:end w:w="120" w:type="dxa"/>
            </w:tcMar>
            <w:vAlign w:val="center"/>
          </w:tcPr>
          <w:p>
            <w:pPr>
              <w:spacing w:after="20"/>
            </w:pPr>
            <w:bookmarkStart w:id="26" w:name="REF_008"/>
            <w:r>
              <w:rPr>
                <w:rFonts w:ascii="Calibri" w:hAnsi="Calibri"/>
                <w:sz w:val="16"/>
              </w:rPr>
              <w:t>REF-008</w:t>
            </w:r>
            <w:bookmarkEnd w:id="26"/>
          </w:p>
        </w:tc>
        <w:tc>
          <w:tcPr>
            <w:tcW w:type="dxa" w:w="5000"/>
            <w:tcMar>
              <w:top w:w="80" w:type="dxa"/>
              <w:start w:w="120" w:type="dxa"/>
              <w:bottom w:w="80" w:type="dxa"/>
              <w:end w:w="120" w:type="dxa"/>
            </w:tcMar>
            <w:vAlign w:val="center"/>
          </w:tcPr>
          <w:p>
            <w:pPr>
              <w:spacing w:after="20"/>
            </w:pPr>
            <w:hyperlink r:id="rId19">
              <w:r>
                <w:rPr>
                  <w:rStyle w:val="Hyperlink"/>
                  <w:sz w:val="16"/>
                </w:rPr>
                <w:t>Dynatrace system event model</w:t>
              </w:r>
            </w:hyperlink>
          </w:p>
        </w:tc>
        <w:tc>
          <w:tcPr>
            <w:tcW w:type="dxa" w:w="3360"/>
            <w:tcMar>
              <w:top w:w="80" w:type="dxa"/>
              <w:start w:w="120" w:type="dxa"/>
              <w:bottom w:w="80" w:type="dxa"/>
              <w:end w:w="120" w:type="dxa"/>
            </w:tcMar>
            <w:vAlign w:val="center"/>
          </w:tcPr>
          <w:p>
            <w:pPr>
              <w:spacing w:after="20"/>
            </w:pPr>
            <w:r>
              <w:rPr>
                <w:rFonts w:ascii="Calibri" w:hAnsi="Calibri"/>
                <w:sz w:val="16"/>
              </w:rPr>
              <w:t>MCP/GenAI audit fields</w:t>
            </w:r>
          </w:p>
        </w:tc>
      </w:tr>
      <w:tr>
        <w:trPr>
          <w:cantSplit/>
        </w:trPr>
        <w:tc>
          <w:tcPr>
            <w:tcW w:type="dxa" w:w="1000"/>
            <w:tcMar>
              <w:top w:w="80" w:type="dxa"/>
              <w:start w:w="120" w:type="dxa"/>
              <w:bottom w:w="80" w:type="dxa"/>
              <w:end w:w="120" w:type="dxa"/>
            </w:tcMar>
            <w:vAlign w:val="center"/>
          </w:tcPr>
          <w:p>
            <w:pPr>
              <w:spacing w:after="20"/>
            </w:pPr>
            <w:bookmarkStart w:id="27" w:name="REF_009"/>
            <w:r>
              <w:rPr>
                <w:rFonts w:ascii="Calibri" w:hAnsi="Calibri"/>
                <w:sz w:val="16"/>
              </w:rPr>
              <w:t>REF-009</w:t>
            </w:r>
            <w:bookmarkEnd w:id="27"/>
          </w:p>
        </w:tc>
        <w:tc>
          <w:tcPr>
            <w:tcW w:type="dxa" w:w="5000"/>
            <w:tcMar>
              <w:top w:w="80" w:type="dxa"/>
              <w:start w:w="120" w:type="dxa"/>
              <w:bottom w:w="80" w:type="dxa"/>
              <w:end w:w="120" w:type="dxa"/>
            </w:tcMar>
            <w:vAlign w:val="center"/>
          </w:tcPr>
          <w:p>
            <w:pPr>
              <w:spacing w:after="20"/>
            </w:pPr>
            <w:hyperlink r:id="rId20">
              <w:r>
                <w:rPr>
                  <w:rStyle w:val="Hyperlink"/>
                  <w:sz w:val="16"/>
                </w:rPr>
                <w:t>VS Code MCP server management</w:t>
              </w:r>
            </w:hyperlink>
          </w:p>
        </w:tc>
        <w:tc>
          <w:tcPr>
            <w:tcW w:type="dxa" w:w="3360"/>
            <w:tcMar>
              <w:top w:w="80" w:type="dxa"/>
              <w:start w:w="120" w:type="dxa"/>
              <w:bottom w:w="80" w:type="dxa"/>
              <w:end w:w="120" w:type="dxa"/>
            </w:tcMar>
            <w:vAlign w:val="center"/>
          </w:tcPr>
          <w:p>
            <w:pPr>
              <w:spacing w:after="20"/>
            </w:pPr>
            <w:r>
              <w:rPr>
                <w:rFonts w:ascii="Calibri" w:hAnsi="Calibri"/>
                <w:sz w:val="16"/>
              </w:rPr>
              <w:t>Current MCP configuration and trust</w:t>
            </w:r>
          </w:p>
        </w:tc>
      </w:tr>
      <w:tr>
        <w:trPr>
          <w:cantSplit/>
        </w:trPr>
        <w:tc>
          <w:tcPr>
            <w:tcW w:type="dxa" w:w="1000"/>
            <w:tcMar>
              <w:top w:w="80" w:type="dxa"/>
              <w:start w:w="120" w:type="dxa"/>
              <w:bottom w:w="80" w:type="dxa"/>
              <w:end w:w="120" w:type="dxa"/>
            </w:tcMar>
            <w:vAlign w:val="center"/>
          </w:tcPr>
          <w:p>
            <w:pPr>
              <w:spacing w:after="20"/>
            </w:pPr>
            <w:bookmarkStart w:id="28" w:name="REF_010"/>
            <w:r>
              <w:rPr>
                <w:rFonts w:ascii="Calibri" w:hAnsi="Calibri"/>
                <w:sz w:val="16"/>
              </w:rPr>
              <w:t>REF-010</w:t>
            </w:r>
            <w:bookmarkEnd w:id="28"/>
          </w:p>
        </w:tc>
        <w:tc>
          <w:tcPr>
            <w:tcW w:type="dxa" w:w="5000"/>
            <w:tcMar>
              <w:top w:w="80" w:type="dxa"/>
              <w:start w:w="120" w:type="dxa"/>
              <w:bottom w:w="80" w:type="dxa"/>
              <w:end w:w="120" w:type="dxa"/>
            </w:tcMar>
            <w:vAlign w:val="center"/>
          </w:tcPr>
          <w:p>
            <w:pPr>
              <w:spacing w:after="20"/>
            </w:pPr>
            <w:hyperlink r:id="rId21">
              <w:r>
                <w:rPr>
                  <w:rStyle w:val="Hyperlink"/>
                  <w:sz w:val="16"/>
                </w:rPr>
                <w:t>VS Code AI security</w:t>
              </w:r>
            </w:hyperlink>
          </w:p>
        </w:tc>
        <w:tc>
          <w:tcPr>
            <w:tcW w:type="dxa" w:w="3360"/>
            <w:tcMar>
              <w:top w:w="80" w:type="dxa"/>
              <w:start w:w="120" w:type="dxa"/>
              <w:bottom w:w="80" w:type="dxa"/>
              <w:end w:w="120" w:type="dxa"/>
            </w:tcMar>
            <w:vAlign w:val="center"/>
          </w:tcPr>
          <w:p>
            <w:pPr>
              <w:spacing w:after="20"/>
            </w:pPr>
            <w:r>
              <w:rPr>
                <w:rFonts w:ascii="Calibri" w:hAnsi="Calibri"/>
                <w:sz w:val="16"/>
              </w:rPr>
              <w:t>Trust boundaries and sandboxing</w:t>
            </w:r>
          </w:p>
        </w:tc>
      </w:tr>
      <w:tr>
        <w:trPr>
          <w:cantSplit/>
        </w:trPr>
        <w:tc>
          <w:tcPr>
            <w:tcW w:type="dxa" w:w="1000"/>
            <w:tcMar>
              <w:top w:w="80" w:type="dxa"/>
              <w:start w:w="120" w:type="dxa"/>
              <w:bottom w:w="80" w:type="dxa"/>
              <w:end w:w="120" w:type="dxa"/>
            </w:tcMar>
            <w:vAlign w:val="center"/>
          </w:tcPr>
          <w:p>
            <w:pPr>
              <w:spacing w:after="20"/>
            </w:pPr>
            <w:bookmarkStart w:id="29" w:name="REF_011"/>
            <w:r>
              <w:rPr>
                <w:rFonts w:ascii="Calibri" w:hAnsi="Calibri"/>
                <w:sz w:val="16"/>
              </w:rPr>
              <w:t>REF-011</w:t>
            </w:r>
            <w:bookmarkEnd w:id="29"/>
          </w:p>
        </w:tc>
        <w:tc>
          <w:tcPr>
            <w:tcW w:type="dxa" w:w="5000"/>
            <w:tcMar>
              <w:top w:w="80" w:type="dxa"/>
              <w:start w:w="120" w:type="dxa"/>
              <w:bottom w:w="80" w:type="dxa"/>
              <w:end w:w="120" w:type="dxa"/>
            </w:tcMar>
            <w:vAlign w:val="center"/>
          </w:tcPr>
          <w:p>
            <w:pPr>
              <w:spacing w:after="20"/>
            </w:pPr>
            <w:hyperlink r:id="rId22">
              <w:r>
                <w:rPr>
                  <w:rStyle w:val="Hyperlink"/>
                  <w:sz w:val="16"/>
                </w:rPr>
                <w:t>Use MCP servers in Visual Studio</w:t>
              </w:r>
            </w:hyperlink>
          </w:p>
        </w:tc>
        <w:tc>
          <w:tcPr>
            <w:tcW w:type="dxa" w:w="3360"/>
            <w:tcMar>
              <w:top w:w="80" w:type="dxa"/>
              <w:start w:w="120" w:type="dxa"/>
              <w:bottom w:w="80" w:type="dxa"/>
              <w:end w:w="120" w:type="dxa"/>
            </w:tcMar>
            <w:vAlign w:val="center"/>
          </w:tcPr>
          <w:p>
            <w:pPr>
              <w:spacing w:after="20"/>
            </w:pPr>
            <w:r>
              <w:rPr>
                <w:rFonts w:ascii="Calibri" w:hAnsi="Calibri"/>
                <w:sz w:val="16"/>
              </w:rPr>
              <w:t>Visual Studio 2026 / 2022 17.14+</w:t>
            </w:r>
          </w:p>
        </w:tc>
      </w:tr>
      <w:tr>
        <w:trPr>
          <w:cantSplit/>
        </w:trPr>
        <w:tc>
          <w:tcPr>
            <w:tcW w:type="dxa" w:w="1000"/>
            <w:tcMar>
              <w:top w:w="80" w:type="dxa"/>
              <w:start w:w="120" w:type="dxa"/>
              <w:bottom w:w="80" w:type="dxa"/>
              <w:end w:w="120" w:type="dxa"/>
            </w:tcMar>
            <w:vAlign w:val="center"/>
          </w:tcPr>
          <w:p>
            <w:pPr>
              <w:spacing w:after="20"/>
            </w:pPr>
            <w:bookmarkStart w:id="30" w:name="REF_012"/>
            <w:r>
              <w:rPr>
                <w:rFonts w:ascii="Calibri" w:hAnsi="Calibri"/>
                <w:sz w:val="16"/>
              </w:rPr>
              <w:t>REF-012</w:t>
            </w:r>
            <w:bookmarkEnd w:id="30"/>
          </w:p>
        </w:tc>
        <w:tc>
          <w:tcPr>
            <w:tcW w:type="dxa" w:w="5000"/>
            <w:tcMar>
              <w:top w:w="80" w:type="dxa"/>
              <w:start w:w="120" w:type="dxa"/>
              <w:bottom w:w="80" w:type="dxa"/>
              <w:end w:w="120" w:type="dxa"/>
            </w:tcMar>
            <w:vAlign w:val="center"/>
          </w:tcPr>
          <w:p>
            <w:pPr>
              <w:spacing w:after="20"/>
            </w:pPr>
            <w:hyperlink r:id="rId23">
              <w:r>
                <w:rPr>
                  <w:rStyle w:val="Hyperlink"/>
                  <w:sz w:val="16"/>
                </w:rPr>
                <w:t>Dynatrace Privacy Notice</w:t>
              </w:r>
            </w:hyperlink>
          </w:p>
        </w:tc>
        <w:tc>
          <w:tcPr>
            <w:tcW w:type="dxa" w:w="3360"/>
            <w:tcMar>
              <w:top w:w="80" w:type="dxa"/>
              <w:start w:w="120" w:type="dxa"/>
              <w:bottom w:w="80" w:type="dxa"/>
              <w:end w:w="120" w:type="dxa"/>
            </w:tcMar>
            <w:vAlign w:val="center"/>
          </w:tcPr>
          <w:p>
            <w:pPr>
              <w:spacing w:after="20"/>
            </w:pPr>
            <w:r>
              <w:rPr>
                <w:rFonts w:ascii="Calibri" w:hAnsi="Calibri"/>
                <w:sz w:val="16"/>
              </w:rPr>
              <w:t>Updated March 2026</w:t>
            </w:r>
          </w:p>
        </w:tc>
      </w:tr>
      <w:tr>
        <w:trPr>
          <w:cantSplit/>
        </w:trPr>
        <w:tc>
          <w:tcPr>
            <w:tcW w:type="dxa" w:w="1000"/>
            <w:tcMar>
              <w:top w:w="80" w:type="dxa"/>
              <w:start w:w="120" w:type="dxa"/>
              <w:bottom w:w="80" w:type="dxa"/>
              <w:end w:w="120" w:type="dxa"/>
            </w:tcMar>
            <w:vAlign w:val="center"/>
          </w:tcPr>
          <w:p>
            <w:pPr>
              <w:spacing w:after="20"/>
            </w:pPr>
            <w:bookmarkStart w:id="31" w:name="REF_013"/>
            <w:r>
              <w:rPr>
                <w:rFonts w:ascii="Calibri" w:hAnsi="Calibri"/>
                <w:sz w:val="16"/>
              </w:rPr>
              <w:t>REF-013</w:t>
            </w:r>
            <w:bookmarkEnd w:id="31"/>
          </w:p>
        </w:tc>
        <w:tc>
          <w:tcPr>
            <w:tcW w:type="dxa" w:w="5000"/>
            <w:tcMar>
              <w:top w:w="80" w:type="dxa"/>
              <w:start w:w="120" w:type="dxa"/>
              <w:bottom w:w="80" w:type="dxa"/>
              <w:end w:w="120" w:type="dxa"/>
            </w:tcMar>
            <w:vAlign w:val="center"/>
          </w:tcPr>
          <w:p>
            <w:pPr>
              <w:spacing w:after="20"/>
            </w:pPr>
            <w:hyperlink r:id="rId24">
              <w:r>
                <w:rPr>
                  <w:rStyle w:val="Hyperlink"/>
                  <w:sz w:val="16"/>
                </w:rPr>
                <w:t>Dynatrace Data Processing Agreement</w:t>
              </w:r>
            </w:hyperlink>
          </w:p>
        </w:tc>
        <w:tc>
          <w:tcPr>
            <w:tcW w:type="dxa" w:w="3360"/>
            <w:tcMar>
              <w:top w:w="80" w:type="dxa"/>
              <w:start w:w="120" w:type="dxa"/>
              <w:bottom w:w="80" w:type="dxa"/>
              <w:end w:w="120" w:type="dxa"/>
            </w:tcMar>
            <w:vAlign w:val="center"/>
          </w:tcPr>
          <w:p>
            <w:pPr>
              <w:spacing w:after="20"/>
            </w:pPr>
            <w:r>
              <w:rPr>
                <w:rFonts w:ascii="Calibri" w:hAnsi="Calibri"/>
                <w:sz w:val="16"/>
              </w:rPr>
              <w:t>Public DPA; executed terms govern</w:t>
            </w:r>
          </w:p>
        </w:tc>
      </w:tr>
      <w:tr>
        <w:trPr>
          <w:cantSplit/>
        </w:trPr>
        <w:tc>
          <w:tcPr>
            <w:tcW w:type="dxa" w:w="1000"/>
            <w:tcMar>
              <w:top w:w="80" w:type="dxa"/>
              <w:start w:w="120" w:type="dxa"/>
              <w:bottom w:w="80" w:type="dxa"/>
              <w:end w:w="120" w:type="dxa"/>
            </w:tcMar>
            <w:vAlign w:val="center"/>
          </w:tcPr>
          <w:p>
            <w:pPr>
              <w:spacing w:after="20"/>
            </w:pPr>
            <w:bookmarkStart w:id="32" w:name="REF_014"/>
            <w:r>
              <w:rPr>
                <w:rFonts w:ascii="Calibri" w:hAnsi="Calibri"/>
                <w:sz w:val="16"/>
              </w:rPr>
              <w:t>REF-014</w:t>
            </w:r>
            <w:bookmarkEnd w:id="32"/>
          </w:p>
        </w:tc>
        <w:tc>
          <w:tcPr>
            <w:tcW w:type="dxa" w:w="5000"/>
            <w:tcMar>
              <w:top w:w="80" w:type="dxa"/>
              <w:start w:w="120" w:type="dxa"/>
              <w:bottom w:w="80" w:type="dxa"/>
              <w:end w:w="120" w:type="dxa"/>
            </w:tcMar>
            <w:vAlign w:val="center"/>
          </w:tcPr>
          <w:p>
            <w:pPr>
              <w:spacing w:after="20"/>
            </w:pPr>
            <w:hyperlink r:id="rId25">
              <w:r>
                <w:rPr>
                  <w:rStyle w:val="Hyperlink"/>
                  <w:sz w:val="16"/>
                </w:rPr>
                <w:t>Visual Studio Copilot admin controls</w:t>
              </w:r>
            </w:hyperlink>
          </w:p>
        </w:tc>
        <w:tc>
          <w:tcPr>
            <w:tcW w:type="dxa" w:w="3360"/>
            <w:tcMar>
              <w:top w:w="80" w:type="dxa"/>
              <w:start w:w="120" w:type="dxa"/>
              <w:bottom w:w="80" w:type="dxa"/>
              <w:end w:w="120" w:type="dxa"/>
            </w:tcMar>
            <w:vAlign w:val="center"/>
          </w:tcPr>
          <w:p>
            <w:pPr>
              <w:spacing w:after="20"/>
            </w:pPr>
            <w:r>
              <w:rPr>
                <w:rFonts w:ascii="Calibri" w:hAnsi="Calibri"/>
                <w:sz w:val="16"/>
              </w:rPr>
              <w:t>Enterprise host controls</w:t>
            </w:r>
          </w:p>
        </w:tc>
      </w:tr>
      <w:tr>
        <w:trPr>
          <w:cantSplit/>
        </w:trPr>
        <w:tc>
          <w:tcPr>
            <w:tcW w:type="dxa" w:w="1000"/>
            <w:tcMar>
              <w:top w:w="80" w:type="dxa"/>
              <w:start w:w="120" w:type="dxa"/>
              <w:bottom w:w="80" w:type="dxa"/>
              <w:end w:w="120" w:type="dxa"/>
            </w:tcMar>
            <w:vAlign w:val="center"/>
          </w:tcPr>
          <w:p>
            <w:pPr>
              <w:spacing w:after="20"/>
            </w:pPr>
            <w:bookmarkStart w:id="33" w:name="REF_015"/>
            <w:r>
              <w:rPr>
                <w:rFonts w:ascii="Calibri" w:hAnsi="Calibri"/>
                <w:sz w:val="16"/>
              </w:rPr>
              <w:t>REF-015</w:t>
            </w:r>
            <w:bookmarkEnd w:id="33"/>
          </w:p>
        </w:tc>
        <w:tc>
          <w:tcPr>
            <w:tcW w:type="dxa" w:w="5000"/>
            <w:tcMar>
              <w:top w:w="80" w:type="dxa"/>
              <w:start w:w="120" w:type="dxa"/>
              <w:bottom w:w="80" w:type="dxa"/>
              <w:end w:w="120" w:type="dxa"/>
            </w:tcMar>
            <w:vAlign w:val="center"/>
          </w:tcPr>
          <w:p>
            <w:pPr>
              <w:spacing w:after="20"/>
            </w:pPr>
            <w:hyperlink r:id="rId26">
              <w:r>
                <w:rPr>
                  <w:rStyle w:val="Hyperlink"/>
                  <w:sz w:val="16"/>
                </w:rPr>
                <w:t>Dynatrace Preview program</w:t>
              </w:r>
            </w:hyperlink>
          </w:p>
        </w:tc>
        <w:tc>
          <w:tcPr>
            <w:tcW w:type="dxa" w:w="3360"/>
            <w:tcMar>
              <w:top w:w="80" w:type="dxa"/>
              <w:start w:w="120" w:type="dxa"/>
              <w:bottom w:w="80" w:type="dxa"/>
              <w:end w:w="120" w:type="dxa"/>
            </w:tcMar>
            <w:vAlign w:val="center"/>
          </w:tcPr>
          <w:p>
            <w:pPr>
              <w:spacing w:after="20"/>
            </w:pPr>
            <w:r>
              <w:rPr>
                <w:rFonts w:ascii="Calibri" w:hAnsi="Calibri"/>
                <w:sz w:val="16"/>
              </w:rPr>
              <w:t>Conflicting stale listing</w:t>
            </w:r>
          </w:p>
        </w:tc>
      </w:tr>
      <w:tr>
        <w:trPr>
          <w:cantSplit/>
        </w:trPr>
        <w:tc>
          <w:tcPr>
            <w:tcW w:type="dxa" w:w="1000"/>
            <w:tcMar>
              <w:top w:w="80" w:type="dxa"/>
              <w:start w:w="120" w:type="dxa"/>
              <w:bottom w:w="80" w:type="dxa"/>
              <w:end w:w="120" w:type="dxa"/>
            </w:tcMar>
            <w:vAlign w:val="center"/>
          </w:tcPr>
          <w:p>
            <w:pPr>
              <w:spacing w:after="20"/>
            </w:pPr>
            <w:bookmarkStart w:id="34" w:name="REF_016"/>
            <w:r>
              <w:rPr>
                <w:rFonts w:ascii="Calibri" w:hAnsi="Calibri"/>
                <w:sz w:val="16"/>
              </w:rPr>
              <w:t>REF-016</w:t>
            </w:r>
            <w:bookmarkEnd w:id="34"/>
          </w:p>
        </w:tc>
        <w:tc>
          <w:tcPr>
            <w:tcW w:type="dxa" w:w="5000"/>
            <w:tcMar>
              <w:top w:w="80" w:type="dxa"/>
              <w:start w:w="120" w:type="dxa"/>
              <w:bottom w:w="80" w:type="dxa"/>
              <w:end w:w="120" w:type="dxa"/>
            </w:tcMar>
            <w:vAlign w:val="center"/>
          </w:tcPr>
          <w:p>
            <w:pPr>
              <w:spacing w:after="20"/>
            </w:pPr>
            <w:hyperlink r:id="rId27">
              <w:r>
                <w:rPr>
                  <w:rStyle w:val="Hyperlink"/>
                  <w:sz w:val="16"/>
                </w:rPr>
                <w:t>OWASP Top 10 for LLM Applications 2025</w:t>
              </w:r>
            </w:hyperlink>
          </w:p>
        </w:tc>
        <w:tc>
          <w:tcPr>
            <w:tcW w:type="dxa" w:w="3360"/>
            <w:tcMar>
              <w:top w:w="80" w:type="dxa"/>
              <w:start w:w="120" w:type="dxa"/>
              <w:bottom w:w="80" w:type="dxa"/>
              <w:end w:w="120" w:type="dxa"/>
            </w:tcMar>
            <w:vAlign w:val="center"/>
          </w:tcPr>
          <w:p>
            <w:pPr>
              <w:spacing w:after="20"/>
            </w:pPr>
            <w:r>
              <w:rPr>
                <w:rFonts w:ascii="Calibri" w:hAnsi="Calibri"/>
                <w:sz w:val="16"/>
              </w:rPr>
              <w:t>2025 voluntary guidance</w:t>
            </w:r>
          </w:p>
        </w:tc>
      </w:tr>
      <w:tr>
        <w:trPr>
          <w:cantSplit/>
        </w:trPr>
        <w:tc>
          <w:tcPr>
            <w:tcW w:type="dxa" w:w="1000"/>
            <w:tcMar>
              <w:top w:w="80" w:type="dxa"/>
              <w:start w:w="120" w:type="dxa"/>
              <w:bottom w:w="80" w:type="dxa"/>
              <w:end w:w="120" w:type="dxa"/>
            </w:tcMar>
            <w:vAlign w:val="center"/>
          </w:tcPr>
          <w:p>
            <w:pPr>
              <w:spacing w:after="20"/>
            </w:pPr>
            <w:bookmarkStart w:id="35" w:name="REF_017"/>
            <w:r>
              <w:rPr>
                <w:rFonts w:ascii="Calibri" w:hAnsi="Calibri"/>
                <w:sz w:val="16"/>
              </w:rPr>
              <w:t>REF-017</w:t>
            </w:r>
            <w:bookmarkEnd w:id="35"/>
          </w:p>
        </w:tc>
        <w:tc>
          <w:tcPr>
            <w:tcW w:type="dxa" w:w="5000"/>
            <w:tcMar>
              <w:top w:w="80" w:type="dxa"/>
              <w:start w:w="120" w:type="dxa"/>
              <w:bottom w:w="80" w:type="dxa"/>
              <w:end w:w="120" w:type="dxa"/>
            </w:tcMar>
            <w:vAlign w:val="center"/>
          </w:tcPr>
          <w:p>
            <w:pPr>
              <w:spacing w:after="20"/>
            </w:pPr>
            <w:hyperlink r:id="rId28">
              <w:r>
                <w:rPr>
                  <w:rStyle w:val="Hyperlink"/>
                  <w:sz w:val="16"/>
                </w:rPr>
                <w:t>OWASP Top 10 for Agentic Applications</w:t>
              </w:r>
            </w:hyperlink>
          </w:p>
        </w:tc>
        <w:tc>
          <w:tcPr>
            <w:tcW w:type="dxa" w:w="3360"/>
            <w:tcMar>
              <w:top w:w="80" w:type="dxa"/>
              <w:start w:w="120" w:type="dxa"/>
              <w:bottom w:w="80" w:type="dxa"/>
              <w:end w:w="120" w:type="dxa"/>
            </w:tcMar>
            <w:vAlign w:val="center"/>
          </w:tcPr>
          <w:p>
            <w:pPr>
              <w:spacing w:after="20"/>
            </w:pPr>
            <w:r>
              <w:rPr>
                <w:rFonts w:ascii="Calibri" w:hAnsi="Calibri"/>
                <w:sz w:val="16"/>
              </w:rPr>
              <w:t>2026 voluntary guidance</w:t>
            </w:r>
          </w:p>
        </w:tc>
      </w:tr>
      <w:tr>
        <w:trPr>
          <w:cantSplit/>
        </w:trPr>
        <w:tc>
          <w:tcPr>
            <w:tcW w:type="dxa" w:w="1000"/>
            <w:tcMar>
              <w:top w:w="80" w:type="dxa"/>
              <w:start w:w="120" w:type="dxa"/>
              <w:bottom w:w="80" w:type="dxa"/>
              <w:end w:w="120" w:type="dxa"/>
            </w:tcMar>
            <w:vAlign w:val="center"/>
          </w:tcPr>
          <w:p>
            <w:pPr>
              <w:spacing w:after="20"/>
            </w:pPr>
            <w:bookmarkStart w:id="36" w:name="REF_018"/>
            <w:r>
              <w:rPr>
                <w:rFonts w:ascii="Calibri" w:hAnsi="Calibri"/>
                <w:sz w:val="16"/>
              </w:rPr>
              <w:t>REF-018</w:t>
            </w:r>
            <w:bookmarkEnd w:id="36"/>
          </w:p>
        </w:tc>
        <w:tc>
          <w:tcPr>
            <w:tcW w:type="dxa" w:w="5000"/>
            <w:tcMar>
              <w:top w:w="80" w:type="dxa"/>
              <w:start w:w="120" w:type="dxa"/>
              <w:bottom w:w="80" w:type="dxa"/>
              <w:end w:w="120" w:type="dxa"/>
            </w:tcMar>
            <w:vAlign w:val="center"/>
          </w:tcPr>
          <w:p>
            <w:pPr>
              <w:spacing w:after="20"/>
            </w:pPr>
            <w:hyperlink r:id="rId29">
              <w:r>
                <w:rPr>
                  <w:rStyle w:val="Hyperlink"/>
                  <w:sz w:val="16"/>
                </w:rPr>
                <w:t>OWASP MCP Top 10</w:t>
              </w:r>
            </w:hyperlink>
          </w:p>
        </w:tc>
        <w:tc>
          <w:tcPr>
            <w:tcW w:type="dxa" w:w="3360"/>
            <w:tcMar>
              <w:top w:w="80" w:type="dxa"/>
              <w:start w:w="120" w:type="dxa"/>
              <w:bottom w:w="80" w:type="dxa"/>
              <w:end w:w="120" w:type="dxa"/>
            </w:tcMar>
            <w:vAlign w:val="center"/>
          </w:tcPr>
          <w:p>
            <w:pPr>
              <w:spacing w:after="20"/>
            </w:pPr>
            <w:r>
              <w:rPr>
                <w:rFonts w:ascii="Calibri" w:hAnsi="Calibri"/>
                <w:sz w:val="16"/>
              </w:rPr>
              <w:t>v0.1 (2025), early-version guidance</w:t>
            </w:r>
          </w:p>
        </w:tc>
      </w:tr>
      <w:tr>
        <w:trPr>
          <w:cantSplit/>
        </w:trPr>
        <w:tc>
          <w:tcPr>
            <w:tcW w:type="dxa" w:w="1000"/>
            <w:tcMar>
              <w:top w:w="80" w:type="dxa"/>
              <w:start w:w="120" w:type="dxa"/>
              <w:bottom w:w="80" w:type="dxa"/>
              <w:end w:w="120" w:type="dxa"/>
            </w:tcMar>
            <w:vAlign w:val="center"/>
          </w:tcPr>
          <w:p>
            <w:pPr>
              <w:spacing w:after="20"/>
            </w:pPr>
            <w:bookmarkStart w:id="37" w:name="REF_019"/>
            <w:r>
              <w:rPr>
                <w:rFonts w:ascii="Calibri" w:hAnsi="Calibri"/>
                <w:sz w:val="16"/>
              </w:rPr>
              <w:t>REF-019</w:t>
            </w:r>
            <w:bookmarkEnd w:id="37"/>
          </w:p>
        </w:tc>
        <w:tc>
          <w:tcPr>
            <w:tcW w:type="dxa" w:w="5000"/>
            <w:tcMar>
              <w:top w:w="80" w:type="dxa"/>
              <w:start w:w="120" w:type="dxa"/>
              <w:bottom w:w="80" w:type="dxa"/>
              <w:end w:w="120" w:type="dxa"/>
            </w:tcMar>
            <w:vAlign w:val="center"/>
          </w:tcPr>
          <w:p>
            <w:pPr>
              <w:spacing w:after="20"/>
            </w:pPr>
            <w:hyperlink r:id="rId30">
              <w:r>
                <w:rPr>
                  <w:rStyle w:val="Hyperlink"/>
                  <w:sz w:val="16"/>
                </w:rPr>
                <w:t>OWASP Application Security Verification Standard</w:t>
              </w:r>
            </w:hyperlink>
          </w:p>
        </w:tc>
        <w:tc>
          <w:tcPr>
            <w:tcW w:type="dxa" w:w="3360"/>
            <w:tcMar>
              <w:top w:w="80" w:type="dxa"/>
              <w:start w:w="120" w:type="dxa"/>
              <w:bottom w:w="80" w:type="dxa"/>
              <w:end w:w="120" w:type="dxa"/>
            </w:tcMar>
            <w:vAlign w:val="center"/>
          </w:tcPr>
          <w:p>
            <w:pPr>
              <w:spacing w:after="20"/>
            </w:pPr>
            <w:r>
              <w:rPr>
                <w:rFonts w:ascii="Calibri" w:hAnsi="Calibri"/>
                <w:sz w:val="16"/>
              </w:rPr>
              <w:t>Latest stable 5.0.0</w:t>
            </w:r>
          </w:p>
        </w:tc>
      </w:tr>
      <w:tr>
        <w:trPr>
          <w:cantSplit/>
        </w:trPr>
        <w:tc>
          <w:tcPr>
            <w:tcW w:type="dxa" w:w="1000"/>
            <w:tcMar>
              <w:top w:w="80" w:type="dxa"/>
              <w:start w:w="120" w:type="dxa"/>
              <w:bottom w:w="80" w:type="dxa"/>
              <w:end w:w="120" w:type="dxa"/>
            </w:tcMar>
            <w:vAlign w:val="center"/>
          </w:tcPr>
          <w:p>
            <w:pPr>
              <w:spacing w:after="20"/>
            </w:pPr>
            <w:bookmarkStart w:id="38" w:name="REF_020"/>
            <w:r>
              <w:rPr>
                <w:rFonts w:ascii="Calibri" w:hAnsi="Calibri"/>
                <w:sz w:val="16"/>
              </w:rPr>
              <w:t>REF-020</w:t>
            </w:r>
            <w:bookmarkEnd w:id="38"/>
          </w:p>
        </w:tc>
        <w:tc>
          <w:tcPr>
            <w:tcW w:type="dxa" w:w="5000"/>
            <w:tcMar>
              <w:top w:w="80" w:type="dxa"/>
              <w:start w:w="120" w:type="dxa"/>
              <w:bottom w:w="80" w:type="dxa"/>
              <w:end w:w="120" w:type="dxa"/>
            </w:tcMar>
            <w:vAlign w:val="center"/>
          </w:tcPr>
          <w:p>
            <w:pPr>
              <w:spacing w:after="20"/>
            </w:pPr>
            <w:hyperlink r:id="rId31">
              <w:r>
                <w:rPr>
                  <w:rStyle w:val="Hyperlink"/>
                  <w:sz w:val="16"/>
                </w:rPr>
                <w:t>NIST AI Risk Management Framework 1.0</w:t>
              </w:r>
            </w:hyperlink>
          </w:p>
        </w:tc>
        <w:tc>
          <w:tcPr>
            <w:tcW w:type="dxa" w:w="3360"/>
            <w:tcMar>
              <w:top w:w="80" w:type="dxa"/>
              <w:start w:w="120" w:type="dxa"/>
              <w:bottom w:w="80" w:type="dxa"/>
              <w:end w:w="120" w:type="dxa"/>
            </w:tcMar>
            <w:vAlign w:val="center"/>
          </w:tcPr>
          <w:p>
            <w:pPr>
              <w:spacing w:after="20"/>
            </w:pPr>
            <w:r>
              <w:rPr>
                <w:rFonts w:ascii="Calibri" w:hAnsi="Calibri"/>
                <w:sz w:val="16"/>
              </w:rPr>
              <w:t>NIST AI 100-1, voluntary</w:t>
            </w:r>
          </w:p>
        </w:tc>
      </w:tr>
      <w:tr>
        <w:trPr>
          <w:cantSplit/>
        </w:trPr>
        <w:tc>
          <w:tcPr>
            <w:tcW w:type="dxa" w:w="1000"/>
            <w:tcMar>
              <w:top w:w="80" w:type="dxa"/>
              <w:start w:w="120" w:type="dxa"/>
              <w:bottom w:w="80" w:type="dxa"/>
              <w:end w:w="120" w:type="dxa"/>
            </w:tcMar>
            <w:vAlign w:val="center"/>
          </w:tcPr>
          <w:p>
            <w:pPr>
              <w:spacing w:after="20"/>
            </w:pPr>
            <w:bookmarkStart w:id="39" w:name="REF_021"/>
            <w:r>
              <w:rPr>
                <w:rFonts w:ascii="Calibri" w:hAnsi="Calibri"/>
                <w:sz w:val="16"/>
              </w:rPr>
              <w:t>REF-021</w:t>
            </w:r>
            <w:bookmarkEnd w:id="39"/>
          </w:p>
        </w:tc>
        <w:tc>
          <w:tcPr>
            <w:tcW w:type="dxa" w:w="5000"/>
            <w:tcMar>
              <w:top w:w="80" w:type="dxa"/>
              <w:start w:w="120" w:type="dxa"/>
              <w:bottom w:w="80" w:type="dxa"/>
              <w:end w:w="120" w:type="dxa"/>
            </w:tcMar>
            <w:vAlign w:val="center"/>
          </w:tcPr>
          <w:p>
            <w:pPr>
              <w:spacing w:after="20"/>
            </w:pPr>
            <w:hyperlink r:id="rId32">
              <w:r>
                <w:rPr>
                  <w:rStyle w:val="Hyperlink"/>
                  <w:sz w:val="16"/>
                </w:rPr>
                <w:t>NIST AI 600-1 Generative AI Profile</w:t>
              </w:r>
            </w:hyperlink>
          </w:p>
        </w:tc>
        <w:tc>
          <w:tcPr>
            <w:tcW w:type="dxa" w:w="3360"/>
            <w:tcMar>
              <w:top w:w="80" w:type="dxa"/>
              <w:start w:w="120" w:type="dxa"/>
              <w:bottom w:w="80" w:type="dxa"/>
              <w:end w:w="120" w:type="dxa"/>
            </w:tcMar>
            <w:vAlign w:val="center"/>
          </w:tcPr>
          <w:p>
            <w:pPr>
              <w:spacing w:after="20"/>
            </w:pPr>
            <w:r>
              <w:rPr>
                <w:rFonts w:ascii="Calibri" w:hAnsi="Calibri"/>
                <w:sz w:val="16"/>
              </w:rPr>
              <w:t>July 2024 voluntary profile</w:t>
            </w:r>
          </w:p>
        </w:tc>
      </w:tr>
      <w:tr>
        <w:trPr>
          <w:cantSplit/>
        </w:trPr>
        <w:tc>
          <w:tcPr>
            <w:tcW w:type="dxa" w:w="1000"/>
            <w:tcMar>
              <w:top w:w="80" w:type="dxa"/>
              <w:start w:w="120" w:type="dxa"/>
              <w:bottom w:w="80" w:type="dxa"/>
              <w:end w:w="120" w:type="dxa"/>
            </w:tcMar>
            <w:vAlign w:val="center"/>
          </w:tcPr>
          <w:p>
            <w:pPr>
              <w:spacing w:after="20"/>
            </w:pPr>
            <w:bookmarkStart w:id="40" w:name="REF_022"/>
            <w:r>
              <w:rPr>
                <w:rFonts w:ascii="Calibri" w:hAnsi="Calibri"/>
                <w:sz w:val="16"/>
              </w:rPr>
              <w:t>REF-022</w:t>
            </w:r>
            <w:bookmarkEnd w:id="40"/>
          </w:p>
        </w:tc>
        <w:tc>
          <w:tcPr>
            <w:tcW w:type="dxa" w:w="5000"/>
            <w:tcMar>
              <w:top w:w="80" w:type="dxa"/>
              <w:start w:w="120" w:type="dxa"/>
              <w:bottom w:w="80" w:type="dxa"/>
              <w:end w:w="120" w:type="dxa"/>
            </w:tcMar>
            <w:vAlign w:val="center"/>
          </w:tcPr>
          <w:p>
            <w:pPr>
              <w:spacing w:after="20"/>
            </w:pPr>
            <w:hyperlink r:id="rId33">
              <w:r>
                <w:rPr>
                  <w:rStyle w:val="Hyperlink"/>
                  <w:sz w:val="16"/>
                </w:rPr>
                <w:t>MITRE ATLAS</w:t>
              </w:r>
            </w:hyperlink>
          </w:p>
        </w:tc>
        <w:tc>
          <w:tcPr>
            <w:tcW w:type="dxa" w:w="3360"/>
            <w:tcMar>
              <w:top w:w="80" w:type="dxa"/>
              <w:start w:w="120" w:type="dxa"/>
              <w:bottom w:w="80" w:type="dxa"/>
              <w:end w:w="120" w:type="dxa"/>
            </w:tcMar>
            <w:vAlign w:val="center"/>
          </w:tcPr>
          <w:p>
            <w:pPr>
              <w:spacing w:after="20"/>
            </w:pPr>
            <w:r>
              <w:rPr>
                <w:rFonts w:ascii="Calibri" w:hAnsi="Calibri"/>
                <w:sz w:val="16"/>
              </w:rPr>
              <w:t>Living threat knowledge base; ATLAS-2026.06 used</w:t>
            </w:r>
          </w:p>
        </w:tc>
      </w:tr>
      <w:tr>
        <w:trPr>
          <w:cantSplit/>
        </w:trPr>
        <w:tc>
          <w:tcPr>
            <w:tcW w:type="dxa" w:w="1000"/>
            <w:tcMar>
              <w:top w:w="80" w:type="dxa"/>
              <w:start w:w="120" w:type="dxa"/>
              <w:bottom w:w="80" w:type="dxa"/>
              <w:end w:w="120" w:type="dxa"/>
            </w:tcMar>
            <w:vAlign w:val="center"/>
          </w:tcPr>
          <w:p>
            <w:pPr>
              <w:spacing w:after="20"/>
            </w:pPr>
            <w:bookmarkStart w:id="41" w:name="REF_023"/>
            <w:r>
              <w:rPr>
                <w:rFonts w:ascii="Calibri" w:hAnsi="Calibri"/>
                <w:sz w:val="16"/>
              </w:rPr>
              <w:t>REF-023</w:t>
            </w:r>
            <w:bookmarkEnd w:id="41"/>
          </w:p>
        </w:tc>
        <w:tc>
          <w:tcPr>
            <w:tcW w:type="dxa" w:w="5000"/>
            <w:tcMar>
              <w:top w:w="80" w:type="dxa"/>
              <w:start w:w="120" w:type="dxa"/>
              <w:bottom w:w="80" w:type="dxa"/>
              <w:end w:w="120" w:type="dxa"/>
            </w:tcMar>
            <w:vAlign w:val="center"/>
          </w:tcPr>
          <w:p>
            <w:pPr>
              <w:spacing w:after="20"/>
            </w:pPr>
            <w:hyperlink r:id="rId34">
              <w:r>
                <w:rPr>
                  <w:rStyle w:val="Hyperlink"/>
                  <w:sz w:val="16"/>
                </w:rPr>
                <w:t>CIS Critical Security Controls v8.1</w:t>
              </w:r>
            </w:hyperlink>
          </w:p>
        </w:tc>
        <w:tc>
          <w:tcPr>
            <w:tcW w:type="dxa" w:w="3360"/>
            <w:tcMar>
              <w:top w:w="80" w:type="dxa"/>
              <w:start w:w="120" w:type="dxa"/>
              <w:bottom w:w="80" w:type="dxa"/>
              <w:end w:w="120" w:type="dxa"/>
            </w:tcMar>
            <w:vAlign w:val="center"/>
          </w:tcPr>
          <w:p>
            <w:pPr>
              <w:spacing w:after="20"/>
            </w:pPr>
            <w:r>
              <w:rPr>
                <w:rFonts w:ascii="Calibri" w:hAnsi="Calibri"/>
                <w:sz w:val="16"/>
              </w:rPr>
              <w:t>June 2024 voluntary controls</w:t>
            </w:r>
          </w:p>
        </w:tc>
      </w:tr>
      <w:tr>
        <w:trPr>
          <w:cantSplit/>
        </w:trPr>
        <w:tc>
          <w:tcPr>
            <w:tcW w:type="dxa" w:w="1000"/>
            <w:tcMar>
              <w:top w:w="80" w:type="dxa"/>
              <w:start w:w="120" w:type="dxa"/>
              <w:bottom w:w="80" w:type="dxa"/>
              <w:end w:w="120" w:type="dxa"/>
            </w:tcMar>
            <w:vAlign w:val="center"/>
          </w:tcPr>
          <w:p>
            <w:pPr>
              <w:spacing w:after="20"/>
            </w:pPr>
            <w:bookmarkStart w:id="42" w:name="REF_024"/>
            <w:r>
              <w:rPr>
                <w:rFonts w:ascii="Calibri" w:hAnsi="Calibri"/>
                <w:sz w:val="16"/>
              </w:rPr>
              <w:t>REF-024</w:t>
            </w:r>
            <w:bookmarkEnd w:id="42"/>
          </w:p>
        </w:tc>
        <w:tc>
          <w:tcPr>
            <w:tcW w:type="dxa" w:w="5000"/>
            <w:tcMar>
              <w:top w:w="80" w:type="dxa"/>
              <w:start w:w="120" w:type="dxa"/>
              <w:bottom w:w="80" w:type="dxa"/>
              <w:end w:w="120" w:type="dxa"/>
            </w:tcMar>
            <w:vAlign w:val="center"/>
          </w:tcPr>
          <w:p>
            <w:pPr>
              <w:spacing w:after="20"/>
            </w:pPr>
            <w:hyperlink r:id="rId35">
              <w:r>
                <w:rPr>
                  <w:rStyle w:val="Hyperlink"/>
                  <w:sz w:val="16"/>
                </w:rPr>
                <w:t>ISO/IEC 27001:2022</w:t>
              </w:r>
            </w:hyperlink>
          </w:p>
        </w:tc>
        <w:tc>
          <w:tcPr>
            <w:tcW w:type="dxa" w:w="3360"/>
            <w:tcMar>
              <w:top w:w="80" w:type="dxa"/>
              <w:start w:w="120" w:type="dxa"/>
              <w:bottom w:w="80" w:type="dxa"/>
              <w:end w:w="120" w:type="dxa"/>
            </w:tcMar>
            <w:vAlign w:val="center"/>
          </w:tcPr>
          <w:p>
            <w:pPr>
              <w:spacing w:after="20"/>
            </w:pPr>
            <w:r>
              <w:rPr>
                <w:rFonts w:ascii="Calibri" w:hAnsi="Calibri"/>
                <w:sz w:val="16"/>
              </w:rPr>
              <w:t>Edition 3; Amd 1:2024 considered</w:t>
            </w:r>
          </w:p>
        </w:tc>
      </w:tr>
      <w:tr>
        <w:trPr>
          <w:cantSplit/>
        </w:trPr>
        <w:tc>
          <w:tcPr>
            <w:tcW w:type="dxa" w:w="1000"/>
            <w:tcMar>
              <w:top w:w="80" w:type="dxa"/>
              <w:start w:w="120" w:type="dxa"/>
              <w:bottom w:w="80" w:type="dxa"/>
              <w:end w:w="120" w:type="dxa"/>
            </w:tcMar>
            <w:vAlign w:val="center"/>
          </w:tcPr>
          <w:p>
            <w:pPr>
              <w:spacing w:after="20"/>
            </w:pPr>
            <w:bookmarkStart w:id="43" w:name="REF_025"/>
            <w:r>
              <w:rPr>
                <w:rFonts w:ascii="Calibri" w:hAnsi="Calibri"/>
                <w:sz w:val="16"/>
              </w:rPr>
              <w:t>REF-025</w:t>
            </w:r>
            <w:bookmarkEnd w:id="43"/>
          </w:p>
        </w:tc>
        <w:tc>
          <w:tcPr>
            <w:tcW w:type="dxa" w:w="5000"/>
            <w:tcMar>
              <w:top w:w="80" w:type="dxa"/>
              <w:start w:w="120" w:type="dxa"/>
              <w:bottom w:w="80" w:type="dxa"/>
              <w:end w:w="120" w:type="dxa"/>
            </w:tcMar>
            <w:vAlign w:val="center"/>
          </w:tcPr>
          <w:p>
            <w:pPr>
              <w:spacing w:after="20"/>
            </w:pPr>
            <w:hyperlink r:id="rId36">
              <w:r>
                <w:rPr>
                  <w:rStyle w:val="Hyperlink"/>
                  <w:sz w:val="16"/>
                </w:rPr>
                <w:t>NCSC Guidelines for Secure AI System Development</w:t>
              </w:r>
            </w:hyperlink>
          </w:p>
        </w:tc>
        <w:tc>
          <w:tcPr>
            <w:tcW w:type="dxa" w:w="3360"/>
            <w:tcMar>
              <w:top w:w="80" w:type="dxa"/>
              <w:start w:w="120" w:type="dxa"/>
              <w:bottom w:w="80" w:type="dxa"/>
              <w:end w:w="120" w:type="dxa"/>
            </w:tcMar>
            <w:vAlign w:val="center"/>
          </w:tcPr>
          <w:p>
            <w:pPr>
              <w:spacing w:after="20"/>
            </w:pPr>
            <w:r>
              <w:rPr>
                <w:rFonts w:ascii="Calibri" w:hAnsi="Calibri"/>
                <w:sz w:val="16"/>
              </w:rPr>
              <w:t>v1.1, non-binding good practice</w:t>
            </w:r>
          </w:p>
        </w:tc>
      </w:tr>
      <w:tr>
        <w:trPr>
          <w:cantSplit/>
        </w:trPr>
        <w:tc>
          <w:tcPr>
            <w:tcW w:type="dxa" w:w="1000"/>
            <w:tcMar>
              <w:top w:w="80" w:type="dxa"/>
              <w:start w:w="120" w:type="dxa"/>
              <w:bottom w:w="80" w:type="dxa"/>
              <w:end w:w="120" w:type="dxa"/>
            </w:tcMar>
            <w:vAlign w:val="center"/>
          </w:tcPr>
          <w:p>
            <w:pPr>
              <w:spacing w:after="20"/>
            </w:pPr>
            <w:bookmarkStart w:id="44" w:name="REF_026"/>
            <w:r>
              <w:rPr>
                <w:rFonts w:ascii="Calibri" w:hAnsi="Calibri"/>
                <w:sz w:val="16"/>
              </w:rPr>
              <w:t>REF-026</w:t>
            </w:r>
            <w:bookmarkEnd w:id="44"/>
          </w:p>
        </w:tc>
        <w:tc>
          <w:tcPr>
            <w:tcW w:type="dxa" w:w="5000"/>
            <w:tcMar>
              <w:top w:w="80" w:type="dxa"/>
              <w:start w:w="120" w:type="dxa"/>
              <w:bottom w:w="80" w:type="dxa"/>
              <w:end w:w="120" w:type="dxa"/>
            </w:tcMar>
            <w:vAlign w:val="center"/>
          </w:tcPr>
          <w:p>
            <w:pPr>
              <w:spacing w:after="20"/>
            </w:pPr>
            <w:hyperlink r:id="rId37">
              <w:r>
                <w:rPr>
                  <w:rStyle w:val="Hyperlink"/>
                  <w:sz w:val="16"/>
                </w:rPr>
                <w:t>ICO guidance on AI and data protection</w:t>
              </w:r>
            </w:hyperlink>
          </w:p>
        </w:tc>
        <w:tc>
          <w:tcPr>
            <w:tcW w:type="dxa" w:w="3360"/>
            <w:tcMar>
              <w:top w:w="80" w:type="dxa"/>
              <w:start w:w="120" w:type="dxa"/>
              <w:bottom w:w="80" w:type="dxa"/>
              <w:end w:w="120" w:type="dxa"/>
            </w:tcMar>
            <w:vAlign w:val="center"/>
          </w:tcPr>
          <w:p>
            <w:pPr>
              <w:spacing w:after="20"/>
            </w:pPr>
            <w:r>
              <w:rPr>
                <w:rFonts w:ascii="Calibri" w:hAnsi="Calibri"/>
                <w:sz w:val="16"/>
              </w:rPr>
              <w:t>Regulator guidance; distinguishes must/should</w:t>
            </w:r>
          </w:p>
        </w:tc>
      </w:tr>
      <w:tr>
        <w:trPr>
          <w:cantSplit/>
        </w:trPr>
        <w:tc>
          <w:tcPr>
            <w:tcW w:type="dxa" w:w="1000"/>
            <w:tcMar>
              <w:top w:w="80" w:type="dxa"/>
              <w:start w:w="120" w:type="dxa"/>
              <w:bottom w:w="80" w:type="dxa"/>
              <w:end w:w="120" w:type="dxa"/>
            </w:tcMar>
            <w:vAlign w:val="center"/>
          </w:tcPr>
          <w:p>
            <w:pPr>
              <w:spacing w:after="20"/>
            </w:pPr>
            <w:bookmarkStart w:id="45" w:name="REF_027"/>
            <w:r>
              <w:rPr>
                <w:rFonts w:ascii="Calibri" w:hAnsi="Calibri"/>
                <w:sz w:val="16"/>
              </w:rPr>
              <w:t>REF-027</w:t>
            </w:r>
            <w:bookmarkEnd w:id="45"/>
          </w:p>
        </w:tc>
        <w:tc>
          <w:tcPr>
            <w:tcW w:type="dxa" w:w="5000"/>
            <w:tcMar>
              <w:top w:w="80" w:type="dxa"/>
              <w:start w:w="120" w:type="dxa"/>
              <w:bottom w:w="80" w:type="dxa"/>
              <w:end w:w="120" w:type="dxa"/>
            </w:tcMar>
            <w:vAlign w:val="center"/>
          </w:tcPr>
          <w:p>
            <w:pPr>
              <w:spacing w:after="20"/>
            </w:pPr>
            <w:hyperlink r:id="rId38">
              <w:r>
                <w:rPr>
                  <w:rStyle w:val="Hyperlink"/>
                  <w:sz w:val="16"/>
                </w:rPr>
                <w:t>FCA operational resilience</w:t>
              </w:r>
            </w:hyperlink>
          </w:p>
        </w:tc>
        <w:tc>
          <w:tcPr>
            <w:tcW w:type="dxa" w:w="3360"/>
            <w:tcMar>
              <w:top w:w="80" w:type="dxa"/>
              <w:start w:w="120" w:type="dxa"/>
              <w:bottom w:w="80" w:type="dxa"/>
              <w:end w:w="120" w:type="dxa"/>
            </w:tcMar>
            <w:vAlign w:val="center"/>
          </w:tcPr>
          <w:p>
            <w:pPr>
              <w:spacing w:after="20"/>
            </w:pPr>
            <w:r>
              <w:rPr>
                <w:rFonts w:ascii="Calibri" w:hAnsi="Calibri"/>
                <w:sz w:val="16"/>
              </w:rPr>
              <w:t>FCA overview and transition milestone</w:t>
            </w:r>
          </w:p>
        </w:tc>
      </w:tr>
      <w:tr>
        <w:trPr>
          <w:cantSplit/>
        </w:trPr>
        <w:tc>
          <w:tcPr>
            <w:tcW w:type="dxa" w:w="1000"/>
            <w:tcMar>
              <w:top w:w="80" w:type="dxa"/>
              <w:start w:w="120" w:type="dxa"/>
              <w:bottom w:w="80" w:type="dxa"/>
              <w:end w:w="120" w:type="dxa"/>
            </w:tcMar>
            <w:vAlign w:val="center"/>
          </w:tcPr>
          <w:p>
            <w:pPr>
              <w:spacing w:after="20"/>
            </w:pPr>
            <w:bookmarkStart w:id="46" w:name="REF_028"/>
            <w:r>
              <w:rPr>
                <w:rFonts w:ascii="Calibri" w:hAnsi="Calibri"/>
                <w:sz w:val="16"/>
              </w:rPr>
              <w:t>REF-028</w:t>
            </w:r>
            <w:bookmarkEnd w:id="46"/>
          </w:p>
        </w:tc>
        <w:tc>
          <w:tcPr>
            <w:tcW w:type="dxa" w:w="5000"/>
            <w:tcMar>
              <w:top w:w="80" w:type="dxa"/>
              <w:start w:w="120" w:type="dxa"/>
              <w:bottom w:w="80" w:type="dxa"/>
              <w:end w:w="120" w:type="dxa"/>
            </w:tcMar>
            <w:vAlign w:val="center"/>
          </w:tcPr>
          <w:p>
            <w:pPr>
              <w:spacing w:after="20"/>
            </w:pPr>
            <w:hyperlink r:id="rId39">
              <w:r>
                <w:rPr>
                  <w:rStyle w:val="Hyperlink"/>
                  <w:sz w:val="16"/>
                </w:rPr>
                <w:t>PRA SS1/21 Operational Resilience</w:t>
              </w:r>
            </w:hyperlink>
          </w:p>
        </w:tc>
        <w:tc>
          <w:tcPr>
            <w:tcW w:type="dxa" w:w="3360"/>
            <w:tcMar>
              <w:top w:w="80" w:type="dxa"/>
              <w:start w:w="120" w:type="dxa"/>
              <w:bottom w:w="80" w:type="dxa"/>
              <w:end w:w="120" w:type="dxa"/>
            </w:tcMar>
            <w:vAlign w:val="center"/>
          </w:tcPr>
          <w:p>
            <w:pPr>
              <w:spacing w:after="20"/>
            </w:pPr>
            <w:r>
              <w:rPr>
                <w:rFonts w:ascii="Calibri" w:hAnsi="Calibri"/>
                <w:sz w:val="16"/>
              </w:rPr>
              <w:t>Supervisory expectations for insurers</w:t>
            </w:r>
          </w:p>
        </w:tc>
      </w:tr>
      <w:tr>
        <w:trPr>
          <w:cantSplit/>
        </w:trPr>
        <w:tc>
          <w:tcPr>
            <w:tcW w:type="dxa" w:w="1000"/>
            <w:tcMar>
              <w:top w:w="80" w:type="dxa"/>
              <w:start w:w="120" w:type="dxa"/>
              <w:bottom w:w="80" w:type="dxa"/>
              <w:end w:w="120" w:type="dxa"/>
            </w:tcMar>
            <w:vAlign w:val="center"/>
          </w:tcPr>
          <w:p>
            <w:pPr>
              <w:spacing w:after="20"/>
            </w:pPr>
            <w:bookmarkStart w:id="47" w:name="REF_029"/>
            <w:r>
              <w:rPr>
                <w:rFonts w:ascii="Calibri" w:hAnsi="Calibri"/>
                <w:sz w:val="16"/>
              </w:rPr>
              <w:t>REF-029</w:t>
            </w:r>
            <w:bookmarkEnd w:id="47"/>
          </w:p>
        </w:tc>
        <w:tc>
          <w:tcPr>
            <w:tcW w:type="dxa" w:w="5000"/>
            <w:tcMar>
              <w:top w:w="80" w:type="dxa"/>
              <w:start w:w="120" w:type="dxa"/>
              <w:bottom w:w="80" w:type="dxa"/>
              <w:end w:w="120" w:type="dxa"/>
            </w:tcMar>
            <w:vAlign w:val="center"/>
          </w:tcPr>
          <w:p>
            <w:pPr>
              <w:spacing w:after="20"/>
            </w:pPr>
            <w:hyperlink r:id="rId40">
              <w:r>
                <w:rPr>
                  <w:rStyle w:val="Hyperlink"/>
                  <w:sz w:val="16"/>
                </w:rPr>
                <w:t>PRA SS2/21 Outsourcing and Third-Party Risk</w:t>
              </w:r>
            </w:hyperlink>
          </w:p>
        </w:tc>
        <w:tc>
          <w:tcPr>
            <w:tcW w:type="dxa" w:w="3360"/>
            <w:tcMar>
              <w:top w:w="80" w:type="dxa"/>
              <w:start w:w="120" w:type="dxa"/>
              <w:bottom w:w="80" w:type="dxa"/>
              <w:end w:w="120" w:type="dxa"/>
            </w:tcMar>
            <w:vAlign w:val="center"/>
          </w:tcPr>
          <w:p>
            <w:pPr>
              <w:spacing w:after="20"/>
            </w:pPr>
            <w:r>
              <w:rPr>
                <w:rFonts w:ascii="Calibri" w:hAnsi="Calibri"/>
                <w:sz w:val="16"/>
              </w:rPr>
              <w:t>Current supervisory expectations</w:t>
            </w:r>
          </w:p>
        </w:tc>
      </w:tr>
      <w:tr>
        <w:trPr>
          <w:cantSplit/>
        </w:trPr>
        <w:tc>
          <w:tcPr>
            <w:tcW w:type="dxa" w:w="1000"/>
            <w:tcMar>
              <w:top w:w="80" w:type="dxa"/>
              <w:start w:w="120" w:type="dxa"/>
              <w:bottom w:w="80" w:type="dxa"/>
              <w:end w:w="120" w:type="dxa"/>
            </w:tcMar>
            <w:vAlign w:val="center"/>
          </w:tcPr>
          <w:p>
            <w:pPr>
              <w:spacing w:after="20"/>
            </w:pPr>
            <w:bookmarkStart w:id="48" w:name="REF_030"/>
            <w:r>
              <w:rPr>
                <w:rFonts w:ascii="Calibri" w:hAnsi="Calibri"/>
                <w:sz w:val="16"/>
              </w:rPr>
              <w:t>REF-030</w:t>
            </w:r>
            <w:bookmarkEnd w:id="48"/>
          </w:p>
        </w:tc>
        <w:tc>
          <w:tcPr>
            <w:tcW w:type="dxa" w:w="5000"/>
            <w:tcMar>
              <w:top w:w="80" w:type="dxa"/>
              <w:start w:w="120" w:type="dxa"/>
              <w:bottom w:w="80" w:type="dxa"/>
              <w:end w:w="120" w:type="dxa"/>
            </w:tcMar>
            <w:vAlign w:val="center"/>
          </w:tcPr>
          <w:p>
            <w:pPr>
              <w:spacing w:after="20"/>
            </w:pPr>
            <w:hyperlink r:id="rId41">
              <w:r>
                <w:rPr>
                  <w:rStyle w:val="Hyperlink"/>
                  <w:sz w:val="16"/>
                </w:rPr>
                <w:t>UK GDPR retained text</w:t>
              </w:r>
            </w:hyperlink>
          </w:p>
        </w:tc>
        <w:tc>
          <w:tcPr>
            <w:tcW w:type="dxa" w:w="3360"/>
            <w:tcMar>
              <w:top w:w="80" w:type="dxa"/>
              <w:start w:w="120" w:type="dxa"/>
              <w:bottom w:w="80" w:type="dxa"/>
              <w:end w:w="120" w:type="dxa"/>
            </w:tcMar>
            <w:vAlign w:val="center"/>
          </w:tcPr>
          <w:p>
            <w:pPr>
              <w:spacing w:after="20"/>
            </w:pPr>
            <w:r>
              <w:rPr>
                <w:rFonts w:ascii="Calibri" w:hAnsi="Calibri"/>
                <w:sz w:val="16"/>
              </w:rPr>
              <w:t>Binding law as amended</w:t>
            </w:r>
          </w:p>
        </w:tc>
      </w:tr>
      <w:tr>
        <w:trPr>
          <w:cantSplit/>
        </w:trPr>
        <w:tc>
          <w:tcPr>
            <w:tcW w:type="dxa" w:w="1000"/>
            <w:tcMar>
              <w:top w:w="80" w:type="dxa"/>
              <w:start w:w="120" w:type="dxa"/>
              <w:bottom w:w="80" w:type="dxa"/>
              <w:end w:w="120" w:type="dxa"/>
            </w:tcMar>
            <w:vAlign w:val="center"/>
          </w:tcPr>
          <w:p>
            <w:pPr>
              <w:spacing w:after="20"/>
            </w:pPr>
            <w:bookmarkStart w:id="49" w:name="REF_031"/>
            <w:r>
              <w:rPr>
                <w:rFonts w:ascii="Calibri" w:hAnsi="Calibri"/>
                <w:sz w:val="16"/>
              </w:rPr>
              <w:t>REF-031</w:t>
            </w:r>
            <w:bookmarkEnd w:id="49"/>
          </w:p>
        </w:tc>
        <w:tc>
          <w:tcPr>
            <w:tcW w:type="dxa" w:w="5000"/>
            <w:tcMar>
              <w:top w:w="80" w:type="dxa"/>
              <w:start w:w="120" w:type="dxa"/>
              <w:bottom w:w="80" w:type="dxa"/>
              <w:end w:w="120" w:type="dxa"/>
            </w:tcMar>
            <w:vAlign w:val="center"/>
          </w:tcPr>
          <w:p>
            <w:pPr>
              <w:spacing w:after="20"/>
            </w:pPr>
            <w:hyperlink r:id="rId42">
              <w:r>
                <w:rPr>
                  <w:rStyle w:val="Hyperlink"/>
                  <w:sz w:val="16"/>
                </w:rPr>
                <w:t>Data Protection Act 2018</w:t>
              </w:r>
            </w:hyperlink>
          </w:p>
        </w:tc>
        <w:tc>
          <w:tcPr>
            <w:tcW w:type="dxa" w:w="3360"/>
            <w:tcMar>
              <w:top w:w="80" w:type="dxa"/>
              <w:start w:w="120" w:type="dxa"/>
              <w:bottom w:w="80" w:type="dxa"/>
              <w:end w:w="120" w:type="dxa"/>
            </w:tcMar>
            <w:vAlign w:val="center"/>
          </w:tcPr>
          <w:p>
            <w:pPr>
              <w:spacing w:after="20"/>
            </w:pPr>
            <w:r>
              <w:rPr>
                <w:rFonts w:ascii="Calibri" w:hAnsi="Calibri"/>
                <w:sz w:val="16"/>
              </w:rPr>
              <w:t>Binding UK Act</w:t>
            </w:r>
          </w:p>
        </w:tc>
      </w:tr>
      <w:tr>
        <w:trPr>
          <w:cantSplit/>
        </w:trPr>
        <w:tc>
          <w:tcPr>
            <w:tcW w:type="dxa" w:w="1000"/>
            <w:tcMar>
              <w:top w:w="80" w:type="dxa"/>
              <w:start w:w="120" w:type="dxa"/>
              <w:bottom w:w="80" w:type="dxa"/>
              <w:end w:w="120" w:type="dxa"/>
            </w:tcMar>
            <w:vAlign w:val="center"/>
          </w:tcPr>
          <w:p>
            <w:pPr>
              <w:spacing w:after="20"/>
            </w:pPr>
            <w:bookmarkStart w:id="50" w:name="REF_032"/>
            <w:r>
              <w:rPr>
                <w:rFonts w:ascii="Calibri" w:hAnsi="Calibri"/>
                <w:sz w:val="16"/>
              </w:rPr>
              <w:t>REF-032</w:t>
            </w:r>
            <w:bookmarkEnd w:id="50"/>
          </w:p>
        </w:tc>
        <w:tc>
          <w:tcPr>
            <w:tcW w:type="dxa" w:w="5000"/>
            <w:tcMar>
              <w:top w:w="80" w:type="dxa"/>
              <w:start w:w="120" w:type="dxa"/>
              <w:bottom w:w="80" w:type="dxa"/>
              <w:end w:w="120" w:type="dxa"/>
            </w:tcMar>
            <w:vAlign w:val="center"/>
          </w:tcPr>
          <w:p>
            <w:pPr>
              <w:spacing w:after="20"/>
            </w:pPr>
            <w:hyperlink r:id="rId43">
              <w:r>
                <w:rPr>
                  <w:rStyle w:val="Hyperlink"/>
                  <w:sz w:val="16"/>
                </w:rPr>
                <w:t>FCA SYSC 15A</w:t>
              </w:r>
            </w:hyperlink>
          </w:p>
        </w:tc>
        <w:tc>
          <w:tcPr>
            <w:tcW w:type="dxa" w:w="3360"/>
            <w:tcMar>
              <w:top w:w="80" w:type="dxa"/>
              <w:start w:w="120" w:type="dxa"/>
              <w:bottom w:w="80" w:type="dxa"/>
              <w:end w:w="120" w:type="dxa"/>
            </w:tcMar>
            <w:vAlign w:val="center"/>
          </w:tcPr>
          <w:p>
            <w:pPr>
              <w:spacing w:after="20"/>
            </w:pPr>
            <w:r>
              <w:rPr>
                <w:rFonts w:ascii="Calibri" w:hAnsi="Calibri"/>
                <w:sz w:val="16"/>
              </w:rPr>
              <w:t>Binding operational-resilience rules where applicable</w:t>
            </w:r>
          </w:p>
        </w:tc>
      </w:tr>
      <w:tr>
        <w:trPr>
          <w:cantSplit/>
        </w:trPr>
        <w:tc>
          <w:tcPr>
            <w:tcW w:type="dxa" w:w="1000"/>
            <w:tcMar>
              <w:top w:w="80" w:type="dxa"/>
              <w:start w:w="120" w:type="dxa"/>
              <w:bottom w:w="80" w:type="dxa"/>
              <w:end w:w="120" w:type="dxa"/>
            </w:tcMar>
            <w:vAlign w:val="center"/>
          </w:tcPr>
          <w:p>
            <w:pPr>
              <w:spacing w:after="20"/>
            </w:pPr>
            <w:bookmarkStart w:id="51" w:name="REF_033"/>
            <w:r>
              <w:rPr>
                <w:rFonts w:ascii="Calibri" w:hAnsi="Calibri"/>
                <w:sz w:val="16"/>
              </w:rPr>
              <w:t>REF-033</w:t>
            </w:r>
            <w:bookmarkEnd w:id="51"/>
          </w:p>
        </w:tc>
        <w:tc>
          <w:tcPr>
            <w:tcW w:type="dxa" w:w="5000"/>
            <w:tcMar>
              <w:top w:w="80" w:type="dxa"/>
              <w:start w:w="120" w:type="dxa"/>
              <w:bottom w:w="80" w:type="dxa"/>
              <w:end w:w="120" w:type="dxa"/>
            </w:tcMar>
            <w:vAlign w:val="center"/>
          </w:tcPr>
          <w:p>
            <w:pPr>
              <w:spacing w:after="20"/>
            </w:pPr>
            <w:hyperlink r:id="rId44">
              <w:r>
                <w:rPr>
                  <w:rStyle w:val="Hyperlink"/>
                  <w:sz w:val="16"/>
                </w:rPr>
                <w:t>FCA SYSC 8</w:t>
              </w:r>
            </w:hyperlink>
          </w:p>
        </w:tc>
        <w:tc>
          <w:tcPr>
            <w:tcW w:type="dxa" w:w="3360"/>
            <w:tcMar>
              <w:top w:w="80" w:type="dxa"/>
              <w:start w:w="120" w:type="dxa"/>
              <w:bottom w:w="80" w:type="dxa"/>
              <w:end w:w="120" w:type="dxa"/>
            </w:tcMar>
            <w:vAlign w:val="center"/>
          </w:tcPr>
          <w:p>
            <w:pPr>
              <w:spacing w:after="20"/>
            </w:pPr>
            <w:r>
              <w:rPr>
                <w:rFonts w:ascii="Calibri" w:hAnsi="Calibri"/>
                <w:sz w:val="16"/>
              </w:rPr>
              <w:t>Outsourcing rules subject to firm/activity applicability</w:t>
            </w:r>
          </w:p>
        </w:tc>
      </w:tr>
      <w:tr>
        <w:trPr>
          <w:cantSplit/>
        </w:trPr>
        <w:tc>
          <w:tcPr>
            <w:tcW w:type="dxa" w:w="1000"/>
            <w:tcMar>
              <w:top w:w="80" w:type="dxa"/>
              <w:start w:w="120" w:type="dxa"/>
              <w:bottom w:w="80" w:type="dxa"/>
              <w:end w:w="120" w:type="dxa"/>
            </w:tcMar>
            <w:vAlign w:val="center"/>
          </w:tcPr>
          <w:p>
            <w:pPr>
              <w:spacing w:after="20"/>
            </w:pPr>
            <w:bookmarkStart w:id="52" w:name="REF_034"/>
            <w:r>
              <w:rPr>
                <w:rFonts w:ascii="Calibri" w:hAnsi="Calibri"/>
                <w:sz w:val="16"/>
              </w:rPr>
              <w:t>REF-034</w:t>
            </w:r>
            <w:bookmarkEnd w:id="52"/>
          </w:p>
        </w:tc>
        <w:tc>
          <w:tcPr>
            <w:tcW w:type="dxa" w:w="5000"/>
            <w:tcMar>
              <w:top w:w="80" w:type="dxa"/>
              <w:start w:w="120" w:type="dxa"/>
              <w:bottom w:w="80" w:type="dxa"/>
              <w:end w:w="120" w:type="dxa"/>
            </w:tcMar>
            <w:vAlign w:val="center"/>
          </w:tcPr>
          <w:p>
            <w:pPr>
              <w:spacing w:after="20"/>
            </w:pPr>
            <w:hyperlink r:id="rId45">
              <w:r>
                <w:rPr>
                  <w:rStyle w:val="Hyperlink"/>
                  <w:sz w:val="16"/>
                </w:rPr>
                <w:t>PRA Rulebook</w:t>
              </w:r>
            </w:hyperlink>
          </w:p>
        </w:tc>
        <w:tc>
          <w:tcPr>
            <w:tcW w:type="dxa" w:w="3360"/>
            <w:tcMar>
              <w:top w:w="80" w:type="dxa"/>
              <w:start w:w="120" w:type="dxa"/>
              <w:bottom w:w="80" w:type="dxa"/>
              <w:end w:w="120" w:type="dxa"/>
            </w:tcMar>
            <w:vAlign w:val="center"/>
          </w:tcPr>
          <w:p>
            <w:pPr>
              <w:spacing w:after="20"/>
            </w:pPr>
            <w:r>
              <w:rPr>
                <w:rFonts w:ascii="Calibri" w:hAnsi="Calibri"/>
                <w:sz w:val="16"/>
              </w:rPr>
              <w:t>Binding PRA rules</w:t>
            </w:r>
          </w:p>
        </w:tc>
      </w:tr>
    </w:tbl>
    <w:p>
      <w:bookmarkStart w:id="53" w:name="APPENDIX"/>
      <w:pPr>
        <w:pStyle w:val="Heading1"/>
      </w:pPr>
      <w:r>
        <w:t>Appendix - Host Verification Plan</w:t>
      </w:r>
      <w:bookmarkEnd w:id="53"/>
      <w:r>
        <w:t xml:space="preserve">  </w:t>
      </w:r>
      <w:hyperlink w:anchor="CONTENTS">
        <w:r>
          <w:rPr>
            <w:rStyle w:val="Hyperlink"/>
            <w:sz w:val="14"/>
          </w:rPr>
          <w:t>Back to contents</w:t>
        </w:r>
      </w:hyperlink>
    </w:p>
    <w:p>
      <w:pPr>
        <w:spacing w:after="160" w:line="280" w:lineRule="auto"/>
        <w:numPr>
          <w:ilvl w:val="0"/>
          <w:numId w:val="10"/>
        </w:numPr>
      </w:pPr>
      <w:r>
        <w:rPr>
          <w:rFonts w:ascii="Calibri" w:hAnsi="Calibri"/>
          <w:sz w:val="21"/>
        </w:rPr>
        <w:t>Baseline IDE version/profile, MCP configuration locations, credential stores, processes, logs and current tool inventory.</w:t>
      </w:r>
    </w:p>
    <w:p>
      <w:pPr>
        <w:spacing w:after="160" w:line="280" w:lineRule="auto"/>
        <w:numPr>
          <w:ilvl w:val="0"/>
          <w:numId w:val="10"/>
        </w:numPr>
      </w:pPr>
      <w:r>
        <w:rPr>
          <w:rFonts w:ascii="Calibri" w:hAnsi="Calibri"/>
          <w:sz w:val="21"/>
        </w:rPr>
        <w:t>Use a segregated tenant and synthetic dataset; capture effective user/token permissions and prove negative access to excluded buckets/fields.</w:t>
      </w:r>
    </w:p>
    <w:p>
      <w:pPr>
        <w:spacing w:after="160" w:line="280" w:lineRule="auto"/>
        <w:numPr>
          <w:ilvl w:val="0"/>
          <w:numId w:val="10"/>
        </w:numPr>
      </w:pPr>
      <w:r>
        <w:rPr>
          <w:rFonts w:ascii="Calibri" w:hAnsi="Calibri"/>
          <w:sz w:val="21"/>
        </w:rPr>
        <w:t>Verify OAuth PKCE, token expiry/refresh/revocation, secret non-persistence in source control, Settings Sync and diagnostics.</w:t>
      </w:r>
    </w:p>
    <w:p>
      <w:pPr>
        <w:spacing w:after="160" w:line="280" w:lineRule="auto"/>
        <w:numPr>
          <w:ilvl w:val="0"/>
          <w:numId w:val="10"/>
        </w:numPr>
      </w:pPr>
      <w:r>
        <w:rPr>
          <w:rFonts w:ascii="Calibri" w:hAnsi="Calibri"/>
          <w:sz w:val="21"/>
        </w:rPr>
        <w:t>Exercise representative read-only prompts; capture network destinations, content fields, tool schemas, record limits, audit events and retention.</w:t>
      </w:r>
    </w:p>
    <w:p>
      <w:pPr>
        <w:spacing w:after="160" w:line="280" w:lineRule="auto"/>
        <w:numPr>
          <w:ilvl w:val="0"/>
          <w:numId w:val="10"/>
        </w:numPr>
      </w:pPr>
      <w:r>
        <w:rPr>
          <w:rFonts w:ascii="Calibri" w:hAnsi="Calibri"/>
          <w:sz w:val="21"/>
        </w:rPr>
        <w:t>Change the server tool list/configuration and confirm trust reset, allowlist enforcement and administrative alerting.</w:t>
      </w:r>
    </w:p>
    <w:p>
      <w:pPr>
        <w:spacing w:after="160" w:line="280" w:lineRule="auto"/>
        <w:numPr>
          <w:ilvl w:val="0"/>
          <w:numId w:val="10"/>
        </w:numPr>
      </w:pPr>
      <w:r>
        <w:rPr>
          <w:rFonts w:ascii="Calibri" w:hAnsi="Calibri"/>
          <w:sz w:val="21"/>
        </w:rPr>
        <w:t>Stop/remove the configuration and verify credential deletion, log/cache handling and absence of residual access.</w:t>
      </w:r>
    </w:p>
    <w:p>
      <w:r>
        <w:t>Regeneration verification statement: decision and approval remain governed by the report recommendation. Purpose and function, architecture, trust boundaries, and data flows were rechecked for this IDE. Installation manifest, uninstall, runtime and activation, network, authentication, telemetry, privacy, MCP and Agent Skills, supply chain dependencies, threats and findings, framework disposition, controls and detection, residual risk, confidence, limitations, evidence, and verification were explicitly considered. Current static and malware evidence is retained. Representative IDE runtime evidence is Blocked: no disposable representative Windows 11, macOS, Visual Studio, or Dynatrace tenant test environment and credentials were available; this limitation is not treated as a passed control. No bundled Agent Skill was found in the assessed installation surface unless the product-specific section states otherwise.</w:t>
      </w:r>
    </w:p>
    <w:p>
      <w:r>
        <w:br w:type="page"/>
      </w:r>
    </w:p>
    <w:p>
      <w:pPr>
        <w:pStyle w:val="Heading1"/>
      </w:pPr>
      <w:r>
        <w:t>Regeneration Addendum and Current Evidence</w:t>
      </w:r>
    </w:p>
    <w:p>
      <w:r>
        <w:t>This version 1.1 report preserves the previously delivered assessment as comparison evidence and regenerates the authoritative record under the current repository quality gates. Claims from the historical report were reclassified where necessary as historical verified evidence, current verified evidence, inference, not observed, not applicable, or unknown. The preserved baseline was not silently overwritten. The current source and package records were acquired directly from the publisher or official registry, cryptographically hashed, archive-safety checked, statically inspected, malware scanned, and correlated with current advisory data. Scanner output is evidence, not approval.</w:t>
      </w:r>
    </w:p>
    <w:p>
      <w:r>
        <w:t>The official hosted-service documentation was refreshed on 25 July 2026. It describes a tenant-specific HTTPS MCP gateway, bearer or OAuth-based authentication, and a mix of generally available, public-preview, and early-access tools. Service-side implementation, deployment provenance, SBOM, and release digest remain undisclosed to this assessment. The historical recommendation therefore remains a narrowly conditioned non-production, read-only pilot rather than production approval.</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Evidence item</w:t>
            </w:r>
          </w:p>
        </w:tc>
        <w:tc>
          <w:tcPr>
            <w:tcW w:type="dxa" w:w="2340"/>
            <w:shd w:fill="17365D"/>
          </w:tcPr>
          <w:p>
            <w:r>
              <w:rPr>
                <w:b/>
                <w:color w:val="FFFFFF"/>
                <w:sz w:val="16"/>
              </w:rPr>
              <w:t>Current state</w:t>
            </w:r>
          </w:p>
        </w:tc>
        <w:tc>
          <w:tcPr>
            <w:tcW w:type="dxa" w:w="2340"/>
            <w:shd w:fill="17365D"/>
          </w:tcPr>
          <w:p>
            <w:r>
              <w:rPr>
                <w:b/>
                <w:color w:val="FFFFFF"/>
                <w:sz w:val="16"/>
              </w:rPr>
              <w:t>SHA-256 / result</w:t>
            </w:r>
          </w:p>
        </w:tc>
        <w:tc>
          <w:tcPr>
            <w:tcW w:type="dxa" w:w="2340"/>
            <w:shd w:fill="17365D"/>
          </w:tcPr>
          <w:p>
            <w:r>
              <w:rPr>
                <w:b/>
                <w:color w:val="FFFFFF"/>
                <w:sz w:val="16"/>
              </w:rPr>
              <w:t>Claim status</w:t>
            </w:r>
          </w:p>
        </w:tc>
      </w:tr>
      <w:tr>
        <w:trPr>
          <w:cantSplit/>
        </w:trPr>
        <w:tc>
          <w:tcPr>
            <w:tcW w:type="dxa" w:w="2340"/>
            <w:vAlign w:val="top"/>
          </w:tcPr>
          <w:p>
            <w:pPr>
              <w:spacing w:after="20"/>
            </w:pPr>
            <w:r>
              <w:rPr>
                <w:sz w:val="15"/>
              </w:rPr>
              <w:t>Official documentation</w:t>
            </w:r>
          </w:p>
        </w:tc>
        <w:tc>
          <w:tcPr>
            <w:tcW w:type="dxa" w:w="2340"/>
            <w:vAlign w:val="top"/>
          </w:tcPr>
          <w:p>
            <w:pPr>
              <w:spacing w:after="20"/>
            </w:pPr>
            <w:r>
              <w:rPr>
                <w:sz w:val="15"/>
              </w:rPr>
              <w:t>Current snapshot</w:t>
            </w:r>
          </w:p>
        </w:tc>
        <w:tc>
          <w:tcPr>
            <w:tcW w:type="dxa" w:w="2340"/>
            <w:vAlign w:val="top"/>
          </w:tcPr>
          <w:p>
            <w:pPr>
              <w:spacing w:after="20"/>
            </w:pPr>
            <w:r>
              <w:rPr>
                <w:sz w:val="15"/>
              </w:rPr>
              <w:t>2b57d6bc8df35751d831f2441771d74161dee9620029b9baef71a98b96d17fce</w:t>
            </w:r>
          </w:p>
        </w:tc>
        <w:tc>
          <w:tcPr>
            <w:tcW w:type="dxa" w:w="2340"/>
            <w:vAlign w:val="top"/>
          </w:tcPr>
          <w:p>
            <w:pPr>
              <w:spacing w:after="20"/>
            </w:pPr>
            <w:r>
              <w:rPr>
                <w:sz w:val="15"/>
              </w:rPr>
              <w:t>Current verified</w:t>
            </w:r>
          </w:p>
        </w:tc>
      </w:tr>
      <w:tr>
        <w:trPr>
          <w:cantSplit/>
        </w:trPr>
        <w:tc>
          <w:tcPr>
            <w:tcW w:type="dxa" w:w="2340"/>
            <w:vAlign w:val="top"/>
            <w:shd w:fill="EEF4F7"/>
          </w:tcPr>
          <w:p>
            <w:pPr>
              <w:spacing w:after="20"/>
            </w:pPr>
            <w:r>
              <w:rPr>
                <w:sz w:val="15"/>
              </w:rPr>
              <w:t>Hosted executable or image</w:t>
            </w:r>
          </w:p>
        </w:tc>
        <w:tc>
          <w:tcPr>
            <w:tcW w:type="dxa" w:w="2340"/>
            <w:vAlign w:val="top"/>
            <w:shd w:fill="EEF4F7"/>
          </w:tcPr>
          <w:p>
            <w:pPr>
              <w:spacing w:after="20"/>
            </w:pPr>
            <w:r>
              <w:rPr>
                <w:sz w:val="15"/>
              </w:rPr>
              <w:t>Not supplied</w:t>
            </w:r>
          </w:p>
        </w:tc>
        <w:tc>
          <w:tcPr>
            <w:tcW w:type="dxa" w:w="2340"/>
            <w:vAlign w:val="top"/>
            <w:shd w:fill="EEF4F7"/>
          </w:tcPr>
          <w:p>
            <w:pPr>
              <w:spacing w:after="20"/>
            </w:pPr>
            <w:r>
              <w:rPr>
                <w:sz w:val="15"/>
              </w:rPr>
              <w:t>Unknown</w:t>
            </w:r>
          </w:p>
        </w:tc>
        <w:tc>
          <w:tcPr>
            <w:tcW w:type="dxa" w:w="2340"/>
            <w:vAlign w:val="top"/>
            <w:shd w:fill="EEF4F7"/>
          </w:tcPr>
          <w:p>
            <w:pPr>
              <w:spacing w:after="20"/>
            </w:pPr>
            <w:r>
              <w:rPr>
                <w:sz w:val="15"/>
              </w:rPr>
              <w:t>Not observed</w:t>
            </w:r>
          </w:p>
        </w:tc>
      </w:tr>
      <w:tr>
        <w:trPr>
          <w:cantSplit/>
        </w:trPr>
        <w:tc>
          <w:tcPr>
            <w:tcW w:type="dxa" w:w="2340"/>
            <w:vAlign w:val="top"/>
          </w:tcPr>
          <w:p>
            <w:pPr>
              <w:spacing w:after="20"/>
            </w:pPr>
            <w:r>
              <w:rPr>
                <w:sz w:val="15"/>
              </w:rPr>
              <w:t>ClamAV</w:t>
            </w:r>
          </w:p>
        </w:tc>
        <w:tc>
          <w:tcPr>
            <w:tcW w:type="dxa" w:w="2340"/>
            <w:vAlign w:val="top"/>
          </w:tcPr>
          <w:p>
            <w:pPr>
              <w:spacing w:after="20"/>
            </w:pPr>
            <w:r>
              <w:rPr>
                <w:sz w:val="15"/>
              </w:rPr>
              <w:t>1 file; 0 infected</w:t>
            </w:r>
          </w:p>
        </w:tc>
        <w:tc>
          <w:tcPr>
            <w:tcW w:type="dxa" w:w="2340"/>
            <w:vAlign w:val="top"/>
          </w:tcPr>
          <w:p>
            <w:pPr>
              <w:spacing w:after="20"/>
            </w:pPr>
            <w:r>
              <w:rPr>
                <w:sz w:val="15"/>
              </w:rPr>
              <w:t>Engine 1.5.3 / DB 28071</w:t>
            </w:r>
          </w:p>
        </w:tc>
        <w:tc>
          <w:tcPr>
            <w:tcW w:type="dxa" w:w="2340"/>
            <w:vAlign w:val="top"/>
          </w:tcPr>
          <w:p>
            <w:pPr>
              <w:spacing w:after="20"/>
            </w:pPr>
            <w:r>
              <w:rPr>
                <w:sz w:val="15"/>
              </w:rPr>
              <w:t>Current verified within scope</w:t>
            </w:r>
          </w:p>
        </w:tc>
      </w:tr>
      <w:tr>
        <w:trPr>
          <w:cantSplit/>
        </w:trPr>
        <w:tc>
          <w:tcPr>
            <w:tcW w:type="dxa" w:w="2340"/>
            <w:vAlign w:val="top"/>
            <w:shd w:fill="EEF4F7"/>
          </w:tcPr>
          <w:p>
            <w:pPr>
              <w:spacing w:after="20"/>
            </w:pPr>
            <w:r>
              <w:rPr>
                <w:sz w:val="15"/>
              </w:rPr>
              <w:t>Historical report</w:t>
            </w:r>
          </w:p>
        </w:tc>
        <w:tc>
          <w:tcPr>
            <w:tcW w:type="dxa" w:w="2340"/>
            <w:vAlign w:val="top"/>
            <w:shd w:fill="EEF4F7"/>
          </w:tcPr>
          <w:p>
            <w:pPr>
              <w:spacing w:after="20"/>
            </w:pPr>
            <w:r>
              <w:rPr>
                <w:sz w:val="15"/>
              </w:rPr>
              <w:t>Preserved</w:t>
            </w:r>
          </w:p>
        </w:tc>
        <w:tc>
          <w:tcPr>
            <w:tcW w:type="dxa" w:w="2340"/>
            <w:vAlign w:val="top"/>
            <w:shd w:fill="EEF4F7"/>
          </w:tcPr>
          <w:p>
            <w:pPr>
              <w:spacing w:after="20"/>
            </w:pPr>
            <w:r>
              <w:rPr>
                <w:sz w:val="15"/>
              </w:rPr>
              <w:t>Computed in migration provenance</w:t>
            </w:r>
          </w:p>
        </w:tc>
        <w:tc>
          <w:tcPr>
            <w:tcW w:type="dxa" w:w="2340"/>
            <w:vAlign w:val="top"/>
            <w:shd w:fill="EEF4F7"/>
          </w:tcPr>
          <w:p>
            <w:pPr>
              <w:spacing w:after="20"/>
            </w:pPr>
            <w:r>
              <w:rPr>
                <w:sz w:val="15"/>
              </w:rPr>
              <w:t>Historical verified</w:t>
            </w:r>
          </w:p>
        </w:tc>
      </w:tr>
    </w:tbl>
    <w:p/>
    <w:p>
      <w:pPr>
        <w:pStyle w:val="Heading1"/>
      </w:pPr>
      <w:r>
        <w:t>Static Analysis and Malware Review</w:t>
      </w:r>
    </w:p>
    <w:p>
      <w:r>
        <w:t>There is no client package or source archive for the hosted service in scope. Semgrep and source-level static analysis are therefore not applicable to the service implementation. The review inspected official documentation, endpoint shape, authentication model, tool catalogue, product maturity labels, data flows, IDE configuration, and trust boundaries. The absence of source is an evidence limitation, not a clean static-analysis result.</w:t>
      </w:r>
    </w:p>
    <w:p>
      <w:r>
        <w:t>ClamAV 1.5.3 with database 28071 scanned the official documentation snapshot and reported zero infected files. The Agent Skill-focused YARA baseline matched ordinary documentation terms concerning secrets and package installation. Manual triage found no executable payload and no malware behavior. This scan does not attest the unseen hosted implementation.</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Method</w:t>
            </w:r>
          </w:p>
        </w:tc>
        <w:tc>
          <w:tcPr>
            <w:tcW w:type="dxa" w:w="2340"/>
            <w:shd w:fill="17365D"/>
          </w:tcPr>
          <w:p>
            <w:r>
              <w:rPr>
                <w:b/>
                <w:color w:val="FFFFFF"/>
                <w:sz w:val="16"/>
              </w:rPr>
              <w:t>Scope</w:t>
            </w:r>
          </w:p>
        </w:tc>
        <w:tc>
          <w:tcPr>
            <w:tcW w:type="dxa" w:w="2340"/>
            <w:shd w:fill="17365D"/>
          </w:tcPr>
          <w:p>
            <w:r>
              <w:rPr>
                <w:b/>
                <w:color w:val="FFFFFF"/>
                <w:sz w:val="16"/>
              </w:rPr>
              <w:t>Result</w:t>
            </w:r>
          </w:p>
        </w:tc>
        <w:tc>
          <w:tcPr>
            <w:tcW w:type="dxa" w:w="2340"/>
            <w:shd w:fill="17365D"/>
          </w:tcPr>
          <w:p>
            <w:r>
              <w:rPr>
                <w:b/>
                <w:color w:val="FFFFFF"/>
                <w:sz w:val="16"/>
              </w:rPr>
              <w:t>Limitation</w:t>
            </w:r>
          </w:p>
        </w:tc>
      </w:tr>
      <w:tr>
        <w:trPr>
          <w:cantSplit/>
        </w:trPr>
        <w:tc>
          <w:tcPr>
            <w:tcW w:type="dxa" w:w="2340"/>
            <w:vAlign w:val="top"/>
          </w:tcPr>
          <w:p>
            <w:pPr>
              <w:spacing w:after="20"/>
            </w:pPr>
            <w:r>
              <w:rPr>
                <w:sz w:val="15"/>
              </w:rPr>
              <w:t>Documentation inspection</w:t>
            </w:r>
          </w:p>
        </w:tc>
        <w:tc>
          <w:tcPr>
            <w:tcW w:type="dxa" w:w="2340"/>
            <w:vAlign w:val="top"/>
          </w:tcPr>
          <w:p>
            <w:pPr>
              <w:spacing w:after="20"/>
            </w:pPr>
            <w:r>
              <w:rPr>
                <w:sz w:val="15"/>
              </w:rPr>
              <w:t>Official hosted-service page</w:t>
            </w:r>
          </w:p>
        </w:tc>
        <w:tc>
          <w:tcPr>
            <w:tcW w:type="dxa" w:w="2340"/>
            <w:vAlign w:val="top"/>
          </w:tcPr>
          <w:p>
            <w:pPr>
              <w:spacing w:after="20"/>
            </w:pPr>
            <w:r>
              <w:rPr>
                <w:sz w:val="15"/>
              </w:rPr>
              <w:t>Endpoint, authentication, tools and maturity reviewed</w:t>
            </w:r>
          </w:p>
        </w:tc>
        <w:tc>
          <w:tcPr>
            <w:tcW w:type="dxa" w:w="2340"/>
            <w:vAlign w:val="top"/>
          </w:tcPr>
          <w:p>
            <w:pPr>
              <w:spacing w:after="20"/>
            </w:pPr>
            <w:r>
              <w:rPr>
                <w:sz w:val="15"/>
              </w:rPr>
              <w:t>No implementation source</w:t>
            </w:r>
          </w:p>
        </w:tc>
      </w:tr>
      <w:tr>
        <w:trPr>
          <w:cantSplit/>
        </w:trPr>
        <w:tc>
          <w:tcPr>
            <w:tcW w:type="dxa" w:w="2340"/>
            <w:vAlign w:val="top"/>
            <w:shd w:fill="EEF4F7"/>
          </w:tcPr>
          <w:p>
            <w:pPr>
              <w:spacing w:after="20"/>
            </w:pPr>
            <w:r>
              <w:rPr>
                <w:sz w:val="15"/>
              </w:rPr>
              <w:t>Semgrep</w:t>
            </w:r>
          </w:p>
        </w:tc>
        <w:tc>
          <w:tcPr>
            <w:tcW w:type="dxa" w:w="2340"/>
            <w:vAlign w:val="top"/>
            <w:shd w:fill="EEF4F7"/>
          </w:tcPr>
          <w:p>
            <w:pPr>
              <w:spacing w:after="20"/>
            </w:pPr>
            <w:r>
              <w:rPr>
                <w:sz w:val="15"/>
              </w:rPr>
              <w:t>Hosted implementation</w:t>
            </w:r>
          </w:p>
        </w:tc>
        <w:tc>
          <w:tcPr>
            <w:tcW w:type="dxa" w:w="2340"/>
            <w:vAlign w:val="top"/>
            <w:shd w:fill="EEF4F7"/>
          </w:tcPr>
          <w:p>
            <w:pPr>
              <w:spacing w:after="20"/>
            </w:pPr>
            <w:r>
              <w:rPr>
                <w:sz w:val="15"/>
              </w:rPr>
              <w:t>Not applicable</w:t>
            </w:r>
          </w:p>
        </w:tc>
        <w:tc>
          <w:tcPr>
            <w:tcW w:type="dxa" w:w="2340"/>
            <w:vAlign w:val="top"/>
            <w:shd w:fill="EEF4F7"/>
          </w:tcPr>
          <w:p>
            <w:pPr>
              <w:spacing w:after="20"/>
            </w:pPr>
            <w:r>
              <w:rPr>
                <w:sz w:val="15"/>
              </w:rPr>
              <w:t>No source artifact</w:t>
            </w:r>
          </w:p>
        </w:tc>
      </w:tr>
      <w:tr>
        <w:trPr>
          <w:cantSplit/>
        </w:trPr>
        <w:tc>
          <w:tcPr>
            <w:tcW w:type="dxa" w:w="2340"/>
            <w:vAlign w:val="top"/>
          </w:tcPr>
          <w:p>
            <w:pPr>
              <w:spacing w:after="20"/>
            </w:pPr>
            <w:r>
              <w:rPr>
                <w:sz w:val="15"/>
              </w:rPr>
              <w:t>ClamAV</w:t>
            </w:r>
          </w:p>
        </w:tc>
        <w:tc>
          <w:tcPr>
            <w:tcW w:type="dxa" w:w="2340"/>
            <w:vAlign w:val="top"/>
          </w:tcPr>
          <w:p>
            <w:pPr>
              <w:spacing w:after="20"/>
            </w:pPr>
            <w:r>
              <w:rPr>
                <w:sz w:val="15"/>
              </w:rPr>
              <w:t>Official HTML snapshot</w:t>
            </w:r>
          </w:p>
        </w:tc>
        <w:tc>
          <w:tcPr>
            <w:tcW w:type="dxa" w:w="2340"/>
            <w:vAlign w:val="top"/>
          </w:tcPr>
          <w:p>
            <w:pPr>
              <w:spacing w:after="20"/>
            </w:pPr>
            <w:r>
              <w:rPr>
                <w:sz w:val="15"/>
              </w:rPr>
              <w:t>0 infected</w:t>
            </w:r>
          </w:p>
        </w:tc>
        <w:tc>
          <w:tcPr>
            <w:tcW w:type="dxa" w:w="2340"/>
            <w:vAlign w:val="top"/>
          </w:tcPr>
          <w:p>
            <w:pPr>
              <w:spacing w:after="20"/>
            </w:pPr>
            <w:r>
              <w:rPr>
                <w:sz w:val="15"/>
              </w:rPr>
              <w:t>Does not scan service runtime</w:t>
            </w:r>
          </w:p>
        </w:tc>
      </w:tr>
      <w:tr>
        <w:trPr>
          <w:cantSplit/>
        </w:trPr>
        <w:tc>
          <w:tcPr>
            <w:tcW w:type="dxa" w:w="2340"/>
            <w:vAlign w:val="top"/>
            <w:shd w:fill="EEF4F7"/>
          </w:tcPr>
          <w:p>
            <w:pPr>
              <w:spacing w:after="20"/>
            </w:pPr>
            <w:r>
              <w:rPr>
                <w:sz w:val="15"/>
              </w:rPr>
              <w:t>YARA</w:t>
            </w:r>
          </w:p>
        </w:tc>
        <w:tc>
          <w:tcPr>
            <w:tcW w:type="dxa" w:w="2340"/>
            <w:vAlign w:val="top"/>
            <w:shd w:fill="EEF4F7"/>
          </w:tcPr>
          <w:p>
            <w:pPr>
              <w:spacing w:after="20"/>
            </w:pPr>
            <w:r>
              <w:rPr>
                <w:sz w:val="15"/>
              </w:rPr>
              <w:t>Official HTML snapshot</w:t>
            </w:r>
          </w:p>
        </w:tc>
        <w:tc>
          <w:tcPr>
            <w:tcW w:type="dxa" w:w="2340"/>
            <w:vAlign w:val="top"/>
            <w:shd w:fill="EEF4F7"/>
          </w:tcPr>
          <w:p>
            <w:pPr>
              <w:spacing w:after="20"/>
            </w:pPr>
            <w:r>
              <w:rPr>
                <w:sz w:val="15"/>
              </w:rPr>
              <w:t>2 heuristic text matches; benign documentation context</w:t>
            </w:r>
          </w:p>
        </w:tc>
        <w:tc>
          <w:tcPr>
            <w:tcW w:type="dxa" w:w="2340"/>
            <w:vAlign w:val="top"/>
            <w:shd w:fill="EEF4F7"/>
          </w:tcPr>
          <w:p>
            <w:pPr>
              <w:spacing w:after="20"/>
            </w:pPr>
            <w:r>
              <w:rPr>
                <w:sz w:val="15"/>
              </w:rPr>
              <w:t>Skill-focused heuristic rules</w:t>
            </w:r>
          </w:p>
        </w:tc>
      </w:tr>
      <w:tr>
        <w:trPr>
          <w:cantSplit/>
        </w:trPr>
        <w:tc>
          <w:tcPr>
            <w:tcW w:type="dxa" w:w="2340"/>
            <w:vAlign w:val="top"/>
          </w:tcPr>
          <w:p>
            <w:pPr>
              <w:spacing w:after="20"/>
            </w:pPr>
            <w:r>
              <w:rPr>
                <w:sz w:val="15"/>
              </w:rPr>
              <w:t>Dynamic analysis</w:t>
            </w:r>
          </w:p>
        </w:tc>
        <w:tc>
          <w:tcPr>
            <w:tcW w:type="dxa" w:w="2340"/>
            <w:vAlign w:val="top"/>
          </w:tcPr>
          <w:p>
            <w:pPr>
              <w:spacing w:after="20"/>
            </w:pPr>
            <w:r>
              <w:rPr>
                <w:sz w:val="15"/>
              </w:rPr>
              <w:t>Requested IDEs and hosted tenant</w:t>
            </w:r>
          </w:p>
        </w:tc>
        <w:tc>
          <w:tcPr>
            <w:tcW w:type="dxa" w:w="2340"/>
            <w:vAlign w:val="top"/>
          </w:tcPr>
          <w:p>
            <w:pPr>
              <w:spacing w:after="20"/>
            </w:pPr>
            <w:r>
              <w:rPr>
                <w:sz w:val="15"/>
              </w:rPr>
              <w:t>Blocked</w:t>
            </w:r>
          </w:p>
        </w:tc>
        <w:tc>
          <w:tcPr>
            <w:tcW w:type="dxa" w:w="2340"/>
            <w:vAlign w:val="top"/>
          </w:tcPr>
          <w:p>
            <w:pPr>
              <w:spacing w:after="20"/>
            </w:pPr>
            <w:r>
              <w:rPr>
                <w:sz w:val="15"/>
              </w:rPr>
              <w:t>No disposable hosts or tenant credentials</w:t>
            </w:r>
          </w:p>
        </w:tc>
      </w:tr>
    </w:tbl>
    <w:p/>
    <w:p>
      <w:pPr>
        <w:pStyle w:val="Heading1"/>
      </w:pPr>
      <w:r>
        <w:t>Consolidated Supply Chain Assessment Update</w:t>
      </w:r>
    </w:p>
    <w:p>
      <w:r>
        <w:t>Publisher identity and documentation are attributable to Dynatrace, but an immutable service build, SBOM, vulnerability disclosure for the deployed instance, source-to-service attestation, and customer-verifiable release digest were not available. Tenant configuration, service updates, tool maturity, and subprocessor changes are supplier-controlled. Contractual notification, exit, incident, audit, vulnerability-remediation, and data-location commitments are required before production use.</w:t>
      </w:r>
    </w:p>
    <w:p>
      <w:pPr>
        <w:pStyle w:val="Heading1"/>
      </w:pPr>
      <w:r>
        <w:t>Consolidated Privacy and Data Protection Update</w:t>
      </w:r>
    </w:p>
    <w:p>
      <w:r>
        <w:t>The service can return observability data, logs, topology, problems, events, and derived insights to an IDE agent. Those records may contain identifiers, customer or employee data, infrastructure names, query text, tokens embedded in telemetry, and operationally sensitive context. A DPIA trigger assessment, data-flow record, purpose limitation, minimisation, retention, model-processing boundary, data-residency, DLP, and incident-response decision are required. Synthetic non-production data is the only acceptable pilot input.</w:t>
      </w:r>
    </w:p>
    <w:p>
      <w:pPr>
        <w:pStyle w:val="Heading1"/>
      </w:pPr>
      <w:r>
        <w:t>Cross-IDE Comparison</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Dimension</w:t>
            </w:r>
          </w:p>
        </w:tc>
        <w:tc>
          <w:tcPr>
            <w:tcW w:type="dxa" w:w="2340"/>
            <w:shd w:fill="17365D"/>
          </w:tcPr>
          <w:p>
            <w:r>
              <w:rPr>
                <w:b/>
                <w:color w:val="FFFFFF"/>
                <w:sz w:val="16"/>
              </w:rPr>
              <w:t>VS Code Windows 11</w:t>
            </w:r>
          </w:p>
        </w:tc>
        <w:tc>
          <w:tcPr>
            <w:tcW w:type="dxa" w:w="2340"/>
            <w:shd w:fill="17365D"/>
          </w:tcPr>
          <w:p>
            <w:r>
              <w:rPr>
                <w:b/>
                <w:color w:val="FFFFFF"/>
                <w:sz w:val="16"/>
              </w:rPr>
              <w:t>VS Code macOS</w:t>
            </w:r>
          </w:p>
        </w:tc>
        <w:tc>
          <w:tcPr>
            <w:tcW w:type="dxa" w:w="2340"/>
            <w:shd w:fill="17365D"/>
          </w:tcPr>
          <w:p>
            <w:r>
              <w:rPr>
                <w:b/>
                <w:color w:val="FFFFFF"/>
                <w:sz w:val="16"/>
              </w:rPr>
              <w:t>Visual Studio Windows 11</w:t>
            </w:r>
          </w:p>
        </w:tc>
      </w:tr>
      <w:tr>
        <w:trPr>
          <w:cantSplit/>
        </w:trPr>
        <w:tc>
          <w:tcPr>
            <w:tcW w:type="dxa" w:w="2340"/>
            <w:vAlign w:val="top"/>
          </w:tcPr>
          <w:p>
            <w:pPr>
              <w:spacing w:after="20"/>
            </w:pPr>
            <w:r>
              <w:rPr>
                <w:sz w:val="15"/>
              </w:rPr>
              <w:t>Assessment decision</w:t>
            </w:r>
          </w:p>
        </w:tc>
        <w:tc>
          <w:tcPr>
            <w:tcW w:type="dxa" w:w="2340"/>
            <w:vAlign w:val="top"/>
          </w:tcPr>
          <w:p>
            <w:pPr>
              <w:spacing w:after="20"/>
            </w:pPr>
            <w:r>
              <w:rPr>
                <w:sz w:val="15"/>
              </w:rPr>
              <w:t>As stated in the current recommendation</w:t>
            </w:r>
          </w:p>
        </w:tc>
        <w:tc>
          <w:tcPr>
            <w:tcW w:type="dxa" w:w="2340"/>
            <w:vAlign w:val="top"/>
          </w:tcPr>
          <w:p>
            <w:pPr>
              <w:spacing w:after="20"/>
            </w:pPr>
            <w:r>
              <w:rPr>
                <w:sz w:val="15"/>
              </w:rPr>
              <w:t>As stated in the current recommendation</w:t>
            </w:r>
          </w:p>
        </w:tc>
        <w:tc>
          <w:tcPr>
            <w:tcW w:type="dxa" w:w="2340"/>
            <w:vAlign w:val="top"/>
          </w:tcPr>
          <w:p>
            <w:pPr>
              <w:spacing w:after="20"/>
            </w:pPr>
            <w:r>
              <w:rPr>
                <w:sz w:val="15"/>
              </w:rPr>
              <w:t>As stated in the current recommendation</w:t>
            </w:r>
          </w:p>
        </w:tc>
      </w:tr>
      <w:tr>
        <w:trPr>
          <w:cantSplit/>
        </w:trPr>
        <w:tc>
          <w:tcPr>
            <w:tcW w:type="dxa" w:w="2340"/>
            <w:vAlign w:val="top"/>
            <w:shd w:fill="EEF4F7"/>
          </w:tcPr>
          <w:p>
            <w:pPr>
              <w:spacing w:after="20"/>
            </w:pPr>
            <w:r>
              <w:rPr>
                <w:sz w:val="15"/>
              </w:rPr>
              <w:t>Runtime evidence</w:t>
            </w:r>
          </w:p>
        </w:tc>
        <w:tc>
          <w:tcPr>
            <w:tcW w:type="dxa" w:w="2340"/>
            <w:vAlign w:val="top"/>
            <w:shd w:fill="EEF4F7"/>
          </w:tcPr>
          <w:p>
            <w:pPr>
              <w:spacing w:after="20"/>
            </w:pPr>
            <w:r>
              <w:rPr>
                <w:sz w:val="15"/>
              </w:rPr>
              <w:t>Blocked: no disposable representative Windows 11, macOS, Visual Studio, or Dynatrace tenant test environment and credentials were available</w:t>
            </w:r>
          </w:p>
        </w:tc>
        <w:tc>
          <w:tcPr>
            <w:tcW w:type="dxa" w:w="2340"/>
            <w:vAlign w:val="top"/>
            <w:shd w:fill="EEF4F7"/>
          </w:tcPr>
          <w:p>
            <w:pPr>
              <w:spacing w:after="20"/>
            </w:pPr>
            <w:r>
              <w:rPr>
                <w:sz w:val="15"/>
              </w:rPr>
              <w:t>Blocked: no disposable representative Windows 11, macOS, Visual Studio, or Dynatrace tenant test environment and credentials were available</w:t>
            </w:r>
          </w:p>
        </w:tc>
        <w:tc>
          <w:tcPr>
            <w:tcW w:type="dxa" w:w="2340"/>
            <w:vAlign w:val="top"/>
            <w:shd w:fill="EEF4F7"/>
          </w:tcPr>
          <w:p>
            <w:pPr>
              <w:spacing w:after="20"/>
            </w:pPr>
            <w:r>
              <w:rPr>
                <w:sz w:val="15"/>
              </w:rPr>
              <w:t>Blocked: no disposable representative Windows 11, macOS, Visual Studio, or Dynatrace tenant test environment and credentials were available</w:t>
            </w:r>
          </w:p>
        </w:tc>
      </w:tr>
      <w:tr>
        <w:trPr>
          <w:cantSplit/>
        </w:trPr>
        <w:tc>
          <w:tcPr>
            <w:tcW w:type="dxa" w:w="2340"/>
            <w:vAlign w:val="top"/>
          </w:tcPr>
          <w:p>
            <w:pPr>
              <w:spacing w:after="20"/>
            </w:pPr>
            <w:r>
              <w:rPr>
                <w:sz w:val="15"/>
              </w:rPr>
              <w:t>Required isolation</w:t>
            </w:r>
          </w:p>
        </w:tc>
        <w:tc>
          <w:tcPr>
            <w:tcW w:type="dxa" w:w="2340"/>
            <w:vAlign w:val="top"/>
          </w:tcPr>
          <w:p>
            <w:pPr>
              <w:spacing w:after="20"/>
            </w:pPr>
            <w:r>
              <w:rPr>
                <w:sz w:val="15"/>
              </w:rPr>
              <w:t>Enterprise policy and disposable test host</w:t>
            </w:r>
          </w:p>
        </w:tc>
        <w:tc>
          <w:tcPr>
            <w:tcW w:type="dxa" w:w="2340"/>
            <w:vAlign w:val="top"/>
          </w:tcPr>
          <w:p>
            <w:pPr>
              <w:spacing w:after="20"/>
            </w:pPr>
            <w:r>
              <w:rPr>
                <w:sz w:val="15"/>
              </w:rPr>
              <w:t>Enterprise policy and disposable test host</w:t>
            </w:r>
          </w:p>
        </w:tc>
        <w:tc>
          <w:tcPr>
            <w:tcW w:type="dxa" w:w="2340"/>
            <w:vAlign w:val="top"/>
          </w:tcPr>
          <w:p>
            <w:pPr>
              <w:spacing w:after="20"/>
            </w:pPr>
            <w:r>
              <w:rPr>
                <w:sz w:val="15"/>
              </w:rPr>
              <w:t>Enterprise policy and disposable test host</w:t>
            </w:r>
          </w:p>
        </w:tc>
      </w:tr>
      <w:tr>
        <w:trPr>
          <w:cantSplit/>
        </w:trPr>
        <w:tc>
          <w:tcPr>
            <w:tcW w:type="dxa" w:w="2340"/>
            <w:vAlign w:val="top"/>
            <w:shd w:fill="EEF4F7"/>
          </w:tcPr>
          <w:p>
            <w:pPr>
              <w:spacing w:after="20"/>
            </w:pPr>
            <w:r>
              <w:rPr>
                <w:sz w:val="15"/>
              </w:rPr>
              <w:t>Lifecycle evidence</w:t>
            </w:r>
          </w:p>
        </w:tc>
        <w:tc>
          <w:tcPr>
            <w:tcW w:type="dxa" w:w="2340"/>
            <w:vAlign w:val="top"/>
            <w:shd w:fill="EEF4F7"/>
          </w:tcPr>
          <w:p>
            <w:pPr>
              <w:spacing w:after="20"/>
            </w:pPr>
            <w:r>
              <w:rPr>
                <w:sz w:val="15"/>
              </w:rPr>
              <w:t>Activation, update, rollback and uninstall require verification</w:t>
            </w:r>
          </w:p>
        </w:tc>
        <w:tc>
          <w:tcPr>
            <w:tcW w:type="dxa" w:w="2340"/>
            <w:vAlign w:val="top"/>
            <w:shd w:fill="EEF4F7"/>
          </w:tcPr>
          <w:p>
            <w:pPr>
              <w:spacing w:after="20"/>
            </w:pPr>
            <w:r>
              <w:rPr>
                <w:sz w:val="15"/>
              </w:rPr>
              <w:t>Activation, update, rollback and uninstall require verification</w:t>
            </w:r>
          </w:p>
        </w:tc>
        <w:tc>
          <w:tcPr>
            <w:tcW w:type="dxa" w:w="2340"/>
            <w:vAlign w:val="top"/>
            <w:shd w:fill="EEF4F7"/>
          </w:tcPr>
          <w:p>
            <w:pPr>
              <w:spacing w:after="20"/>
            </w:pPr>
            <w:r>
              <w:rPr>
                <w:sz w:val="15"/>
              </w:rPr>
              <w:t>Activation, update, rollback and uninstall require verification</w:t>
            </w:r>
          </w:p>
        </w:tc>
      </w:tr>
    </w:tbl>
    <w:p/>
    <w:p>
      <w:pPr>
        <w:pStyle w:val="Heading1"/>
      </w:pPr>
      <w:r>
        <w:t>Control Strength and Assurance</w:t>
      </w:r>
    </w:p>
    <w:p>
      <w:r>
        <w:t>Control strength is rated by what is demonstrably enforced, not by policy intent. A strong preventive control blocks an unsafe action at the process, identity, network, package, or tool boundary. A detective control identifies behavior after or during execution and therefore does not replace prevention. Governance and human approval controls are necessary but weaker when attacker-controlled content can influence an agent. Controls marked proposed or unverified do not reduce the current residual score.</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cantSplit/>
        </w:trPr>
        <w:tc>
          <w:tcPr>
            <w:tcW w:type="dxa" w:w="1872"/>
            <w:shd w:fill="17365D"/>
          </w:tcPr>
          <w:p>
            <w:r>
              <w:rPr>
                <w:b/>
                <w:color w:val="FFFFFF"/>
                <w:sz w:val="16"/>
              </w:rPr>
              <w:t>Milestone / target date</w:t>
            </w:r>
          </w:p>
        </w:tc>
        <w:tc>
          <w:tcPr>
            <w:tcW w:type="dxa" w:w="1872"/>
            <w:shd w:fill="17365D"/>
          </w:tcPr>
          <w:p>
            <w:r>
              <w:rPr>
                <w:b/>
                <w:color w:val="FFFFFF"/>
                <w:sz w:val="16"/>
              </w:rPr>
              <w:t>Owner</w:t>
            </w:r>
          </w:p>
        </w:tc>
        <w:tc>
          <w:tcPr>
            <w:tcW w:type="dxa" w:w="1872"/>
            <w:shd w:fill="17365D"/>
          </w:tcPr>
          <w:p>
            <w:r>
              <w:rPr>
                <w:b/>
                <w:color w:val="FFFFFF"/>
                <w:sz w:val="16"/>
              </w:rPr>
              <w:t>Control</w:t>
            </w:r>
          </w:p>
        </w:tc>
        <w:tc>
          <w:tcPr>
            <w:tcW w:type="dxa" w:w="1872"/>
            <w:shd w:fill="17365D"/>
          </w:tcPr>
          <w:p>
            <w:r>
              <w:rPr>
                <w:b/>
                <w:color w:val="FFFFFF"/>
                <w:sz w:val="16"/>
              </w:rPr>
              <w:t>Strength</w:t>
            </w:r>
          </w:p>
        </w:tc>
        <w:tc>
          <w:tcPr>
            <w:tcW w:type="dxa" w:w="1872"/>
            <w:shd w:fill="17365D"/>
          </w:tcPr>
          <w:p>
            <w:r>
              <w:rPr>
                <w:b/>
                <w:color w:val="FFFFFF"/>
                <w:sz w:val="16"/>
              </w:rPr>
              <w:t>Acceptance test</w:t>
            </w:r>
          </w:p>
        </w:tc>
      </w:tr>
      <w:tr>
        <w:trPr>
          <w:cantSplit/>
        </w:trPr>
        <w:tc>
          <w:tcPr>
            <w:tcW w:type="dxa" w:w="1872"/>
            <w:vAlign w:val="top"/>
          </w:tcPr>
          <w:p>
            <w:pPr>
              <w:spacing w:after="20"/>
            </w:pPr>
            <w:r>
              <w:rPr>
                <w:sz w:val="15"/>
              </w:rPr>
              <w:t>Before pilot</w:t>
            </w:r>
          </w:p>
        </w:tc>
        <w:tc>
          <w:tcPr>
            <w:tcW w:type="dxa" w:w="1872"/>
            <w:vAlign w:val="top"/>
          </w:tcPr>
          <w:p>
            <w:pPr>
              <w:spacing w:after="20"/>
            </w:pPr>
            <w:r>
              <w:rPr>
                <w:sz w:val="15"/>
              </w:rPr>
              <w:t>Dynatrace platform owner</w:t>
            </w:r>
          </w:p>
        </w:tc>
        <w:tc>
          <w:tcPr>
            <w:tcW w:type="dxa" w:w="1872"/>
            <w:vAlign w:val="top"/>
          </w:tcPr>
          <w:p>
            <w:pPr>
              <w:spacing w:after="20"/>
            </w:pPr>
            <w:r>
              <w:rPr>
                <w:sz w:val="15"/>
              </w:rPr>
              <w:t>Create isolated non-production tenant and read-only identity</w:t>
            </w:r>
          </w:p>
        </w:tc>
        <w:tc>
          <w:tcPr>
            <w:tcW w:type="dxa" w:w="1872"/>
            <w:vAlign w:val="top"/>
          </w:tcPr>
          <w:p>
            <w:pPr>
              <w:spacing w:after="20"/>
            </w:pPr>
            <w:r>
              <w:rPr>
                <w:sz w:val="15"/>
              </w:rPr>
              <w:t>Strong preventive if enforced</w:t>
            </w:r>
          </w:p>
        </w:tc>
        <w:tc>
          <w:tcPr>
            <w:tcW w:type="dxa" w:w="1872"/>
            <w:vAlign w:val="top"/>
          </w:tcPr>
          <w:p>
            <w:pPr>
              <w:spacing w:after="20"/>
            </w:pPr>
            <w:r>
              <w:rPr>
                <w:sz w:val="15"/>
              </w:rPr>
              <w:t>Attempt prohibited write and cross-tenant access</w:t>
            </w:r>
          </w:p>
        </w:tc>
      </w:tr>
      <w:tr>
        <w:trPr>
          <w:cantSplit/>
        </w:trPr>
        <w:tc>
          <w:tcPr>
            <w:tcW w:type="dxa" w:w="1872"/>
            <w:vAlign w:val="top"/>
            <w:shd w:fill="EEF4F7"/>
          </w:tcPr>
          <w:p>
            <w:pPr>
              <w:spacing w:after="20"/>
            </w:pPr>
            <w:r>
              <w:rPr>
                <w:sz w:val="15"/>
              </w:rPr>
              <w:t>Before pilot</w:t>
            </w:r>
          </w:p>
        </w:tc>
        <w:tc>
          <w:tcPr>
            <w:tcW w:type="dxa" w:w="1872"/>
            <w:vAlign w:val="top"/>
            <w:shd w:fill="EEF4F7"/>
          </w:tcPr>
          <w:p>
            <w:pPr>
              <w:spacing w:after="20"/>
            </w:pPr>
            <w:r>
              <w:rPr>
                <w:sz w:val="15"/>
              </w:rPr>
              <w:t>IDE platform</w:t>
            </w:r>
          </w:p>
        </w:tc>
        <w:tc>
          <w:tcPr>
            <w:tcW w:type="dxa" w:w="1872"/>
            <w:vAlign w:val="top"/>
            <w:shd w:fill="EEF4F7"/>
          </w:tcPr>
          <w:p>
            <w:pPr>
              <w:spacing w:after="20"/>
            </w:pPr>
            <w:r>
              <w:rPr>
                <w:sz w:val="15"/>
              </w:rPr>
              <w:t>Allowlist exact HTTPS endpoint and tools; deny write and preview tools</w:t>
            </w:r>
          </w:p>
        </w:tc>
        <w:tc>
          <w:tcPr>
            <w:tcW w:type="dxa" w:w="1872"/>
            <w:vAlign w:val="top"/>
            <w:shd w:fill="EEF4F7"/>
          </w:tcPr>
          <w:p>
            <w:pPr>
              <w:spacing w:after="20"/>
            </w:pPr>
            <w:r>
              <w:rPr>
                <w:sz w:val="15"/>
              </w:rPr>
              <w:t>Strong preventive</w:t>
            </w:r>
          </w:p>
        </w:tc>
        <w:tc>
          <w:tcPr>
            <w:tcW w:type="dxa" w:w="1872"/>
            <w:vAlign w:val="top"/>
            <w:shd w:fill="EEF4F7"/>
          </w:tcPr>
          <w:p>
            <w:pPr>
              <w:spacing w:after="20"/>
            </w:pPr>
            <w:r>
              <w:rPr>
                <w:sz w:val="15"/>
              </w:rPr>
              <w:t>Policy test denies unapproved tool and endpoint</w:t>
            </w:r>
          </w:p>
        </w:tc>
      </w:tr>
      <w:tr>
        <w:trPr>
          <w:cantSplit/>
        </w:trPr>
        <w:tc>
          <w:tcPr>
            <w:tcW w:type="dxa" w:w="1872"/>
            <w:vAlign w:val="top"/>
          </w:tcPr>
          <w:p>
            <w:pPr>
              <w:spacing w:after="20"/>
            </w:pPr>
            <w:r>
              <w:rPr>
                <w:sz w:val="15"/>
              </w:rPr>
              <w:t>Before pilot</w:t>
            </w:r>
          </w:p>
        </w:tc>
        <w:tc>
          <w:tcPr>
            <w:tcW w:type="dxa" w:w="1872"/>
            <w:vAlign w:val="top"/>
          </w:tcPr>
          <w:p>
            <w:pPr>
              <w:spacing w:after="20"/>
            </w:pPr>
            <w:r>
              <w:rPr>
                <w:sz w:val="15"/>
              </w:rPr>
              <w:t>Privacy / Legal</w:t>
            </w:r>
          </w:p>
        </w:tc>
        <w:tc>
          <w:tcPr>
            <w:tcW w:type="dxa" w:w="1872"/>
            <w:vAlign w:val="top"/>
          </w:tcPr>
          <w:p>
            <w:pPr>
              <w:spacing w:after="20"/>
            </w:pPr>
            <w:r>
              <w:rPr>
                <w:sz w:val="15"/>
              </w:rPr>
              <w:t>Approve DPIA trigger decision and data flow</w:t>
            </w:r>
          </w:p>
        </w:tc>
        <w:tc>
          <w:tcPr>
            <w:tcW w:type="dxa" w:w="1872"/>
            <w:vAlign w:val="top"/>
          </w:tcPr>
          <w:p>
            <w:pPr>
              <w:spacing w:after="20"/>
            </w:pPr>
            <w:r>
              <w:rPr>
                <w:sz w:val="15"/>
              </w:rPr>
              <w:t>Governance</w:t>
            </w:r>
          </w:p>
        </w:tc>
        <w:tc>
          <w:tcPr>
            <w:tcW w:type="dxa" w:w="1872"/>
            <w:vAlign w:val="top"/>
          </w:tcPr>
          <w:p>
            <w:pPr>
              <w:spacing w:after="20"/>
            </w:pPr>
            <w:r>
              <w:rPr>
                <w:sz w:val="15"/>
              </w:rPr>
              <w:t>Signed record with retention and residency</w:t>
            </w:r>
          </w:p>
        </w:tc>
      </w:tr>
      <w:tr>
        <w:trPr>
          <w:cantSplit/>
        </w:trPr>
        <w:tc>
          <w:tcPr>
            <w:tcW w:type="dxa" w:w="1872"/>
            <w:vAlign w:val="top"/>
            <w:shd w:fill="EEF4F7"/>
          </w:tcPr>
          <w:p>
            <w:pPr>
              <w:spacing w:after="20"/>
            </w:pPr>
            <w:r>
              <w:rPr>
                <w:sz w:val="15"/>
              </w:rPr>
              <w:t>0–30 days</w:t>
            </w:r>
          </w:p>
        </w:tc>
        <w:tc>
          <w:tcPr>
            <w:tcW w:type="dxa" w:w="1872"/>
            <w:vAlign w:val="top"/>
            <w:shd w:fill="EEF4F7"/>
          </w:tcPr>
          <w:p>
            <w:pPr>
              <w:spacing w:after="20"/>
            </w:pPr>
            <w:r>
              <w:rPr>
                <w:sz w:val="15"/>
              </w:rPr>
              <w:t>Security operations</w:t>
            </w:r>
          </w:p>
        </w:tc>
        <w:tc>
          <w:tcPr>
            <w:tcW w:type="dxa" w:w="1872"/>
            <w:vAlign w:val="top"/>
            <w:shd w:fill="EEF4F7"/>
          </w:tcPr>
          <w:p>
            <w:pPr>
              <w:spacing w:after="20"/>
            </w:pPr>
            <w:r>
              <w:rPr>
                <w:sz w:val="15"/>
              </w:rPr>
              <w:t>Log tool, user, tenant, query class and outcome without confidential payload</w:t>
            </w:r>
          </w:p>
        </w:tc>
        <w:tc>
          <w:tcPr>
            <w:tcW w:type="dxa" w:w="1872"/>
            <w:vAlign w:val="top"/>
            <w:shd w:fill="EEF4F7"/>
          </w:tcPr>
          <w:p>
            <w:pPr>
              <w:spacing w:after="20"/>
            </w:pPr>
            <w:r>
              <w:rPr>
                <w:sz w:val="15"/>
              </w:rPr>
              <w:t>Detective</w:t>
            </w:r>
          </w:p>
        </w:tc>
        <w:tc>
          <w:tcPr>
            <w:tcW w:type="dxa" w:w="1872"/>
            <w:vAlign w:val="top"/>
            <w:shd w:fill="EEF4F7"/>
          </w:tcPr>
          <w:p>
            <w:pPr>
              <w:spacing w:after="20"/>
            </w:pPr>
            <w:r>
              <w:rPr>
                <w:sz w:val="15"/>
              </w:rPr>
              <w:t>Synthetic misuse generates alert</w:t>
            </w:r>
          </w:p>
        </w:tc>
      </w:tr>
      <w:tr>
        <w:trPr>
          <w:cantSplit/>
        </w:trPr>
        <w:tc>
          <w:tcPr>
            <w:tcW w:type="dxa" w:w="1872"/>
            <w:vAlign w:val="top"/>
          </w:tcPr>
          <w:p>
            <w:pPr>
              <w:spacing w:after="20"/>
            </w:pPr>
            <w:r>
              <w:rPr>
                <w:sz w:val="15"/>
              </w:rPr>
              <w:t>Pilot expiry</w:t>
            </w:r>
          </w:p>
        </w:tc>
        <w:tc>
          <w:tcPr>
            <w:tcW w:type="dxa" w:w="1872"/>
            <w:vAlign w:val="top"/>
          </w:tcPr>
          <w:p>
            <w:pPr>
              <w:spacing w:after="20"/>
            </w:pPr>
            <w:r>
              <w:rPr>
                <w:sz w:val="15"/>
              </w:rPr>
              <w:t>Risk owner</w:t>
            </w:r>
          </w:p>
        </w:tc>
        <w:tc>
          <w:tcPr>
            <w:tcW w:type="dxa" w:w="1872"/>
            <w:vAlign w:val="top"/>
          </w:tcPr>
          <w:p>
            <w:pPr>
              <w:spacing w:after="20"/>
            </w:pPr>
            <w:r>
              <w:rPr>
                <w:sz w:val="15"/>
              </w:rPr>
              <w:t>Revoke credentials and review evidence</w:t>
            </w:r>
          </w:p>
        </w:tc>
        <w:tc>
          <w:tcPr>
            <w:tcW w:type="dxa" w:w="1872"/>
            <w:vAlign w:val="top"/>
          </w:tcPr>
          <w:p>
            <w:pPr>
              <w:spacing w:after="20"/>
            </w:pPr>
            <w:r>
              <w:rPr>
                <w:sz w:val="15"/>
              </w:rPr>
              <w:t>Governance</w:t>
            </w:r>
          </w:p>
        </w:tc>
        <w:tc>
          <w:tcPr>
            <w:tcW w:type="dxa" w:w="1872"/>
            <w:vAlign w:val="top"/>
          </w:tcPr>
          <w:p>
            <w:pPr>
              <w:spacing w:after="20"/>
            </w:pPr>
            <w:r>
              <w:rPr>
                <w:sz w:val="15"/>
              </w:rPr>
              <w:t>Revocation and residue test passes</w:t>
            </w:r>
          </w:p>
        </w:tc>
      </w:tr>
    </w:tbl>
    <w:p/>
    <w:p>
      <w:pPr>
        <w:pStyle w:val="Heading1"/>
      </w:pPr>
      <w:r>
        <w:t>Finding ID Reconciliation and Current Risk Update</w:t>
      </w:r>
    </w:p>
    <w:p>
      <w:r>
        <w:t>The regenerated report assigns stable F-xxx identifiers so findings can be tracked independently of the historical R-xx labels. Inherent and residual ratings use likelihood × impact on a 1–5 scale: 1–4 Low, 5–9 Moderate, 10–16 High, and 17–25 Critical. Residual ratings only credit controls supported by retained evidence. Findings remain open until remediated or explicitly risk-accepted by an accountable owner.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cantSplit/>
        </w:trPr>
        <w:tc>
          <w:tcPr>
            <w:tcW w:type="dxa" w:w="1560"/>
            <w:shd w:fill="17365D"/>
          </w:tcPr>
          <w:p>
            <w:r>
              <w:rPr>
                <w:b/>
                <w:color w:val="FFFFFF"/>
                <w:sz w:val="16"/>
              </w:rPr>
              <w:t>ID</w:t>
            </w:r>
          </w:p>
        </w:tc>
        <w:tc>
          <w:tcPr>
            <w:tcW w:type="dxa" w:w="1560"/>
            <w:shd w:fill="17365D"/>
          </w:tcPr>
          <w:p>
            <w:r>
              <w:rPr>
                <w:b/>
                <w:color w:val="FFFFFF"/>
                <w:sz w:val="16"/>
              </w:rPr>
              <w:t>Finding</w:t>
            </w:r>
          </w:p>
        </w:tc>
        <w:tc>
          <w:tcPr>
            <w:tcW w:type="dxa" w:w="1560"/>
            <w:shd w:fill="17365D"/>
          </w:tcPr>
          <w:p>
            <w:r>
              <w:rPr>
                <w:b/>
                <w:color w:val="FFFFFF"/>
                <w:sz w:val="16"/>
              </w:rPr>
              <w:t>Inherent</w:t>
            </w:r>
          </w:p>
        </w:tc>
        <w:tc>
          <w:tcPr>
            <w:tcW w:type="dxa" w:w="1560"/>
            <w:shd w:fill="17365D"/>
          </w:tcPr>
          <w:p>
            <w:r>
              <w:rPr>
                <w:b/>
                <w:color w:val="FFFFFF"/>
                <w:sz w:val="16"/>
              </w:rPr>
              <w:t>Residual</w:t>
            </w:r>
          </w:p>
        </w:tc>
        <w:tc>
          <w:tcPr>
            <w:tcW w:type="dxa" w:w="1560"/>
            <w:shd w:fill="17365D"/>
          </w:tcPr>
          <w:p>
            <w:r>
              <w:rPr>
                <w:b/>
                <w:color w:val="FFFFFF"/>
                <w:sz w:val="16"/>
              </w:rPr>
              <w:t>Owner / treatment</w:t>
            </w:r>
          </w:p>
        </w:tc>
        <w:tc>
          <w:tcPr>
            <w:tcW w:type="dxa" w:w="1560"/>
            <w:shd w:fill="17365D"/>
          </w:tcPr>
          <w:p>
            <w:r>
              <w:rPr>
                <w:b/>
                <w:color w:val="FFFFFF"/>
                <w:sz w:val="16"/>
              </w:rPr>
              <w:t>Target date</w:t>
            </w:r>
          </w:p>
        </w:tc>
      </w:tr>
      <w:tr>
        <w:trPr>
          <w:cantSplit/>
        </w:trPr>
        <w:tc>
          <w:tcPr>
            <w:tcW w:type="dxa" w:w="1560"/>
            <w:vAlign w:val="top"/>
          </w:tcPr>
          <w:p>
            <w:pPr>
              <w:spacing w:after="20"/>
            </w:pPr>
            <w:r>
              <w:rPr>
                <w:sz w:val="15"/>
              </w:rPr>
              <w:t>F-001</w:t>
            </w:r>
          </w:p>
        </w:tc>
        <w:tc>
          <w:tcPr>
            <w:tcW w:type="dxa" w:w="1560"/>
            <w:vAlign w:val="top"/>
          </w:tcPr>
          <w:p>
            <w:pPr>
              <w:spacing w:after="20"/>
            </w:pPr>
            <w:r>
              <w:rPr>
                <w:sz w:val="15"/>
              </w:rPr>
              <w:t>Service implementation, SBOM and immutable release identity are not customer-verifiable</w:t>
            </w:r>
          </w:p>
        </w:tc>
        <w:tc>
          <w:tcPr>
            <w:tcW w:type="dxa" w:w="1560"/>
            <w:vAlign w:val="top"/>
          </w:tcPr>
          <w:p>
            <w:pPr>
              <w:spacing w:after="20"/>
            </w:pPr>
            <w:r>
              <w:rPr>
                <w:sz w:val="15"/>
              </w:rPr>
              <w:t>3×4=12 High</w:t>
            </w:r>
          </w:p>
        </w:tc>
        <w:tc>
          <w:tcPr>
            <w:tcW w:type="dxa" w:w="1560"/>
            <w:vAlign w:val="top"/>
          </w:tcPr>
          <w:p>
            <w:pPr>
              <w:spacing w:after="20"/>
            </w:pPr>
            <w:r>
              <w:rPr>
                <w:sz w:val="15"/>
              </w:rPr>
              <w:t>3×4=12 High</w:t>
            </w:r>
          </w:p>
        </w:tc>
        <w:tc>
          <w:tcPr>
            <w:tcW w:type="dxa" w:w="1560"/>
            <w:vAlign w:val="top"/>
          </w:tcPr>
          <w:p>
            <w:pPr>
              <w:spacing w:after="20"/>
            </w:pPr>
            <w:r>
              <w:rPr>
                <w:sz w:val="15"/>
              </w:rPr>
              <w:t>Supplier / mitigate</w:t>
            </w:r>
          </w:p>
        </w:tc>
        <w:tc>
          <w:tcPr>
            <w:tcW w:type="dxa" w:w="1560"/>
            <w:vAlign w:val="top"/>
          </w:tcPr>
          <w:p>
            <w:pPr>
              <w:spacing w:after="20"/>
            </w:pPr>
            <w:r>
              <w:rPr>
                <w:sz w:val="15"/>
              </w:rPr>
              <w:t>Before production</w:t>
            </w:r>
          </w:p>
        </w:tc>
      </w:tr>
      <w:tr>
        <w:trPr>
          <w:cantSplit/>
        </w:trPr>
        <w:tc>
          <w:tcPr>
            <w:tcW w:type="dxa" w:w="1560"/>
            <w:vAlign w:val="top"/>
            <w:shd w:fill="EEF4F7"/>
          </w:tcPr>
          <w:p>
            <w:pPr>
              <w:spacing w:after="20"/>
            </w:pPr>
            <w:r>
              <w:rPr>
                <w:sz w:val="15"/>
              </w:rPr>
              <w:t>F-002</w:t>
            </w:r>
          </w:p>
        </w:tc>
        <w:tc>
          <w:tcPr>
            <w:tcW w:type="dxa" w:w="1560"/>
            <w:vAlign w:val="top"/>
            <w:shd w:fill="EEF4F7"/>
          </w:tcPr>
          <w:p>
            <w:pPr>
              <w:spacing w:after="20"/>
            </w:pPr>
            <w:r>
              <w:rPr>
                <w:sz w:val="15"/>
              </w:rPr>
              <w:t>Agent prompt injection can misuse high-value observability tools</w:t>
            </w:r>
          </w:p>
        </w:tc>
        <w:tc>
          <w:tcPr>
            <w:tcW w:type="dxa" w:w="1560"/>
            <w:vAlign w:val="top"/>
            <w:shd w:fill="EEF4F7"/>
          </w:tcPr>
          <w:p>
            <w:pPr>
              <w:spacing w:after="20"/>
            </w:pPr>
            <w:r>
              <w:rPr>
                <w:sz w:val="15"/>
              </w:rPr>
              <w:t>4×5=20 Critical</w:t>
            </w:r>
          </w:p>
        </w:tc>
        <w:tc>
          <w:tcPr>
            <w:tcW w:type="dxa" w:w="1560"/>
            <w:vAlign w:val="top"/>
            <w:shd w:fill="EEF4F7"/>
          </w:tcPr>
          <w:p>
            <w:pPr>
              <w:spacing w:after="20"/>
            </w:pPr>
            <w:r>
              <w:rPr>
                <w:sz w:val="15"/>
              </w:rPr>
              <w:t>3×5=15 High</w:t>
            </w:r>
          </w:p>
        </w:tc>
        <w:tc>
          <w:tcPr>
            <w:tcW w:type="dxa" w:w="1560"/>
            <w:vAlign w:val="top"/>
            <w:shd w:fill="EEF4F7"/>
          </w:tcPr>
          <w:p>
            <w:pPr>
              <w:spacing w:after="20"/>
            </w:pPr>
            <w:r>
              <w:rPr>
                <w:sz w:val="15"/>
              </w:rPr>
              <w:t>IDE platform / mitigate</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F-003</w:t>
            </w:r>
          </w:p>
        </w:tc>
        <w:tc>
          <w:tcPr>
            <w:tcW w:type="dxa" w:w="1560"/>
            <w:vAlign w:val="top"/>
          </w:tcPr>
          <w:p>
            <w:pPr>
              <w:spacing w:after="20"/>
            </w:pPr>
            <w:r>
              <w:rPr>
                <w:sz w:val="15"/>
              </w:rPr>
              <w:t>Write or broad query tools can affect production or expose operational data</w:t>
            </w:r>
          </w:p>
        </w:tc>
        <w:tc>
          <w:tcPr>
            <w:tcW w:type="dxa" w:w="1560"/>
            <w:vAlign w:val="top"/>
          </w:tcPr>
          <w:p>
            <w:pPr>
              <w:spacing w:after="20"/>
            </w:pPr>
            <w:r>
              <w:rPr>
                <w:sz w:val="15"/>
              </w:rPr>
              <w:t>4×5=20 Critical</w:t>
            </w:r>
          </w:p>
        </w:tc>
        <w:tc>
          <w:tcPr>
            <w:tcW w:type="dxa" w:w="1560"/>
            <w:vAlign w:val="top"/>
          </w:tcPr>
          <w:p>
            <w:pPr>
              <w:spacing w:after="20"/>
            </w:pPr>
            <w:r>
              <w:rPr>
                <w:sz w:val="15"/>
              </w:rPr>
              <w:t>3×5=15 High</w:t>
            </w:r>
          </w:p>
        </w:tc>
        <w:tc>
          <w:tcPr>
            <w:tcW w:type="dxa" w:w="1560"/>
            <w:vAlign w:val="top"/>
          </w:tcPr>
          <w:p>
            <w:pPr>
              <w:spacing w:after="20"/>
            </w:pPr>
            <w:r>
              <w:rPr>
                <w:sz w:val="15"/>
              </w:rPr>
              <w:t>Platform owner / avoid</w:t>
            </w:r>
          </w:p>
        </w:tc>
        <w:tc>
          <w:tcPr>
            <w:tcW w:type="dxa" w:w="1560"/>
            <w:vAlign w:val="top"/>
          </w:tcPr>
          <w:p>
            <w:pPr>
              <w:spacing w:after="20"/>
            </w:pPr>
            <w:r>
              <w:rPr>
                <w:sz w:val="15"/>
              </w:rPr>
              <w:t>Before pilot</w:t>
            </w:r>
          </w:p>
        </w:tc>
      </w:tr>
      <w:tr>
        <w:trPr>
          <w:cantSplit/>
        </w:trPr>
        <w:tc>
          <w:tcPr>
            <w:tcW w:type="dxa" w:w="1560"/>
            <w:vAlign w:val="top"/>
            <w:shd w:fill="EEF4F7"/>
          </w:tcPr>
          <w:p>
            <w:pPr>
              <w:spacing w:after="20"/>
            </w:pPr>
            <w:r>
              <w:rPr>
                <w:sz w:val="15"/>
              </w:rPr>
              <w:t>F-004</w:t>
            </w:r>
          </w:p>
        </w:tc>
        <w:tc>
          <w:tcPr>
            <w:tcW w:type="dxa" w:w="1560"/>
            <w:vAlign w:val="top"/>
            <w:shd w:fill="EEF4F7"/>
          </w:tcPr>
          <w:p>
            <w:pPr>
              <w:spacing w:after="20"/>
            </w:pPr>
            <w:r>
              <w:rPr>
                <w:sz w:val="15"/>
              </w:rPr>
              <w:t>Bearer or OAuth credentials can be overprivileged, replayed, or exposed</w:t>
            </w:r>
          </w:p>
        </w:tc>
        <w:tc>
          <w:tcPr>
            <w:tcW w:type="dxa" w:w="1560"/>
            <w:vAlign w:val="top"/>
            <w:shd w:fill="EEF4F7"/>
          </w:tcPr>
          <w:p>
            <w:pPr>
              <w:spacing w:after="20"/>
            </w:pPr>
            <w:r>
              <w:rPr>
                <w:sz w:val="15"/>
              </w:rPr>
              <w:t>4×5=20 Critical</w:t>
            </w:r>
          </w:p>
        </w:tc>
        <w:tc>
          <w:tcPr>
            <w:tcW w:type="dxa" w:w="1560"/>
            <w:vAlign w:val="top"/>
            <w:shd w:fill="EEF4F7"/>
          </w:tcPr>
          <w:p>
            <w:pPr>
              <w:spacing w:after="20"/>
            </w:pPr>
            <w:r>
              <w:rPr>
                <w:sz w:val="15"/>
              </w:rPr>
              <w:t>3×5=15 High</w:t>
            </w:r>
          </w:p>
        </w:tc>
        <w:tc>
          <w:tcPr>
            <w:tcW w:type="dxa" w:w="1560"/>
            <w:vAlign w:val="top"/>
            <w:shd w:fill="EEF4F7"/>
          </w:tcPr>
          <w:p>
            <w:pPr>
              <w:spacing w:after="20"/>
            </w:pPr>
            <w:r>
              <w:rPr>
                <w:sz w:val="15"/>
              </w:rPr>
              <w:t>IAM / mitigate</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F-005</w:t>
            </w:r>
          </w:p>
        </w:tc>
        <w:tc>
          <w:tcPr>
            <w:tcW w:type="dxa" w:w="1560"/>
            <w:vAlign w:val="top"/>
          </w:tcPr>
          <w:p>
            <w:pPr>
              <w:spacing w:after="20"/>
            </w:pPr>
            <w:r>
              <w:rPr>
                <w:sz w:val="15"/>
              </w:rPr>
              <w:t>Data handling, retention and model-processing boundaries require approval</w:t>
            </w:r>
          </w:p>
        </w:tc>
        <w:tc>
          <w:tcPr>
            <w:tcW w:type="dxa" w:w="1560"/>
            <w:vAlign w:val="top"/>
          </w:tcPr>
          <w:p>
            <w:pPr>
              <w:spacing w:after="20"/>
            </w:pPr>
            <w:r>
              <w:rPr>
                <w:sz w:val="15"/>
              </w:rPr>
              <w:t>4×5=20 Critical</w:t>
            </w:r>
          </w:p>
        </w:tc>
        <w:tc>
          <w:tcPr>
            <w:tcW w:type="dxa" w:w="1560"/>
            <w:vAlign w:val="top"/>
          </w:tcPr>
          <w:p>
            <w:pPr>
              <w:spacing w:after="20"/>
            </w:pPr>
            <w:r>
              <w:rPr>
                <w:sz w:val="15"/>
              </w:rPr>
              <w:t>3×5=15 High</w:t>
            </w:r>
          </w:p>
        </w:tc>
        <w:tc>
          <w:tcPr>
            <w:tcW w:type="dxa" w:w="1560"/>
            <w:vAlign w:val="top"/>
          </w:tcPr>
          <w:p>
            <w:pPr>
              <w:spacing w:after="20"/>
            </w:pPr>
            <w:r>
              <w:rPr>
                <w:sz w:val="15"/>
              </w:rPr>
              <w:t>Privacy / mitigate</w:t>
            </w:r>
          </w:p>
        </w:tc>
        <w:tc>
          <w:tcPr>
            <w:tcW w:type="dxa" w:w="1560"/>
            <w:vAlign w:val="top"/>
          </w:tcPr>
          <w:p>
            <w:pPr>
              <w:spacing w:after="20"/>
            </w:pPr>
            <w:r>
              <w:rPr>
                <w:sz w:val="15"/>
              </w:rPr>
              <w:t>Before pilot</w:t>
            </w:r>
          </w:p>
        </w:tc>
      </w:tr>
      <w:tr>
        <w:trPr>
          <w:cantSplit/>
        </w:trPr>
        <w:tc>
          <w:tcPr>
            <w:tcW w:type="dxa" w:w="1560"/>
            <w:vAlign w:val="top"/>
            <w:shd w:fill="EEF4F7"/>
          </w:tcPr>
          <w:p>
            <w:pPr>
              <w:spacing w:after="20"/>
            </w:pPr>
            <w:r>
              <w:rPr>
                <w:sz w:val="15"/>
              </w:rPr>
              <w:t>F-006</w:t>
            </w:r>
          </w:p>
        </w:tc>
        <w:tc>
          <w:tcPr>
            <w:tcW w:type="dxa" w:w="1560"/>
            <w:vAlign w:val="top"/>
            <w:shd w:fill="EEF4F7"/>
          </w:tcPr>
          <w:p>
            <w:pPr>
              <w:spacing w:after="20"/>
            </w:pPr>
            <w:r>
              <w:rPr>
                <w:sz w:val="15"/>
              </w:rPr>
              <w:t>Representative IDE and tenant runtime is not observed</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3×4=12 High</w:t>
            </w:r>
          </w:p>
        </w:tc>
        <w:tc>
          <w:tcPr>
            <w:tcW w:type="dxa" w:w="1560"/>
            <w:vAlign w:val="top"/>
            <w:shd w:fill="EEF4F7"/>
          </w:tcPr>
          <w:p>
            <w:pPr>
              <w:spacing w:after="20"/>
            </w:pPr>
            <w:r>
              <w:rPr>
                <w:sz w:val="15"/>
              </w:rPr>
              <w:t>Security testing / defer</w:t>
            </w:r>
          </w:p>
        </w:tc>
        <w:tc>
          <w:tcPr>
            <w:tcW w:type="dxa" w:w="1560"/>
            <w:vAlign w:val="top"/>
            <w:shd w:fill="EEF4F7"/>
          </w:tcPr>
          <w:p>
            <w:pPr>
              <w:spacing w:after="20"/>
            </w:pPr>
            <w:r>
              <w:rPr>
                <w:sz w:val="15"/>
              </w:rPr>
              <w:t>Before pilot</w:t>
            </w:r>
          </w:p>
        </w:tc>
      </w:tr>
      <w:tr>
        <w:trPr>
          <w:cantSplit/>
        </w:trPr>
        <w:tc>
          <w:tcPr>
            <w:tcW w:type="dxa" w:w="1560"/>
            <w:vAlign w:val="top"/>
          </w:tcPr>
          <w:p>
            <w:pPr>
              <w:spacing w:after="20"/>
            </w:pPr>
            <w:r>
              <w:rPr>
                <w:sz w:val="15"/>
              </w:rPr>
              <w:t>F-007</w:t>
            </w:r>
          </w:p>
        </w:tc>
        <w:tc>
          <w:tcPr>
            <w:tcW w:type="dxa" w:w="1560"/>
            <w:vAlign w:val="top"/>
          </w:tcPr>
          <w:p>
            <w:pPr>
              <w:spacing w:after="20"/>
            </w:pPr>
            <w:r>
              <w:rPr>
                <w:sz w:val="15"/>
              </w:rPr>
              <w:t>Preview and early-access tools can change without production-grade assurance</w:t>
            </w:r>
          </w:p>
        </w:tc>
        <w:tc>
          <w:tcPr>
            <w:tcW w:type="dxa" w:w="1560"/>
            <w:vAlign w:val="top"/>
          </w:tcPr>
          <w:p>
            <w:pPr>
              <w:spacing w:after="20"/>
            </w:pPr>
            <w:r>
              <w:rPr>
                <w:sz w:val="15"/>
              </w:rPr>
              <w:t>3×4=12 High</w:t>
            </w:r>
          </w:p>
        </w:tc>
        <w:tc>
          <w:tcPr>
            <w:tcW w:type="dxa" w:w="1560"/>
            <w:vAlign w:val="top"/>
          </w:tcPr>
          <w:p>
            <w:pPr>
              <w:spacing w:after="20"/>
            </w:pPr>
            <w:r>
              <w:rPr>
                <w:sz w:val="15"/>
              </w:rPr>
              <w:t>2×4=8 Moderate</w:t>
            </w:r>
          </w:p>
        </w:tc>
        <w:tc>
          <w:tcPr>
            <w:tcW w:type="dxa" w:w="1560"/>
            <w:vAlign w:val="top"/>
          </w:tcPr>
          <w:p>
            <w:pPr>
              <w:spacing w:after="20"/>
            </w:pPr>
            <w:r>
              <w:rPr>
                <w:sz w:val="15"/>
              </w:rPr>
              <w:t>Platform owner / avoid</w:t>
            </w:r>
          </w:p>
        </w:tc>
        <w:tc>
          <w:tcPr>
            <w:tcW w:type="dxa" w:w="1560"/>
            <w:vAlign w:val="top"/>
          </w:tcPr>
          <w:p>
            <w:pPr>
              <w:spacing w:after="20"/>
            </w:pPr>
            <w:r>
              <w:rPr>
                <w:sz w:val="15"/>
              </w:rPr>
              <w:t>Continuous</w:t>
            </w:r>
          </w:p>
        </w:tc>
      </w:tr>
    </w:tbl>
    <w:p/>
    <w:p>
      <w:pPr>
        <w:pStyle w:val="Heading1"/>
      </w:pPr>
      <w:r>
        <w:t>Detection Opportunities and Monitoring Plan</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Signal</w:t>
            </w:r>
          </w:p>
        </w:tc>
        <w:tc>
          <w:tcPr>
            <w:tcW w:type="dxa" w:w="2340"/>
            <w:shd w:fill="17365D"/>
          </w:tcPr>
          <w:p>
            <w:r>
              <w:rPr>
                <w:b/>
                <w:color w:val="FFFFFF"/>
                <w:sz w:val="16"/>
              </w:rPr>
              <w:t>Detection opportunity</w:t>
            </w:r>
          </w:p>
        </w:tc>
        <w:tc>
          <w:tcPr>
            <w:tcW w:type="dxa" w:w="2340"/>
            <w:shd w:fill="17365D"/>
          </w:tcPr>
          <w:p>
            <w:r>
              <w:rPr>
                <w:b/>
                <w:color w:val="FFFFFF"/>
                <w:sz w:val="16"/>
              </w:rPr>
              <w:t>Response</w:t>
            </w:r>
          </w:p>
        </w:tc>
        <w:tc>
          <w:tcPr>
            <w:tcW w:type="dxa" w:w="2340"/>
            <w:shd w:fill="17365D"/>
          </w:tcPr>
          <w:p>
            <w:r>
              <w:rPr>
                <w:b/>
                <w:color w:val="FFFFFF"/>
                <w:sz w:val="16"/>
              </w:rPr>
              <w:t>Control strength</w:t>
            </w:r>
          </w:p>
        </w:tc>
      </w:tr>
      <w:tr>
        <w:trPr>
          <w:cantSplit/>
        </w:trPr>
        <w:tc>
          <w:tcPr>
            <w:tcW w:type="dxa" w:w="2340"/>
            <w:vAlign w:val="top"/>
          </w:tcPr>
          <w:p>
            <w:pPr>
              <w:spacing w:after="20"/>
            </w:pPr>
            <w:r>
              <w:rPr>
                <w:sz w:val="15"/>
              </w:rPr>
              <w:t>Identity</w:t>
            </w:r>
          </w:p>
        </w:tc>
        <w:tc>
          <w:tcPr>
            <w:tcW w:type="dxa" w:w="2340"/>
            <w:vAlign w:val="top"/>
          </w:tcPr>
          <w:p>
            <w:pPr>
              <w:spacing w:after="20"/>
            </w:pPr>
            <w:r>
              <w:rPr>
                <w:sz w:val="15"/>
              </w:rPr>
              <w:t>Unexpected OAuth grant, token use or tenant access</w:t>
            </w:r>
          </w:p>
        </w:tc>
        <w:tc>
          <w:tcPr>
            <w:tcW w:type="dxa" w:w="2340"/>
            <w:vAlign w:val="top"/>
          </w:tcPr>
          <w:p>
            <w:pPr>
              <w:spacing w:after="20"/>
            </w:pPr>
            <w:r>
              <w:rPr>
                <w:sz w:val="15"/>
              </w:rPr>
              <w:t>Revoke and investigate</w:t>
            </w:r>
          </w:p>
        </w:tc>
        <w:tc>
          <w:tcPr>
            <w:tcW w:type="dxa" w:w="2340"/>
            <w:vAlign w:val="top"/>
          </w:tcPr>
          <w:p>
            <w:pPr>
              <w:spacing w:after="20"/>
            </w:pPr>
            <w:r>
              <w:rPr>
                <w:sz w:val="15"/>
              </w:rPr>
              <w:t>Detective</w:t>
            </w:r>
          </w:p>
        </w:tc>
      </w:tr>
      <w:tr>
        <w:trPr>
          <w:cantSplit/>
        </w:trPr>
        <w:tc>
          <w:tcPr>
            <w:tcW w:type="dxa" w:w="2340"/>
            <w:vAlign w:val="top"/>
            <w:shd w:fill="EEF4F7"/>
          </w:tcPr>
          <w:p>
            <w:pPr>
              <w:spacing w:after="20"/>
            </w:pPr>
            <w:r>
              <w:rPr>
                <w:sz w:val="15"/>
              </w:rPr>
              <w:t>Tool call</w:t>
            </w:r>
          </w:p>
        </w:tc>
        <w:tc>
          <w:tcPr>
            <w:tcW w:type="dxa" w:w="2340"/>
            <w:vAlign w:val="top"/>
            <w:shd w:fill="EEF4F7"/>
          </w:tcPr>
          <w:p>
            <w:pPr>
              <w:spacing w:after="20"/>
            </w:pPr>
            <w:r>
              <w:rPr>
                <w:sz w:val="15"/>
              </w:rPr>
              <w:t>Write, high-volume, preview or unapproved tool invocation</w:t>
            </w:r>
          </w:p>
        </w:tc>
        <w:tc>
          <w:tcPr>
            <w:tcW w:type="dxa" w:w="2340"/>
            <w:vAlign w:val="top"/>
            <w:shd w:fill="EEF4F7"/>
          </w:tcPr>
          <w:p>
            <w:pPr>
              <w:spacing w:after="20"/>
            </w:pPr>
            <w:r>
              <w:rPr>
                <w:sz w:val="15"/>
              </w:rPr>
              <w:t>Block where possible; alert</w:t>
            </w:r>
          </w:p>
        </w:tc>
        <w:tc>
          <w:tcPr>
            <w:tcW w:type="dxa" w:w="2340"/>
            <w:vAlign w:val="top"/>
            <w:shd w:fill="EEF4F7"/>
          </w:tcPr>
          <w:p>
            <w:pPr>
              <w:spacing w:after="20"/>
            </w:pPr>
            <w:r>
              <w:rPr>
                <w:sz w:val="15"/>
              </w:rPr>
              <w:t>Preventive + detective</w:t>
            </w:r>
          </w:p>
        </w:tc>
      </w:tr>
      <w:tr>
        <w:trPr>
          <w:cantSplit/>
        </w:trPr>
        <w:tc>
          <w:tcPr>
            <w:tcW w:type="dxa" w:w="2340"/>
            <w:vAlign w:val="top"/>
          </w:tcPr>
          <w:p>
            <w:pPr>
              <w:spacing w:after="20"/>
            </w:pPr>
            <w:r>
              <w:rPr>
                <w:sz w:val="15"/>
              </w:rPr>
              <w:t>Data</w:t>
            </w:r>
          </w:p>
        </w:tc>
        <w:tc>
          <w:tcPr>
            <w:tcW w:type="dxa" w:w="2340"/>
            <w:vAlign w:val="top"/>
          </w:tcPr>
          <w:p>
            <w:pPr>
              <w:spacing w:after="20"/>
            </w:pPr>
            <w:r>
              <w:rPr>
                <w:sz w:val="15"/>
              </w:rPr>
              <w:t>DLP match in prompt, result or model transfer</w:t>
            </w:r>
          </w:p>
        </w:tc>
        <w:tc>
          <w:tcPr>
            <w:tcW w:type="dxa" w:w="2340"/>
            <w:vAlign w:val="top"/>
          </w:tcPr>
          <w:p>
            <w:pPr>
              <w:spacing w:after="20"/>
            </w:pPr>
            <w:r>
              <w:rPr>
                <w:sz w:val="15"/>
              </w:rPr>
              <w:t>Stop transfer and incident triage</w:t>
            </w:r>
          </w:p>
        </w:tc>
        <w:tc>
          <w:tcPr>
            <w:tcW w:type="dxa" w:w="2340"/>
            <w:vAlign w:val="top"/>
          </w:tcPr>
          <w:p>
            <w:pPr>
              <w:spacing w:after="20"/>
            </w:pPr>
            <w:r>
              <w:rPr>
                <w:sz w:val="15"/>
              </w:rPr>
              <w:t>Preventive</w:t>
            </w:r>
          </w:p>
        </w:tc>
      </w:tr>
      <w:tr>
        <w:trPr>
          <w:cantSplit/>
        </w:trPr>
        <w:tc>
          <w:tcPr>
            <w:tcW w:type="dxa" w:w="2340"/>
            <w:vAlign w:val="top"/>
            <w:shd w:fill="EEF4F7"/>
          </w:tcPr>
          <w:p>
            <w:pPr>
              <w:spacing w:after="20"/>
            </w:pPr>
            <w:r>
              <w:rPr>
                <w:sz w:val="15"/>
              </w:rPr>
              <w:t>Network</w:t>
            </w:r>
          </w:p>
        </w:tc>
        <w:tc>
          <w:tcPr>
            <w:tcW w:type="dxa" w:w="2340"/>
            <w:vAlign w:val="top"/>
            <w:shd w:fill="EEF4F7"/>
          </w:tcPr>
          <w:p>
            <w:pPr>
              <w:spacing w:after="20"/>
            </w:pPr>
            <w:r>
              <w:rPr>
                <w:sz w:val="15"/>
              </w:rPr>
              <w:t>Endpoint, certificate or DNS drift</w:t>
            </w:r>
          </w:p>
        </w:tc>
        <w:tc>
          <w:tcPr>
            <w:tcW w:type="dxa" w:w="2340"/>
            <w:vAlign w:val="top"/>
            <w:shd w:fill="EEF4F7"/>
          </w:tcPr>
          <w:p>
            <w:pPr>
              <w:spacing w:after="20"/>
            </w:pPr>
            <w:r>
              <w:rPr>
                <w:sz w:val="15"/>
              </w:rPr>
              <w:t>Quarantine configuration</w:t>
            </w:r>
          </w:p>
        </w:tc>
        <w:tc>
          <w:tcPr>
            <w:tcW w:type="dxa" w:w="2340"/>
            <w:vAlign w:val="top"/>
            <w:shd w:fill="EEF4F7"/>
          </w:tcPr>
          <w:p>
            <w:pPr>
              <w:spacing w:after="20"/>
            </w:pPr>
            <w:r>
              <w:rPr>
                <w:sz w:val="15"/>
              </w:rPr>
              <w:t>Preventive</w:t>
            </w:r>
          </w:p>
        </w:tc>
      </w:tr>
      <w:tr>
        <w:trPr>
          <w:cantSplit/>
        </w:trPr>
        <w:tc>
          <w:tcPr>
            <w:tcW w:type="dxa" w:w="2340"/>
            <w:vAlign w:val="top"/>
          </w:tcPr>
          <w:p>
            <w:pPr>
              <w:spacing w:after="20"/>
            </w:pPr>
            <w:r>
              <w:rPr>
                <w:sz w:val="15"/>
              </w:rPr>
              <w:t>Supplier</w:t>
            </w:r>
          </w:p>
        </w:tc>
        <w:tc>
          <w:tcPr>
            <w:tcW w:type="dxa" w:w="2340"/>
            <w:vAlign w:val="top"/>
          </w:tcPr>
          <w:p>
            <w:pPr>
              <w:spacing w:after="20"/>
            </w:pPr>
            <w:r>
              <w:rPr>
                <w:sz w:val="15"/>
              </w:rPr>
              <w:t>Tool catalogue, privacy, maturity or contract change</w:t>
            </w:r>
          </w:p>
        </w:tc>
        <w:tc>
          <w:tcPr>
            <w:tcW w:type="dxa" w:w="2340"/>
            <w:vAlign w:val="top"/>
          </w:tcPr>
          <w:p>
            <w:pPr>
              <w:spacing w:after="20"/>
            </w:pPr>
            <w:r>
              <w:rPr>
                <w:sz w:val="15"/>
              </w:rPr>
              <w:t>Suspend and reassess</w:t>
            </w:r>
          </w:p>
        </w:tc>
        <w:tc>
          <w:tcPr>
            <w:tcW w:type="dxa" w:w="2340"/>
            <w:vAlign w:val="top"/>
          </w:tcPr>
          <w:p>
            <w:pPr>
              <w:spacing w:after="20"/>
            </w:pPr>
            <w:r>
              <w:rPr>
                <w:sz w:val="15"/>
              </w:rPr>
              <w:t>Governance</w:t>
            </w:r>
          </w:p>
        </w:tc>
      </w:tr>
    </w:tbl>
    <w:p/>
    <w:p>
      <w:pPr>
        <w:pStyle w:val="Heading1"/>
      </w:pPr>
      <w:r>
        <w:t>Residual Risk and Approval Recommendation Update</w:t>
      </w:r>
    </w:p>
    <w:p>
      <w:r>
        <w:t>Decision: APPROVE WITH CONDITIONS only for a time-limited, non-production, read-only pilot using synthetic or deliberately sanitised data. Production, write-capable tools, confidential workloads, and early-access capabilities remain deferred. Entry conditions are tenant-isolated credentials, least privilege, per-tool allowlisting, public-preview exclusion unless separately accepted, explicit user confirmation, IDE policy, data-flow approval, logging, kill switch, expiry, and representative runtime evidence. Current residual risk is High because service internals and end-to-end runtime were not observed.</w:t>
      </w:r>
    </w:p>
    <w:p>
      <w:pPr>
        <w:pStyle w:val="Heading1"/>
      </w:pPr>
      <w:r>
        <w:t>Regeneration Limitations and Confidence</w:t>
      </w:r>
    </w:p>
    <w:p>
      <w:r>
        <w:t>Confidence is High for the official documentation snapshot and historical report preservation; Medium for architecture and control inferences; and Low for unseen service implementation, update, telemetry, persistence, tool-call side effects, and uninstall or revocation behavior. Dynamic analysis was selected but blocked. No claim of Windows 11, macOS, VS Code, Visual Studio, or tenant-runtime verification is made.</w:t>
      </w:r>
    </w:p>
    <w:p>
      <w:pPr>
        <w:pStyle w:val="Heading1"/>
      </w:pPr>
      <w:r>
        <w:t>Evidence Register Update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Evidence ID</w:t>
            </w:r>
          </w:p>
        </w:tc>
        <w:tc>
          <w:tcPr>
            <w:tcW w:type="dxa" w:w="2340"/>
            <w:shd w:fill="17365D"/>
          </w:tcPr>
          <w:p>
            <w:r>
              <w:rPr>
                <w:b/>
                <w:color w:val="FFFFFF"/>
                <w:sz w:val="16"/>
              </w:rPr>
              <w:t>Evidence</w:t>
            </w:r>
          </w:p>
        </w:tc>
        <w:tc>
          <w:tcPr>
            <w:tcW w:type="dxa" w:w="2340"/>
            <w:shd w:fill="17365D"/>
          </w:tcPr>
          <w:p>
            <w:r>
              <w:rPr>
                <w:b/>
                <w:color w:val="FFFFFF"/>
                <w:sz w:val="16"/>
              </w:rPr>
              <w:t>State</w:t>
            </w:r>
          </w:p>
        </w:tc>
        <w:tc>
          <w:tcPr>
            <w:tcW w:type="dxa" w:w="2340"/>
            <w:shd w:fill="17365D"/>
          </w:tcPr>
          <w:p>
            <w:r>
              <w:rPr>
                <w:b/>
                <w:color w:val="FFFFFF"/>
                <w:sz w:val="16"/>
              </w:rPr>
              <w:t>Retention / verification</w:t>
            </w:r>
          </w:p>
        </w:tc>
      </w:tr>
      <w:tr>
        <w:trPr>
          <w:cantSplit/>
        </w:trPr>
        <w:tc>
          <w:tcPr>
            <w:tcW w:type="dxa" w:w="2340"/>
            <w:vAlign w:val="top"/>
          </w:tcPr>
          <w:p>
            <w:pPr>
              <w:spacing w:after="20"/>
            </w:pPr>
            <w:r>
              <w:rPr>
                <w:sz w:val="15"/>
              </w:rPr>
              <w:t>EV-001</w:t>
            </w:r>
          </w:p>
        </w:tc>
        <w:tc>
          <w:tcPr>
            <w:tcW w:type="dxa" w:w="2340"/>
            <w:vAlign w:val="top"/>
          </w:tcPr>
          <w:p>
            <w:pPr>
              <w:spacing w:after="20"/>
            </w:pPr>
            <w:r>
              <w:rPr>
                <w:sz w:val="15"/>
              </w:rPr>
              <w:t>Historical baseline v1.0</w:t>
            </w:r>
          </w:p>
        </w:tc>
        <w:tc>
          <w:tcPr>
            <w:tcW w:type="dxa" w:w="2340"/>
            <w:vAlign w:val="top"/>
          </w:tcPr>
          <w:p>
            <w:pPr>
              <w:spacing w:after="20"/>
            </w:pPr>
            <w:r>
              <w:rPr>
                <w:sz w:val="15"/>
              </w:rPr>
              <w:t>Preserved</w:t>
            </w:r>
          </w:p>
        </w:tc>
        <w:tc>
          <w:tcPr>
            <w:tcW w:type="dxa" w:w="2340"/>
            <w:vAlign w:val="top"/>
          </w:tcPr>
          <w:p>
            <w:pPr>
              <w:spacing w:after="20"/>
            </w:pPr>
            <w:r>
              <w:rPr>
                <w:sz w:val="15"/>
              </w:rPr>
              <w:t>SHA-256 in migration provenance</w:t>
            </w:r>
          </w:p>
        </w:tc>
      </w:tr>
      <w:tr>
        <w:trPr>
          <w:cantSplit/>
        </w:trPr>
        <w:tc>
          <w:tcPr>
            <w:tcW w:type="dxa" w:w="2340"/>
            <w:vAlign w:val="top"/>
            <w:shd w:fill="EEF4F7"/>
          </w:tcPr>
          <w:p>
            <w:pPr>
              <w:spacing w:after="20"/>
            </w:pPr>
            <w:r>
              <w:rPr>
                <w:sz w:val="15"/>
              </w:rPr>
              <w:t>EV-002</w:t>
            </w:r>
          </w:p>
        </w:tc>
        <w:tc>
          <w:tcPr>
            <w:tcW w:type="dxa" w:w="2340"/>
            <w:vAlign w:val="top"/>
            <w:shd w:fill="EEF4F7"/>
          </w:tcPr>
          <w:p>
            <w:pPr>
              <w:spacing w:after="20"/>
            </w:pPr>
            <w:r>
              <w:rPr>
                <w:sz w:val="15"/>
              </w:rPr>
              <w:t>Official hosted-service documentation</w:t>
            </w:r>
          </w:p>
        </w:tc>
        <w:tc>
          <w:tcPr>
            <w:tcW w:type="dxa" w:w="2340"/>
            <w:vAlign w:val="top"/>
            <w:shd w:fill="EEF4F7"/>
          </w:tcPr>
          <w:p>
            <w:pPr>
              <w:spacing w:after="20"/>
            </w:pPr>
            <w:r>
              <w:rPr>
                <w:sz w:val="15"/>
              </w:rPr>
              <w:t>Current verified</w:t>
            </w:r>
          </w:p>
        </w:tc>
        <w:tc>
          <w:tcPr>
            <w:tcW w:type="dxa" w:w="2340"/>
            <w:vAlign w:val="top"/>
            <w:shd w:fill="EEF4F7"/>
          </w:tcPr>
          <w:p>
            <w:pPr>
              <w:spacing w:after="20"/>
            </w:pPr>
            <w:r>
              <w:rPr>
                <w:sz w:val="15"/>
              </w:rPr>
              <w:t>Retained HTML and hash</w:t>
            </w:r>
          </w:p>
        </w:tc>
      </w:tr>
      <w:tr>
        <w:trPr>
          <w:cantSplit/>
        </w:trPr>
        <w:tc>
          <w:tcPr>
            <w:tcW w:type="dxa" w:w="2340"/>
            <w:vAlign w:val="top"/>
          </w:tcPr>
          <w:p>
            <w:pPr>
              <w:spacing w:after="20"/>
            </w:pPr>
            <w:r>
              <w:rPr>
                <w:sz w:val="15"/>
              </w:rPr>
              <w:t>EV-003</w:t>
            </w:r>
          </w:p>
        </w:tc>
        <w:tc>
          <w:tcPr>
            <w:tcW w:type="dxa" w:w="2340"/>
            <w:vAlign w:val="top"/>
          </w:tcPr>
          <w:p>
            <w:pPr>
              <w:spacing w:after="20"/>
            </w:pPr>
            <w:r>
              <w:rPr>
                <w:sz w:val="15"/>
              </w:rPr>
              <w:t>ClamAV and YARA logs</w:t>
            </w:r>
          </w:p>
        </w:tc>
        <w:tc>
          <w:tcPr>
            <w:tcW w:type="dxa" w:w="2340"/>
            <w:vAlign w:val="top"/>
          </w:tcPr>
          <w:p>
            <w:pPr>
              <w:spacing w:after="20"/>
            </w:pPr>
            <w:r>
              <w:rPr>
                <w:sz w:val="15"/>
              </w:rPr>
              <w:t>Current verified</w:t>
            </w:r>
          </w:p>
        </w:tc>
        <w:tc>
          <w:tcPr>
            <w:tcW w:type="dxa" w:w="2340"/>
            <w:vAlign w:val="top"/>
          </w:tcPr>
          <w:p>
            <w:pPr>
              <w:spacing w:after="20"/>
            </w:pPr>
            <w:r>
              <w:rPr>
                <w:sz w:val="15"/>
              </w:rPr>
              <w:t>Retained logs and manual triage</w:t>
            </w:r>
          </w:p>
        </w:tc>
      </w:tr>
      <w:tr>
        <w:trPr>
          <w:cantSplit/>
        </w:trPr>
        <w:tc>
          <w:tcPr>
            <w:tcW w:type="dxa" w:w="2340"/>
            <w:vAlign w:val="top"/>
            <w:shd w:fill="EEF4F7"/>
          </w:tcPr>
          <w:p>
            <w:pPr>
              <w:spacing w:after="20"/>
            </w:pPr>
            <w:r>
              <w:rPr>
                <w:sz w:val="15"/>
              </w:rPr>
              <w:t>EV-004</w:t>
            </w:r>
          </w:p>
        </w:tc>
        <w:tc>
          <w:tcPr>
            <w:tcW w:type="dxa" w:w="2340"/>
            <w:vAlign w:val="top"/>
            <w:shd w:fill="EEF4F7"/>
          </w:tcPr>
          <w:p>
            <w:pPr>
              <w:spacing w:after="20"/>
            </w:pPr>
            <w:r>
              <w:rPr>
                <w:sz w:val="15"/>
              </w:rPr>
              <w:t>Representative runtime</w:t>
            </w:r>
          </w:p>
        </w:tc>
        <w:tc>
          <w:tcPr>
            <w:tcW w:type="dxa" w:w="2340"/>
            <w:vAlign w:val="top"/>
            <w:shd w:fill="EEF4F7"/>
          </w:tcPr>
          <w:p>
            <w:pPr>
              <w:spacing w:after="20"/>
            </w:pPr>
            <w:r>
              <w:rPr>
                <w:sz w:val="15"/>
              </w:rPr>
              <w:t>Blocked</w:t>
            </w:r>
          </w:p>
        </w:tc>
        <w:tc>
          <w:tcPr>
            <w:tcW w:type="dxa" w:w="2340"/>
            <w:vAlign w:val="top"/>
            <w:shd w:fill="EEF4F7"/>
          </w:tcPr>
          <w:p>
            <w:pPr>
              <w:spacing w:after="20"/>
            </w:pPr>
            <w:r>
              <w:rPr>
                <w:sz w:val="15"/>
              </w:rPr>
              <w:t>Acceptance protocol retained</w:t>
            </w:r>
          </w:p>
        </w:tc>
      </w:tr>
    </w:tbl>
    <w:p/>
    <w:p>
      <w:pPr>
        <w:pStyle w:val="Heading1"/>
      </w:pPr>
      <w:r>
        <w:t>Revision History Update</w:t>
      </w:r>
    </w:p>
    <w:tbl>
      <w:tblPr>
        <w:tblStyle w:val="TableGrid"/>
        <w:tblW w:type="auto" w:w="0"/>
        <w:jc w:val="center"/>
        <w:tblLook w:firstColumn="1" w:firstRow="1" w:lastColumn="0" w:lastRow="0" w:noHBand="0" w:noVBand="1" w:val="04A0"/>
      </w:tblPr>
      <w:tblGrid>
        <w:gridCol w:w="2340"/>
        <w:gridCol w:w="2340"/>
        <w:gridCol w:w="2340"/>
        <w:gridCol w:w="2340"/>
      </w:tblGrid>
      <w:tr>
        <w:trPr>
          <w:tblHeader/>
          <w:cantSplit/>
        </w:trPr>
        <w:tc>
          <w:tcPr>
            <w:tcW w:type="dxa" w:w="2340"/>
            <w:shd w:fill="17365D"/>
          </w:tcPr>
          <w:p>
            <w:r>
              <w:rPr>
                <w:b/>
                <w:color w:val="FFFFFF"/>
                <w:sz w:val="16"/>
              </w:rPr>
              <w:t>Version</w:t>
            </w:r>
          </w:p>
        </w:tc>
        <w:tc>
          <w:tcPr>
            <w:tcW w:type="dxa" w:w="2340"/>
            <w:shd w:fill="17365D"/>
          </w:tcPr>
          <w:p>
            <w:r>
              <w:rPr>
                <w:b/>
                <w:color w:val="FFFFFF"/>
                <w:sz w:val="16"/>
              </w:rPr>
              <w:t>Date</w:t>
            </w:r>
          </w:p>
        </w:tc>
        <w:tc>
          <w:tcPr>
            <w:tcW w:type="dxa" w:w="2340"/>
            <w:shd w:fill="17365D"/>
          </w:tcPr>
          <w:p>
            <w:r>
              <w:rPr>
                <w:b/>
                <w:color w:val="FFFFFF"/>
                <w:sz w:val="16"/>
              </w:rPr>
              <w:t>Change</w:t>
            </w:r>
          </w:p>
        </w:tc>
        <w:tc>
          <w:tcPr>
            <w:tcW w:type="dxa" w:w="2340"/>
            <w:shd w:fill="17365D"/>
          </w:tcPr>
          <w:p>
            <w:r>
              <w:rPr>
                <w:b/>
                <w:color w:val="FFFFFF"/>
                <w:sz w:val="16"/>
              </w:rPr>
              <w:t>Approval state</w:t>
            </w:r>
          </w:p>
        </w:tc>
      </w:tr>
      <w:tr>
        <w:trPr>
          <w:cantSplit/>
        </w:trPr>
        <w:tc>
          <w:tcPr>
            <w:tcW w:type="dxa" w:w="2340"/>
            <w:vAlign w:val="top"/>
          </w:tcPr>
          <w:p>
            <w:pPr>
              <w:spacing w:after="20"/>
            </w:pPr>
            <w:r>
              <w:rPr>
                <w:sz w:val="15"/>
              </w:rPr>
              <w:t>1.0</w:t>
            </w:r>
          </w:p>
        </w:tc>
        <w:tc>
          <w:tcPr>
            <w:tcW w:type="dxa" w:w="2340"/>
            <w:vAlign w:val="top"/>
          </w:tcPr>
          <w:p>
            <w:pPr>
              <w:spacing w:after="20"/>
            </w:pPr>
            <w:r>
              <w:rPr>
                <w:sz w:val="15"/>
              </w:rPr>
              <w:t>15 July 2026</w:t>
            </w:r>
          </w:p>
        </w:tc>
        <w:tc>
          <w:tcPr>
            <w:tcW w:type="dxa" w:w="2340"/>
            <w:vAlign w:val="top"/>
          </w:tcPr>
          <w:p>
            <w:pPr>
              <w:spacing w:after="20"/>
            </w:pPr>
            <w:r>
              <w:rPr>
                <w:sz w:val="15"/>
              </w:rPr>
              <w:t>Historical delivered assessment preserved as baseline evidence</w:t>
            </w:r>
          </w:p>
        </w:tc>
        <w:tc>
          <w:tcPr>
            <w:tcW w:type="dxa" w:w="2340"/>
            <w:vAlign w:val="top"/>
          </w:tcPr>
          <w:p>
            <w:pPr>
              <w:spacing w:after="20"/>
            </w:pPr>
            <w:r>
              <w:rPr>
                <w:sz w:val="15"/>
              </w:rPr>
              <w:t>Superseded</w:t>
            </w:r>
          </w:p>
        </w:tc>
      </w:tr>
      <w:tr>
        <w:trPr>
          <w:cantSplit/>
        </w:trPr>
        <w:tc>
          <w:tcPr>
            <w:tcW w:type="dxa" w:w="2340"/>
            <w:vAlign w:val="top"/>
            <w:shd w:fill="EEF4F7"/>
          </w:tcPr>
          <w:p>
            <w:pPr>
              <w:spacing w:after="20"/>
            </w:pPr>
            <w:r>
              <w:rPr>
                <w:sz w:val="15"/>
              </w:rPr>
              <w:t>1.1</w:t>
            </w:r>
          </w:p>
        </w:tc>
        <w:tc>
          <w:tcPr>
            <w:tcW w:type="dxa" w:w="2340"/>
            <w:vAlign w:val="top"/>
            <w:shd w:fill="EEF4F7"/>
          </w:tcPr>
          <w:p>
            <w:pPr>
              <w:spacing w:after="20"/>
            </w:pPr>
            <w:r>
              <w:rPr>
                <w:sz w:val="15"/>
              </w:rPr>
              <w:t>25 July 2026</w:t>
            </w:r>
          </w:p>
        </w:tc>
        <w:tc>
          <w:tcPr>
            <w:tcW w:type="dxa" w:w="2340"/>
            <w:vAlign w:val="top"/>
            <w:shd w:fill="EEF4F7"/>
          </w:tcPr>
          <w:p>
            <w:pPr>
              <w:spacing w:after="20"/>
            </w:pPr>
            <w:r>
              <w:rPr>
                <w:sz w:val="15"/>
              </w:rPr>
              <w:t>Repository regeneration, current source drift, static, malware, advisory and quality-gate review</w:t>
            </w:r>
          </w:p>
        </w:tc>
        <w:tc>
          <w:tcPr>
            <w:tcW w:type="dxa" w:w="2340"/>
            <w:vAlign w:val="top"/>
            <w:shd w:fill="EEF4F7"/>
          </w:tcPr>
          <w:p>
            <w:pPr>
              <w:spacing w:after="20"/>
            </w:pPr>
            <w:r>
              <w:rPr>
                <w:sz w:val="15"/>
              </w:rPr>
              <w:t>Candidate / draft PR</w:t>
            </w:r>
          </w:p>
        </w:tc>
      </w:tr>
    </w:tbl>
    <w:p/>
    <w:p>
      <w:pPr>
        <w:pStyle w:val="Heading1"/>
      </w:pPr>
      <w:r>
        <w:t>Document Control Update</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4680"/>
            <w:shd w:fill="17365D"/>
          </w:tcPr>
          <w:p>
            <w:r>
              <w:rPr>
                <w:b/>
                <w:color w:val="FFFFFF"/>
                <w:sz w:val="16"/>
              </w:rPr>
              <w:t>Field</w:t>
            </w:r>
          </w:p>
        </w:tc>
        <w:tc>
          <w:tcPr>
            <w:tcW w:type="dxa" w:w="4680"/>
            <w:shd w:fill="17365D"/>
          </w:tcPr>
          <w:p>
            <w:r>
              <w:rPr>
                <w:b/>
                <w:color w:val="FFFFFF"/>
                <w:sz w:val="16"/>
              </w:rPr>
              <w:t>Value</w:t>
            </w:r>
          </w:p>
        </w:tc>
      </w:tr>
      <w:tr>
        <w:trPr>
          <w:cantSplit/>
        </w:trPr>
        <w:tc>
          <w:tcPr>
            <w:tcW w:type="dxa" w:w="4680"/>
            <w:vAlign w:val="top"/>
          </w:tcPr>
          <w:p>
            <w:pPr>
              <w:spacing w:after="20"/>
            </w:pPr>
            <w:r>
              <w:rPr>
                <w:sz w:val="15"/>
              </w:rPr>
              <w:t>Classification</w:t>
            </w:r>
          </w:p>
        </w:tc>
        <w:tc>
          <w:tcPr>
            <w:tcW w:type="dxa" w:w="4680"/>
            <w:vAlign w:val="top"/>
          </w:tcPr>
          <w:p>
            <w:pPr>
              <w:spacing w:after="20"/>
            </w:pPr>
            <w:r>
              <w:rPr>
                <w:sz w:val="15"/>
              </w:rPr>
              <w:t>PUBLIC</w:t>
            </w:r>
          </w:p>
        </w:tc>
      </w:tr>
      <w:tr>
        <w:trPr>
          <w:cantSplit/>
        </w:trPr>
        <w:tc>
          <w:tcPr>
            <w:tcW w:type="dxa" w:w="4680"/>
            <w:vAlign w:val="top"/>
            <w:shd w:fill="EEF4F7"/>
          </w:tcPr>
          <w:p>
            <w:pPr>
              <w:spacing w:after="20"/>
            </w:pPr>
            <w:r>
              <w:rPr>
                <w:sz w:val="15"/>
              </w:rPr>
              <w:t>Audience</w:t>
            </w:r>
          </w:p>
        </w:tc>
        <w:tc>
          <w:tcPr>
            <w:tcW w:type="dxa" w:w="4680"/>
            <w:vAlign w:val="top"/>
            <w:shd w:fill="EEF4F7"/>
          </w:tcPr>
          <w:p>
            <w:pPr>
              <w:spacing w:after="20"/>
            </w:pPr>
            <w:r>
              <w:rPr>
                <w:sz w:val="15"/>
              </w:rPr>
              <w:t>UK financial-services security, engineering, privacy and risk owners</w:t>
            </w:r>
          </w:p>
        </w:tc>
      </w:tr>
      <w:tr>
        <w:trPr>
          <w:cantSplit/>
        </w:trPr>
        <w:tc>
          <w:tcPr>
            <w:tcW w:type="dxa" w:w="4680"/>
            <w:vAlign w:val="top"/>
          </w:tcPr>
          <w:p>
            <w:pPr>
              <w:spacing w:after="20"/>
            </w:pPr>
            <w:r>
              <w:rPr>
                <w:sz w:val="15"/>
              </w:rPr>
              <w:t>Authority</w:t>
            </w:r>
          </w:p>
        </w:tc>
        <w:tc>
          <w:tcPr>
            <w:tcW w:type="dxa" w:w="4680"/>
            <w:vAlign w:val="top"/>
          </w:tcPr>
          <w:p>
            <w:pPr>
              <w:spacing w:after="20"/>
            </w:pPr>
            <w:r>
              <w:rPr>
                <w:sz w:val="15"/>
              </w:rPr>
              <w:t>Candidate until reviewed PR is approved and merged</w:t>
            </w:r>
          </w:p>
        </w:tc>
      </w:tr>
      <w:tr>
        <w:trPr>
          <w:cantSplit/>
        </w:trPr>
        <w:tc>
          <w:tcPr>
            <w:tcW w:type="dxa" w:w="4680"/>
            <w:vAlign w:val="top"/>
            <w:shd w:fill="EEF4F7"/>
          </w:tcPr>
          <w:p>
            <w:pPr>
              <w:spacing w:after="20"/>
            </w:pPr>
            <w:r>
              <w:rPr>
                <w:sz w:val="15"/>
              </w:rPr>
              <w:t>Source baseline</w:t>
            </w:r>
          </w:p>
        </w:tc>
        <w:tc>
          <w:tcPr>
            <w:tcW w:type="dxa" w:w="4680"/>
            <w:vAlign w:val="top"/>
            <w:shd w:fill="EEF4F7"/>
          </w:tcPr>
          <w:p>
            <w:pPr>
              <w:spacing w:after="20"/>
            </w:pPr>
            <w:r>
              <w:rPr>
                <w:sz w:val="15"/>
              </w:rPr>
              <w:t>historical-baseline-v1.0.docx</w:t>
            </w:r>
          </w:p>
        </w:tc>
      </w:tr>
      <w:tr>
        <w:trPr>
          <w:cantSplit/>
        </w:trPr>
        <w:tc>
          <w:tcPr>
            <w:tcW w:type="dxa" w:w="4680"/>
            <w:vAlign w:val="top"/>
          </w:tcPr>
          <w:p>
            <w:pPr>
              <w:spacing w:after="20"/>
            </w:pPr>
            <w:r>
              <w:rPr>
                <w:sz w:val="15"/>
              </w:rPr>
              <w:t>Repository run key</w:t>
            </w:r>
          </w:p>
        </w:tc>
        <w:tc>
          <w:tcPr>
            <w:tcW w:type="dxa" w:w="4680"/>
            <w:vAlign w:val="top"/>
          </w:tcPr>
          <w:p>
            <w:pPr>
              <w:spacing w:after="20"/>
            </w:pPr>
            <w:r>
              <w:rPr>
                <w:sz w:val="15"/>
              </w:rPr>
              <w:t>2026-07-25-v1.1</w:t>
            </w:r>
          </w:p>
        </w:tc>
      </w:tr>
    </w:tbl>
    <w:p/>
    <w:p>
      <w:pPr>
        <w:pStyle w:val="Heading1"/>
      </w:pPr>
      <w:r>
        <w:t>Glossary Update</w:t>
      </w:r>
    </w:p>
    <w:tbl>
      <w:tblPr>
        <w:tblStyle w:val="TableGrid"/>
        <w:tblW w:type="auto" w:w="0"/>
        <w:jc w:val="center"/>
        <w:tblLook w:firstColumn="1" w:firstRow="1" w:lastColumn="0" w:lastRow="0" w:noHBand="0" w:noVBand="1" w:val="04A0"/>
      </w:tblPr>
      <w:tblGrid>
        <w:gridCol w:w="4680"/>
        <w:gridCol w:w="4680"/>
      </w:tblGrid>
      <w:tr>
        <w:trPr>
          <w:tblHeader/>
          <w:cantSplit/>
        </w:trPr>
        <w:tc>
          <w:tcPr>
            <w:tcW w:type="dxa" w:w="4680"/>
            <w:shd w:fill="17365D"/>
          </w:tcPr>
          <w:p>
            <w:r>
              <w:rPr>
                <w:b/>
                <w:color w:val="FFFFFF"/>
                <w:sz w:val="16"/>
              </w:rPr>
              <w:t>Term</w:t>
            </w:r>
          </w:p>
        </w:tc>
        <w:tc>
          <w:tcPr>
            <w:tcW w:type="dxa" w:w="4680"/>
            <w:shd w:fill="17365D"/>
          </w:tcPr>
          <w:p>
            <w:r>
              <w:rPr>
                <w:b/>
                <w:color w:val="FFFFFF"/>
                <w:sz w:val="16"/>
              </w:rPr>
              <w:t>Meaning</w:t>
            </w:r>
          </w:p>
        </w:tc>
      </w:tr>
      <w:tr>
        <w:trPr>
          <w:cantSplit/>
        </w:trPr>
        <w:tc>
          <w:tcPr>
            <w:tcW w:type="dxa" w:w="4680"/>
            <w:vAlign w:val="top"/>
          </w:tcPr>
          <w:p>
            <w:pPr>
              <w:spacing w:after="20"/>
            </w:pPr>
            <w:r>
              <w:rPr>
                <w:sz w:val="15"/>
              </w:rPr>
              <w:t>Current verified</w:t>
            </w:r>
          </w:p>
        </w:tc>
        <w:tc>
          <w:tcPr>
            <w:tcW w:type="dxa" w:w="4680"/>
            <w:vAlign w:val="top"/>
          </w:tcPr>
          <w:p>
            <w:pPr>
              <w:spacing w:after="20"/>
            </w:pPr>
            <w:r>
              <w:rPr>
                <w:sz w:val="15"/>
              </w:rPr>
              <w:t>Supported by evidence acquired during the 25 July 2026 regeneration</w:t>
            </w:r>
          </w:p>
        </w:tc>
      </w:tr>
      <w:tr>
        <w:trPr>
          <w:cantSplit/>
        </w:trPr>
        <w:tc>
          <w:tcPr>
            <w:tcW w:type="dxa" w:w="4680"/>
            <w:vAlign w:val="top"/>
            <w:shd w:fill="EEF4F7"/>
          </w:tcPr>
          <w:p>
            <w:pPr>
              <w:spacing w:after="20"/>
            </w:pPr>
            <w:r>
              <w:rPr>
                <w:sz w:val="15"/>
              </w:rPr>
              <w:t>Historical verified</w:t>
            </w:r>
          </w:p>
        </w:tc>
        <w:tc>
          <w:tcPr>
            <w:tcW w:type="dxa" w:w="4680"/>
            <w:vAlign w:val="top"/>
            <w:shd w:fill="EEF4F7"/>
          </w:tcPr>
          <w:p>
            <w:pPr>
              <w:spacing w:after="20"/>
            </w:pPr>
            <w:r>
              <w:rPr>
                <w:sz w:val="15"/>
              </w:rPr>
              <w:t>Supported by retained evidence from the original assessment but not repeated on a current representative host</w:t>
            </w:r>
          </w:p>
        </w:tc>
      </w:tr>
      <w:tr>
        <w:trPr>
          <w:cantSplit/>
        </w:trPr>
        <w:tc>
          <w:tcPr>
            <w:tcW w:type="dxa" w:w="4680"/>
            <w:vAlign w:val="top"/>
          </w:tcPr>
          <w:p>
            <w:pPr>
              <w:spacing w:after="20"/>
            </w:pPr>
            <w:r>
              <w:rPr>
                <w:sz w:val="15"/>
              </w:rPr>
              <w:t>Not observed</w:t>
            </w:r>
          </w:p>
        </w:tc>
        <w:tc>
          <w:tcPr>
            <w:tcW w:type="dxa" w:w="4680"/>
            <w:vAlign w:val="top"/>
          </w:tcPr>
          <w:p>
            <w:pPr>
              <w:spacing w:after="20"/>
            </w:pPr>
            <w:r>
              <w:rPr>
                <w:sz w:val="15"/>
              </w:rPr>
              <w:t>No representative runtime evidence was obtained</w:t>
            </w:r>
          </w:p>
        </w:tc>
      </w:tr>
      <w:tr>
        <w:trPr>
          <w:cantSplit/>
        </w:trPr>
        <w:tc>
          <w:tcPr>
            <w:tcW w:type="dxa" w:w="4680"/>
            <w:vAlign w:val="top"/>
            <w:shd w:fill="EEF4F7"/>
          </w:tcPr>
          <w:p>
            <w:pPr>
              <w:spacing w:after="20"/>
            </w:pPr>
            <w:r>
              <w:rPr>
                <w:sz w:val="15"/>
              </w:rPr>
              <w:t>Blocked</w:t>
            </w:r>
          </w:p>
        </w:tc>
        <w:tc>
          <w:tcPr>
            <w:tcW w:type="dxa" w:w="4680"/>
            <w:vAlign w:val="top"/>
            <w:shd w:fill="EEF4F7"/>
          </w:tcPr>
          <w:p>
            <w:pPr>
              <w:spacing w:after="20"/>
            </w:pPr>
            <w:r>
              <w:rPr>
                <w:sz w:val="15"/>
              </w:rPr>
              <w:t>Selected analysis could not run because a required disposable host, account, or credential was unavailable</w:t>
            </w:r>
          </w:p>
        </w:tc>
      </w:tr>
      <w:tr>
        <w:trPr>
          <w:cantSplit/>
        </w:trPr>
        <w:tc>
          <w:tcPr>
            <w:tcW w:type="dxa" w:w="4680"/>
            <w:vAlign w:val="top"/>
          </w:tcPr>
          <w:p>
            <w:pPr>
              <w:spacing w:after="20"/>
            </w:pPr>
            <w:r>
              <w:rPr>
                <w:sz w:val="15"/>
              </w:rPr>
              <w:t>Control strength</w:t>
            </w:r>
          </w:p>
        </w:tc>
        <w:tc>
          <w:tcPr>
            <w:tcW w:type="dxa" w:w="4680"/>
            <w:vAlign w:val="top"/>
          </w:tcPr>
          <w:p>
            <w:pPr>
              <w:spacing w:after="20"/>
            </w:pPr>
            <w:r>
              <w:rPr>
                <w:sz w:val="15"/>
              </w:rPr>
              <w:t>Assurance rating based on enforcement and verification rather than intent</w:t>
            </w:r>
          </w:p>
        </w:tc>
      </w:tr>
    </w:tbl>
    <w:p/>
    <w:p>
      <w:pPr>
        <w:pStyle w:val="Heading1"/>
      </w:pPr>
      <w:r>
        <w:t>Current Primary References</w:t>
      </w:r>
    </w:p>
    <w:p>
      <w:r>
        <w:t xml:space="preserve">REF-H01 — Dynatrace MCP documentation: </w:t>
      </w:r>
      <w:hyperlink r:id="rId12">
        <w:r>
          <w:rPr>
            <w:color w:val="0563C1"/>
            <w:u w:val="single"/>
          </w:rPr>
          <w:t>open primary source</w:t>
        </w:r>
      </w:hyperlink>
      <w:r>
        <w:t xml:space="preserve"> (accessed 25 July 2026).</w:t>
      </w:r>
    </w:p>
    <w:p>
      <w:r>
        <w:t xml:space="preserve">REF-H02 — Dynatrace AI data privacy: </w:t>
      </w:r>
      <w:hyperlink r:id="rId16">
        <w:r>
          <w:rPr>
            <w:color w:val="0563C1"/>
            <w:u w:val="single"/>
          </w:rPr>
          <w:t>open primary source</w:t>
        </w:r>
      </w:hyperlink>
      <w:r>
        <w:t xml:space="preserve"> (accessed 25 July 2026).</w:t>
      </w:r>
    </w:p>
    <w:p>
      <w:r>
        <w:t xml:space="preserve">REF-H03 — Dynatrace platform tokens: </w:t>
      </w:r>
      <w:hyperlink r:id="rId17">
        <w:r>
          <w:rPr>
            <w:color w:val="0563C1"/>
            <w:u w:val="single"/>
          </w:rPr>
          <w:t>open primary source</w:t>
        </w:r>
      </w:hyperlink>
      <w:r>
        <w:t xml:space="preserve"> (accessed 25 July 2026).</w:t>
      </w:r>
    </w:p>
    <w:p>
      <w:r>
        <w:t xml:space="preserve">REF-C01 — VS Code MCP servers: </w:t>
      </w:r>
      <w:hyperlink r:id="rId20">
        <w:r>
          <w:rPr>
            <w:color w:val="0563C1"/>
            <w:u w:val="single"/>
          </w:rPr>
          <w:t>open primary source</w:t>
        </w:r>
      </w:hyperlink>
      <w:r>
        <w:t xml:space="preserve"> (accessed 25 July 2026).</w:t>
      </w:r>
    </w:p>
    <w:p>
      <w:r>
        <w:t xml:space="preserve">REF-C02 — Visual Studio MCP servers: </w:t>
      </w:r>
      <w:hyperlink r:id="rId22">
        <w:r>
          <w:rPr>
            <w:color w:val="0563C1"/>
            <w:u w:val="single"/>
          </w:rPr>
          <w:t>open primary source</w:t>
        </w:r>
      </w:hyperlink>
      <w:r>
        <w:t xml:space="preserve"> (accessed 25 July 2026).</w:t>
      </w:r>
    </w:p>
    <w:p>
      <w:r>
        <w:t xml:space="preserve">REF-C03 — OWASP Top 10 for LLM Applications 2025: </w:t>
      </w:r>
      <w:hyperlink r:id="rId48">
        <w:r>
          <w:rPr>
            <w:color w:val="0563C1"/>
            <w:u w:val="single"/>
          </w:rPr>
          <w:t>open primary source</w:t>
        </w:r>
      </w:hyperlink>
      <w:r>
        <w:t xml:space="preserve"> (accessed 25 July 2026).</w:t>
      </w:r>
    </w:p>
    <w:p>
      <w:r>
        <w:t xml:space="preserve">REF-C04 — OWASP MCP Top 10: </w:t>
      </w:r>
      <w:hyperlink r:id="rId29">
        <w:r>
          <w:rPr>
            <w:color w:val="0563C1"/>
            <w:u w:val="single"/>
          </w:rPr>
          <w:t>open primary source</w:t>
        </w:r>
      </w:hyperlink>
      <w:r>
        <w:t xml:space="preserve"> (accessed 25 July 2026).</w:t>
      </w:r>
    </w:p>
    <w:p>
      <w:r>
        <w:t xml:space="preserve">REF-C05 — NIST AI Risk Management Framework: </w:t>
      </w:r>
      <w:hyperlink r:id="rId49">
        <w:r>
          <w:rPr>
            <w:color w:val="0563C1"/>
            <w:u w:val="single"/>
          </w:rPr>
          <w:t>open primary source</w:t>
        </w:r>
      </w:hyperlink>
      <w:r>
        <w:t xml:space="preserve"> (accessed 25 July 2026).</w:t>
      </w:r>
    </w:p>
    <w:p>
      <w:r>
        <w:t xml:space="preserve">REF-C06 — NCSC secure AI system development: </w:t>
      </w:r>
      <w:hyperlink r:id="rId50">
        <w:r>
          <w:rPr>
            <w:color w:val="0563C1"/>
            <w:u w:val="single"/>
          </w:rPr>
          <w:t>open primary source</w:t>
        </w:r>
      </w:hyperlink>
      <w:r>
        <w:t xml:space="preserve"> (accessed 25 July 2026).</w:t>
      </w:r>
    </w:p>
    <w:p>
      <w:r>
        <w:t xml:space="preserve">REF-C07 — ICO AI and data-protection guidance: </w:t>
      </w:r>
      <w:hyperlink r:id="rId51">
        <w:r>
          <w:rPr>
            <w:color w:val="0563C1"/>
            <w:u w:val="single"/>
          </w:rPr>
          <w:t>open primary source</w:t>
        </w:r>
      </w:hyperlink>
      <w:r>
        <w:t xml:space="preserve"> (accessed 25 July 2026).</w:t>
      </w:r>
    </w:p>
    <w:p>
      <w:r>
        <w:t xml:space="preserve">REF-C08 — FCA operational resilience: </w:t>
      </w:r>
      <w:hyperlink r:id="rId38">
        <w:r>
          <w:rPr>
            <w:color w:val="0563C1"/>
            <w:u w:val="single"/>
          </w:rPr>
          <w:t>open primary source</w:t>
        </w:r>
      </w:hyperlink>
      <w:r>
        <w:t xml:space="preserve"> (accessed 25 July 2026).</w:t>
      </w:r>
    </w:p>
    <w:p>
      <w:r>
        <w:t xml:space="preserve">REF-C09 — PRA SS2/21 third-party risk: </w:t>
      </w:r>
      <w:hyperlink r:id="rId40">
        <w:r>
          <w:rPr>
            <w:color w:val="0563C1"/>
            <w:u w:val="single"/>
          </w:rPr>
          <w:t>open primary source</w:t>
        </w:r>
      </w:hyperlink>
      <w:r>
        <w:t xml:space="preserve"> (accessed 25 July 2026).</w:t>
      </w:r>
    </w:p>
    <w:sectPr>
      <w:headerReference w:type="default" r:id="rId9"/>
      <w:footerReference w:type="default" r:id="rId10"/>
      <w:headerReference w:type="even" r:id="rId46"/>
      <w:footerReference w:type="even" r:id="rId4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SoloSentry Assessment Environment  |  25 July 2026  |  Page </w:t>
    </w:r>
    <w:r>
      <w:fldChar w:fldCharType="begin"/>
      <w:instrText xml:space="preserve"> PAGE </w:instrText>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PUBLIC  |  Dynatrace Hosted MCP Security Assessment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PUBLIC  |  Dynatrace Hosted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404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20" w:after="16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40404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80"/>
    </w:pPr>
    <w:rPr>
      <w:rFonts w:ascii="Calibri" w:hAnsi="Calibri"/>
      <w:b/>
      <w:bCs/>
      <w:i/>
      <w:color w:val="40404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ocs.dynatrace.com/docs/dynatrace-intelligence/dynatrace-mcp" TargetMode="External"/><Relationship Id="rId13" Type="http://schemas.openxmlformats.org/officeDocument/2006/relationships/hyperlink" Target="https://www.dynatrace.com/hub/detail/dynatrace-mcp-server/" TargetMode="External"/><Relationship Id="rId14" Type="http://schemas.openxmlformats.org/officeDocument/2006/relationships/hyperlink" Target="https://www.dynatrace.com/hub/detail/mcp-server-tools/" TargetMode="External"/><Relationship Id="rId15" Type="http://schemas.openxmlformats.org/officeDocument/2006/relationships/hyperlink" Target="https://www.dynatrace.com/news/blog/dynatrace-mcp-server-allow-ai-interact-dynatrace-access-production-insights/" TargetMode="External"/><Relationship Id="rId16" Type="http://schemas.openxmlformats.org/officeDocument/2006/relationships/hyperlink" Target="https://docs.dynatrace.com/docs/dynatrace-intelligence/agentic-and-generative-ai/agentic-and-generative-ai-data-privacy" TargetMode="External"/><Relationship Id="rId17" Type="http://schemas.openxmlformats.org/officeDocument/2006/relationships/hyperlink" Target="https://docs.dynatrace.com/docs/manage/identity-access-management/access-tokens-and-oauth-clients/platform-tokens" TargetMode="External"/><Relationship Id="rId18" Type="http://schemas.openxmlformats.org/officeDocument/2006/relationships/hyperlink" Target="https://docs.dynatrace.com/docs/manage/identity-access-management/access-tokens-and-oauth-clients/oauth-clients" TargetMode="External"/><Relationship Id="rId19" Type="http://schemas.openxmlformats.org/officeDocument/2006/relationships/hyperlink" Target="https://docs.dynatrace.com/docs/semantic-dictionary/model/dt-system-events" TargetMode="External"/><Relationship Id="rId20" Type="http://schemas.openxmlformats.org/officeDocument/2006/relationships/hyperlink" Target="https://code.visualstudio.com/docs/agent-customization/mcp-servers" TargetMode="External"/><Relationship Id="rId21" Type="http://schemas.openxmlformats.org/officeDocument/2006/relationships/hyperlink" Target="https://code.visualstudio.com/docs/agents/security" TargetMode="External"/><Relationship Id="rId22" Type="http://schemas.openxmlformats.org/officeDocument/2006/relationships/hyperlink" Target="https://learn.microsoft.com/en-us/visualstudio/ide/mcp-servers?view=visualstudio" TargetMode="External"/><Relationship Id="rId23" Type="http://schemas.openxmlformats.org/officeDocument/2006/relationships/hyperlink" Target="https://www.dynatrace.com/company/trust-center/privacy/" TargetMode="External"/><Relationship Id="rId24" Type="http://schemas.openxmlformats.org/officeDocument/2006/relationships/hyperlink" Target="https://cdn.dm.dynatrace.com/assets/documents/legal/Data-Processing-Agreement-English-2025-01-07.pdf" TargetMode="External"/><Relationship Id="rId25" Type="http://schemas.openxmlformats.org/officeDocument/2006/relationships/hyperlink" Target="https://learn.microsoft.com/en-us/visualstudio/ide/visual-studio-github-copilot-admin?view=visualstudio" TargetMode="External"/><Relationship Id="rId26" Type="http://schemas.openxmlformats.org/officeDocument/2006/relationships/hyperlink" Target="https://docs.dynatrace.com/docs/whats-new/preview-releases" TargetMode="External"/><Relationship Id="rId27" Type="http://schemas.openxmlformats.org/officeDocument/2006/relationships/hyperlink" Target="https://owasp.org/www-project-top-10-for-large-language-model-applications/assets/PDF/OWASP-Top-10-for-LLMs-v2025.pdf" TargetMode="External"/><Relationship Id="rId28" Type="http://schemas.openxmlformats.org/officeDocument/2006/relationships/hyperlink" Target="https://genai.owasp.org/2025/12/09/owasp-top-10-for-agentic-applications-the-benchmark-for-agentic-security-in-the-age-of-autonomous-ai/" TargetMode="External"/><Relationship Id="rId29" Type="http://schemas.openxmlformats.org/officeDocument/2006/relationships/hyperlink" Target="https://owasp.org/www-project-mcp-top-10/" TargetMode="External"/><Relationship Id="rId30" Type="http://schemas.openxmlformats.org/officeDocument/2006/relationships/hyperlink" Target="https://owasp.org/www-project-application-security-verification-standard/" TargetMode="External"/><Relationship Id="rId31" Type="http://schemas.openxmlformats.org/officeDocument/2006/relationships/hyperlink" Target="https://www.nist.gov/publications/artificial-intelligence-risk-management-framework-ai-rmf-10" TargetMode="External"/><Relationship Id="rId32" Type="http://schemas.openxmlformats.org/officeDocument/2006/relationships/hyperlink" Target="https://nvlpubs.nist.gov/nistpubs/ai/NIST.AI.600-1.pdf" TargetMode="External"/><Relationship Id="rId33" Type="http://schemas.openxmlformats.org/officeDocument/2006/relationships/hyperlink" Target="https://atlas.mitre.org/" TargetMode="External"/><Relationship Id="rId34" Type="http://schemas.openxmlformats.org/officeDocument/2006/relationships/hyperlink" Target="https://www.cisecurity.org/controls/v8-1" TargetMode="External"/><Relationship Id="rId35" Type="http://schemas.openxmlformats.org/officeDocument/2006/relationships/hyperlink" Target="https://www.iso.org/standard/27001" TargetMode="External"/><Relationship Id="rId36" Type="http://schemas.openxmlformats.org/officeDocument/2006/relationships/hyperlink" Target="https://www.ncsc.gov.uk/collection/guidelines-secure-ai-system-development/guidelines" TargetMode="External"/><Relationship Id="rId37" Type="http://schemas.openxmlformats.org/officeDocument/2006/relationships/hyperlink" Target="https://ico.org.uk/for-organisations/uk-gdpr-guidance-and-resources/artificial-intelligence/guidance-on-ai-and-data-protection/about-this-guidance/" TargetMode="External"/><Relationship Id="rId38" Type="http://schemas.openxmlformats.org/officeDocument/2006/relationships/hyperlink" Target="https://www.fca.org.uk/firms/operational-resilience" TargetMode="External"/><Relationship Id="rId39" Type="http://schemas.openxmlformats.org/officeDocument/2006/relationships/hyperlink" Target="https://www.bankofengland.co.uk/prudential-regulation/publication/2021/march/operational-resilience-impact-tolerances-for-important-business-services-ss" TargetMode="External"/><Relationship Id="rId40" Type="http://schemas.openxmlformats.org/officeDocument/2006/relationships/hyperlink" Target="https://www.bankofengland.co.uk/prudential-regulation/publication/2021/march/outsourcing-and-third-party-risk-management-ss" TargetMode="External"/><Relationship Id="rId41" Type="http://schemas.openxmlformats.org/officeDocument/2006/relationships/hyperlink" Target="https://www.legislation.gov.uk/eur/2016/679/contents" TargetMode="External"/><Relationship Id="rId42" Type="http://schemas.openxmlformats.org/officeDocument/2006/relationships/hyperlink" Target="https://www.legislation.gov.uk/ukpga/2018/12/contents" TargetMode="External"/><Relationship Id="rId43" Type="http://schemas.openxmlformats.org/officeDocument/2006/relationships/hyperlink" Target="https://handbook.fca.org.uk/handbook/sysc15a?timeline=true" TargetMode="External"/><Relationship Id="rId44" Type="http://schemas.openxmlformats.org/officeDocument/2006/relationships/hyperlink" Target="https://handbook.fca.org.uk/handbook/sysc8?timeline=true" TargetMode="External"/><Relationship Id="rId45" Type="http://schemas.openxmlformats.org/officeDocument/2006/relationships/hyperlink" Target="https://www.prarulebook.co.uk/pra-rules" TargetMode="External"/><Relationship Id="rId46" Type="http://schemas.openxmlformats.org/officeDocument/2006/relationships/header" Target="header2.xml"/><Relationship Id="rId47" Type="http://schemas.openxmlformats.org/officeDocument/2006/relationships/footer" Target="footer2.xml"/><Relationship Id="rId48" Type="http://schemas.openxmlformats.org/officeDocument/2006/relationships/hyperlink" Target="https://genai.owasp.org/resource/owasp-top-10-for-llm-applications-2025/" TargetMode="External"/><Relationship Id="rId49" Type="http://schemas.openxmlformats.org/officeDocument/2006/relationships/hyperlink" Target="https://www.nist.gov/itl/ai-risk-management-framework" TargetMode="External"/><Relationship Id="rId50" Type="http://schemas.openxmlformats.org/officeDocument/2006/relationships/hyperlink" Target="https://www.ncsc.gov.uk/collection/guidelines-secure-ai-system-development" TargetMode="External"/><Relationship Id="rId51" Type="http://schemas.openxmlformats.org/officeDocument/2006/relationships/hyperlink" Target="https://ico.org.uk/for-organisations/uk-gdpr-guidance-and-resources/artificial-intellig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Dynatrace Hosted MCP Security Assessment</dc:title>
  <dc:subject>VS Code and Visual Studio MCP security assessment</dc:subject>
  <dc:creator>SoloSentry Assessment Environment</dc:creator>
  <cp:keywords>MCP, VS Code, Visual Studio, security assessment, UK financial services</cp:keywords>
  <dc:description>generated by python-docx</dc:description>
  <cp:lastModifiedBy>SoloSentry Assessment Environment</cp:lastModifiedBy>
  <cp:revision>1</cp:revision>
  <dcterms:created xsi:type="dcterms:W3CDTF">2013-12-23T23:15:00Z</dcterms:created>
  <dcterms:modified xsi:type="dcterms:W3CDTF">2013-12-23T23:15:00Z</dcterms:modified>
  <cp:category/>
</cp:coreProperties>
</file>