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Dynatrace Local MCP Server</w:t>
      </w:r>
    </w:p>
    <w:p>
      <w:pPr>
        <w:pStyle w:val="Subtitle"/>
        <w:jc w:val="center"/>
      </w:pPr>
      <w:r>
        <w:t>@dynatrace-oss/dynatrace-mcp-server 2.1.1 | VS Code and Visual Studio | UK Insurance</w:t>
      </w:r>
    </w:p>
    <w:p>
      <w:pPr>
        <w:jc w:val="center"/>
      </w:pPr>
      <w:r>
        <w:rPr>
          <w:rFonts w:ascii="Calibri" w:hAnsi="Calibri"/>
          <w:b/>
          <w:color w:val="1F4E79"/>
          <w:sz w:val="24"/>
        </w:rPr>
        <w:t>Microsoft IDE AI Integration Security Assessment</w:t>
      </w:r>
    </w:p>
    <w:p/>
    <w:p>
      <w:pPr>
        <w:spacing w:after="60"/>
        <w:jc w:val="center"/>
      </w:pPr>
      <w:r>
        <w:rPr>
          <w:rFonts w:ascii="Calibri" w:hAnsi="Calibri"/>
          <w:b/>
          <w:color w:val="1F4E79"/>
          <w:sz w:val="18"/>
        </w:rPr>
        <w:t xml:space="preserve">Decision: </w:t>
      </w:r>
      <w:r>
        <w:rPr>
          <w:rFonts w:ascii="Calibri" w:hAnsi="Calibri"/>
          <w:sz w:val="18"/>
        </w:rPr>
        <w:t>Do not approve - production use</w:t>
      </w:r>
    </w:p>
    <w:p>
      <w:pPr>
        <w:spacing w:after="60"/>
        <w:jc w:val="center"/>
      </w:pPr>
      <w:r>
        <w:rPr>
          <w:rFonts w:ascii="Calibri" w:hAnsi="Calibri"/>
          <w:b/>
          <w:color w:val="1F4E79"/>
          <w:sz w:val="18"/>
        </w:rPr>
        <w:t xml:space="preserve">Overall residual risk: </w:t>
      </w:r>
      <w:r>
        <w:rPr>
          <w:rFonts w:ascii="Calibri" w:hAnsi="Calibri"/>
          <w:sz w:val="18"/>
        </w:rPr>
        <w:t>High residual</w:t>
      </w:r>
    </w:p>
    <w:p>
      <w:pPr>
        <w:spacing w:after="60"/>
        <w:jc w:val="center"/>
      </w:pPr>
      <w:r>
        <w:rPr>
          <w:rFonts w:ascii="Calibri" w:hAnsi="Calibri"/>
          <w:b/>
          <w:color w:val="1F4E79"/>
          <w:sz w:val="18"/>
        </w:rPr>
        <w:t xml:space="preserve">Assessment date: </w:t>
      </w:r>
      <w:r>
        <w:rPr>
          <w:rFonts w:ascii="Calibri" w:hAnsi="Calibri"/>
          <w:sz w:val="18"/>
        </w:rPr>
        <w:t>25 July 2026</w:t>
      </w:r>
    </w:p>
    <w:p>
      <w:pPr>
        <w:spacing w:after="60"/>
        <w:jc w:val="center"/>
      </w:pPr>
      <w:r>
        <w:rPr>
          <w:rFonts w:ascii="Calibri" w:hAnsi="Calibri"/>
          <w:b/>
          <w:color w:val="1F4E79"/>
          <w:sz w:val="18"/>
        </w:rPr>
        <w:t xml:space="preserve">Document version: </w:t>
      </w:r>
      <w:r>
        <w:rPr>
          <w:rFonts w:ascii="Calibri" w:hAnsi="Calibri"/>
          <w:sz w:val="18"/>
        </w:rPr>
        <w:t>1.1</w:t>
      </w:r>
    </w:p>
    <w:p/>
    <w:p>
      <w:pPr>
        <w:jc w:val="center"/>
      </w:pPr>
      <w:r>
        <w:rPr>
          <w:rFonts w:ascii="Calibri" w:hAnsi="Calibri"/>
          <w:b/>
          <w:color w:val="9C0006"/>
          <w:sz w:val="18"/>
        </w:rPr>
        <w:t>PUBLIC</w:t>
      </w:r>
    </w:p>
    <w:p>
      <w:r>
        <w:br w:type="page"/>
      </w:r>
    </w:p>
    <w:p>
      <w:bookmarkStart w:id="1" w:name="DOCUMENT_CONTROL"/>
      <w:pPr>
        <w:pStyle w:val="Heading1"/>
      </w:pPr>
      <w:r>
        <w:t>Document control</w:t>
      </w:r>
      <w:bookmarkEnd w:id="1"/>
      <w:r>
        <w:t xml:space="preserve">  </w:t>
      </w:r>
      <w:hyperlink w:anchor="CONTENTS">
        <w:r>
          <w:rPr>
            <w:rStyle w:val="Hyperlink"/>
            <w:sz w:val="14"/>
          </w:rPr>
          <w:t>Back to contents</w:t>
        </w:r>
      </w:hyperlink>
    </w:p>
    <w:p>
      <w:pPr>
        <w:pStyle w:val="Caption"/>
      </w:pPr>
      <w:r>
        <w:t>Table 1. Document control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D9EAF7"/>
            <w:tcMar>
              <w:top w:w="80" w:type="dxa"/>
              <w:start w:w="120" w:type="dxa"/>
              <w:bottom w:w="80" w:type="dxa"/>
              <w:end w:w="120" w:type="dxa"/>
            </w:tcMar>
            <w:vAlign w:val="center"/>
          </w:tcPr>
          <w:p>
            <w:pPr>
              <w:keepNext/>
            </w:pPr>
            <w:r>
              <w:rPr>
                <w:rFonts w:ascii="Calibri" w:hAnsi="Calibri"/>
                <w:b/>
                <w:color w:val="1F4E79"/>
                <w:sz w:val="17"/>
              </w:rPr>
              <w:t>Field</w:t>
            </w:r>
          </w:p>
        </w:tc>
        <w:tc>
          <w:tcPr>
            <w:tcW w:type="dxa" w:w="6960"/>
            <w:shd w:fill="D9EAF7"/>
            <w:tcMar>
              <w:top w:w="80" w:type="dxa"/>
              <w:start w:w="120" w:type="dxa"/>
              <w:bottom w:w="80" w:type="dxa"/>
              <w:end w:w="120" w:type="dxa"/>
            </w:tcMar>
            <w:vAlign w:val="center"/>
          </w:tcPr>
          <w:p>
            <w:pPr>
              <w:keepNext/>
            </w:pPr>
            <w:r>
              <w:rPr>
                <w:rFonts w:ascii="Calibri" w:hAnsi="Calibri"/>
                <w:b/>
                <w:color w:val="1F4E79"/>
                <w:sz w:val="17"/>
              </w:rPr>
              <w:t>Value</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Classification</w:t>
            </w:r>
          </w:p>
        </w:tc>
        <w:tc>
          <w:tcPr>
            <w:tcW w:type="dxa" w:w="6960"/>
            <w:tcMar>
              <w:top w:w="80" w:type="dxa"/>
              <w:start w:w="120" w:type="dxa"/>
              <w:bottom w:w="80" w:type="dxa"/>
              <w:end w:w="120" w:type="dxa"/>
            </w:tcMar>
            <w:vAlign w:val="center"/>
          </w:tcPr>
          <w:p>
            <w:pPr>
              <w:spacing w:after="20" w:line="240" w:lineRule="auto"/>
            </w:pPr>
            <w:r>
              <w:rPr>
                <w:rFonts w:ascii="Calibri" w:hAnsi="Calibri"/>
                <w:sz w:val="17"/>
              </w:rPr>
              <w:t>PUBLIC</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Authoritative version</w:t>
            </w:r>
          </w:p>
        </w:tc>
        <w:tc>
          <w:tcPr>
            <w:tcW w:type="dxa" w:w="6960"/>
            <w:tcMar>
              <w:top w:w="80" w:type="dxa"/>
              <w:start w:w="120" w:type="dxa"/>
              <w:bottom w:w="80" w:type="dxa"/>
              <w:end w:w="120" w:type="dxa"/>
            </w:tcMar>
            <w:vAlign w:val="center"/>
          </w:tcPr>
          <w:p>
            <w:r>
              <w:t>1.1</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Assessment date</w:t>
            </w:r>
          </w:p>
        </w:tc>
        <w:tc>
          <w:tcPr>
            <w:tcW w:type="dxa" w:w="6960"/>
            <w:tcMar>
              <w:top w:w="80" w:type="dxa"/>
              <w:start w:w="120" w:type="dxa"/>
              <w:bottom w:w="80" w:type="dxa"/>
              <w:end w:w="120" w:type="dxa"/>
            </w:tcMar>
            <w:vAlign w:val="center"/>
          </w:tcPr>
          <w:p>
            <w:pPr>
              <w:spacing w:after="20" w:line="240" w:lineRule="auto"/>
            </w:pPr>
            <w:r>
              <w:rPr>
                <w:rFonts w:ascii="Calibri" w:hAnsi="Calibri"/>
                <w:sz w:val="17"/>
              </w:rPr>
              <w:t>25 July 2026</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Audience</w:t>
            </w:r>
          </w:p>
        </w:tc>
        <w:tc>
          <w:tcPr>
            <w:tcW w:type="dxa" w:w="6960"/>
            <w:tcMar>
              <w:top w:w="80" w:type="dxa"/>
              <w:start w:w="120" w:type="dxa"/>
              <w:bottom w:w="80" w:type="dxa"/>
              <w:end w:w="120" w:type="dxa"/>
            </w:tcMar>
            <w:vAlign w:val="center"/>
          </w:tcPr>
          <w:p>
            <w:pPr>
              <w:spacing w:after="20" w:line="240" w:lineRule="auto"/>
            </w:pPr>
            <w:r>
              <w:rPr>
                <w:rFonts w:ascii="Calibri" w:hAnsi="Calibri"/>
                <w:sz w:val="17"/>
              </w:rPr>
              <w:t>UK insurance security, privacy, technology risk, procurement and accountable owner</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Scope</w:t>
            </w:r>
          </w:p>
        </w:tc>
        <w:tc>
          <w:tcPr>
            <w:tcW w:type="dxa" w:w="6960"/>
            <w:tcMar>
              <w:top w:w="80" w:type="dxa"/>
              <w:start w:w="120" w:type="dxa"/>
              <w:bottom w:w="80" w:type="dxa"/>
              <w:end w:w="120" w:type="dxa"/>
            </w:tcMar>
            <w:vAlign w:val="center"/>
          </w:tcPr>
          <w:p>
            <w:pPr>
              <w:spacing w:after="20" w:line="240" w:lineRule="auto"/>
            </w:pPr>
            <w:r>
              <w:rPr>
                <w:rFonts w:ascii="Calibri" w:hAnsi="Calibri"/>
                <w:sz w:val="17"/>
              </w:rPr>
              <w:t>Open-source local @dynatrace-oss/dynatrace-mcp-server 2.1.1; VS Code and Visual Studio; UK insurance; static-only</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Runtime analysis</w:t>
            </w:r>
          </w:p>
        </w:tc>
        <w:tc>
          <w:tcPr>
            <w:tcW w:type="dxa" w:w="6960"/>
            <w:tcMar>
              <w:top w:w="80" w:type="dxa"/>
              <w:start w:w="120" w:type="dxa"/>
              <w:bottom w:w="80" w:type="dxa"/>
              <w:end w:w="120" w:type="dxa"/>
            </w:tcMar>
            <w:vAlign w:val="center"/>
          </w:tcPr>
          <w:p>
            <w:r>
              <w:t>Selected; blocked or historical only as stated in the current limitations</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Malware-focused review</w:t>
            </w:r>
          </w:p>
        </w:tc>
        <w:tc>
          <w:tcPr>
            <w:tcW w:type="dxa" w:w="6960"/>
            <w:tcMar>
              <w:top w:w="80" w:type="dxa"/>
              <w:start w:w="120" w:type="dxa"/>
              <w:bottom w:w="80" w:type="dxa"/>
              <w:end w:w="120" w:type="dxa"/>
            </w:tcMar>
            <w:vAlign w:val="center"/>
          </w:tcPr>
          <w:p>
            <w:r>
              <w:t>Yes; current evidence retained with explicit scope limits</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Privacy assessment</w:t>
            </w:r>
          </w:p>
        </w:tc>
        <w:tc>
          <w:tcPr>
            <w:tcW w:type="dxa" w:w="6960"/>
            <w:tcMar>
              <w:top w:w="80" w:type="dxa"/>
              <w:start w:w="120" w:type="dxa"/>
              <w:bottom w:w="80" w:type="dxa"/>
              <w:end w:w="120" w:type="dxa"/>
            </w:tcMar>
            <w:vAlign w:val="center"/>
          </w:tcPr>
          <w:p>
            <w:pPr>
              <w:spacing w:after="20" w:line="240" w:lineRule="auto"/>
            </w:pPr>
            <w:r>
              <w:rPr>
                <w:rFonts w:ascii="Calibri" w:hAnsi="Calibri"/>
                <w:sz w:val="17"/>
              </w:rPr>
              <w:t>Yes</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Review trigger</w:t>
            </w:r>
          </w:p>
        </w:tc>
        <w:tc>
          <w:tcPr>
            <w:tcW w:type="dxa" w:w="6960"/>
            <w:tcMar>
              <w:top w:w="80" w:type="dxa"/>
              <w:start w:w="120" w:type="dxa"/>
              <w:bottom w:w="80" w:type="dxa"/>
              <w:end w:w="120" w:type="dxa"/>
            </w:tcMar>
            <w:vAlign w:val="center"/>
          </w:tcPr>
          <w:p>
            <w:pPr>
              <w:spacing w:after="20" w:line="240" w:lineRule="auto"/>
            </w:pPr>
            <w:r>
              <w:rPr>
                <w:rFonts w:ascii="Calibri" w:hAnsi="Calibri"/>
                <w:sz w:val="17"/>
              </w:rPr>
              <w:t>12 months; material tool/schema/authentication change; security advisory; production-data proposal</w:t>
            </w:r>
          </w:p>
        </w:tc>
      </w:tr>
    </w:tbl>
    <w:p>
      <w:pPr>
        <w:spacing w:after="40"/>
      </w:pPr>
    </w:p>
    <w:p>
      <w:bookmarkStart w:id="2" w:name="REVISION_HISTORY"/>
      <w:pPr>
        <w:pStyle w:val="Heading2"/>
      </w:pPr>
      <w:r>
        <w:t>Revision history</w:t>
      </w:r>
      <w:bookmarkEnd w:id="2"/>
      <w:r>
        <w:t xml:space="preserve">  </w:t>
      </w:r>
      <w:hyperlink w:anchor="CONTENTS">
        <w:r>
          <w:rPr>
            <w:rStyle w:val="Hyperlink"/>
            <w:sz w:val="14"/>
          </w:rPr>
          <w:t>Back to contents</w:t>
        </w:r>
      </w:hyperlink>
    </w:p>
    <w:p>
      <w:pPr>
        <w:pStyle w:val="Caption"/>
      </w:pPr>
      <w:r>
        <w:t>Table 2. Revision history</w:t>
      </w:r>
    </w:p>
    <w:tbl>
      <w:tblPr>
        <w:tblStyle w:val="TableGrid"/>
        <w:tblW w:type="dxa" w:w="9360"/>
        <w:jc w:val="left"/>
        <w:tblLayout w:type="fixed"/>
        <w:tblLook w:firstColumn="1" w:firstRow="1" w:lastColumn="0" w:lastRow="0" w:noHBand="0" w:noVBand="1" w:val="04A0"/>
        <w:tblInd w:w="120" w:type="dxa"/>
      </w:tblPr>
      <w:tblGrid>
        <w:gridCol w:w="1000"/>
        <w:gridCol w:w="1500"/>
        <w:gridCol w:w="4960"/>
        <w:gridCol w:w="1900"/>
      </w:tblGrid>
      <w:tr>
        <w:trPr>
          <w:tblHeader w:val="true"/>
          <w:cantSplit/>
        </w:trPr>
        <w:tc>
          <w:tcPr>
            <w:tcW w:type="dxa" w:w="1000"/>
            <w:shd w:fill="D9EAF7"/>
            <w:tcMar>
              <w:top w:w="80" w:type="dxa"/>
              <w:start w:w="120" w:type="dxa"/>
              <w:bottom w:w="80" w:type="dxa"/>
              <w:end w:w="120" w:type="dxa"/>
            </w:tcMar>
            <w:vAlign w:val="center"/>
          </w:tcPr>
          <w:p>
            <w:pPr>
              <w:keepNext/>
            </w:pPr>
            <w:r>
              <w:rPr>
                <w:rFonts w:ascii="Calibri" w:hAnsi="Calibri"/>
                <w:b/>
                <w:color w:val="1F4E79"/>
                <w:sz w:val="16"/>
              </w:rPr>
              <w:t>Version</w:t>
            </w:r>
          </w:p>
        </w:tc>
        <w:tc>
          <w:tcPr>
            <w:tcW w:type="dxa" w:w="1500"/>
            <w:shd w:fill="D9EAF7"/>
            <w:tcMar>
              <w:top w:w="80" w:type="dxa"/>
              <w:start w:w="120" w:type="dxa"/>
              <w:bottom w:w="80" w:type="dxa"/>
              <w:end w:w="120" w:type="dxa"/>
            </w:tcMar>
            <w:vAlign w:val="center"/>
          </w:tcPr>
          <w:p>
            <w:pPr>
              <w:keepNext/>
            </w:pPr>
            <w:r>
              <w:rPr>
                <w:rFonts w:ascii="Calibri" w:hAnsi="Calibri"/>
                <w:b/>
                <w:color w:val="1F4E79"/>
                <w:sz w:val="16"/>
              </w:rPr>
              <w:t>Date</w:t>
            </w:r>
          </w:p>
        </w:tc>
        <w:tc>
          <w:tcPr>
            <w:tcW w:type="dxa" w:w="4960"/>
            <w:shd w:fill="D9EAF7"/>
            <w:tcMar>
              <w:top w:w="80" w:type="dxa"/>
              <w:start w:w="120" w:type="dxa"/>
              <w:bottom w:w="80" w:type="dxa"/>
              <w:end w:w="120" w:type="dxa"/>
            </w:tcMar>
            <w:vAlign w:val="center"/>
          </w:tcPr>
          <w:p>
            <w:pPr>
              <w:keepNext/>
            </w:pPr>
            <w:r>
              <w:rPr>
                <w:rFonts w:ascii="Calibri" w:hAnsi="Calibri"/>
                <w:b/>
                <w:color w:val="1F4E79"/>
                <w:sz w:val="16"/>
              </w:rPr>
              <w:t>Change</w:t>
            </w:r>
          </w:p>
        </w:tc>
        <w:tc>
          <w:tcPr>
            <w:tcW w:type="dxa" w:w="1900"/>
            <w:shd w:fill="D9EAF7"/>
            <w:tcMar>
              <w:top w:w="80" w:type="dxa"/>
              <w:start w:w="120" w:type="dxa"/>
              <w:bottom w:w="80" w:type="dxa"/>
              <w:end w:w="120" w:type="dxa"/>
            </w:tcMar>
            <w:vAlign w:val="center"/>
          </w:tcPr>
          <w:p>
            <w:pPr>
              <w:keepNext/>
            </w:pPr>
            <w:r>
              <w:rPr>
                <w:rFonts w:ascii="Calibri" w:hAnsi="Calibri"/>
                <w:b/>
                <w:color w:val="1F4E79"/>
                <w:sz w:val="16"/>
              </w:rPr>
              <w:t>Owner</w:t>
            </w:r>
          </w:p>
        </w:tc>
      </w:tr>
      <w:tr>
        <w:trPr>
          <w:cantSplit/>
        </w:trPr>
        <w:tc>
          <w:tcPr>
            <w:tcW w:type="dxa" w:w="1000"/>
            <w:tcMar>
              <w:top w:w="80" w:type="dxa"/>
              <w:start w:w="120" w:type="dxa"/>
              <w:bottom w:w="80" w:type="dxa"/>
              <w:end w:w="120" w:type="dxa"/>
            </w:tcMar>
            <w:vAlign w:val="center"/>
          </w:tcPr>
          <w:p>
            <w:pPr>
              <w:spacing w:after="20" w:line="240" w:lineRule="auto"/>
            </w:pPr>
            <w:r>
              <w:rPr>
                <w:rFonts w:ascii="Calibri" w:hAnsi="Calibri"/>
                <w:sz w:val="16"/>
              </w:rPr>
              <w:t>1.0</w:t>
            </w:r>
          </w:p>
        </w:tc>
        <w:tc>
          <w:tcPr>
            <w:tcW w:type="dxa" w:w="1500"/>
            <w:tcMar>
              <w:top w:w="80" w:type="dxa"/>
              <w:start w:w="120" w:type="dxa"/>
              <w:bottom w:w="80" w:type="dxa"/>
              <w:end w:w="120" w:type="dxa"/>
            </w:tcMar>
            <w:vAlign w:val="center"/>
          </w:tcPr>
          <w:p>
            <w:pPr>
              <w:spacing w:after="20" w:line="240" w:lineRule="auto"/>
            </w:pPr>
            <w:r>
              <w:rPr>
                <w:rFonts w:ascii="Calibri" w:hAnsi="Calibri"/>
                <w:sz w:val="16"/>
              </w:rPr>
              <w:t>25 July 2026</w:t>
            </w:r>
          </w:p>
        </w:tc>
        <w:tc>
          <w:tcPr>
            <w:tcW w:type="dxa" w:w="4960"/>
            <w:tcMar>
              <w:top w:w="80" w:type="dxa"/>
              <w:start w:w="120" w:type="dxa"/>
              <w:bottom w:w="80" w:type="dxa"/>
              <w:end w:w="120" w:type="dxa"/>
            </w:tcMar>
            <w:vAlign w:val="center"/>
          </w:tcPr>
          <w:p>
            <w:pPr>
              <w:spacing w:after="20" w:line="240" w:lineRule="auto"/>
            </w:pPr>
            <w:r>
              <w:rPr>
                <w:rFonts w:ascii="Calibri" w:hAnsi="Calibri"/>
                <w:sz w:val="16"/>
              </w:rPr>
              <w:t>Initial static assessment</w:t>
            </w:r>
          </w:p>
        </w:tc>
        <w:tc>
          <w:tcPr>
            <w:tcW w:type="dxa" w:w="1900"/>
            <w:tcMar>
              <w:top w:w="80" w:type="dxa"/>
              <w:start w:w="120" w:type="dxa"/>
              <w:bottom w:w="80" w:type="dxa"/>
              <w:end w:w="120" w:type="dxa"/>
            </w:tcMar>
            <w:vAlign w:val="center"/>
          </w:tcPr>
          <w:p>
            <w:pPr>
              <w:spacing w:after="20" w:line="240" w:lineRule="auto"/>
            </w:pPr>
            <w:r>
              <w:rPr>
                <w:rFonts w:ascii="Calibri" w:hAnsi="Calibri"/>
                <w:sz w:val="16"/>
              </w:rPr>
              <w:t>Technology Risk</w:t>
            </w:r>
          </w:p>
        </w:tc>
      </w:tr>
    </w:tbl>
    <w:p>
      <w:pPr>
        <w:spacing w:after="40"/>
      </w:pPr>
    </w:p>
    <w:p>
      <w:bookmarkStart w:id="3" w:name="CONTENTS"/>
      <w:pPr>
        <w:pStyle w:val="Heading1"/>
        <w:pageBreakBefore w:val="0"/>
      </w:pPr>
      <w:r>
        <w:t>Contents</w:t>
      </w:r>
      <w:bookmarkEnd w:id="3"/>
    </w:p>
    <w:p>
      <w:pPr>
        <w:spacing w:after="60"/>
      </w:pPr>
      <w:hyperlink w:anchor="EXECUTIVE_SUMMARY">
        <w:r>
          <w:rPr>
            <w:rStyle w:val="Hyperlink"/>
            <w:sz w:val="20"/>
          </w:rPr>
          <w:t>Executive Summary</w:t>
        </w:r>
      </w:hyperlink>
    </w:p>
    <w:p>
      <w:pPr>
        <w:spacing w:after="60"/>
      </w:pPr>
      <w:hyperlink w:anchor="PURPOSE">
        <w:r>
          <w:rPr>
            <w:rStyle w:val="Hyperlink"/>
            <w:sz w:val="20"/>
          </w:rPr>
          <w:t>Purpose &amp; Function Overview</w:t>
        </w:r>
      </w:hyperlink>
    </w:p>
    <w:p>
      <w:pPr>
        <w:spacing w:after="60"/>
      </w:pPr>
      <w:hyperlink w:anchor="SCOPE">
        <w:r>
          <w:rPr>
            <w:rStyle w:val="Hyperlink"/>
            <w:sz w:val="20"/>
          </w:rPr>
          <w:t>Scope, Assumptions, Methodology and Criteria</w:t>
        </w:r>
      </w:hyperlink>
    </w:p>
    <w:p>
      <w:pPr>
        <w:spacing w:after="60"/>
      </w:pPr>
      <w:hyperlink w:anchor="IDENTITY">
        <w:r>
          <w:rPr>
            <w:rStyle w:val="Hyperlink"/>
            <w:sz w:val="20"/>
          </w:rPr>
          <w:t>Product Identity and Version</w:t>
        </w:r>
      </w:hyperlink>
    </w:p>
    <w:p>
      <w:pPr>
        <w:spacing w:after="60"/>
      </w:pPr>
      <w:hyperlink w:anchor="VSCODE">
        <w:r>
          <w:rPr>
            <w:rStyle w:val="Hyperlink"/>
            <w:sz w:val="20"/>
          </w:rPr>
          <w:t>Part I - VS Code Assessment</w:t>
        </w:r>
      </w:hyperlink>
    </w:p>
    <w:p>
      <w:pPr>
        <w:spacing w:after="60"/>
      </w:pPr>
      <w:hyperlink w:anchor="VISUAL_STUDIO">
        <w:r>
          <w:rPr>
            <w:rStyle w:val="Hyperlink"/>
            <w:sz w:val="20"/>
          </w:rPr>
          <w:t>Part II - Visual Studio Assessment</w:t>
        </w:r>
      </w:hyperlink>
    </w:p>
    <w:p>
      <w:pPr>
        <w:spacing w:after="60"/>
      </w:pPr>
      <w:hyperlink w:anchor="SKILLS">
        <w:r>
          <w:rPr>
            <w:rStyle w:val="Hyperlink"/>
            <w:sz w:val="20"/>
          </w:rPr>
          <w:t>Installed Agent Skills</w:t>
        </w:r>
      </w:hyperlink>
    </w:p>
    <w:p>
      <w:pPr>
        <w:spacing w:after="60"/>
      </w:pPr>
      <w:hyperlink w:anchor="CROSS_IDE">
        <w:r>
          <w:rPr>
            <w:rStyle w:val="Hyperlink"/>
            <w:sz w:val="20"/>
          </w:rPr>
          <w:t>Cross-IDE and Composition Risk</w:t>
        </w:r>
      </w:hyperlink>
    </w:p>
    <w:p>
      <w:pPr>
        <w:spacing w:after="60"/>
      </w:pPr>
      <w:hyperlink w:anchor="PRIVACY">
        <w:r>
          <w:rPr>
            <w:rStyle w:val="Hyperlink"/>
            <w:sz w:val="20"/>
          </w:rPr>
          <w:t>Privacy and UK Insurance Assessment</w:t>
        </w:r>
      </w:hyperlink>
    </w:p>
    <w:p>
      <w:pPr>
        <w:spacing w:after="60"/>
      </w:pPr>
      <w:hyperlink w:anchor="ROADMAP">
        <w:r>
          <w:rPr>
            <w:rStyle w:val="Hyperlink"/>
            <w:sz w:val="20"/>
          </w:rPr>
          <w:t>Enterprise Controls Roadmap</w:t>
        </w:r>
      </w:hyperlink>
    </w:p>
    <w:p>
      <w:pPr>
        <w:spacing w:after="60"/>
      </w:pPr>
      <w:hyperlink w:anchor="RISK_REGISTER">
        <w:r>
          <w:rPr>
            <w:rStyle w:val="Hyperlink"/>
            <w:sz w:val="20"/>
          </w:rPr>
          <w:t>Consolidated Risk Register</w:t>
        </w:r>
      </w:hyperlink>
    </w:p>
    <w:p>
      <w:pPr>
        <w:spacing w:after="60"/>
      </w:pPr>
      <w:hyperlink w:anchor="APPROVAL">
        <w:r>
          <w:rPr>
            <w:rStyle w:val="Hyperlink"/>
            <w:sz w:val="20"/>
          </w:rPr>
          <w:t>Residual Risk and Approval</w:t>
        </w:r>
      </w:hyperlink>
    </w:p>
    <w:p>
      <w:pPr>
        <w:spacing w:after="60"/>
      </w:pPr>
      <w:hyperlink w:anchor="LIMITATIONS">
        <w:r>
          <w:rPr>
            <w:rStyle w:val="Hyperlink"/>
            <w:sz w:val="20"/>
          </w:rPr>
          <w:t>Limitations and Confidence</w:t>
        </w:r>
      </w:hyperlink>
    </w:p>
    <w:p>
      <w:pPr>
        <w:spacing w:after="60"/>
      </w:pPr>
      <w:hyperlink w:anchor="EVIDENCE">
        <w:r>
          <w:rPr>
            <w:rStyle w:val="Hyperlink"/>
            <w:sz w:val="20"/>
          </w:rPr>
          <w:t>Evidence Register</w:t>
        </w:r>
      </w:hyperlink>
    </w:p>
    <w:p>
      <w:pPr>
        <w:spacing w:after="60"/>
      </w:pPr>
      <w:hyperlink w:anchor="REFERENCES">
        <w:r>
          <w:rPr>
            <w:rStyle w:val="Hyperlink"/>
            <w:sz w:val="20"/>
          </w:rPr>
          <w:t>References</w:t>
        </w:r>
      </w:hyperlink>
    </w:p>
    <w:p>
      <w:pPr>
        <w:spacing w:after="60"/>
      </w:pPr>
      <w:hyperlink w:anchor="APPENDIX">
        <w:r>
          <w:rPr>
            <w:rStyle w:val="Hyperlink"/>
            <w:sz w:val="20"/>
          </w:rPr>
          <w:t>Appendix - Host Verification Plan</w:t>
        </w:r>
      </w:hyperlink>
    </w:p>
    <w:p>
      <w:r>
        <w:br w:type="page"/>
      </w:r>
    </w:p>
    <w:p>
      <w:bookmarkStart w:id="4" w:name="EXECUTIVE_SUMMARY"/>
      <w:pPr>
        <w:pStyle w:val="Heading1"/>
      </w:pPr>
      <w:r>
        <w:t>Executive Summary</w:t>
      </w:r>
      <w:bookmarkEnd w:id="4"/>
    </w:p>
    <w:p>
      <w:pPr>
        <w:spacing w:before="80" w:after="160"/>
        <w:ind w:left="173" w:right="173"/>
        <w:shd w:fill="F2F4F7"/>
        <w:pBdr>
          <w:left w:val="single" w:sz="20" w:space="8" w:color="9C0006"/>
        </w:pBdr>
      </w:pPr>
      <w:r>
        <w:rPr>
          <w:rFonts w:ascii="Calibri" w:hAnsi="Calibri"/>
          <w:b/>
          <w:color w:val="9C0006"/>
          <w:sz w:val="21"/>
        </w:rPr>
        <w:t xml:space="preserve">Decision: </w:t>
      </w:r>
      <w:r>
        <w:rPr>
          <w:rFonts w:ascii="Calibri" w:hAnsi="Calibri"/>
          <w:sz w:val="21"/>
        </w:rPr>
        <w:t>Do not approve - production use. Overall residual risk: High residual.</w:t>
      </w:r>
    </w:p>
    <w:p>
      <w:pPr>
        <w:spacing w:after="160" w:line="280" w:lineRule="auto"/>
        <w:numPr>
          <w:ilvl w:val="0"/>
          <w:numId w:val="10"/>
        </w:numPr>
      </w:pPr>
      <w:r>
        <w:rPr>
          <w:rFonts w:ascii="Calibri" w:hAnsi="Calibri"/>
          <w:b/>
          <w:sz w:val="21"/>
        </w:rPr>
        <w:t xml:space="preserve">Do not approve. </w:t>
      </w:r>
      <w:r>
        <w:rPr>
          <w:rFonts w:ascii="Calibri" w:hAnsi="Calibri"/>
          <w:sz w:val="21"/>
        </w:rPr>
        <w:t>Do not approve version 2.1.1 for production UK-insurance use; prefer the supported hosted service after its pilot conditions are satisfied.</w:t>
      </w:r>
      <w:r>
        <w:t xml:space="preserve"> </w:t>
      </w:r>
      <w:hyperlink w:anchor="REF_001">
        <w:r>
          <w:rPr>
            <w:rStyle w:val="Hyperlink"/>
            <w:sz w:val="16"/>
          </w:rPr>
          <w:t>[REF-001]</w:t>
        </w:r>
      </w:hyperlink>
      <w:r>
        <w:t xml:space="preserve"> </w:t>
      </w:r>
      <w:hyperlink w:anchor="REF_002">
        <w:r>
          <w:rPr>
            <w:rStyle w:val="Hyperlink"/>
            <w:sz w:val="16"/>
          </w:rPr>
          <w:t>[REF-002]</w:t>
        </w:r>
      </w:hyperlink>
    </w:p>
    <w:p>
      <w:pPr>
        <w:spacing w:after="160" w:line="280" w:lineRule="auto"/>
        <w:numPr>
          <w:ilvl w:val="0"/>
          <w:numId w:val="10"/>
        </w:numPr>
      </w:pPr>
      <w:r>
        <w:rPr>
          <w:rFonts w:ascii="Calibri" w:hAnsi="Calibri"/>
          <w:b/>
          <w:sz w:val="21"/>
        </w:rPr>
        <w:t xml:space="preserve">Endpoint code execution. </w:t>
      </w:r>
      <w:r>
        <w:rPr>
          <w:rFonts w:ascii="Calibri" w:hAnsi="Calibri"/>
          <w:sz w:val="21"/>
        </w:rPr>
        <w:t>The npx configuration executes a third-party Node.js package with user privileges; published examples use mutable @latest resolution.</w:t>
      </w:r>
      <w:r>
        <w:t xml:space="preserve"> </w:t>
      </w:r>
      <w:hyperlink w:anchor="REF_002">
        <w:r>
          <w:rPr>
            <w:rStyle w:val="Hyperlink"/>
            <w:sz w:val="16"/>
          </w:rPr>
          <w:t>[REF-002]</w:t>
        </w:r>
      </w:hyperlink>
      <w:r>
        <w:t xml:space="preserve"> </w:t>
      </w:r>
      <w:hyperlink w:anchor="REF_006">
        <w:r>
          <w:rPr>
            <w:rStyle w:val="Hyperlink"/>
            <w:sz w:val="16"/>
          </w:rPr>
          <w:t>[REF-006]</w:t>
        </w:r>
      </w:hyperlink>
    </w:p>
    <w:p>
      <w:pPr>
        <w:spacing w:after="160" w:line="280" w:lineRule="auto"/>
        <w:numPr>
          <w:ilvl w:val="0"/>
          <w:numId w:val="10"/>
        </w:numPr>
      </w:pPr>
      <w:r>
        <w:rPr>
          <w:rFonts w:ascii="Calibri" w:hAnsi="Calibri"/>
          <w:b/>
          <w:sz w:val="21"/>
        </w:rPr>
        <w:t xml:space="preserve">Sensitive write capability. </w:t>
      </w:r>
      <w:r>
        <w:rPr>
          <w:rFonts w:ascii="Calibri" w:hAnsi="Calibri"/>
          <w:sz w:val="21"/>
        </w:rPr>
        <w:t>The server exposes 18 tools, including email, Slack, events and notebook creation; approval prompts default to true and one write tool lacks explicit write/destructive annotations.</w:t>
      </w:r>
      <w:r>
        <w:t xml:space="preserve"> </w:t>
      </w:r>
      <w:hyperlink w:anchor="REF_009">
        <w:r>
          <w:rPr>
            <w:rStyle w:val="Hyperlink"/>
            <w:sz w:val="16"/>
          </w:rPr>
          <w:t>[REF-009]</w:t>
        </w:r>
      </w:hyperlink>
    </w:p>
    <w:p>
      <w:pPr>
        <w:spacing w:after="160" w:line="280" w:lineRule="auto"/>
        <w:numPr>
          <w:ilvl w:val="0"/>
          <w:numId w:val="10"/>
        </w:numPr>
      </w:pPr>
      <w:r>
        <w:rPr>
          <w:rFonts w:ascii="Calibri" w:hAnsi="Calibri"/>
          <w:b/>
          <w:sz w:val="21"/>
        </w:rPr>
        <w:t xml:space="preserve">Telemetry is enabled by default. </w:t>
      </w:r>
      <w:r>
        <w:rPr>
          <w:rFonts w:ascii="Calibri" w:hAnsi="Calibri"/>
          <w:sz w:val="21"/>
        </w:rPr>
        <w:t>Static source shows telemetry sends environment ID, client/tool usage, OS details and error message/context/stack to a separate Dynatrace endpoint; this is broader than a simple anonymous counter.</w:t>
      </w:r>
      <w:r>
        <w:t xml:space="preserve"> </w:t>
      </w:r>
      <w:hyperlink w:anchor="REF_010">
        <w:r>
          <w:rPr>
            <w:rStyle w:val="Hyperlink"/>
            <w:sz w:val="16"/>
          </w:rPr>
          <w:t>[REF-010]</w:t>
        </w:r>
      </w:hyperlink>
    </w:p>
    <w:p>
      <w:pPr>
        <w:spacing w:after="160" w:line="280" w:lineRule="auto"/>
        <w:numPr>
          <w:ilvl w:val="0"/>
          <w:numId w:val="10"/>
        </w:numPr>
      </w:pPr>
      <w:r>
        <w:rPr>
          <w:rFonts w:ascii="Calibri" w:hAnsi="Calibri"/>
          <w:b/>
          <w:sz w:val="21"/>
        </w:rPr>
        <w:t xml:space="preserve">Recent injection defect. </w:t>
      </w:r>
      <w:r>
        <w:rPr>
          <w:rFonts w:ascii="Calibri" w:hAnsi="Calibri"/>
          <w:sz w:val="21"/>
        </w:rPr>
        <w:t>Version 2.1.1 fixes DQL injection in five tools one day before assessment, evidencing active remediation but also material regression and validation risk in a maintenance-mode, unsupported product.</w:t>
      </w:r>
      <w:r>
        <w:t xml:space="preserve"> </w:t>
      </w:r>
      <w:hyperlink w:anchor="REF_003">
        <w:r>
          <w:rPr>
            <w:rStyle w:val="Hyperlink"/>
            <w:sz w:val="16"/>
          </w:rPr>
          <w:t>[REF-003]</w:t>
        </w:r>
      </w:hyperlink>
      <w:r>
        <w:t xml:space="preserve"> </w:t>
      </w:r>
      <w:hyperlink w:anchor="REF_005">
        <w:r>
          <w:rPr>
            <w:rStyle w:val="Hyperlink"/>
            <w:sz w:val="16"/>
          </w:rPr>
          <w:t>[REF-005]</w:t>
        </w:r>
      </w:hyperlink>
    </w:p>
    <w:p>
      <w:pPr>
        <w:pStyle w:val="ListBullet"/>
      </w:pPr>
      <w:r>
        <w:t>Decision — Decision: DO NOT APPROVE @dynatrace-oss/dynatrace-mcp-server 2.</w:t>
      </w:r>
    </w:p>
    <w:p>
      <w:pPr>
        <w:pStyle w:val="ListBullet"/>
      </w:pPr>
      <w:r>
        <w:t>Identity — The exact publisher artifact or hosted-service documentation is retained with cryptographic provenance.</w:t>
      </w:r>
    </w:p>
    <w:p>
      <w:pPr>
        <w:pStyle w:val="ListBullet"/>
      </w:pPr>
      <w:r>
        <w:t>Authority — Intended MCP capabilities remain security relevant even where malware and static scanners report no malicious code.</w:t>
      </w:r>
    </w:p>
    <w:p>
      <w:pPr>
        <w:pStyle w:val="ListBullet"/>
      </w:pPr>
      <w:r>
        <w:t>Runtime evidence — Blocked: no disposable representative Windows 11/macOS VS Code or Windows 11 Visual Studio host was available.</w:t>
      </w:r>
    </w:p>
    <w:p>
      <w:pPr>
        <w:pStyle w:val="ListBullet"/>
      </w:pPr>
      <w:r>
        <w:t>Publication — This regenerated report is a candidate pending independent pull-request review and is not merged or approved by generation alone.</w:t>
      </w:r>
    </w:p>
    <w:p>
      <w:bookmarkStart w:id="5" w:name="PURPOSE"/>
      <w:pPr>
        <w:pStyle w:val="Heading1"/>
      </w:pPr>
      <w:r>
        <w:t>Purpose &amp; Function Overview</w:t>
      </w:r>
      <w:bookmarkEnd w:id="5"/>
      <w:r>
        <w:t xml:space="preserve">  </w:t>
      </w:r>
      <w:hyperlink w:anchor="CONTENTS">
        <w:r>
          <w:rPr>
            <w:rStyle w:val="Hyperlink"/>
            <w:sz w:val="14"/>
          </w:rPr>
          <w:t>Back to contents</w:t>
        </w:r>
      </w:hyperlink>
    </w:p>
    <w:p>
      <w:r>
        <w:rPr>
          <w:rFonts w:ascii="Calibri" w:hAnsi="Calibri"/>
          <w:sz w:val="21"/>
        </w:rPr>
        <w:t>The local server runs a Node.js MCP process and connects IDE agents to Dynatrace. It provides read and write capabilities across DQL, environment data, vulnerabilities, problems, Slack, email, events, Davis analyzers and notebook creation. The project is in maintenance mode and is not officially supported by Dynatrace.</w:t>
      </w:r>
      <w:r>
        <w:t xml:space="preserve"> </w:t>
      </w:r>
      <w:hyperlink w:anchor="REF_002">
        <w:r>
          <w:rPr>
            <w:rStyle w:val="Hyperlink"/>
            <w:sz w:val="16"/>
          </w:rPr>
          <w:t>[REF-002]</w:t>
        </w:r>
      </w:hyperlink>
      <w:r>
        <w:t xml:space="preserve"> </w:t>
      </w:r>
      <w:hyperlink w:anchor="REF_006">
        <w:r>
          <w:rPr>
            <w:rStyle w:val="Hyperlink"/>
            <w:sz w:val="16"/>
          </w:rPr>
          <w:t>[REF-006]</w:t>
        </w:r>
      </w:hyperlink>
    </w:p>
    <w:p>
      <w:bookmarkStart w:id="6" w:name="SCOPE"/>
      <w:pPr>
        <w:pStyle w:val="Heading1"/>
      </w:pPr>
      <w:r>
        <w:t>Scope, Assumptions, Methodology and Assessment Criteria</w:t>
      </w:r>
      <w:bookmarkEnd w:id="6"/>
      <w:r>
        <w:t xml:space="preserve">  </w:t>
      </w:r>
      <w:hyperlink w:anchor="CONTENTS">
        <w:r>
          <w:rPr>
            <w:rStyle w:val="Hyperlink"/>
            <w:sz w:val="14"/>
          </w:rPr>
          <w:t>Back to contents</w:t>
        </w:r>
      </w:hyperlink>
    </w:p>
    <w:p>
      <w:r>
        <w:rPr>
          <w:rFonts w:ascii="Calibri" w:hAnsi="Calibri"/>
          <w:sz w:val="21"/>
        </w:rPr>
        <w:t>Static assessment of npm archive 2.1.1, tag v2.1.1 source and current primary documentation. The package was downloaded and extracted without installation or execution. No lifecycle hook, server process, OAuth flow, IDE activation or tool call was run. npm audit examined the lockfile without dependency installation.</w:t>
      </w:r>
    </w:p>
    <w:p>
      <w:pPr>
        <w:spacing w:before="80" w:after="160"/>
        <w:ind w:left="173" w:right="173"/>
        <w:shd w:fill="F2F4F7"/>
        <w:pBdr>
          <w:left w:val="single" w:sz="20" w:space="8" w:color="9C6500"/>
        </w:pBdr>
      </w:pPr>
      <w:r>
        <w:rPr>
          <w:rFonts w:ascii="Calibri" w:hAnsi="Calibri"/>
          <w:b/>
          <w:color w:val="9C6500"/>
          <w:sz w:val="21"/>
        </w:rPr>
        <w:t xml:space="preserve">Readiness: </w:t>
      </w:r>
      <w:r>
        <w:rPr>
          <w:rFonts w:ascii="Calibri" w:hAnsi="Calibri"/>
          <w:sz w:val="21"/>
        </w:rPr>
        <w:t>Ready for static assessment and Word delivery. Runtime verification is blocked by the default No authorization and would require a disposable endpoint, synthetic tenant and explicit approval.</w:t>
      </w:r>
    </w:p>
    <w:p>
      <w:bookmarkStart w:id="7" w:name="IDENTITY"/>
      <w:pPr>
        <w:pStyle w:val="Heading1"/>
      </w:pPr>
      <w:r>
        <w:t>Product Identity and Version</w:t>
      </w:r>
      <w:bookmarkEnd w:id="7"/>
      <w:r>
        <w:t xml:space="preserve">  </w:t>
      </w:r>
      <w:hyperlink w:anchor="CONTENTS">
        <w:r>
          <w:rPr>
            <w:rStyle w:val="Hyperlink"/>
            <w:sz w:val="14"/>
          </w:rPr>
          <w:t>Back to contents</w:t>
        </w:r>
      </w:hyperlink>
    </w:p>
    <w:p>
      <w:pPr>
        <w:pStyle w:val="Caption"/>
      </w:pPr>
      <w:r>
        <w:t>Table 3. Local package identity and acquisition evidence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D9EAF7"/>
            <w:tcMar>
              <w:top w:w="80" w:type="dxa"/>
              <w:start w:w="120" w:type="dxa"/>
              <w:bottom w:w="80" w:type="dxa"/>
              <w:end w:w="120" w:type="dxa"/>
            </w:tcMar>
            <w:vAlign w:val="center"/>
          </w:tcPr>
          <w:p>
            <w:pPr>
              <w:keepNext/>
            </w:pPr>
            <w:r>
              <w:rPr>
                <w:rFonts w:ascii="Calibri" w:hAnsi="Calibri"/>
                <w:b/>
                <w:color w:val="1F4E79"/>
                <w:sz w:val="16"/>
              </w:rPr>
              <w:t>Field</w:t>
            </w:r>
          </w:p>
        </w:tc>
        <w:tc>
          <w:tcPr>
            <w:tcW w:type="dxa" w:w="6960"/>
            <w:shd w:fill="D9EAF7"/>
            <w:tcMar>
              <w:top w:w="80" w:type="dxa"/>
              <w:start w:w="120" w:type="dxa"/>
              <w:bottom w:w="80" w:type="dxa"/>
              <w:end w:w="120" w:type="dxa"/>
            </w:tcMar>
            <w:vAlign w:val="center"/>
          </w:tcPr>
          <w:p>
            <w:pPr>
              <w:keepNext/>
            </w:pPr>
            <w:r>
              <w:rPr>
                <w:rFonts w:ascii="Calibri" w:hAnsi="Calibri"/>
                <w:b/>
                <w:color w:val="1F4E79"/>
                <w:sz w:val="16"/>
              </w:rPr>
              <w:t>Assessment</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Package</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@dynatrace-oss/dynatrace-mcp-server 2.1.1</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Publisher/source</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dynatrace-oss / GitHub repository dynatrace-oss/dynatrace-mcp</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Release</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v2.1.1; 14 July 2026; commit 9a5f6f86d186f1168645e24673c73bc56a94dda8</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npm archive</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7 files; 7,843,373 bytes unpacked; SHA-256 bb9e2cef17f2a4cce59e6db6154570831587c6b849e4dca35b1bd03ba09f60e4</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npm integrity</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sha512-6V0Ux/HD18ZFmEoMCWRdgt+oSL34V8VXjwjVY4CTb9BlvfsLgMzEYWv805TGnAA82Ud+gscGCcl1/cR8p+vkOQ==</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Provenance</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npm publish and SLSA provenance attestations tie package to tag v2.1.1 / commit 9a5f6f86...</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Runtime</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Node.js &gt;=24.0.0; stdio default; optional HTTP mode</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Licence/support</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MIT; maintenance mode; not officially supported by Dynatrace</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Dependency audit</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npm audit --package-lock-only --omit=dev: 0 known vulnerabilities; 785 production dependencies; evidence not proof of safety</w:t>
            </w:r>
          </w:p>
        </w:tc>
      </w:tr>
    </w:tbl>
    <w:p>
      <w:pPr>
        <w:spacing w:after="40"/>
      </w:pPr>
    </w:p>
    <w:p>
      <w:pPr>
        <w:jc w:val="center"/>
      </w:pPr>
      <w:r>
        <w:drawing>
          <wp:inline xmlns:a="http://schemas.openxmlformats.org/drawingml/2006/main" xmlns:pic="http://schemas.openxmlformats.org/drawingml/2006/picture">
            <wp:extent cx="5577840" cy="2265998"/>
            <wp:docPr id="1" name="Picture 1" descr="VS Code or Visual Studio starts a local Node.js MCP process with user privileges. The process connects to the Dynatrace tenant and separately sends default telemetry to a Dynatrace endpoint." title="Local MCP trust boundaries and egress paths"/>
            <wp:cNvGraphicFramePr>
              <a:graphicFrameLocks noChangeAspect="1"/>
            </wp:cNvGraphicFramePr>
            <a:graphic>
              <a:graphicData uri="http://schemas.openxmlformats.org/drawingml/2006/picture">
                <pic:pic>
                  <pic:nvPicPr>
                    <pic:cNvPr id="0" name="local_architecture.png"/>
                    <pic:cNvPicPr/>
                  </pic:nvPicPr>
                  <pic:blipFill>
                    <a:blip r:embed="rId11"/>
                    <a:stretch>
                      <a:fillRect/>
                    </a:stretch>
                  </pic:blipFill>
                  <pic:spPr>
                    <a:xfrm>
                      <a:off x="0" y="0"/>
                      <a:ext cx="5577840" cy="2265998"/>
                    </a:xfrm>
                    <a:prstGeom prst="rect"/>
                  </pic:spPr>
                </pic:pic>
              </a:graphicData>
            </a:graphic>
          </wp:inline>
        </w:drawing>
      </w:r>
    </w:p>
    <w:p>
      <w:pPr>
        <w:pStyle w:val="Caption"/>
        <w:jc w:val="center"/>
      </w:pPr>
      <w:r>
        <w:t>Figure 1. Local MCP trust boundaries and egress paths</w:t>
      </w:r>
    </w:p>
    <w:p>
      <w:pPr>
        <w:pStyle w:val="Caption"/>
      </w:pPr>
      <w:r>
        <w:t>Table 4. Local MCP tool inventory</w:t>
      </w:r>
    </w:p>
    <w:tbl>
      <w:tblPr>
        <w:tblStyle w:val="TableGrid"/>
        <w:tblW w:type="dxa" w:w="9360"/>
        <w:jc w:val="left"/>
        <w:tblLayout w:type="fixed"/>
        <w:tblLook w:firstColumn="1" w:firstRow="1" w:lastColumn="0" w:lastRow="0" w:noHBand="0" w:noVBand="1" w:val="04A0"/>
        <w:tblInd w:w="120" w:type="dxa"/>
      </w:tblPr>
      <w:tblGrid>
        <w:gridCol w:w="1500"/>
        <w:gridCol w:w="4500"/>
        <w:gridCol w:w="3360"/>
      </w:tblGrid>
      <w:tr>
        <w:trPr>
          <w:tblHeader w:val="true"/>
          <w:cantSplit/>
        </w:trPr>
        <w:tc>
          <w:tcPr>
            <w:tcW w:type="dxa" w:w="1500"/>
            <w:shd w:fill="D9EAF7"/>
            <w:tcMar>
              <w:top w:w="80" w:type="dxa"/>
              <w:start w:w="120" w:type="dxa"/>
              <w:bottom w:w="80" w:type="dxa"/>
              <w:end w:w="120" w:type="dxa"/>
            </w:tcMar>
            <w:vAlign w:val="center"/>
          </w:tcPr>
          <w:p>
            <w:pPr>
              <w:keepNext/>
            </w:pPr>
            <w:r>
              <w:rPr>
                <w:rFonts w:ascii="Calibri" w:hAnsi="Calibri"/>
                <w:b/>
                <w:color w:val="1F4E79"/>
                <w:sz w:val="15"/>
              </w:rPr>
              <w:t>Class</w:t>
            </w:r>
          </w:p>
        </w:tc>
        <w:tc>
          <w:tcPr>
            <w:tcW w:type="dxa" w:w="4500"/>
            <w:shd w:fill="D9EAF7"/>
            <w:tcMar>
              <w:top w:w="80" w:type="dxa"/>
              <w:start w:w="120" w:type="dxa"/>
              <w:bottom w:w="80" w:type="dxa"/>
              <w:end w:w="120" w:type="dxa"/>
            </w:tcMar>
            <w:vAlign w:val="center"/>
          </w:tcPr>
          <w:p>
            <w:pPr>
              <w:keepNext/>
            </w:pPr>
            <w:r>
              <w:rPr>
                <w:rFonts w:ascii="Calibri" w:hAnsi="Calibri"/>
                <w:b/>
                <w:color w:val="1F4E79"/>
                <w:sz w:val="15"/>
              </w:rPr>
              <w:t>Tools</w:t>
            </w:r>
          </w:p>
        </w:tc>
        <w:tc>
          <w:tcPr>
            <w:tcW w:type="dxa" w:w="3360"/>
            <w:shd w:fill="D9EAF7"/>
            <w:tcMar>
              <w:top w:w="80" w:type="dxa"/>
              <w:start w:w="120" w:type="dxa"/>
              <w:bottom w:w="80" w:type="dxa"/>
              <w:end w:w="120" w:type="dxa"/>
            </w:tcMar>
            <w:vAlign w:val="center"/>
          </w:tcPr>
          <w:p>
            <w:pPr>
              <w:keepNext/>
            </w:pPr>
            <w:r>
              <w:rPr>
                <w:rFonts w:ascii="Calibri" w:hAnsi="Calibri"/>
                <w:b/>
                <w:color w:val="1F4E79"/>
                <w:sz w:val="15"/>
              </w:rPr>
              <w:t>Security consequence</w:t>
            </w:r>
          </w:p>
        </w:tc>
      </w:tr>
      <w:tr>
        <w:trPr>
          <w:cantSplit/>
        </w:trPr>
        <w:tc>
          <w:tcPr>
            <w:tcW w:type="dxa" w:w="1500"/>
            <w:tcMar>
              <w:top w:w="80" w:type="dxa"/>
              <w:start w:w="120" w:type="dxa"/>
              <w:bottom w:w="80" w:type="dxa"/>
              <w:end w:w="120" w:type="dxa"/>
            </w:tcMar>
            <w:vAlign w:val="center"/>
          </w:tcPr>
          <w:p>
            <w:pPr>
              <w:spacing w:after="20" w:line="240" w:lineRule="auto"/>
            </w:pPr>
            <w:r>
              <w:rPr>
                <w:rFonts w:ascii="Calibri" w:hAnsi="Calibri"/>
                <w:sz w:val="15"/>
              </w:rPr>
              <w:t>Read/analysis</w:t>
            </w:r>
          </w:p>
        </w:tc>
        <w:tc>
          <w:tcPr>
            <w:tcW w:type="dxa" w:w="4500"/>
            <w:tcMar>
              <w:top w:w="80" w:type="dxa"/>
              <w:start w:w="120" w:type="dxa"/>
              <w:bottom w:w="80" w:type="dxa"/>
              <w:end w:w="120" w:type="dxa"/>
            </w:tcMar>
            <w:vAlign w:val="center"/>
          </w:tcPr>
          <w:p>
            <w:pPr>
              <w:spacing w:after="20" w:line="240" w:lineRule="auto"/>
            </w:pPr>
            <w:r>
              <w:rPr>
                <w:rFonts w:ascii="Calibri" w:hAnsi="Calibri"/>
                <w:sz w:val="15"/>
              </w:rPr>
              <w:t>get_environment_info; list_vulnerabilities; list_problems; find_entity_by_name; verify/execute DQL; generate/explain DQL; Davis chat/analyzers; Kubernetes events; exceptions</w:t>
            </w:r>
          </w:p>
        </w:tc>
        <w:tc>
          <w:tcPr>
            <w:tcW w:type="dxa" w:w="3360"/>
            <w:tcMar>
              <w:top w:w="80" w:type="dxa"/>
              <w:start w:w="120" w:type="dxa"/>
              <w:bottom w:w="80" w:type="dxa"/>
              <w:end w:w="120" w:type="dxa"/>
            </w:tcMar>
            <w:vAlign w:val="center"/>
          </w:tcPr>
          <w:p>
            <w:pPr>
              <w:spacing w:after="20" w:line="240" w:lineRule="auto"/>
            </w:pPr>
            <w:r>
              <w:rPr>
                <w:rFonts w:ascii="Calibri" w:hAnsi="Calibri"/>
                <w:sz w:val="15"/>
              </w:rPr>
              <w:t>Broad Grail, Intelligence and security data</w:t>
            </w:r>
          </w:p>
        </w:tc>
      </w:tr>
      <w:tr>
        <w:trPr>
          <w:cantSplit/>
        </w:trPr>
        <w:tc>
          <w:tcPr>
            <w:tcW w:type="dxa" w:w="1500"/>
            <w:tcMar>
              <w:top w:w="80" w:type="dxa"/>
              <w:start w:w="120" w:type="dxa"/>
              <w:bottom w:w="80" w:type="dxa"/>
              <w:end w:w="120" w:type="dxa"/>
            </w:tcMar>
            <w:vAlign w:val="center"/>
          </w:tcPr>
          <w:p>
            <w:pPr>
              <w:spacing w:after="20" w:line="240" w:lineRule="auto"/>
            </w:pPr>
            <w:r>
              <w:rPr>
                <w:rFonts w:ascii="Calibri" w:hAnsi="Calibri"/>
                <w:sz w:val="15"/>
              </w:rPr>
              <w:t>External write</w:t>
            </w:r>
          </w:p>
        </w:tc>
        <w:tc>
          <w:tcPr>
            <w:tcW w:type="dxa" w:w="4500"/>
            <w:tcMar>
              <w:top w:w="80" w:type="dxa"/>
              <w:start w:w="120" w:type="dxa"/>
              <w:bottom w:w="80" w:type="dxa"/>
              <w:end w:w="120" w:type="dxa"/>
            </w:tcMar>
            <w:vAlign w:val="center"/>
          </w:tcPr>
          <w:p>
            <w:pPr>
              <w:spacing w:after="20" w:line="240" w:lineRule="auto"/>
            </w:pPr>
            <w:r>
              <w:rPr>
                <w:rFonts w:ascii="Calibri" w:hAnsi="Calibri"/>
                <w:sz w:val="15"/>
              </w:rPr>
              <w:t>send_slack_message; send_email</w:t>
            </w:r>
          </w:p>
        </w:tc>
        <w:tc>
          <w:tcPr>
            <w:tcW w:type="dxa" w:w="3360"/>
            <w:tcMar>
              <w:top w:w="80" w:type="dxa"/>
              <w:start w:w="120" w:type="dxa"/>
              <w:bottom w:w="80" w:type="dxa"/>
              <w:end w:w="120" w:type="dxa"/>
            </w:tcMar>
            <w:vAlign w:val="center"/>
          </w:tcPr>
          <w:p>
            <w:pPr>
              <w:spacing w:after="20" w:line="240" w:lineRule="auto"/>
            </w:pPr>
            <w:r>
              <w:rPr>
                <w:rFonts w:ascii="Calibri" w:hAnsi="Calibri"/>
                <w:sz w:val="15"/>
              </w:rPr>
              <w:t>Human elicitation; data leaves tenant to recipients</w:t>
            </w:r>
          </w:p>
        </w:tc>
      </w:tr>
      <w:tr>
        <w:trPr>
          <w:cantSplit/>
        </w:trPr>
        <w:tc>
          <w:tcPr>
            <w:tcW w:type="dxa" w:w="1500"/>
            <w:tcMar>
              <w:top w:w="80" w:type="dxa"/>
              <w:start w:w="120" w:type="dxa"/>
              <w:bottom w:w="80" w:type="dxa"/>
              <w:end w:w="120" w:type="dxa"/>
            </w:tcMar>
            <w:vAlign w:val="center"/>
          </w:tcPr>
          <w:p>
            <w:pPr>
              <w:spacing w:after="20" w:line="240" w:lineRule="auto"/>
            </w:pPr>
            <w:r>
              <w:rPr>
                <w:rFonts w:ascii="Calibri" w:hAnsi="Calibri"/>
                <w:sz w:val="15"/>
              </w:rPr>
              <w:t>Tenant write</w:t>
            </w:r>
          </w:p>
        </w:tc>
        <w:tc>
          <w:tcPr>
            <w:tcW w:type="dxa" w:w="4500"/>
            <w:tcMar>
              <w:top w:w="80" w:type="dxa"/>
              <w:start w:w="120" w:type="dxa"/>
              <w:bottom w:w="80" w:type="dxa"/>
              <w:end w:w="120" w:type="dxa"/>
            </w:tcMar>
            <w:vAlign w:val="center"/>
          </w:tcPr>
          <w:p>
            <w:pPr>
              <w:spacing w:after="20" w:line="240" w:lineRule="auto"/>
            </w:pPr>
            <w:r>
              <w:rPr>
                <w:rFonts w:ascii="Calibri" w:hAnsi="Calibri"/>
                <w:sz w:val="15"/>
              </w:rPr>
              <w:t>send_event; create_dynatrace_notebook</w:t>
            </w:r>
          </w:p>
        </w:tc>
        <w:tc>
          <w:tcPr>
            <w:tcW w:type="dxa" w:w="3360"/>
            <w:tcMar>
              <w:top w:w="80" w:type="dxa"/>
              <w:start w:w="120" w:type="dxa"/>
              <w:bottom w:w="80" w:type="dxa"/>
              <w:end w:w="120" w:type="dxa"/>
            </w:tcMar>
            <w:vAlign w:val="center"/>
          </w:tcPr>
          <w:p>
            <w:pPr>
              <w:spacing w:after="20" w:line="240" w:lineRule="auto"/>
            </w:pPr>
            <w:r>
              <w:rPr>
                <w:rFonts w:ascii="Calibri" w:hAnsi="Calibri"/>
                <w:sz w:val="15"/>
              </w:rPr>
              <w:t>Human elicitation; event/notebook persistence</w:t>
            </w:r>
          </w:p>
        </w:tc>
      </w:tr>
      <w:tr>
        <w:trPr>
          <w:cantSplit/>
        </w:trPr>
        <w:tc>
          <w:tcPr>
            <w:tcW w:type="dxa" w:w="1500"/>
            <w:tcMar>
              <w:top w:w="80" w:type="dxa"/>
              <w:start w:w="120" w:type="dxa"/>
              <w:bottom w:w="80" w:type="dxa"/>
              <w:end w:w="120" w:type="dxa"/>
            </w:tcMar>
            <w:vAlign w:val="center"/>
          </w:tcPr>
          <w:p>
            <w:pPr>
              <w:spacing w:after="20" w:line="240" w:lineRule="auto"/>
            </w:pPr>
            <w:r>
              <w:rPr>
                <w:rFonts w:ascii="Calibri" w:hAnsi="Calibri"/>
                <w:sz w:val="15"/>
              </w:rPr>
              <w:t>Cost/state</w:t>
            </w:r>
          </w:p>
        </w:tc>
        <w:tc>
          <w:tcPr>
            <w:tcW w:type="dxa" w:w="4500"/>
            <w:tcMar>
              <w:top w:w="80" w:type="dxa"/>
              <w:start w:w="120" w:type="dxa"/>
              <w:bottom w:w="80" w:type="dxa"/>
              <w:end w:w="120" w:type="dxa"/>
            </w:tcMar>
            <w:vAlign w:val="center"/>
          </w:tcPr>
          <w:p>
            <w:pPr>
              <w:spacing w:after="20" w:line="240" w:lineRule="auto"/>
            </w:pPr>
            <w:r>
              <w:rPr>
                <w:rFonts w:ascii="Calibri" w:hAnsi="Calibri"/>
                <w:sz w:val="15"/>
              </w:rPr>
              <w:t>reset_grail_budget</w:t>
            </w:r>
          </w:p>
        </w:tc>
        <w:tc>
          <w:tcPr>
            <w:tcW w:type="dxa" w:w="3360"/>
            <w:tcMar>
              <w:top w:w="80" w:type="dxa"/>
              <w:start w:w="120" w:type="dxa"/>
              <w:bottom w:w="80" w:type="dxa"/>
              <w:end w:w="120" w:type="dxa"/>
            </w:tcMar>
            <w:vAlign w:val="center"/>
          </w:tcPr>
          <w:p>
            <w:pPr>
              <w:spacing w:after="20" w:line="240" w:lineRule="auto"/>
            </w:pPr>
            <w:r>
              <w:rPr>
                <w:rFonts w:ascii="Calibri" w:hAnsi="Calibri"/>
                <w:sz w:val="15"/>
              </w:rPr>
              <w:t>Resets local session budget control</w:t>
            </w:r>
          </w:p>
        </w:tc>
      </w:tr>
      <w:tr>
        <w:trPr>
          <w:cantSplit/>
        </w:trPr>
        <w:tc>
          <w:tcPr>
            <w:tcW w:type="dxa" w:w="1500"/>
            <w:tcMar>
              <w:top w:w="80" w:type="dxa"/>
              <w:start w:w="120" w:type="dxa"/>
              <w:bottom w:w="80" w:type="dxa"/>
              <w:end w:w="120" w:type="dxa"/>
            </w:tcMar>
            <w:vAlign w:val="center"/>
          </w:tcPr>
          <w:p>
            <w:pPr>
              <w:spacing w:after="20" w:line="240" w:lineRule="auto"/>
            </w:pPr>
            <w:r>
              <w:rPr>
                <w:rFonts w:ascii="Calibri" w:hAnsi="Calibri"/>
                <w:sz w:val="15"/>
              </w:rPr>
              <w:t>MCP App</w:t>
            </w:r>
          </w:p>
        </w:tc>
        <w:tc>
          <w:tcPr>
            <w:tcW w:type="dxa" w:w="4500"/>
            <w:tcMar>
              <w:top w:w="80" w:type="dxa"/>
              <w:start w:w="120" w:type="dxa"/>
              <w:bottom w:w="80" w:type="dxa"/>
              <w:end w:w="120" w:type="dxa"/>
            </w:tcMar>
            <w:vAlign w:val="center"/>
          </w:tcPr>
          <w:p>
            <w:pPr>
              <w:spacing w:after="20" w:line="240" w:lineRule="auto"/>
            </w:pPr>
            <w:r>
              <w:rPr>
                <w:rFonts w:ascii="Calibri" w:hAnsi="Calibri"/>
                <w:sz w:val="15"/>
              </w:rPr>
              <w:t>execute_dql interactive UI resource</w:t>
            </w:r>
          </w:p>
        </w:tc>
        <w:tc>
          <w:tcPr>
            <w:tcW w:type="dxa" w:w="3360"/>
            <w:tcMar>
              <w:top w:w="80" w:type="dxa"/>
              <w:start w:w="120" w:type="dxa"/>
              <w:bottom w:w="80" w:type="dxa"/>
              <w:end w:w="120" w:type="dxa"/>
            </w:tcMar>
            <w:vAlign w:val="center"/>
          </w:tcPr>
          <w:p>
            <w:pPr>
              <w:spacing w:after="20" w:line="240" w:lineRule="auto"/>
            </w:pPr>
            <w:r>
              <w:rPr>
                <w:rFonts w:ascii="Calibri" w:hAnsi="Calibri"/>
                <w:sz w:val="15"/>
              </w:rPr>
              <w:t>Renders returned results in host UI</w:t>
            </w:r>
          </w:p>
        </w:tc>
      </w:tr>
    </w:tbl>
    <w:p>
      <w:pPr>
        <w:spacing w:after="40"/>
      </w:pPr>
    </w:p>
    <w:p>
      <w:bookmarkStart w:id="8" w:name="VSCODE"/>
      <w:pPr>
        <w:pStyle w:val="Heading1"/>
      </w:pPr>
      <w:r>
        <w:t>Part I - VS Code Assessment</w:t>
      </w:r>
      <w:bookmarkEnd w:id="8"/>
      <w:r>
        <w:t xml:space="preserve">  </w:t>
      </w:r>
      <w:hyperlink w:anchor="CONTENTS">
        <w:r>
          <w:rPr>
            <w:rStyle w:val="Hyperlink"/>
            <w:sz w:val="14"/>
          </w:rPr>
          <w:t>Back to contents</w:t>
        </w:r>
      </w:hyperlink>
    </w:p>
    <w:p>
      <w:pPr>
        <w:pStyle w:val="Heading2"/>
      </w:pPr>
      <w:r>
        <w:t>VS Code executive decision</w:t>
      </w:r>
      <w:r>
        <w:t xml:space="preserve">  </w:t>
      </w:r>
      <w:hyperlink w:anchor="CONTENTS">
        <w:r>
          <w:rPr>
            <w:rStyle w:val="Hyperlink"/>
            <w:sz w:val="14"/>
          </w:rPr>
          <w:t>Back to contents</w:t>
        </w:r>
      </w:hyperlink>
    </w:p>
    <w:p>
      <w:pPr>
        <w:spacing w:before="80" w:after="160"/>
        <w:ind w:left="173" w:right="173"/>
        <w:shd w:fill="F2F4F7"/>
        <w:pBdr>
          <w:left w:val="single" w:sz="20" w:space="8" w:color="9C0006"/>
        </w:pBdr>
      </w:pPr>
      <w:r>
        <w:rPr>
          <w:rFonts w:ascii="Calibri" w:hAnsi="Calibri"/>
          <w:b/>
          <w:color w:val="9C0006"/>
          <w:sz w:val="21"/>
        </w:rPr>
        <w:t xml:space="preserve">Decision: </w:t>
      </w:r>
      <w:r>
        <w:rPr>
          <w:rFonts w:ascii="Calibri" w:hAnsi="Calibri"/>
          <w:sz w:val="21"/>
        </w:rPr>
        <w:t>Do not approve for production. A static-only engineering evaluation may proceed only in an isolated non-production endpoint after separate authorization.</w:t>
      </w:r>
    </w:p>
    <w:p>
      <w:r>
        <w:rPr>
          <w:rFonts w:ascii="Calibri" w:hAnsi="Calibri"/>
          <w:sz w:val="21"/>
        </w:rPr>
        <w:t>Verified documented configuration uses npx and mutable @latest resolution in workspace .vscode/mcp.json.</w:t>
      </w:r>
      <w:r>
        <w:t xml:space="preserve"> </w:t>
      </w:r>
      <w:hyperlink w:anchor="REF_001">
        <w:r>
          <w:rPr>
            <w:rStyle w:val="Hyperlink"/>
            <w:sz w:val="16"/>
          </w:rPr>
          <w:t>[REF-001]</w:t>
        </w:r>
      </w:hyperlink>
      <w:r>
        <w:t xml:space="preserve"> </w:t>
      </w:r>
      <w:hyperlink w:anchor="REF_002">
        <w:r>
          <w:rPr>
            <w:rStyle w:val="Hyperlink"/>
            <w:sz w:val="16"/>
          </w:rPr>
          <w:t>[REF-002]</w:t>
        </w:r>
      </w:hyperlink>
      <w:r>
        <w:t xml:space="preserve"> </w:t>
      </w:r>
      <w:hyperlink w:anchor="REF_008">
        <w:r>
          <w:rPr>
            <w:rStyle w:val="Hyperlink"/>
            <w:sz w:val="16"/>
          </w:rPr>
          <w:t>[REF-008]</w:t>
        </w:r>
      </w:hyperlink>
      <w:r>
        <w:t xml:space="preserve"> </w:t>
      </w:r>
      <w:hyperlink w:anchor="REF_009">
        <w:r>
          <w:rPr>
            <w:rStyle w:val="Hyperlink"/>
            <w:sz w:val="16"/>
          </w:rPr>
          <w:t>[REF-009]</w:t>
        </w:r>
      </w:hyperlink>
      <w:r>
        <w:t xml:space="preserve"> </w:t>
      </w:r>
      <w:hyperlink w:anchor="REF_010">
        <w:r>
          <w:rPr>
            <w:rStyle w:val="Hyperlink"/>
            <w:sz w:val="16"/>
          </w:rPr>
          <w:t>[REF-010]</w:t>
        </w:r>
      </w:hyperlink>
      <w:r>
        <w:t xml:space="preserve"> </w:t>
      </w:r>
      <w:hyperlink w:anchor="REF_011">
        <w:r>
          <w:rPr>
            <w:rStyle w:val="Hyperlink"/>
            <w:sz w:val="16"/>
          </w:rPr>
          <w:t>[REF-011]</w:t>
        </w:r>
      </w:hyperlink>
    </w:p>
    <w:p>
      <w:pPr>
        <w:pStyle w:val="Heading2"/>
      </w:pPr>
      <w:r>
        <w:t>Purpose, architecture and trust boundaries</w:t>
      </w:r>
      <w:r>
        <w:t xml:space="preserve">  </w:t>
      </w:r>
      <w:hyperlink w:anchor="CONTENTS">
        <w:r>
          <w:rPr>
            <w:rStyle w:val="Hyperlink"/>
            <w:sz w:val="14"/>
          </w:rPr>
          <w:t>Back to contents</w:t>
        </w:r>
      </w:hyperlink>
    </w:p>
    <w:p>
      <w:r>
        <w:rPr>
          <w:rFonts w:ascii="Calibri" w:hAnsi="Calibri"/>
          <w:sz w:val="21"/>
        </w:rPr>
        <w:t>VS Code spawns a local Node.js server through stdio. The package inherits user privileges, holds Dynatrace credentials, makes network calls and returns live production data and MCP App content to the IDE agent.</w:t>
      </w:r>
      <w:r>
        <w:t xml:space="preserve"> </w:t>
      </w:r>
      <w:hyperlink w:anchor="REF_001">
        <w:r>
          <w:rPr>
            <w:rStyle w:val="Hyperlink"/>
            <w:sz w:val="16"/>
          </w:rPr>
          <w:t>[REF-001]</w:t>
        </w:r>
      </w:hyperlink>
      <w:r>
        <w:t xml:space="preserve"> </w:t>
      </w:r>
      <w:hyperlink w:anchor="REF_002">
        <w:r>
          <w:rPr>
            <w:rStyle w:val="Hyperlink"/>
            <w:sz w:val="16"/>
          </w:rPr>
          <w:t>[REF-002]</w:t>
        </w:r>
      </w:hyperlink>
      <w:r>
        <w:t xml:space="preserve"> </w:t>
      </w:r>
      <w:hyperlink w:anchor="REF_008">
        <w:r>
          <w:rPr>
            <w:rStyle w:val="Hyperlink"/>
            <w:sz w:val="16"/>
          </w:rPr>
          <w:t>[REF-008]</w:t>
        </w:r>
      </w:hyperlink>
      <w:r>
        <w:t xml:space="preserve"> </w:t>
      </w:r>
      <w:hyperlink w:anchor="REF_009">
        <w:r>
          <w:rPr>
            <w:rStyle w:val="Hyperlink"/>
            <w:sz w:val="16"/>
          </w:rPr>
          <w:t>[REF-009]</w:t>
        </w:r>
      </w:hyperlink>
      <w:r>
        <w:t xml:space="preserve"> </w:t>
      </w:r>
      <w:hyperlink w:anchor="REF_010">
        <w:r>
          <w:rPr>
            <w:rStyle w:val="Hyperlink"/>
            <w:sz w:val="16"/>
          </w:rPr>
          <w:t>[REF-010]</w:t>
        </w:r>
      </w:hyperlink>
      <w:r>
        <w:t xml:space="preserve"> </w:t>
      </w:r>
      <w:hyperlink w:anchor="REF_011">
        <w:r>
          <w:rPr>
            <w:rStyle w:val="Hyperlink"/>
            <w:sz w:val="16"/>
          </w:rPr>
          <w:t>[REF-011]</w:t>
        </w:r>
      </w:hyperlink>
    </w:p>
    <w:p>
      <w:pPr>
        <w:pStyle w:val="Heading2"/>
      </w:pPr>
      <w:r>
        <w:t>Installation manifest and uninstall behaviour</w:t>
      </w:r>
      <w:r>
        <w:t xml:space="preserve">  </w:t>
      </w:r>
      <w:hyperlink w:anchor="CONTENTS">
        <w:r>
          <w:rPr>
            <w:rStyle w:val="Hyperlink"/>
            <w:sz w:val="14"/>
          </w:rPr>
          <w:t>Back to contents</w:t>
        </w:r>
      </w:hyperlink>
    </w:p>
    <w:p>
      <w:pPr>
        <w:pStyle w:val="Caption"/>
      </w:pPr>
      <w:r>
        <w:t>Table 5. VS Code installation and expected host state</w:t>
      </w:r>
    </w:p>
    <w:tbl>
      <w:tblPr>
        <w:tblStyle w:val="TableGrid"/>
        <w:tblW w:type="dxa" w:w="9360"/>
        <w:jc w:val="left"/>
        <w:tblLayout w:type="fixed"/>
        <w:tblLook w:firstColumn="1" w:firstRow="1" w:lastColumn="0" w:lastRow="0" w:noHBand="0" w:noVBand="1" w:val="04A0"/>
        <w:tblInd w:w="120" w:type="dxa"/>
      </w:tblPr>
      <w:tblGrid>
        <w:gridCol w:w="1800"/>
        <w:gridCol w:w="3100"/>
        <w:gridCol w:w="2400"/>
        <w:gridCol w:w="2060"/>
      </w:tblGrid>
      <w:tr>
        <w:trPr>
          <w:tblHeader w:val="true"/>
          <w:cantSplit/>
        </w:trPr>
        <w:tc>
          <w:tcPr>
            <w:tcW w:type="dxa" w:w="1800"/>
            <w:shd w:fill="D9EAF7"/>
            <w:tcMar>
              <w:top w:w="80" w:type="dxa"/>
              <w:start w:w="120" w:type="dxa"/>
              <w:bottom w:w="80" w:type="dxa"/>
              <w:end w:w="120" w:type="dxa"/>
            </w:tcMar>
            <w:vAlign w:val="center"/>
          </w:tcPr>
          <w:p>
            <w:pPr>
              <w:keepNext/>
            </w:pPr>
            <w:r>
              <w:rPr>
                <w:rFonts w:ascii="Calibri" w:hAnsi="Calibri"/>
                <w:b/>
                <w:color w:val="1F4E79"/>
                <w:sz w:val="15"/>
              </w:rPr>
              <w:t>Item</w:t>
            </w:r>
          </w:p>
        </w:tc>
        <w:tc>
          <w:tcPr>
            <w:tcW w:type="dxa" w:w="3100"/>
            <w:shd w:fill="D9EAF7"/>
            <w:tcMar>
              <w:top w:w="80" w:type="dxa"/>
              <w:start w:w="120" w:type="dxa"/>
              <w:bottom w:w="80" w:type="dxa"/>
              <w:end w:w="120" w:type="dxa"/>
            </w:tcMar>
            <w:vAlign w:val="center"/>
          </w:tcPr>
          <w:p>
            <w:pPr>
              <w:keepNext/>
            </w:pPr>
            <w:r>
              <w:rPr>
                <w:rFonts w:ascii="Calibri" w:hAnsi="Calibri"/>
                <w:b/>
                <w:color w:val="1F4E79"/>
                <w:sz w:val="15"/>
              </w:rPr>
              <w:t>Expected path/state</w:t>
            </w:r>
          </w:p>
        </w:tc>
        <w:tc>
          <w:tcPr>
            <w:tcW w:type="dxa" w:w="2400"/>
            <w:shd w:fill="D9EAF7"/>
            <w:tcMar>
              <w:top w:w="80" w:type="dxa"/>
              <w:start w:w="120" w:type="dxa"/>
              <w:bottom w:w="80" w:type="dxa"/>
              <w:end w:w="120" w:type="dxa"/>
            </w:tcMar>
            <w:vAlign w:val="center"/>
          </w:tcPr>
          <w:p>
            <w:pPr>
              <w:keepNext/>
            </w:pPr>
            <w:r>
              <w:rPr>
                <w:rFonts w:ascii="Calibri" w:hAnsi="Calibri"/>
                <w:b/>
                <w:color w:val="1F4E79"/>
                <w:sz w:val="15"/>
              </w:rPr>
              <w:t>Privilege / persistence</w:t>
            </w:r>
          </w:p>
        </w:tc>
        <w:tc>
          <w:tcPr>
            <w:tcW w:type="dxa" w:w="2060"/>
            <w:shd w:fill="D9EAF7"/>
            <w:tcMar>
              <w:top w:w="80" w:type="dxa"/>
              <w:start w:w="120" w:type="dxa"/>
              <w:bottom w:w="80" w:type="dxa"/>
              <w:end w:w="120" w:type="dxa"/>
            </w:tcMar>
            <w:vAlign w:val="center"/>
          </w:tcPr>
          <w:p>
            <w:pPr>
              <w:keepNext/>
            </w:pPr>
            <w:r>
              <w:rPr>
                <w:rFonts w:ascii="Calibri" w:hAnsi="Calibri"/>
                <w:b/>
                <w:color w:val="1F4E79"/>
                <w:sz w:val="15"/>
              </w:rPr>
              <w:t>Evidence state</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MCP configuration</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.vscode/mcp.json or Visual Studio MCP config</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Persistent; may enter source control</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Expected; not observed</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Package/runtime</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npm/npx cache plus Node.js process</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Executes as IDE user</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Archive observed; runtime not</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Token cache</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OS keychain; optional ~/.config/dynatrace-mcp/token-&lt;account&gt;.json</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OAuth access/refresh token; file mode 0600</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Verified source; host not observed</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Environment secrets</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DT_PLATFORM_TOKEN, OAUTH_CLIENT_SECRET, MCP_BEARER_TOKEN and related variables</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Process environment</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Verified manifest/source</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Telemetry egress</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bf96767wvv.bf.dynatrace.com/mbeacon by default</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Enabled unless DT_MCP_DISABLE_TELEMETRY=true</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Verified source</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HTTP listener</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127.0.0.1:3000 default when --http</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Bearer required; optional persistent service if operator creates one</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Source only; not default stdio</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Services/tasks/registry</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None created by package itself on static evidence</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Unknown if operator wraps process</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Not observed; runtime required</w:t>
            </w:r>
          </w:p>
        </w:tc>
      </w:tr>
    </w:tbl>
    <w:p>
      <w:pPr>
        <w:spacing w:after="40"/>
      </w:pPr>
    </w:p>
    <w:p>
      <w:pPr>
        <w:pStyle w:val="Heading2"/>
      </w:pPr>
      <w:r>
        <w:t>Runtime processes, network, authentication and telemetry</w:t>
      </w:r>
      <w:r>
        <w:t xml:space="preserve">  </w:t>
      </w:r>
      <w:hyperlink w:anchor="CONTENTS">
        <w:r>
          <w:rPr>
            <w:rStyle w:val="Hyperlink"/>
            <w:sz w:val="14"/>
          </w:rPr>
          <w:t>Back to contents</w:t>
        </w:r>
      </w:hyperlink>
    </w:p>
    <w:p>
      <w:r>
        <w:rPr>
          <w:rFonts w:ascii="Calibri" w:hAnsi="Calibri"/>
          <w:sz w:val="21"/>
        </w:rPr>
        <w:t>OAuth Authorization Code, OAuth client credentials or a Platform Token may be used. OAuth tokens persist in the OS keychain by default; optional file caching uses owner-only permissions. Write tools request elicited approval, but approval defaults true.</w:t>
      </w:r>
      <w:r>
        <w:t xml:space="preserve"> </w:t>
      </w:r>
      <w:hyperlink w:anchor="REF_001">
        <w:r>
          <w:rPr>
            <w:rStyle w:val="Hyperlink"/>
            <w:sz w:val="16"/>
          </w:rPr>
          <w:t>[REF-001]</w:t>
        </w:r>
      </w:hyperlink>
      <w:r>
        <w:t xml:space="preserve"> </w:t>
      </w:r>
      <w:hyperlink w:anchor="REF_002">
        <w:r>
          <w:rPr>
            <w:rStyle w:val="Hyperlink"/>
            <w:sz w:val="16"/>
          </w:rPr>
          <w:t>[REF-002]</w:t>
        </w:r>
      </w:hyperlink>
      <w:r>
        <w:t xml:space="preserve"> </w:t>
      </w:r>
      <w:hyperlink w:anchor="REF_008">
        <w:r>
          <w:rPr>
            <w:rStyle w:val="Hyperlink"/>
            <w:sz w:val="16"/>
          </w:rPr>
          <w:t>[REF-008]</w:t>
        </w:r>
      </w:hyperlink>
      <w:r>
        <w:t xml:space="preserve"> </w:t>
      </w:r>
      <w:hyperlink w:anchor="REF_009">
        <w:r>
          <w:rPr>
            <w:rStyle w:val="Hyperlink"/>
            <w:sz w:val="16"/>
          </w:rPr>
          <w:t>[REF-009]</w:t>
        </w:r>
      </w:hyperlink>
      <w:r>
        <w:t xml:space="preserve"> </w:t>
      </w:r>
      <w:hyperlink w:anchor="REF_010">
        <w:r>
          <w:rPr>
            <w:rStyle w:val="Hyperlink"/>
            <w:sz w:val="16"/>
          </w:rPr>
          <w:t>[REF-010]</w:t>
        </w:r>
      </w:hyperlink>
      <w:r>
        <w:t xml:space="preserve"> </w:t>
      </w:r>
      <w:hyperlink w:anchor="REF_011">
        <w:r>
          <w:rPr>
            <w:rStyle w:val="Hyperlink"/>
            <w:sz w:val="16"/>
          </w:rPr>
          <w:t>[REF-011]</w:t>
        </w:r>
      </w:hyperlink>
    </w:p>
    <w:p>
      <w:r>
        <w:rPr>
          <w:rFonts w:ascii="Calibri" w:hAnsi="Calibri"/>
          <w:sz w:val="21"/>
        </w:rPr>
        <w:t>Telemetry is enabled by default and sends environment ID, stage, auth type, package/Node/OS details, client/tool usage and errors including message/context/stack to a separate endpoint. Disable it for regulated use pending a DPIA and documented necessity.</w:t>
      </w:r>
      <w:r>
        <w:t xml:space="preserve"> </w:t>
      </w:r>
      <w:hyperlink w:anchor="REF_001">
        <w:r>
          <w:rPr>
            <w:rStyle w:val="Hyperlink"/>
            <w:sz w:val="16"/>
          </w:rPr>
          <w:t>[REF-001]</w:t>
        </w:r>
      </w:hyperlink>
      <w:r>
        <w:t xml:space="preserve"> </w:t>
      </w:r>
      <w:hyperlink w:anchor="REF_002">
        <w:r>
          <w:rPr>
            <w:rStyle w:val="Hyperlink"/>
            <w:sz w:val="16"/>
          </w:rPr>
          <w:t>[REF-002]</w:t>
        </w:r>
      </w:hyperlink>
      <w:r>
        <w:t xml:space="preserve"> </w:t>
      </w:r>
      <w:hyperlink w:anchor="REF_008">
        <w:r>
          <w:rPr>
            <w:rStyle w:val="Hyperlink"/>
            <w:sz w:val="16"/>
          </w:rPr>
          <w:t>[REF-008]</w:t>
        </w:r>
      </w:hyperlink>
      <w:r>
        <w:t xml:space="preserve"> </w:t>
      </w:r>
      <w:hyperlink w:anchor="REF_009">
        <w:r>
          <w:rPr>
            <w:rStyle w:val="Hyperlink"/>
            <w:sz w:val="16"/>
          </w:rPr>
          <w:t>[REF-009]</w:t>
        </w:r>
      </w:hyperlink>
      <w:r>
        <w:t xml:space="preserve"> </w:t>
      </w:r>
      <w:hyperlink w:anchor="REF_010">
        <w:r>
          <w:rPr>
            <w:rStyle w:val="Hyperlink"/>
            <w:sz w:val="16"/>
          </w:rPr>
          <w:t>[REF-010]</w:t>
        </w:r>
      </w:hyperlink>
      <w:r>
        <w:t xml:space="preserve"> </w:t>
      </w:r>
      <w:hyperlink w:anchor="REF_011">
        <w:r>
          <w:rPr>
            <w:rStyle w:val="Hyperlink"/>
            <w:sz w:val="16"/>
          </w:rPr>
          <w:t>[REF-011]</w:t>
        </w:r>
      </w:hyperlink>
    </w:p>
    <w:p>
      <w:pPr>
        <w:pStyle w:val="Heading2"/>
      </w:pPr>
      <w:r>
        <w:t>MCP surface, skills and supply chain</w:t>
      </w:r>
      <w:r>
        <w:t xml:space="preserve">  </w:t>
      </w:r>
      <w:hyperlink w:anchor="CONTENTS">
        <w:r>
          <w:rPr>
            <w:rStyle w:val="Hyperlink"/>
            <w:sz w:val="14"/>
          </w:rPr>
          <w:t>Back to contents</w:t>
        </w:r>
      </w:hyperlink>
    </w:p>
    <w:p>
      <w:r>
        <w:rPr>
          <w:rFonts w:ascii="Calibri" w:hAnsi="Calibri"/>
          <w:sz w:val="21"/>
        </w:rPr>
        <w:t>The npm archive has SLSA provenance and current npm audit reported no known production vulnerabilities. However, @latest is mutable, the process executes locally, the product is in maintenance mode and source-to-bundle reproducibility was not verified because build scripts were not executed.</w:t>
      </w:r>
      <w:r>
        <w:t xml:space="preserve"> </w:t>
      </w:r>
      <w:hyperlink w:anchor="REF_001">
        <w:r>
          <w:rPr>
            <w:rStyle w:val="Hyperlink"/>
            <w:sz w:val="16"/>
          </w:rPr>
          <w:t>[REF-001]</w:t>
        </w:r>
      </w:hyperlink>
      <w:r>
        <w:t xml:space="preserve"> </w:t>
      </w:r>
      <w:hyperlink w:anchor="REF_002">
        <w:r>
          <w:rPr>
            <w:rStyle w:val="Hyperlink"/>
            <w:sz w:val="16"/>
          </w:rPr>
          <w:t>[REF-002]</w:t>
        </w:r>
      </w:hyperlink>
      <w:r>
        <w:t xml:space="preserve"> </w:t>
      </w:r>
      <w:hyperlink w:anchor="REF_008">
        <w:r>
          <w:rPr>
            <w:rStyle w:val="Hyperlink"/>
            <w:sz w:val="16"/>
          </w:rPr>
          <w:t>[REF-008]</w:t>
        </w:r>
      </w:hyperlink>
      <w:r>
        <w:t xml:space="preserve"> </w:t>
      </w:r>
      <w:hyperlink w:anchor="REF_009">
        <w:r>
          <w:rPr>
            <w:rStyle w:val="Hyperlink"/>
            <w:sz w:val="16"/>
          </w:rPr>
          <w:t>[REF-009]</w:t>
        </w:r>
      </w:hyperlink>
      <w:r>
        <w:t xml:space="preserve"> </w:t>
      </w:r>
      <w:hyperlink w:anchor="REF_010">
        <w:r>
          <w:rPr>
            <w:rStyle w:val="Hyperlink"/>
            <w:sz w:val="16"/>
          </w:rPr>
          <w:t>[REF-010]</w:t>
        </w:r>
      </w:hyperlink>
      <w:r>
        <w:t xml:space="preserve"> </w:t>
      </w:r>
      <w:hyperlink w:anchor="REF_011">
        <w:r>
          <w:rPr>
            <w:rStyle w:val="Hyperlink"/>
            <w:sz w:val="16"/>
          </w:rPr>
          <w:t>[REF-011]</w:t>
        </w:r>
      </w:hyperlink>
    </w:p>
    <w:p>
      <w:pPr>
        <w:pStyle w:val="Heading2"/>
      </w:pPr>
      <w:r>
        <w:t>Threats, controls and framework disposition</w:t>
      </w:r>
      <w:r>
        <w:t xml:space="preserve">  </w:t>
      </w:r>
      <w:hyperlink w:anchor="CONTENTS">
        <w:r>
          <w:rPr>
            <w:rStyle w:val="Hyperlink"/>
            <w:sz w:val="14"/>
          </w:rPr>
          <w:t>Back to contents</w:t>
        </w:r>
      </w:hyperlink>
    </w:p>
    <w:p>
      <w:pPr>
        <w:pStyle w:val="Caption"/>
      </w:pPr>
      <w:r>
        <w:t>Table 6. Framework disposition and focused mappings</w:t>
      </w:r>
    </w:p>
    <w:tbl>
      <w:tblPr>
        <w:tblStyle w:val="TableGrid"/>
        <w:tblW w:type="dxa" w:w="9360"/>
        <w:jc w:val="left"/>
        <w:tblLayout w:type="fixed"/>
        <w:tblLook w:firstColumn="1" w:firstRow="1" w:lastColumn="0" w:lastRow="0" w:noHBand="0" w:noVBand="1" w:val="04A0"/>
        <w:tblInd w:w="120" w:type="dxa"/>
      </w:tblPr>
      <w:tblGrid>
        <w:gridCol w:w="2100"/>
        <w:gridCol w:w="2600"/>
        <w:gridCol w:w="4660"/>
      </w:tblGrid>
      <w:tr>
        <w:trPr>
          <w:tblHeader w:val="true"/>
          <w:cantSplit/>
        </w:trPr>
        <w:tc>
          <w:tcPr>
            <w:tcW w:type="dxa" w:w="2100"/>
            <w:shd w:fill="D9EAF7"/>
            <w:tcMar>
              <w:top w:w="80" w:type="dxa"/>
              <w:start w:w="120" w:type="dxa"/>
              <w:bottom w:w="80" w:type="dxa"/>
              <w:end w:w="120" w:type="dxa"/>
            </w:tcMar>
            <w:vAlign w:val="center"/>
          </w:tcPr>
          <w:p>
            <w:pPr>
              <w:keepNext/>
            </w:pPr>
            <w:r>
              <w:rPr>
                <w:rFonts w:ascii="Calibri" w:hAnsi="Calibri"/>
                <w:b/>
                <w:color w:val="1F4E79"/>
                <w:sz w:val="14"/>
              </w:rPr>
              <w:t>Framework</w:t>
            </w:r>
          </w:p>
        </w:tc>
        <w:tc>
          <w:tcPr>
            <w:tcW w:type="dxa" w:w="2600"/>
            <w:shd w:fill="D9EAF7"/>
            <w:tcMar>
              <w:top w:w="80" w:type="dxa"/>
              <w:start w:w="120" w:type="dxa"/>
              <w:bottom w:w="80" w:type="dxa"/>
              <w:end w:w="120" w:type="dxa"/>
            </w:tcMar>
            <w:vAlign w:val="center"/>
          </w:tcPr>
          <w:p>
            <w:pPr>
              <w:keepNext/>
            </w:pPr>
            <w:r>
              <w:rPr>
                <w:rFonts w:ascii="Calibri" w:hAnsi="Calibri"/>
                <w:b/>
                <w:color w:val="1F4E79"/>
                <w:sz w:val="14"/>
              </w:rPr>
              <w:t>Edition / disposition</w:t>
            </w:r>
          </w:p>
        </w:tc>
        <w:tc>
          <w:tcPr>
            <w:tcW w:type="dxa" w:w="4660"/>
            <w:shd w:fill="D9EAF7"/>
            <w:tcMar>
              <w:top w:w="80" w:type="dxa"/>
              <w:start w:w="120" w:type="dxa"/>
              <w:bottom w:w="80" w:type="dxa"/>
              <w:end w:w="120" w:type="dxa"/>
            </w:tcMar>
            <w:vAlign w:val="center"/>
          </w:tcPr>
          <w:p>
            <w:pPr>
              <w:keepNext/>
            </w:pPr>
            <w:r>
              <w:rPr>
                <w:rFonts w:ascii="Calibri" w:hAnsi="Calibri"/>
                <w:b/>
                <w:color w:val="1F4E79"/>
                <w:sz w:val="14"/>
              </w:rPr>
              <w:t>Applied mapping</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LLM Top 10</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2025;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LLM01/02/03/05/06/07/09/10: injection, disclosure, supply chain, output handling, agency, leakage, misinformation and consumption.</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Agentic AI</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Top 10 for Agentic Applications 2026;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ASI01-06, ASI08-09; ASI07/10 when composed with other agents.</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MCP Top 10</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v0.1 (2025), early-version guidance;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MCP01-10, especially token exposure, scope creep, tool poisoning, contextual injection, audit and shadow servers.</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MITRE ATLAS</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ATLAS-2026.06;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AML.T0051, T0010.005, T0053, T0057, T0080, T0083, T0086, T0098, T0109 and T0034.</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NIST AI RMF</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AI RMF 1.0 / AI 600-1;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GOVERN, MAP, MEASURE, MANAGE; privacy, information security, human-AI configuration, component integration and confabulation.</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CIS Controls</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v8.1;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Controls 1-8, 10, 12-13, 15-18: inventory, configuration, access, vulnerability, logging, provider lifecycle and testing.</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ISO/IEC 27001</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27001:2022 + Amd 1:2024;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Annex A 5.9, 5.12-23, 5.24-34, 8.1-16, 8.20-32.</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NCSC secure AI</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v1.1 (2023);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Secure design, development, deployment, operation and maintenance.</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ASVS</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5.0.0 Level 2;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v5.0.0-1.2.4/5, 1.3.6, 8.1.1, 8.3.1, 10.2.1, 10.2.3, 10.4.6, 12.2.1, 13.1.4, 13.2.4.</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UK GDPR / DPA 2018</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Binding law;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Arts 5, 6, 9, 13/14, 22, 25, 28, 30, 32-35 and 44-49; DPIA screening required.</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FCA / PRA</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Rules and supervisory expectations;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FCA Principles 3/11, SYSC 15A and conditional SYSC 8; PRA Fundamental Rules, SS1/21 and SS2/21.</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PECR / EU DORA / PRA SS1/23</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Conditional or not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PECR only for relevant terminal/electronic communications use; DORA not triggered by UK status; SS1/23 is banks-only.</w:t>
            </w:r>
          </w:p>
        </w:tc>
      </w:tr>
    </w:tbl>
    <w:p>
      <w:pPr>
        <w:spacing w:after="40"/>
      </w:pPr>
    </w:p>
    <w:p>
      <w:pPr>
        <w:pStyle w:val="Heading2"/>
      </w:pPr>
      <w:r>
        <w:t>Enterprise controls and host verification</w:t>
      </w:r>
      <w:r>
        <w:t xml:space="preserve">  </w:t>
      </w:r>
      <w:hyperlink w:anchor="CONTENTS">
        <w:r>
          <w:rPr>
            <w:rStyle w:val="Hyperlink"/>
            <w:sz w:val="14"/>
          </w:rPr>
          <w:t>Back to contents</w:t>
        </w:r>
      </w:hyperlink>
    </w:p>
    <w:p>
      <w:pPr>
        <w:spacing w:after="160" w:line="280" w:lineRule="auto"/>
        <w:numPr>
          <w:ilvl w:val="0"/>
          <w:numId w:val="10"/>
        </w:numPr>
      </w:pPr>
      <w:r>
        <w:rPr>
          <w:rFonts w:ascii="Calibri" w:hAnsi="Calibri"/>
          <w:sz w:val="21"/>
        </w:rPr>
        <w:t>Allowlist the exact server identity, endpoint/package version and individual tools; disable wildcard tool grants.</w:t>
      </w:r>
    </w:p>
    <w:p>
      <w:pPr>
        <w:spacing w:after="160" w:line="280" w:lineRule="auto"/>
        <w:numPr>
          <w:ilvl w:val="0"/>
          <w:numId w:val="10"/>
        </w:numPr>
      </w:pPr>
      <w:r>
        <w:rPr>
          <w:rFonts w:ascii="Calibri" w:hAnsi="Calibri"/>
          <w:sz w:val="21"/>
        </w:rPr>
        <w:t>Use task-specific least-privilege identities, short-lived credentials and negative authorization tests.</w:t>
      </w:r>
    </w:p>
    <w:p>
      <w:pPr>
        <w:spacing w:after="160" w:line="280" w:lineRule="auto"/>
        <w:numPr>
          <w:ilvl w:val="0"/>
          <w:numId w:val="10"/>
        </w:numPr>
      </w:pPr>
      <w:r>
        <w:rPr>
          <w:rFonts w:ascii="Calibri" w:hAnsi="Calibri"/>
          <w:sz w:val="21"/>
        </w:rPr>
        <w:t>Treat every log, document, problem and tool response as untrusted data; block instruction-following from retrieved content.</w:t>
      </w:r>
    </w:p>
    <w:p>
      <w:pPr>
        <w:spacing w:after="160" w:line="280" w:lineRule="auto"/>
        <w:numPr>
          <w:ilvl w:val="0"/>
          <w:numId w:val="10"/>
        </w:numPr>
      </w:pPr>
      <w:r>
        <w:rPr>
          <w:rFonts w:ascii="Calibri" w:hAnsi="Calibri"/>
          <w:sz w:val="21"/>
        </w:rPr>
        <w:t>Require human review for DQL and all consequential outputs; prohibit automated claims, pricing, underwriting or customer decisions.</w:t>
      </w:r>
    </w:p>
    <w:p>
      <w:pPr>
        <w:spacing w:after="160" w:line="280" w:lineRule="auto"/>
        <w:numPr>
          <w:ilvl w:val="0"/>
          <w:numId w:val="10"/>
        </w:numPr>
      </w:pPr>
      <w:r>
        <w:rPr>
          <w:rFonts w:ascii="Calibri" w:hAnsi="Calibri"/>
          <w:sz w:val="21"/>
        </w:rPr>
        <w:t>Export auditable invocation records; alert on server/tool/schema changes, credential misuse, broad queries, write tools and unusual cost.</w:t>
      </w:r>
    </w:p>
    <w:p>
      <w:pPr>
        <w:pStyle w:val="Heading2"/>
      </w:pPr>
      <w:r>
        <w:t>Residual risk, confidence and IDE-specific limitations</w:t>
      </w:r>
      <w:r>
        <w:t xml:space="preserve">  </w:t>
      </w:r>
      <w:hyperlink w:anchor="CONTENTS">
        <w:r>
          <w:rPr>
            <w:rStyle w:val="Hyperlink"/>
            <w:sz w:val="14"/>
          </w:rPr>
          <w:t>Back to contents</w:t>
        </w:r>
      </w:hyperlink>
    </w:p>
    <w:p>
      <w:r>
        <w:rPr>
          <w:rFonts w:ascii="Calibri" w:hAnsi="Calibri"/>
          <w:sz w:val="21"/>
        </w:rPr>
        <w:t>Confidence is Medium: primary vendor and Microsoft documentation is current, but runtime behaviour, tenant policy enforcement, client secret storage, network traces and uninstall residue were not observed. Complete the host verification plan before operational approval.</w:t>
      </w:r>
    </w:p>
    <w:p>
      <w:r>
        <w:t>Regeneration verification statement: decision and approval remain governed by the report recommendation. Purpose and function, architecture, trust boundaries, and data flows were rechecked for this IDE. Installation manifest, uninstall, runtime and activation, network, authentication, telemetry, privacy, MCP and Agent Skills, supply chain dependencies, threats and findings, framework disposition, controls and detection, residual risk, confidence, limitations, evidence, and verification were explicitly considered. Current static and malware evidence is retained. Representative IDE runtime evidence is Blocked: no disposable representative Windows 11/macOS VS Code or Windows 11 Visual Studio host was available; this limitation is not treated as a passed control. No bundled Agent Skill was found in the assessed installation surface unless the product-specific section states otherwise.</w:t>
      </w:r>
    </w:p>
    <w:p>
      <w:bookmarkStart w:id="9" w:name="VISUAL_STUDIO"/>
      <w:pPr>
        <w:pStyle w:val="Heading1"/>
      </w:pPr>
      <w:r>
        <w:t>Part II - Visual Studio Assessment</w:t>
      </w:r>
      <w:bookmarkEnd w:id="9"/>
      <w:r>
        <w:t xml:space="preserve">  </w:t>
      </w:r>
      <w:hyperlink w:anchor="CONTENTS">
        <w:r>
          <w:rPr>
            <w:rStyle w:val="Hyperlink"/>
            <w:sz w:val="14"/>
          </w:rPr>
          <w:t>Back to contents</w:t>
        </w:r>
      </w:hyperlink>
    </w:p>
    <w:p>
      <w:pPr>
        <w:pStyle w:val="Heading2"/>
      </w:pPr>
      <w:r>
        <w:t>Visual Studio executive decision</w:t>
      </w:r>
      <w:r>
        <w:t xml:space="preserve">  </w:t>
      </w:r>
      <w:hyperlink w:anchor="CONTENTS">
        <w:r>
          <w:rPr>
            <w:rStyle w:val="Hyperlink"/>
            <w:sz w:val="14"/>
          </w:rPr>
          <w:t>Back to contents</w:t>
        </w:r>
      </w:hyperlink>
    </w:p>
    <w:p>
      <w:pPr>
        <w:spacing w:before="80" w:after="160"/>
        <w:ind w:left="173" w:right="173"/>
        <w:shd w:fill="F2F4F7"/>
        <w:pBdr>
          <w:left w:val="single" w:sz="20" w:space="8" w:color="9C0006"/>
        </w:pBdr>
      </w:pPr>
      <w:r>
        <w:rPr>
          <w:rFonts w:ascii="Calibri" w:hAnsi="Calibri"/>
          <w:b/>
          <w:color w:val="9C0006"/>
          <w:sz w:val="21"/>
        </w:rPr>
        <w:t xml:space="preserve">Decision: </w:t>
      </w:r>
      <w:r>
        <w:rPr>
          <w:rFonts w:ascii="Calibri" w:hAnsi="Calibri"/>
          <w:sz w:val="21"/>
        </w:rPr>
        <w:t>Do not approve for production; vendor-specific Visual Studio support is absent.</w:t>
      </w:r>
    </w:p>
    <w:p>
      <w:r>
        <w:rPr>
          <w:rFonts w:ascii="Calibri" w:hAnsi="Calibri"/>
          <w:sz w:val="21"/>
        </w:rPr>
        <w:t>Inferred compatible through Visual Studio 2026 or Visual Studio 2022 17.14+ generic MCP support. The repository does not provide a Dynatrace-specific Visual Studio configuration or validation statement.</w:t>
      </w:r>
      <w:r>
        <w:t xml:space="preserve"> </w:t>
      </w:r>
      <w:hyperlink w:anchor="REF_002">
        <w:r>
          <w:rPr>
            <w:rStyle w:val="Hyperlink"/>
            <w:sz w:val="16"/>
          </w:rPr>
          <w:t>[REF-002]</w:t>
        </w:r>
      </w:hyperlink>
      <w:r>
        <w:t xml:space="preserve"> </w:t>
      </w:r>
      <w:hyperlink w:anchor="REF_011">
        <w:r>
          <w:rPr>
            <w:rStyle w:val="Hyperlink"/>
            <w:sz w:val="16"/>
          </w:rPr>
          <w:t>[REF-011]</w:t>
        </w:r>
      </w:hyperlink>
      <w:r>
        <w:t xml:space="preserve"> </w:t>
      </w:r>
      <w:hyperlink w:anchor="REF_014">
        <w:r>
          <w:rPr>
            <w:rStyle w:val="Hyperlink"/>
            <w:sz w:val="16"/>
          </w:rPr>
          <w:t>[REF-014]</w:t>
        </w:r>
      </w:hyperlink>
    </w:p>
    <w:p>
      <w:pPr>
        <w:pStyle w:val="Heading2"/>
      </w:pPr>
      <w:r>
        <w:t>Purpose, architecture and trust boundaries</w:t>
      </w:r>
      <w:r>
        <w:t xml:space="preserve">  </w:t>
      </w:r>
      <w:hyperlink w:anchor="CONTENTS">
        <w:r>
          <w:rPr>
            <w:rStyle w:val="Hyperlink"/>
            <w:sz w:val="14"/>
          </w:rPr>
          <w:t>Back to contents</w:t>
        </w:r>
      </w:hyperlink>
    </w:p>
    <w:p>
      <w:r>
        <w:rPr>
          <w:rFonts w:ascii="Calibri" w:hAnsi="Calibri"/>
          <w:sz w:val="21"/>
        </w:rPr>
        <w:t>Visual Studio can spawn the same local npx process and therefore inherits the same endpoint execution, credential, egress, data and tool risks. Windows Credential Manager is the expected keychain provider but was not runtime-tested.</w:t>
      </w:r>
      <w:r>
        <w:t xml:space="preserve"> </w:t>
      </w:r>
      <w:hyperlink w:anchor="REF_002">
        <w:r>
          <w:rPr>
            <w:rStyle w:val="Hyperlink"/>
            <w:sz w:val="16"/>
          </w:rPr>
          <w:t>[REF-002]</w:t>
        </w:r>
      </w:hyperlink>
      <w:r>
        <w:t xml:space="preserve"> </w:t>
      </w:r>
      <w:hyperlink w:anchor="REF_011">
        <w:r>
          <w:rPr>
            <w:rStyle w:val="Hyperlink"/>
            <w:sz w:val="16"/>
          </w:rPr>
          <w:t>[REF-011]</w:t>
        </w:r>
      </w:hyperlink>
      <w:r>
        <w:t xml:space="preserve"> </w:t>
      </w:r>
      <w:hyperlink w:anchor="REF_014">
        <w:r>
          <w:rPr>
            <w:rStyle w:val="Hyperlink"/>
            <w:sz w:val="16"/>
          </w:rPr>
          <w:t>[REF-014]</w:t>
        </w:r>
      </w:hyperlink>
    </w:p>
    <w:p>
      <w:pPr>
        <w:pStyle w:val="Heading2"/>
      </w:pPr>
      <w:r>
        <w:t>Installation manifest and uninstall behaviour</w:t>
      </w:r>
      <w:r>
        <w:t xml:space="preserve">  </w:t>
      </w:r>
      <w:hyperlink w:anchor="CONTENTS">
        <w:r>
          <w:rPr>
            <w:rStyle w:val="Hyperlink"/>
            <w:sz w:val="14"/>
          </w:rPr>
          <w:t>Back to contents</w:t>
        </w:r>
      </w:hyperlink>
    </w:p>
    <w:p>
      <w:pPr>
        <w:pStyle w:val="Caption"/>
      </w:pPr>
      <w:r>
        <w:t>Table 7. Visual Studio installation and expected host state</w:t>
      </w:r>
    </w:p>
    <w:tbl>
      <w:tblPr>
        <w:tblStyle w:val="TableGrid"/>
        <w:tblW w:type="dxa" w:w="9360"/>
        <w:jc w:val="left"/>
        <w:tblLayout w:type="fixed"/>
        <w:tblLook w:firstColumn="1" w:firstRow="1" w:lastColumn="0" w:lastRow="0" w:noHBand="0" w:noVBand="1" w:val="04A0"/>
        <w:tblInd w:w="120" w:type="dxa"/>
      </w:tblPr>
      <w:tblGrid>
        <w:gridCol w:w="1800"/>
        <w:gridCol w:w="3100"/>
        <w:gridCol w:w="2400"/>
        <w:gridCol w:w="2060"/>
      </w:tblGrid>
      <w:tr>
        <w:trPr>
          <w:tblHeader w:val="true"/>
          <w:cantSplit/>
        </w:trPr>
        <w:tc>
          <w:tcPr>
            <w:tcW w:type="dxa" w:w="1800"/>
            <w:shd w:fill="D9EAF7"/>
            <w:tcMar>
              <w:top w:w="80" w:type="dxa"/>
              <w:start w:w="120" w:type="dxa"/>
              <w:bottom w:w="80" w:type="dxa"/>
              <w:end w:w="120" w:type="dxa"/>
            </w:tcMar>
            <w:vAlign w:val="center"/>
          </w:tcPr>
          <w:p>
            <w:pPr>
              <w:keepNext/>
            </w:pPr>
            <w:r>
              <w:rPr>
                <w:rFonts w:ascii="Calibri" w:hAnsi="Calibri"/>
                <w:b/>
                <w:color w:val="1F4E79"/>
                <w:sz w:val="15"/>
              </w:rPr>
              <w:t>Item</w:t>
            </w:r>
          </w:p>
        </w:tc>
        <w:tc>
          <w:tcPr>
            <w:tcW w:type="dxa" w:w="3100"/>
            <w:shd w:fill="D9EAF7"/>
            <w:tcMar>
              <w:top w:w="80" w:type="dxa"/>
              <w:start w:w="120" w:type="dxa"/>
              <w:bottom w:w="80" w:type="dxa"/>
              <w:end w:w="120" w:type="dxa"/>
            </w:tcMar>
            <w:vAlign w:val="center"/>
          </w:tcPr>
          <w:p>
            <w:pPr>
              <w:keepNext/>
            </w:pPr>
            <w:r>
              <w:rPr>
                <w:rFonts w:ascii="Calibri" w:hAnsi="Calibri"/>
                <w:b/>
                <w:color w:val="1F4E79"/>
                <w:sz w:val="15"/>
              </w:rPr>
              <w:t>Expected path/state</w:t>
            </w:r>
          </w:p>
        </w:tc>
        <w:tc>
          <w:tcPr>
            <w:tcW w:type="dxa" w:w="2400"/>
            <w:shd w:fill="D9EAF7"/>
            <w:tcMar>
              <w:top w:w="80" w:type="dxa"/>
              <w:start w:w="120" w:type="dxa"/>
              <w:bottom w:w="80" w:type="dxa"/>
              <w:end w:w="120" w:type="dxa"/>
            </w:tcMar>
            <w:vAlign w:val="center"/>
          </w:tcPr>
          <w:p>
            <w:pPr>
              <w:keepNext/>
            </w:pPr>
            <w:r>
              <w:rPr>
                <w:rFonts w:ascii="Calibri" w:hAnsi="Calibri"/>
                <w:b/>
                <w:color w:val="1F4E79"/>
                <w:sz w:val="15"/>
              </w:rPr>
              <w:t>Privilege / persistence</w:t>
            </w:r>
          </w:p>
        </w:tc>
        <w:tc>
          <w:tcPr>
            <w:tcW w:type="dxa" w:w="2060"/>
            <w:shd w:fill="D9EAF7"/>
            <w:tcMar>
              <w:top w:w="80" w:type="dxa"/>
              <w:start w:w="120" w:type="dxa"/>
              <w:bottom w:w="80" w:type="dxa"/>
              <w:end w:w="120" w:type="dxa"/>
            </w:tcMar>
            <w:vAlign w:val="center"/>
          </w:tcPr>
          <w:p>
            <w:pPr>
              <w:keepNext/>
            </w:pPr>
            <w:r>
              <w:rPr>
                <w:rFonts w:ascii="Calibri" w:hAnsi="Calibri"/>
                <w:b/>
                <w:color w:val="1F4E79"/>
                <w:sz w:val="15"/>
              </w:rPr>
              <w:t>Evidence state</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MCP configuration</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.vscode/mcp.json or Visual Studio MCP config</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Persistent; may enter source control</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Expected; not observed</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Package/runtime</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npm/npx cache plus Node.js process</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Executes as IDE user</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Archive observed; runtime not</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Token cache</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OS keychain; optional ~/.config/dynatrace-mcp/token-&lt;account&gt;.json</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OAuth access/refresh token; file mode 0600</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Verified source; host not observed</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Environment secrets</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DT_PLATFORM_TOKEN, OAUTH_CLIENT_SECRET, MCP_BEARER_TOKEN and related variables</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Process environment</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Verified manifest/source</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Telemetry egress</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bf96767wvv.bf.dynatrace.com/mbeacon by default</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Enabled unless DT_MCP_DISABLE_TELEMETRY=true</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Verified source</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HTTP listener</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127.0.0.1:3000 default when --http</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Bearer required; optional persistent service if operator creates one</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Source only; not default stdio</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Services/tasks/registry</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None created by package itself on static evidence</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Unknown if operator wraps process</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Not observed; runtime required</w:t>
            </w:r>
          </w:p>
        </w:tc>
      </w:tr>
    </w:tbl>
    <w:p>
      <w:pPr>
        <w:spacing w:after="40"/>
      </w:pPr>
    </w:p>
    <w:p>
      <w:pPr>
        <w:pStyle w:val="Heading2"/>
      </w:pPr>
      <w:r>
        <w:t>Runtime processes, network, authentication and telemetry</w:t>
      </w:r>
      <w:r>
        <w:t xml:space="preserve">  </w:t>
      </w:r>
      <w:hyperlink w:anchor="CONTENTS">
        <w:r>
          <w:rPr>
            <w:rStyle w:val="Hyperlink"/>
            <w:sz w:val="14"/>
          </w:rPr>
          <w:t>Back to contents</w:t>
        </w:r>
      </w:hyperlink>
    </w:p>
    <w:p>
      <w:r>
        <w:rPr>
          <w:rFonts w:ascii="Calibri" w:hAnsi="Calibri"/>
          <w:sz w:val="21"/>
        </w:rPr>
        <w:t>Visual Studio enterprise allowlists and per-tool confirmation may reduce risk, but the approval default and tool metadata must be host-tested. Use no global configuration and no broad service account.</w:t>
      </w:r>
      <w:r>
        <w:t xml:space="preserve"> </w:t>
      </w:r>
      <w:hyperlink w:anchor="REF_002">
        <w:r>
          <w:rPr>
            <w:rStyle w:val="Hyperlink"/>
            <w:sz w:val="16"/>
          </w:rPr>
          <w:t>[REF-002]</w:t>
        </w:r>
      </w:hyperlink>
      <w:r>
        <w:t xml:space="preserve"> </w:t>
      </w:r>
      <w:hyperlink w:anchor="REF_011">
        <w:r>
          <w:rPr>
            <w:rStyle w:val="Hyperlink"/>
            <w:sz w:val="16"/>
          </w:rPr>
          <w:t>[REF-011]</w:t>
        </w:r>
      </w:hyperlink>
      <w:r>
        <w:t xml:space="preserve"> </w:t>
      </w:r>
      <w:hyperlink w:anchor="REF_014">
        <w:r>
          <w:rPr>
            <w:rStyle w:val="Hyperlink"/>
            <w:sz w:val="16"/>
          </w:rPr>
          <w:t>[REF-014]</w:t>
        </w:r>
      </w:hyperlink>
    </w:p>
    <w:p>
      <w:r>
        <w:rPr>
          <w:rFonts w:ascii="Calibri" w:hAnsi="Calibri"/>
          <w:sz w:val="21"/>
        </w:rPr>
        <w:t>Local process logs, npm caches, keychain entries, IDE diagnostics and uninstall residue on Windows remain Unknown.</w:t>
      </w:r>
      <w:r>
        <w:t xml:space="preserve"> </w:t>
      </w:r>
      <w:hyperlink w:anchor="REF_002">
        <w:r>
          <w:rPr>
            <w:rStyle w:val="Hyperlink"/>
            <w:sz w:val="16"/>
          </w:rPr>
          <w:t>[REF-002]</w:t>
        </w:r>
      </w:hyperlink>
      <w:r>
        <w:t xml:space="preserve"> </w:t>
      </w:r>
      <w:hyperlink w:anchor="REF_011">
        <w:r>
          <w:rPr>
            <w:rStyle w:val="Hyperlink"/>
            <w:sz w:val="16"/>
          </w:rPr>
          <w:t>[REF-011]</w:t>
        </w:r>
      </w:hyperlink>
      <w:r>
        <w:t xml:space="preserve"> </w:t>
      </w:r>
      <w:hyperlink w:anchor="REF_014">
        <w:r>
          <w:rPr>
            <w:rStyle w:val="Hyperlink"/>
            <w:sz w:val="16"/>
          </w:rPr>
          <w:t>[REF-014]</w:t>
        </w:r>
      </w:hyperlink>
    </w:p>
    <w:p>
      <w:pPr>
        <w:pStyle w:val="Heading2"/>
      </w:pPr>
      <w:r>
        <w:t>MCP surface, skills and supply chain</w:t>
      </w:r>
      <w:r>
        <w:t xml:space="preserve">  </w:t>
      </w:r>
      <w:hyperlink w:anchor="CONTENTS">
        <w:r>
          <w:rPr>
            <w:rStyle w:val="Hyperlink"/>
            <w:sz w:val="14"/>
          </w:rPr>
          <w:t>Back to contents</w:t>
        </w:r>
      </w:hyperlink>
    </w:p>
    <w:p>
      <w:r>
        <w:rPr>
          <w:rFonts w:ascii="Calibri" w:hAnsi="Calibri"/>
          <w:sz w:val="21"/>
        </w:rPr>
        <w:t>No VSIX is installed, but the npx package is executable code and must be governed as software. Pin exact version and integrity; do not permit @latest.</w:t>
      </w:r>
      <w:r>
        <w:t xml:space="preserve"> </w:t>
      </w:r>
      <w:hyperlink w:anchor="REF_002">
        <w:r>
          <w:rPr>
            <w:rStyle w:val="Hyperlink"/>
            <w:sz w:val="16"/>
          </w:rPr>
          <w:t>[REF-002]</w:t>
        </w:r>
      </w:hyperlink>
      <w:r>
        <w:t xml:space="preserve"> </w:t>
      </w:r>
      <w:hyperlink w:anchor="REF_011">
        <w:r>
          <w:rPr>
            <w:rStyle w:val="Hyperlink"/>
            <w:sz w:val="16"/>
          </w:rPr>
          <w:t>[REF-011]</w:t>
        </w:r>
      </w:hyperlink>
      <w:r>
        <w:t xml:space="preserve"> </w:t>
      </w:r>
      <w:hyperlink w:anchor="REF_014">
        <w:r>
          <w:rPr>
            <w:rStyle w:val="Hyperlink"/>
            <w:sz w:val="16"/>
          </w:rPr>
          <w:t>[REF-014]</w:t>
        </w:r>
      </w:hyperlink>
    </w:p>
    <w:p>
      <w:pPr>
        <w:pStyle w:val="Heading2"/>
      </w:pPr>
      <w:r>
        <w:t>Threats, controls and framework disposition</w:t>
      </w:r>
      <w:r>
        <w:t xml:space="preserve">  </w:t>
      </w:r>
      <w:hyperlink w:anchor="CONTENTS">
        <w:r>
          <w:rPr>
            <w:rStyle w:val="Hyperlink"/>
            <w:sz w:val="14"/>
          </w:rPr>
          <w:t>Back to contents</w:t>
        </w:r>
      </w:hyperlink>
    </w:p>
    <w:p>
      <w:pPr>
        <w:pStyle w:val="Caption"/>
      </w:pPr>
      <w:r>
        <w:t>Table 8. Framework disposition and focused mappings</w:t>
      </w:r>
    </w:p>
    <w:tbl>
      <w:tblPr>
        <w:tblStyle w:val="TableGrid"/>
        <w:tblW w:type="dxa" w:w="9360"/>
        <w:jc w:val="left"/>
        <w:tblLayout w:type="fixed"/>
        <w:tblLook w:firstColumn="1" w:firstRow="1" w:lastColumn="0" w:lastRow="0" w:noHBand="0" w:noVBand="1" w:val="04A0"/>
        <w:tblInd w:w="120" w:type="dxa"/>
      </w:tblPr>
      <w:tblGrid>
        <w:gridCol w:w="2100"/>
        <w:gridCol w:w="2600"/>
        <w:gridCol w:w="4660"/>
      </w:tblGrid>
      <w:tr>
        <w:trPr>
          <w:tblHeader w:val="true"/>
          <w:cantSplit/>
        </w:trPr>
        <w:tc>
          <w:tcPr>
            <w:tcW w:type="dxa" w:w="2100"/>
            <w:shd w:fill="D9EAF7"/>
            <w:tcMar>
              <w:top w:w="80" w:type="dxa"/>
              <w:start w:w="120" w:type="dxa"/>
              <w:bottom w:w="80" w:type="dxa"/>
              <w:end w:w="120" w:type="dxa"/>
            </w:tcMar>
            <w:vAlign w:val="center"/>
          </w:tcPr>
          <w:p>
            <w:pPr>
              <w:keepNext/>
            </w:pPr>
            <w:r>
              <w:rPr>
                <w:rFonts w:ascii="Calibri" w:hAnsi="Calibri"/>
                <w:b/>
                <w:color w:val="1F4E79"/>
                <w:sz w:val="14"/>
              </w:rPr>
              <w:t>Framework</w:t>
            </w:r>
          </w:p>
        </w:tc>
        <w:tc>
          <w:tcPr>
            <w:tcW w:type="dxa" w:w="2600"/>
            <w:shd w:fill="D9EAF7"/>
            <w:tcMar>
              <w:top w:w="80" w:type="dxa"/>
              <w:start w:w="120" w:type="dxa"/>
              <w:bottom w:w="80" w:type="dxa"/>
              <w:end w:w="120" w:type="dxa"/>
            </w:tcMar>
            <w:vAlign w:val="center"/>
          </w:tcPr>
          <w:p>
            <w:pPr>
              <w:keepNext/>
            </w:pPr>
            <w:r>
              <w:rPr>
                <w:rFonts w:ascii="Calibri" w:hAnsi="Calibri"/>
                <w:b/>
                <w:color w:val="1F4E79"/>
                <w:sz w:val="14"/>
              </w:rPr>
              <w:t>Edition / disposition</w:t>
            </w:r>
          </w:p>
        </w:tc>
        <w:tc>
          <w:tcPr>
            <w:tcW w:type="dxa" w:w="4660"/>
            <w:shd w:fill="D9EAF7"/>
            <w:tcMar>
              <w:top w:w="80" w:type="dxa"/>
              <w:start w:w="120" w:type="dxa"/>
              <w:bottom w:w="80" w:type="dxa"/>
              <w:end w:w="120" w:type="dxa"/>
            </w:tcMar>
            <w:vAlign w:val="center"/>
          </w:tcPr>
          <w:p>
            <w:pPr>
              <w:keepNext/>
            </w:pPr>
            <w:r>
              <w:rPr>
                <w:rFonts w:ascii="Calibri" w:hAnsi="Calibri"/>
                <w:b/>
                <w:color w:val="1F4E79"/>
                <w:sz w:val="14"/>
              </w:rPr>
              <w:t>Applied mapping</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LLM Top 10</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2025;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LLM01/02/03/05/06/07/09/10: injection, disclosure, supply chain, output handling, agency, leakage, misinformation and consumption.</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Agentic AI</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Top 10 for Agentic Applications 2026;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ASI01-06, ASI08-09; ASI07/10 when composed with other agents.</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MCP Top 10</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v0.1 (2025), early-version guidance;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MCP01-10, especially token exposure, scope creep, tool poisoning, contextual injection, audit and shadow servers.</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MITRE ATLAS</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ATLAS-2026.06;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AML.T0051, T0010.005, T0053, T0057, T0080, T0083, T0086, T0098, T0109 and T0034.</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NIST AI RMF</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AI RMF 1.0 / AI 600-1;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GOVERN, MAP, MEASURE, MANAGE; privacy, information security, human-AI configuration, component integration and confabulation.</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CIS Controls</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v8.1;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Controls 1-8, 10, 12-13, 15-18: inventory, configuration, access, vulnerability, logging, provider lifecycle and testing.</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ISO/IEC 27001</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27001:2022 + Amd 1:2024;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Annex A 5.9, 5.12-23, 5.24-34, 8.1-16, 8.20-32.</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NCSC secure AI</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v1.1 (2023);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Secure design, development, deployment, operation and maintenance.</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ASVS</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5.0.0 Level 2;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v5.0.0-1.2.4/5, 1.3.6, 8.1.1, 8.3.1, 10.2.1, 10.2.3, 10.4.6, 12.2.1, 13.1.4, 13.2.4.</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UK GDPR / DPA 2018</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Binding law;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Arts 5, 6, 9, 13/14, 22, 25, 28, 30, 32-35 and 44-49; DPIA screening required.</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FCA / PRA</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Rules and supervisory expectations;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FCA Principles 3/11, SYSC 15A and conditional SYSC 8; PRA Fundamental Rules, SS1/21 and SS2/21.</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PECR / EU DORA / PRA SS1/23</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Conditional or not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PECR only for relevant terminal/electronic communications use; DORA not triggered by UK status; SS1/23 is banks-only.</w:t>
            </w:r>
          </w:p>
        </w:tc>
      </w:tr>
    </w:tbl>
    <w:p>
      <w:pPr>
        <w:spacing w:after="40"/>
      </w:pPr>
    </w:p>
    <w:p>
      <w:pPr>
        <w:pStyle w:val="Heading2"/>
      </w:pPr>
      <w:r>
        <w:t>Enterprise controls and host verification</w:t>
      </w:r>
      <w:r>
        <w:t xml:space="preserve">  </w:t>
      </w:r>
      <w:hyperlink w:anchor="CONTENTS">
        <w:r>
          <w:rPr>
            <w:rStyle w:val="Hyperlink"/>
            <w:sz w:val="14"/>
          </w:rPr>
          <w:t>Back to contents</w:t>
        </w:r>
      </w:hyperlink>
    </w:p>
    <w:p>
      <w:pPr>
        <w:spacing w:after="160" w:line="280" w:lineRule="auto"/>
        <w:numPr>
          <w:ilvl w:val="0"/>
          <w:numId w:val="10"/>
        </w:numPr>
      </w:pPr>
      <w:r>
        <w:rPr>
          <w:rFonts w:ascii="Calibri" w:hAnsi="Calibri"/>
          <w:sz w:val="21"/>
        </w:rPr>
        <w:t>Allowlist the exact server identity, endpoint/package version and individual tools; disable wildcard tool grants.</w:t>
      </w:r>
    </w:p>
    <w:p>
      <w:pPr>
        <w:spacing w:after="160" w:line="280" w:lineRule="auto"/>
        <w:numPr>
          <w:ilvl w:val="0"/>
          <w:numId w:val="10"/>
        </w:numPr>
      </w:pPr>
      <w:r>
        <w:rPr>
          <w:rFonts w:ascii="Calibri" w:hAnsi="Calibri"/>
          <w:sz w:val="21"/>
        </w:rPr>
        <w:t>Use task-specific least-privilege identities, short-lived credentials and negative authorization tests.</w:t>
      </w:r>
    </w:p>
    <w:p>
      <w:pPr>
        <w:spacing w:after="160" w:line="280" w:lineRule="auto"/>
        <w:numPr>
          <w:ilvl w:val="0"/>
          <w:numId w:val="10"/>
        </w:numPr>
      </w:pPr>
      <w:r>
        <w:rPr>
          <w:rFonts w:ascii="Calibri" w:hAnsi="Calibri"/>
          <w:sz w:val="21"/>
        </w:rPr>
        <w:t>Treat every log, document, problem and tool response as untrusted data; block instruction-following from retrieved content.</w:t>
      </w:r>
    </w:p>
    <w:p>
      <w:pPr>
        <w:spacing w:after="160" w:line="280" w:lineRule="auto"/>
        <w:numPr>
          <w:ilvl w:val="0"/>
          <w:numId w:val="10"/>
        </w:numPr>
      </w:pPr>
      <w:r>
        <w:rPr>
          <w:rFonts w:ascii="Calibri" w:hAnsi="Calibri"/>
          <w:sz w:val="21"/>
        </w:rPr>
        <w:t>Require human review for DQL and all consequential outputs; prohibit automated claims, pricing, underwriting or customer decisions.</w:t>
      </w:r>
    </w:p>
    <w:p>
      <w:pPr>
        <w:spacing w:after="160" w:line="280" w:lineRule="auto"/>
        <w:numPr>
          <w:ilvl w:val="0"/>
          <w:numId w:val="10"/>
        </w:numPr>
      </w:pPr>
      <w:r>
        <w:rPr>
          <w:rFonts w:ascii="Calibri" w:hAnsi="Calibri"/>
          <w:sz w:val="21"/>
        </w:rPr>
        <w:t>Export auditable invocation records; alert on server/tool/schema changes, credential misuse, broad queries, write tools and unusual cost.</w:t>
      </w:r>
    </w:p>
    <w:p>
      <w:pPr>
        <w:pStyle w:val="Heading2"/>
      </w:pPr>
      <w:r>
        <w:t>Residual risk, confidence and IDE-specific limitations</w:t>
      </w:r>
      <w:r>
        <w:t xml:space="preserve">  </w:t>
      </w:r>
      <w:hyperlink w:anchor="CONTENTS">
        <w:r>
          <w:rPr>
            <w:rStyle w:val="Hyperlink"/>
            <w:sz w:val="14"/>
          </w:rPr>
          <w:t>Back to contents</w:t>
        </w:r>
      </w:hyperlink>
    </w:p>
    <w:p>
      <w:r>
        <w:rPr>
          <w:rFonts w:ascii="Calibri" w:hAnsi="Calibri"/>
          <w:sz w:val="21"/>
        </w:rPr>
        <w:t>Confidence is Medium: primary vendor and Microsoft documentation is current, but runtime behaviour, tenant policy enforcement, client secret storage, network traces and uninstall residue were not observed. Complete the host verification plan before operational approval.</w:t>
      </w:r>
    </w:p>
    <w:p>
      <w:bookmarkStart w:id="10" w:name="SKILLS"/>
      <w:pPr>
        <w:pStyle w:val="Heading1"/>
      </w:pPr>
      <w:r>
        <w:t>Installed Agent Skills</w:t>
      </w:r>
      <w:bookmarkEnd w:id="10"/>
      <w:r>
        <w:t xml:space="preserve">  </w:t>
      </w:r>
      <w:hyperlink w:anchor="CONTENTS">
        <w:r>
          <w:rPr>
            <w:rStyle w:val="Hyperlink"/>
            <w:sz w:val="14"/>
          </w:rPr>
          <w:t>Back to contents</w:t>
        </w:r>
      </w:hyperlink>
    </w:p>
    <w:p>
      <w:r>
        <w:rPr>
          <w:rFonts w:ascii="Calibri" w:hAnsi="Calibri"/>
          <w:sz w:val="21"/>
        </w:rPr>
        <w:t>The npm archive contains no Agent Skill. The source repository contains a Cursor-only plugin skill named Dynatrace Production Investigation and a rule file, but those files are not included in the seven-file npm archive and are not installed by the assessed VS Code or Visual Studio configuration. Disposition: Not applicable to both IDEs; assess separately if a Cursor plugin or copied skill is proposed.</w:t>
      </w:r>
      <w:r>
        <w:t xml:space="preserve"> </w:t>
      </w:r>
      <w:hyperlink w:anchor="REF_012">
        <w:r>
          <w:rPr>
            <w:rStyle w:val="Hyperlink"/>
            <w:sz w:val="16"/>
          </w:rPr>
          <w:t>[REF-012]</w:t>
        </w:r>
      </w:hyperlink>
    </w:p>
    <w:p>
      <w:pPr>
        <w:pStyle w:val="Caption"/>
      </w:pPr>
      <w:r>
        <w:t>Table 9. Agent Skill disposition</w:t>
      </w:r>
    </w:p>
    <w:tbl>
      <w:tblPr>
        <w:tblStyle w:val="TableGrid"/>
        <w:tblW w:type="dxa" w:w="9360"/>
        <w:jc w:val="left"/>
        <w:tblLayout w:type="fixed"/>
        <w:tblLook w:firstColumn="1" w:firstRow="1" w:lastColumn="0" w:lastRow="0" w:noHBand="0" w:noVBand="1" w:val="04A0"/>
        <w:tblInd w:w="120" w:type="dxa"/>
      </w:tblPr>
      <w:tblGrid>
        <w:gridCol w:w="1900"/>
        <w:gridCol w:w="3000"/>
        <w:gridCol w:w="2100"/>
        <w:gridCol w:w="2360"/>
      </w:tblGrid>
      <w:tr>
        <w:trPr>
          <w:tblHeader w:val="true"/>
          <w:cantSplit/>
        </w:trPr>
        <w:tc>
          <w:tcPr>
            <w:tcW w:type="dxa" w:w="1900"/>
            <w:shd w:fill="D9EAF7"/>
            <w:tcMar>
              <w:top w:w="80" w:type="dxa"/>
              <w:start w:w="120" w:type="dxa"/>
              <w:bottom w:w="80" w:type="dxa"/>
              <w:end w:w="120" w:type="dxa"/>
            </w:tcMar>
            <w:vAlign w:val="center"/>
          </w:tcPr>
          <w:p>
            <w:pPr>
              <w:keepNext/>
            </w:pPr>
            <w:r>
              <w:rPr>
                <w:rFonts w:ascii="Calibri" w:hAnsi="Calibri"/>
                <w:b/>
                <w:color w:val="1F4E79"/>
                <w:sz w:val="14"/>
              </w:rPr>
              <w:t>Skill</w:t>
            </w:r>
          </w:p>
        </w:tc>
        <w:tc>
          <w:tcPr>
            <w:tcW w:type="dxa" w:w="3000"/>
            <w:shd w:fill="D9EAF7"/>
            <w:tcMar>
              <w:top w:w="80" w:type="dxa"/>
              <w:start w:w="120" w:type="dxa"/>
              <w:bottom w:w="80" w:type="dxa"/>
              <w:end w:w="120" w:type="dxa"/>
            </w:tcMar>
            <w:vAlign w:val="center"/>
          </w:tcPr>
          <w:p>
            <w:pPr>
              <w:keepNext/>
            </w:pPr>
            <w:r>
              <w:rPr>
                <w:rFonts w:ascii="Calibri" w:hAnsi="Calibri"/>
                <w:b/>
                <w:color w:val="1F4E79"/>
                <w:sz w:val="14"/>
              </w:rPr>
              <w:t>Path/provenance</w:t>
            </w:r>
          </w:p>
        </w:tc>
        <w:tc>
          <w:tcPr>
            <w:tcW w:type="dxa" w:w="2100"/>
            <w:shd w:fill="D9EAF7"/>
            <w:tcMar>
              <w:top w:w="80" w:type="dxa"/>
              <w:start w:w="120" w:type="dxa"/>
              <w:bottom w:w="80" w:type="dxa"/>
              <w:end w:w="120" w:type="dxa"/>
            </w:tcMar>
            <w:vAlign w:val="center"/>
          </w:tcPr>
          <w:p>
            <w:pPr>
              <w:keepNext/>
            </w:pPr>
            <w:r>
              <w:rPr>
                <w:rFonts w:ascii="Calibri" w:hAnsi="Calibri"/>
                <w:b/>
                <w:color w:val="1F4E79"/>
                <w:sz w:val="14"/>
              </w:rPr>
              <w:t>IDE applicability</w:t>
            </w:r>
          </w:p>
        </w:tc>
        <w:tc>
          <w:tcPr>
            <w:tcW w:type="dxa" w:w="2360"/>
            <w:shd w:fill="D9EAF7"/>
            <w:tcMar>
              <w:top w:w="80" w:type="dxa"/>
              <w:start w:w="120" w:type="dxa"/>
              <w:bottom w:w="80" w:type="dxa"/>
              <w:end w:w="120" w:type="dxa"/>
            </w:tcMar>
            <w:vAlign w:val="center"/>
          </w:tcPr>
          <w:p>
            <w:pPr>
              <w:keepNext/>
            </w:pPr>
            <w:r>
              <w:rPr>
                <w:rFonts w:ascii="Calibri" w:hAnsi="Calibri"/>
                <w:b/>
                <w:color w:val="1F4E79"/>
                <w:sz w:val="14"/>
              </w:rPr>
              <w:t>Decision / risk summary</w:t>
            </w:r>
          </w:p>
        </w:tc>
      </w:tr>
      <w:tr>
        <w:trPr>
          <w:cantSplit/>
        </w:trPr>
        <w:tc>
          <w:tcPr>
            <w:tcW w:type="dxa" w:w="1900"/>
            <w:tcMar>
              <w:top w:w="80" w:type="dxa"/>
              <w:start w:w="120" w:type="dxa"/>
              <w:bottom w:w="80" w:type="dxa"/>
              <w:end w:w="120" w:type="dxa"/>
            </w:tcMar>
            <w:vAlign w:val="center"/>
          </w:tcPr>
          <w:p>
            <w:pPr>
              <w:spacing w:after="20" w:line="240" w:lineRule="auto"/>
            </w:pPr>
            <w:r>
              <w:rPr>
                <w:rFonts w:ascii="Calibri" w:hAnsi="Calibri"/>
                <w:sz w:val="14"/>
              </w:rPr>
              <w:t>Dynatrace Production Investigation</w:t>
            </w:r>
          </w:p>
        </w:tc>
        <w:tc>
          <w:tcPr>
            <w:tcW w:type="dxa" w:w="3000"/>
            <w:tcMar>
              <w:top w:w="80" w:type="dxa"/>
              <w:start w:w="120" w:type="dxa"/>
              <w:bottom w:w="80" w:type="dxa"/>
              <w:end w:w="120" w:type="dxa"/>
            </w:tcMar>
            <w:vAlign w:val="center"/>
          </w:tcPr>
          <w:p>
            <w:pPr>
              <w:spacing w:after="20" w:line="240" w:lineRule="auto"/>
            </w:pPr>
            <w:r>
              <w:rPr>
                <w:rFonts w:ascii="Calibri" w:hAnsi="Calibri"/>
                <w:sz w:val="14"/>
              </w:rPr>
              <w:t>plugins/dynatrace-mcp/skills/dynatrace-investigation/SKILL.md in tag v2.1.1</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Cursor only; absent from npm archive; not installed in VS Code/Visual Studio</w:t>
            </w:r>
          </w:p>
        </w:tc>
        <w:tc>
          <w:tcPr>
            <w:tcW w:type="dxa" w:w="2360"/>
            <w:tcMar>
              <w:top w:w="80" w:type="dxa"/>
              <w:start w:w="120" w:type="dxa"/>
              <w:bottom w:w="80" w:type="dxa"/>
              <w:end w:w="120" w:type="dxa"/>
            </w:tcMar>
            <w:vAlign w:val="center"/>
          </w:tcPr>
          <w:p>
            <w:pPr>
              <w:spacing w:after="20" w:line="240" w:lineRule="auto"/>
            </w:pPr>
            <w:r>
              <w:rPr>
                <w:rFonts w:ascii="Calibri" w:hAnsi="Calibri"/>
                <w:sz w:val="14"/>
              </w:rPr>
              <w:t>Not applicable. If copied, separately govern live production queries, vulnerability data and notebook creation; mutable @latest reference is unacceptable.</w:t>
            </w:r>
          </w:p>
        </w:tc>
      </w:tr>
    </w:tbl>
    <w:p>
      <w:pPr>
        <w:spacing w:after="40"/>
      </w:pPr>
    </w:p>
    <w:p>
      <w:bookmarkStart w:id="11" w:name="CROSS_IDE"/>
      <w:pPr>
        <w:pStyle w:val="Heading1"/>
      </w:pPr>
      <w:r>
        <w:t>Cross-IDE and Composition Risk</w:t>
      </w:r>
      <w:bookmarkEnd w:id="11"/>
      <w:r>
        <w:t xml:space="preserve">  </w:t>
      </w:r>
      <w:hyperlink w:anchor="CONTENTS">
        <w:r>
          <w:rPr>
            <w:rStyle w:val="Hyperlink"/>
            <w:sz w:val="14"/>
          </w:rPr>
          <w:t>Back to contents</w:t>
        </w:r>
      </w:hyperlink>
    </w:p>
    <w:p>
      <w:pPr>
        <w:spacing w:after="160" w:line="280" w:lineRule="auto"/>
        <w:numPr>
          <w:ilvl w:val="0"/>
          <w:numId w:val="10"/>
        </w:numPr>
      </w:pPr>
      <w:r>
        <w:rPr>
          <w:rFonts w:ascii="Calibri" w:hAnsi="Calibri"/>
          <w:sz w:val="21"/>
        </w:rPr>
        <w:t>Untrusted logs and documents can goal-hijack an agent that also has email, Slack, event and notebook write tools.</w:t>
      </w:r>
      <w:r>
        <w:t xml:space="preserve"> </w:t>
      </w:r>
      <w:hyperlink w:anchor="REF_009">
        <w:r>
          <w:rPr>
            <w:rStyle w:val="Hyperlink"/>
            <w:sz w:val="16"/>
          </w:rPr>
          <w:t>[REF-009]</w:t>
        </w:r>
      </w:hyperlink>
      <w:r>
        <w:t xml:space="preserve"> </w:t>
      </w:r>
      <w:hyperlink w:anchor="REF_010">
        <w:r>
          <w:rPr>
            <w:rStyle w:val="Hyperlink"/>
            <w:sz w:val="16"/>
          </w:rPr>
          <w:t>[REF-010]</w:t>
        </w:r>
      </w:hyperlink>
    </w:p>
    <w:p>
      <w:pPr>
        <w:spacing w:after="160" w:line="280" w:lineRule="auto"/>
        <w:numPr>
          <w:ilvl w:val="0"/>
          <w:numId w:val="10"/>
        </w:numPr>
      </w:pPr>
      <w:r>
        <w:rPr>
          <w:rFonts w:ascii="Calibri" w:hAnsi="Calibri"/>
          <w:sz w:val="21"/>
        </w:rPr>
        <w:t>The package runs with user privileges and can access local environment variables, keychain APIs, network and process resources permitted to Node.js.</w:t>
      </w:r>
      <w:r>
        <w:t xml:space="preserve"> </w:t>
      </w:r>
      <w:hyperlink w:anchor="REF_009">
        <w:r>
          <w:rPr>
            <w:rStyle w:val="Hyperlink"/>
            <w:sz w:val="16"/>
          </w:rPr>
          <w:t>[REF-009]</w:t>
        </w:r>
      </w:hyperlink>
      <w:r>
        <w:t xml:space="preserve"> </w:t>
      </w:r>
      <w:hyperlink w:anchor="REF_010">
        <w:r>
          <w:rPr>
            <w:rStyle w:val="Hyperlink"/>
            <w:sz w:val="16"/>
          </w:rPr>
          <w:t>[REF-010]</w:t>
        </w:r>
      </w:hyperlink>
    </w:p>
    <w:p>
      <w:pPr>
        <w:spacing w:after="160" w:line="280" w:lineRule="auto"/>
        <w:numPr>
          <w:ilvl w:val="0"/>
          <w:numId w:val="10"/>
        </w:numPr>
      </w:pPr>
      <w:r>
        <w:rPr>
          <w:rFonts w:ascii="Calibri" w:hAnsi="Calibri"/>
          <w:sz w:val="21"/>
        </w:rPr>
        <w:t>Tool annotations are hints, not enforcement; send_email omits explicit readOnlyHint=false/destructiveHint while performing an external write.</w:t>
      </w:r>
      <w:r>
        <w:t xml:space="preserve"> </w:t>
      </w:r>
      <w:hyperlink w:anchor="REF_009">
        <w:r>
          <w:rPr>
            <w:rStyle w:val="Hyperlink"/>
            <w:sz w:val="16"/>
          </w:rPr>
          <w:t>[REF-009]</w:t>
        </w:r>
      </w:hyperlink>
      <w:r>
        <w:t xml:space="preserve"> </w:t>
      </w:r>
      <w:hyperlink w:anchor="REF_010">
        <w:r>
          <w:rPr>
            <w:rStyle w:val="Hyperlink"/>
            <w:sz w:val="16"/>
          </w:rPr>
          <w:t>[REF-010]</w:t>
        </w:r>
      </w:hyperlink>
    </w:p>
    <w:p>
      <w:pPr>
        <w:spacing w:after="160" w:line="280" w:lineRule="auto"/>
        <w:numPr>
          <w:ilvl w:val="0"/>
          <w:numId w:val="10"/>
        </w:numPr>
      </w:pPr>
      <w:r>
        <w:rPr>
          <w:rFonts w:ascii="Calibri" w:hAnsi="Calibri"/>
          <w:sz w:val="21"/>
        </w:rPr>
        <w:t>Human approval defaults to true, increasing confirmation fatigue and accidental acceptance risk.</w:t>
      </w:r>
      <w:r>
        <w:t xml:space="preserve"> </w:t>
      </w:r>
      <w:hyperlink w:anchor="REF_009">
        <w:r>
          <w:rPr>
            <w:rStyle w:val="Hyperlink"/>
            <w:sz w:val="16"/>
          </w:rPr>
          <w:t>[REF-009]</w:t>
        </w:r>
      </w:hyperlink>
      <w:r>
        <w:t xml:space="preserve"> </w:t>
      </w:r>
      <w:hyperlink w:anchor="REF_010">
        <w:r>
          <w:rPr>
            <w:rStyle w:val="Hyperlink"/>
            <w:sz w:val="16"/>
          </w:rPr>
          <w:t>[REF-010]</w:t>
        </w:r>
      </w:hyperlink>
    </w:p>
    <w:p>
      <w:pPr>
        <w:spacing w:after="160" w:line="280" w:lineRule="auto"/>
        <w:numPr>
          <w:ilvl w:val="0"/>
          <w:numId w:val="10"/>
        </w:numPr>
      </w:pPr>
      <w:r>
        <w:rPr>
          <w:rFonts w:ascii="Calibri" w:hAnsi="Calibri"/>
          <w:sz w:val="21"/>
        </w:rPr>
        <w:t>Resetting the 5,000 GB default session budget can neutralise a cost guard; client and tenant budgets must be enforced externally.</w:t>
      </w:r>
      <w:r>
        <w:t xml:space="preserve"> </w:t>
      </w:r>
      <w:hyperlink w:anchor="REF_009">
        <w:r>
          <w:rPr>
            <w:rStyle w:val="Hyperlink"/>
            <w:sz w:val="16"/>
          </w:rPr>
          <w:t>[REF-009]</w:t>
        </w:r>
      </w:hyperlink>
      <w:r>
        <w:t xml:space="preserve"> </w:t>
      </w:r>
      <w:hyperlink w:anchor="REF_010">
        <w:r>
          <w:rPr>
            <w:rStyle w:val="Hyperlink"/>
            <w:sz w:val="16"/>
          </w:rPr>
          <w:t>[REF-010]</w:t>
        </w:r>
      </w:hyperlink>
    </w:p>
    <w:p>
      <w:bookmarkStart w:id="12" w:name="PRIVACY"/>
      <w:pPr>
        <w:pStyle w:val="Heading1"/>
      </w:pPr>
      <w:r>
        <w:t>Privacy and UK Insurance Assessment</w:t>
      </w:r>
      <w:bookmarkEnd w:id="12"/>
      <w:r>
        <w:t xml:space="preserve">  </w:t>
      </w:r>
      <w:hyperlink w:anchor="CONTENTS">
        <w:r>
          <w:rPr>
            <w:rStyle w:val="Hyperlink"/>
            <w:sz w:val="14"/>
          </w:rPr>
          <w:t>Back to contents</w:t>
        </w:r>
      </w:hyperlink>
    </w:p>
    <w:p>
      <w:r>
        <w:rPr>
          <w:rFonts w:ascii="Calibri" w:hAnsi="Calibri"/>
          <w:sz w:val="21"/>
        </w:rPr>
        <w:t>Both the Dynatrace query results and default telemetry path can process personal or confidential data. Source-level error telemetry includes messages, context and truncated stack traces; claims that telemetry is anonymous are therefore insufficient without field-by-field validation. Disable default telemetry, minimise IDE/server logs, complete a DPIA, and prohibit policyholder, claims, health, payment and authentication data during any evaluation.</w:t>
      </w:r>
      <w:r>
        <w:t xml:space="preserve"> </w:t>
      </w:r>
      <w:hyperlink w:anchor="REF_006">
        <w:r>
          <w:rPr>
            <w:rStyle w:val="Hyperlink"/>
            <w:sz w:val="16"/>
          </w:rPr>
          <w:t>[REF-006]</w:t>
        </w:r>
      </w:hyperlink>
      <w:r>
        <w:t xml:space="preserve"> </w:t>
      </w:r>
      <w:hyperlink w:anchor="REF_010">
        <w:r>
          <w:rPr>
            <w:rStyle w:val="Hyperlink"/>
            <w:sz w:val="16"/>
          </w:rPr>
          <w:t>[REF-010]</w:t>
        </w:r>
      </w:hyperlink>
      <w:r>
        <w:t xml:space="preserve"> </w:t>
      </w:r>
      <w:hyperlink w:anchor="REF_026">
        <w:r>
          <w:rPr>
            <w:rStyle w:val="Hyperlink"/>
            <w:sz w:val="16"/>
          </w:rPr>
          <w:t>[REF-026]</w:t>
        </w:r>
      </w:hyperlink>
      <w:r>
        <w:t xml:space="preserve"> </w:t>
      </w:r>
      <w:hyperlink w:anchor="REF_030">
        <w:r>
          <w:rPr>
            <w:rStyle w:val="Hyperlink"/>
            <w:sz w:val="16"/>
          </w:rPr>
          <w:t>[REF-030]</w:t>
        </w:r>
      </w:hyperlink>
      <w:r>
        <w:t xml:space="preserve"> </w:t>
      </w:r>
      <w:hyperlink w:anchor="REF_031">
        <w:r>
          <w:rPr>
            <w:rStyle w:val="Hyperlink"/>
            <w:sz w:val="16"/>
          </w:rPr>
          <w:t>[REF-031]</w:t>
        </w:r>
      </w:hyperlink>
    </w:p>
    <w:p>
      <w:r>
        <w:rPr>
          <w:rFonts w:ascii="Calibri" w:hAnsi="Calibri"/>
          <w:sz w:val="21"/>
        </w:rPr>
        <w:t>The local unsupported/maintenance-mode package increases outsourcing, operational-resilience and exit risk. A firm remains accountable for materiality, mapping, scenario testing, auditability and incident response even where the arrangement is not formal outsourcing. The supported hosted alternative should be evaluated first.</w:t>
      </w:r>
      <w:r>
        <w:t xml:space="preserve"> </w:t>
      </w:r>
      <w:hyperlink w:anchor="REF_027">
        <w:r>
          <w:rPr>
            <w:rStyle w:val="Hyperlink"/>
            <w:sz w:val="16"/>
          </w:rPr>
          <w:t>[REF-027]</w:t>
        </w:r>
      </w:hyperlink>
      <w:r>
        <w:t xml:space="preserve"> </w:t>
      </w:r>
      <w:hyperlink w:anchor="REF_028">
        <w:r>
          <w:rPr>
            <w:rStyle w:val="Hyperlink"/>
            <w:sz w:val="16"/>
          </w:rPr>
          <w:t>[REF-028]</w:t>
        </w:r>
      </w:hyperlink>
      <w:r>
        <w:t xml:space="preserve"> </w:t>
      </w:r>
      <w:hyperlink w:anchor="REF_029">
        <w:r>
          <w:rPr>
            <w:rStyle w:val="Hyperlink"/>
            <w:sz w:val="16"/>
          </w:rPr>
          <w:t>[REF-029]</w:t>
        </w:r>
      </w:hyperlink>
      <w:r>
        <w:t xml:space="preserve"> </w:t>
      </w:r>
      <w:hyperlink w:anchor="REF_032">
        <w:r>
          <w:rPr>
            <w:rStyle w:val="Hyperlink"/>
            <w:sz w:val="16"/>
          </w:rPr>
          <w:t>[REF-032]</w:t>
        </w:r>
      </w:hyperlink>
      <w:r>
        <w:t xml:space="preserve"> </w:t>
      </w:r>
      <w:hyperlink w:anchor="REF_033">
        <w:r>
          <w:rPr>
            <w:rStyle w:val="Hyperlink"/>
            <w:sz w:val="16"/>
          </w:rPr>
          <w:t>[REF-033]</w:t>
        </w:r>
      </w:hyperlink>
      <w:r>
        <w:t xml:space="preserve"> </w:t>
      </w:r>
      <w:hyperlink w:anchor="REF_034">
        <w:r>
          <w:rPr>
            <w:rStyle w:val="Hyperlink"/>
            <w:sz w:val="16"/>
          </w:rPr>
          <w:t>[REF-034]</w:t>
        </w:r>
      </w:hyperlink>
    </w:p>
    <w:p>
      <w:bookmarkStart w:id="13" w:name="ROADMAP"/>
      <w:pPr>
        <w:pStyle w:val="Heading1"/>
      </w:pPr>
      <w:r>
        <w:t>Enterprise Controls Roadmap</w:t>
      </w:r>
      <w:bookmarkEnd w:id="13"/>
      <w:r>
        <w:t xml:space="preserve">  </w:t>
      </w:r>
      <w:hyperlink w:anchor="CONTENTS">
        <w:r>
          <w:rPr>
            <w:rStyle w:val="Hyperlink"/>
            <w:sz w:val="14"/>
          </w:rPr>
          <w:t>Back to contents</w:t>
        </w:r>
      </w:hyperlink>
    </w:p>
    <w:p>
      <w:pPr>
        <w:pStyle w:val="Caption"/>
      </w:pPr>
      <w:r>
        <w:t>Table 10. Prioritised control roadmap</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D9EAF7"/>
            <w:tcMar>
              <w:top w:w="80" w:type="dxa"/>
              <w:start w:w="120" w:type="dxa"/>
              <w:bottom w:w="80" w:type="dxa"/>
              <w:end w:w="120" w:type="dxa"/>
            </w:tcMar>
            <w:vAlign w:val="center"/>
          </w:tcPr>
          <w:p>
            <w:pPr>
              <w:keepNext/>
            </w:pPr>
            <w:r>
              <w:rPr>
                <w:rFonts w:ascii="Calibri" w:hAnsi="Calibri"/>
                <w:b/>
                <w:color w:val="1F4E79"/>
                <w:sz w:val="16"/>
              </w:rPr>
              <w:t>Gate</w:t>
            </w:r>
          </w:p>
        </w:tc>
        <w:tc>
          <w:tcPr>
            <w:tcW w:type="dxa" w:w="7460"/>
            <w:shd w:fill="D9EAF7"/>
            <w:tcMar>
              <w:top w:w="80" w:type="dxa"/>
              <w:start w:w="120" w:type="dxa"/>
              <w:bottom w:w="80" w:type="dxa"/>
              <w:end w:w="120" w:type="dxa"/>
            </w:tcMar>
            <w:vAlign w:val="center"/>
          </w:tcPr>
          <w:p>
            <w:pPr>
              <w:keepNext/>
            </w:pPr>
            <w:r>
              <w:rPr>
                <w:rFonts w:ascii="Calibri" w:hAnsi="Calibri"/>
                <w:b/>
                <w:color w:val="1F4E79"/>
                <w:sz w:val="16"/>
              </w:rPr>
              <w:t>Required control evidence</w:t>
            </w:r>
          </w:p>
        </w:tc>
      </w:tr>
      <w:tr>
        <w:trPr>
          <w:cantSplit/>
        </w:trPr>
        <w:tc>
          <w:tcPr>
            <w:tcW w:type="dxa" w:w="1900"/>
            <w:tcMar>
              <w:top w:w="80" w:type="dxa"/>
              <w:start w:w="120" w:type="dxa"/>
              <w:bottom w:w="80" w:type="dxa"/>
              <w:end w:w="120" w:type="dxa"/>
            </w:tcMar>
            <w:vAlign w:val="center"/>
          </w:tcPr>
          <w:p>
            <w:pPr>
              <w:spacing w:after="20" w:line="240" w:lineRule="auto"/>
            </w:pPr>
            <w:r>
              <w:rPr>
                <w:rFonts w:ascii="Calibri" w:hAnsi="Calibri"/>
                <w:sz w:val="16"/>
              </w:rPr>
              <w:t>Decision</w:t>
            </w:r>
          </w:p>
        </w:tc>
        <w:tc>
          <w:tcPr>
            <w:tcW w:type="dxa" w:w="7460"/>
            <w:tcMar>
              <w:top w:w="80" w:type="dxa"/>
              <w:start w:w="120" w:type="dxa"/>
              <w:bottom w:w="80" w:type="dxa"/>
              <w:end w:w="120" w:type="dxa"/>
            </w:tcMar>
            <w:vAlign w:val="center"/>
          </w:tcPr>
          <w:p>
            <w:pPr>
              <w:spacing w:after="20" w:line="240" w:lineRule="auto"/>
            </w:pPr>
            <w:r>
              <w:rPr>
                <w:rFonts w:ascii="Calibri" w:hAnsi="Calibri"/>
                <w:sz w:val="16"/>
              </w:rPr>
              <w:t>Reject production deployment; document supported hosted-service alternative.</w:t>
            </w:r>
          </w:p>
        </w:tc>
      </w:tr>
      <w:tr>
        <w:trPr>
          <w:cantSplit/>
        </w:trPr>
        <w:tc>
          <w:tcPr>
            <w:tcW w:type="dxa" w:w="1900"/>
            <w:tcMar>
              <w:top w:w="80" w:type="dxa"/>
              <w:start w:w="120" w:type="dxa"/>
              <w:bottom w:w="80" w:type="dxa"/>
              <w:end w:w="120" w:type="dxa"/>
            </w:tcMar>
            <w:vAlign w:val="center"/>
          </w:tcPr>
          <w:p>
            <w:pPr>
              <w:spacing w:after="20" w:line="240" w:lineRule="auto"/>
            </w:pPr>
            <w:r>
              <w:rPr>
                <w:rFonts w:ascii="Calibri" w:hAnsi="Calibri"/>
                <w:sz w:val="16"/>
              </w:rPr>
              <w:t>If evaluating</w:t>
            </w:r>
          </w:p>
        </w:tc>
        <w:tc>
          <w:tcPr>
            <w:tcW w:type="dxa" w:w="7460"/>
            <w:tcMar>
              <w:top w:w="80" w:type="dxa"/>
              <w:start w:w="120" w:type="dxa"/>
              <w:bottom w:w="80" w:type="dxa"/>
              <w:end w:w="120" w:type="dxa"/>
            </w:tcMar>
            <w:vAlign w:val="center"/>
          </w:tcPr>
          <w:p>
            <w:pPr>
              <w:spacing w:after="20" w:line="240" w:lineRule="auto"/>
            </w:pPr>
            <w:r>
              <w:rPr>
                <w:rFonts w:ascii="Calibri" w:hAnsi="Calibri"/>
                <w:sz w:val="16"/>
              </w:rPr>
              <w:t>Disposable managed endpoint, synthetic tenant/data, no production credentials, egress allowlist and rollback plan.</w:t>
            </w:r>
          </w:p>
        </w:tc>
      </w:tr>
      <w:tr>
        <w:trPr>
          <w:cantSplit/>
        </w:trPr>
        <w:tc>
          <w:tcPr>
            <w:tcW w:type="dxa" w:w="1900"/>
            <w:tcMar>
              <w:top w:w="80" w:type="dxa"/>
              <w:start w:w="120" w:type="dxa"/>
              <w:bottom w:w="80" w:type="dxa"/>
              <w:end w:w="120" w:type="dxa"/>
            </w:tcMar>
            <w:vAlign w:val="center"/>
          </w:tcPr>
          <w:p>
            <w:pPr>
              <w:spacing w:after="20" w:line="240" w:lineRule="auto"/>
            </w:pPr>
            <w:r>
              <w:rPr>
                <w:rFonts w:ascii="Calibri" w:hAnsi="Calibri"/>
                <w:sz w:val="16"/>
              </w:rPr>
              <w:t>Supply chain</w:t>
            </w:r>
          </w:p>
        </w:tc>
        <w:tc>
          <w:tcPr>
            <w:tcW w:type="dxa" w:w="7460"/>
            <w:tcMar>
              <w:top w:w="80" w:type="dxa"/>
              <w:start w:w="120" w:type="dxa"/>
              <w:bottom w:w="80" w:type="dxa"/>
              <w:end w:w="120" w:type="dxa"/>
            </w:tcMar>
            <w:vAlign w:val="center"/>
          </w:tcPr>
          <w:p>
            <w:pPr>
              <w:spacing w:after="20" w:line="240" w:lineRule="auto"/>
            </w:pPr>
            <w:r>
              <w:rPr>
                <w:rFonts w:ascii="Calibri" w:hAnsi="Calibri"/>
                <w:sz w:val="16"/>
              </w:rPr>
              <w:t>Pin 2.1.1 and SHA-512 integrity; prohibit @latest; verify SLSA provenance; mirror approved artefact; continuous advisory review.</w:t>
            </w:r>
          </w:p>
        </w:tc>
      </w:tr>
      <w:tr>
        <w:trPr>
          <w:cantSplit/>
        </w:trPr>
        <w:tc>
          <w:tcPr>
            <w:tcW w:type="dxa" w:w="1900"/>
            <w:tcMar>
              <w:top w:w="80" w:type="dxa"/>
              <w:start w:w="120" w:type="dxa"/>
              <w:bottom w:w="80" w:type="dxa"/>
              <w:end w:w="120" w:type="dxa"/>
            </w:tcMar>
            <w:vAlign w:val="center"/>
          </w:tcPr>
          <w:p>
            <w:pPr>
              <w:spacing w:after="20" w:line="240" w:lineRule="auto"/>
            </w:pPr>
            <w:r>
              <w:rPr>
                <w:rFonts w:ascii="Calibri" w:hAnsi="Calibri"/>
                <w:sz w:val="16"/>
              </w:rPr>
              <w:t>Agency</w:t>
            </w:r>
          </w:p>
        </w:tc>
        <w:tc>
          <w:tcPr>
            <w:tcW w:type="dxa" w:w="7460"/>
            <w:tcMar>
              <w:top w:w="80" w:type="dxa"/>
              <w:start w:w="120" w:type="dxa"/>
              <w:bottom w:w="80" w:type="dxa"/>
              <w:end w:w="120" w:type="dxa"/>
            </w:tcMar>
            <w:vAlign w:val="center"/>
          </w:tcPr>
          <w:p>
            <w:pPr>
              <w:spacing w:after="20" w:line="240" w:lineRule="auto"/>
            </w:pPr>
            <w:r>
              <w:rPr>
                <w:rFonts w:ascii="Calibri" w:hAnsi="Calibri"/>
                <w:sz w:val="16"/>
              </w:rPr>
              <w:t>Disable all write tools or use client allowlist; require approval default false and independent confirmation; separate read/write identities.</w:t>
            </w:r>
          </w:p>
        </w:tc>
      </w:tr>
      <w:tr>
        <w:trPr>
          <w:cantSplit/>
        </w:trPr>
        <w:tc>
          <w:tcPr>
            <w:tcW w:type="dxa" w:w="1900"/>
            <w:tcMar>
              <w:top w:w="80" w:type="dxa"/>
              <w:start w:w="120" w:type="dxa"/>
              <w:bottom w:w="80" w:type="dxa"/>
              <w:end w:w="120" w:type="dxa"/>
            </w:tcMar>
            <w:vAlign w:val="center"/>
          </w:tcPr>
          <w:p>
            <w:pPr>
              <w:spacing w:after="20" w:line="240" w:lineRule="auto"/>
            </w:pPr>
            <w:r>
              <w:rPr>
                <w:rFonts w:ascii="Calibri" w:hAnsi="Calibri"/>
                <w:sz w:val="16"/>
              </w:rPr>
              <w:t>Privacy</w:t>
            </w:r>
          </w:p>
        </w:tc>
        <w:tc>
          <w:tcPr>
            <w:tcW w:type="dxa" w:w="7460"/>
            <w:tcMar>
              <w:top w:w="80" w:type="dxa"/>
              <w:start w:w="120" w:type="dxa"/>
              <w:bottom w:w="80" w:type="dxa"/>
              <w:end w:w="120" w:type="dxa"/>
            </w:tcMar>
            <w:vAlign w:val="center"/>
          </w:tcPr>
          <w:p>
            <w:pPr>
              <w:spacing w:after="20" w:line="240" w:lineRule="auto"/>
            </w:pPr>
            <w:r>
              <w:rPr>
                <w:rFonts w:ascii="Calibri" w:hAnsi="Calibri"/>
                <w:sz w:val="16"/>
              </w:rPr>
              <w:t>DT_MCP_DISABLE_TELEMETRY=true; redact logs; DPIA; inspect token/cache removal; no claims/customer data.</w:t>
            </w:r>
          </w:p>
        </w:tc>
      </w:tr>
      <w:tr>
        <w:trPr>
          <w:cantSplit/>
        </w:trPr>
        <w:tc>
          <w:tcPr>
            <w:tcW w:type="dxa" w:w="1900"/>
            <w:tcMar>
              <w:top w:w="80" w:type="dxa"/>
              <w:start w:w="120" w:type="dxa"/>
              <w:bottom w:w="80" w:type="dxa"/>
              <w:end w:w="120" w:type="dxa"/>
            </w:tcMar>
            <w:vAlign w:val="center"/>
          </w:tcPr>
          <w:p>
            <w:pPr>
              <w:spacing w:after="20" w:line="240" w:lineRule="auto"/>
            </w:pPr>
            <w:r>
              <w:rPr>
                <w:rFonts w:ascii="Calibri" w:hAnsi="Calibri"/>
                <w:sz w:val="16"/>
              </w:rPr>
              <w:t>Operations</w:t>
            </w:r>
          </w:p>
        </w:tc>
        <w:tc>
          <w:tcPr>
            <w:tcW w:type="dxa" w:w="7460"/>
            <w:tcMar>
              <w:top w:w="80" w:type="dxa"/>
              <w:start w:w="120" w:type="dxa"/>
              <w:bottom w:w="80" w:type="dxa"/>
              <w:end w:w="120" w:type="dxa"/>
            </w:tcMar>
            <w:vAlign w:val="center"/>
          </w:tcPr>
          <w:p>
            <w:pPr>
              <w:spacing w:after="20" w:line="240" w:lineRule="auto"/>
            </w:pPr>
            <w:r>
              <w:rPr>
                <w:rFonts w:ascii="Calibri" w:hAnsi="Calibri"/>
                <w:sz w:val="16"/>
              </w:rPr>
              <w:t>Tenant-side cost quotas, immutable invocation logs, tool/schema inventory, revocation/outage/compromise scenarios and tested uninstall.</w:t>
            </w:r>
          </w:p>
        </w:tc>
      </w:tr>
    </w:tbl>
    <w:p>
      <w:pPr>
        <w:spacing w:after="40"/>
      </w:pPr>
    </w:p>
    <w:p>
      <w:bookmarkStart w:id="14" w:name="RISK_REGISTER"/>
      <w:pPr>
        <w:pStyle w:val="Heading1"/>
      </w:pPr>
      <w:r>
        <w:t>Consolidated Risk Register</w:t>
      </w:r>
      <w:bookmarkEnd w:id="14"/>
      <w:r>
        <w:t xml:space="preserve">  </w:t>
      </w:r>
      <w:hyperlink w:anchor="CONTENTS">
        <w:r>
          <w:rPr>
            <w:rStyle w:val="Hyperlink"/>
            <w:sz w:val="14"/>
          </w:rPr>
          <w:t>Back to contents</w:t>
        </w:r>
      </w:hyperlink>
    </w:p>
    <w:p>
      <w:r>
        <w:rPr>
          <w:rFonts w:ascii="Calibri" w:hAnsi="Calibri"/>
          <w:sz w:val="21"/>
        </w:rPr>
        <w:t>Legend: ID = unique finding; Risk = adverse scenario; Scope = affected component; Inherent = likelihood x impact before controls; Controls = verified control summary; Residual = re-scored likelihood x impact; Treatment = required action; Owner = accountable role. Bands: 1-4 Low, 5-9 Moderate, 10-16 High, 17-25 Critical.</w:t>
      </w:r>
    </w:p>
    <w:p>
      <w:pPr>
        <w:pStyle w:val="Caption"/>
      </w:pPr>
      <w:r>
        <w:t>Table 11. Consolidated risk register</w:t>
      </w:r>
    </w:p>
    <w:tbl>
      <w:tblPr>
        <w:tblStyle w:val="TableGrid"/>
        <w:tblW w:type="dxa" w:w="9360"/>
        <w:jc w:val="left"/>
        <w:tblLayout w:type="fixed"/>
        <w:tblLook w:firstColumn="1" w:firstRow="1" w:lastColumn="0" w:lastRow="0" w:noHBand="0" w:noVBand="1" w:val="04A0"/>
        <w:tblInd w:w="120" w:type="dxa"/>
      </w:tblPr>
      <w:tblGrid>
        <w:gridCol w:w="520"/>
        <w:gridCol w:w="1600"/>
        <w:gridCol w:w="900"/>
        <w:gridCol w:w="900"/>
        <w:gridCol w:w="1350"/>
        <w:gridCol w:w="900"/>
        <w:gridCol w:w="2050"/>
        <w:gridCol w:w="1140"/>
      </w:tblGrid>
      <w:tr>
        <w:trPr>
          <w:tblHeader w:val="true"/>
          <w:cantSplit/>
        </w:trPr>
        <w:tc>
          <w:tcPr>
            <w:tcW w:type="dxa" w:w="520"/>
            <w:shd w:fill="D9EAF7"/>
            <w:tcMar>
              <w:top w:w="80" w:type="dxa"/>
              <w:start w:w="120" w:type="dxa"/>
              <w:bottom w:w="80" w:type="dxa"/>
              <w:end w:w="120" w:type="dxa"/>
            </w:tcMar>
            <w:vAlign w:val="center"/>
          </w:tcPr>
          <w:p>
            <w:pPr>
              <w:keepNext/>
            </w:pPr>
            <w:r>
              <w:rPr>
                <w:rFonts w:ascii="Calibri" w:hAnsi="Calibri"/>
                <w:b/>
                <w:color w:val="1F4E79"/>
                <w:sz w:val="13"/>
              </w:rPr>
              <w:t>ID</w:t>
            </w:r>
          </w:p>
        </w:tc>
        <w:tc>
          <w:tcPr>
            <w:tcW w:type="dxa" w:w="1600"/>
            <w:shd w:fill="D9EAF7"/>
            <w:tcMar>
              <w:top w:w="80" w:type="dxa"/>
              <w:start w:w="120" w:type="dxa"/>
              <w:bottom w:w="80" w:type="dxa"/>
              <w:end w:w="120" w:type="dxa"/>
            </w:tcMar>
            <w:vAlign w:val="center"/>
          </w:tcPr>
          <w:p>
            <w:pPr>
              <w:keepNext/>
            </w:pPr>
            <w:r>
              <w:rPr>
                <w:rFonts w:ascii="Calibri" w:hAnsi="Calibri"/>
                <w:b/>
                <w:color w:val="1F4E79"/>
                <w:sz w:val="13"/>
              </w:rPr>
              <w:t>Risk</w:t>
            </w:r>
          </w:p>
        </w:tc>
        <w:tc>
          <w:tcPr>
            <w:tcW w:type="dxa" w:w="900"/>
            <w:shd w:fill="D9EAF7"/>
            <w:tcMar>
              <w:top w:w="80" w:type="dxa"/>
              <w:start w:w="120" w:type="dxa"/>
              <w:bottom w:w="80" w:type="dxa"/>
              <w:end w:w="120" w:type="dxa"/>
            </w:tcMar>
            <w:vAlign w:val="center"/>
          </w:tcPr>
          <w:p>
            <w:pPr>
              <w:keepNext/>
            </w:pPr>
            <w:r>
              <w:rPr>
                <w:rFonts w:ascii="Calibri" w:hAnsi="Calibri"/>
                <w:b/>
                <w:color w:val="1F4E79"/>
                <w:sz w:val="13"/>
              </w:rPr>
              <w:t>Scope</w:t>
            </w:r>
          </w:p>
        </w:tc>
        <w:tc>
          <w:tcPr>
            <w:tcW w:type="dxa" w:w="900"/>
            <w:shd w:fill="D9EAF7"/>
            <w:tcMar>
              <w:top w:w="80" w:type="dxa"/>
              <w:start w:w="120" w:type="dxa"/>
              <w:bottom w:w="80" w:type="dxa"/>
              <w:end w:w="120" w:type="dxa"/>
            </w:tcMar>
            <w:vAlign w:val="center"/>
          </w:tcPr>
          <w:p>
            <w:pPr>
              <w:keepNext/>
            </w:pPr>
            <w:r>
              <w:rPr>
                <w:rFonts w:ascii="Calibri" w:hAnsi="Calibri"/>
                <w:b/>
                <w:color w:val="1F4E79"/>
                <w:sz w:val="13"/>
              </w:rPr>
              <w:t>Inherent</w:t>
            </w:r>
          </w:p>
        </w:tc>
        <w:tc>
          <w:tcPr>
            <w:tcW w:type="dxa" w:w="1350"/>
            <w:shd w:fill="D9EAF7"/>
            <w:tcMar>
              <w:top w:w="80" w:type="dxa"/>
              <w:start w:w="120" w:type="dxa"/>
              <w:bottom w:w="80" w:type="dxa"/>
              <w:end w:w="120" w:type="dxa"/>
            </w:tcMar>
            <w:vAlign w:val="center"/>
          </w:tcPr>
          <w:p>
            <w:pPr>
              <w:keepNext/>
            </w:pPr>
            <w:r>
              <w:rPr>
                <w:rFonts w:ascii="Calibri" w:hAnsi="Calibri"/>
                <w:b/>
                <w:color w:val="1F4E79"/>
                <w:sz w:val="13"/>
              </w:rPr>
              <w:t>Controls</w:t>
            </w:r>
          </w:p>
        </w:tc>
        <w:tc>
          <w:tcPr>
            <w:tcW w:type="dxa" w:w="900"/>
            <w:shd w:fill="D9EAF7"/>
            <w:tcMar>
              <w:top w:w="80" w:type="dxa"/>
              <w:start w:w="120" w:type="dxa"/>
              <w:bottom w:w="80" w:type="dxa"/>
              <w:end w:w="120" w:type="dxa"/>
            </w:tcMar>
            <w:vAlign w:val="center"/>
          </w:tcPr>
          <w:p>
            <w:pPr>
              <w:keepNext/>
            </w:pPr>
            <w:r>
              <w:rPr>
                <w:rFonts w:ascii="Calibri" w:hAnsi="Calibri"/>
                <w:b/>
                <w:color w:val="1F4E79"/>
                <w:sz w:val="13"/>
              </w:rPr>
              <w:t>Residual</w:t>
            </w:r>
          </w:p>
        </w:tc>
        <w:tc>
          <w:tcPr>
            <w:tcW w:type="dxa" w:w="2050"/>
            <w:shd w:fill="D9EAF7"/>
            <w:tcMar>
              <w:top w:w="80" w:type="dxa"/>
              <w:start w:w="120" w:type="dxa"/>
              <w:bottom w:w="80" w:type="dxa"/>
              <w:end w:w="120" w:type="dxa"/>
            </w:tcMar>
            <w:vAlign w:val="center"/>
          </w:tcPr>
          <w:p>
            <w:pPr>
              <w:keepNext/>
            </w:pPr>
            <w:r>
              <w:rPr>
                <w:rFonts w:ascii="Calibri" w:hAnsi="Calibri"/>
                <w:b/>
                <w:color w:val="1F4E79"/>
                <w:sz w:val="13"/>
              </w:rPr>
              <w:t>Treatment</w:t>
            </w:r>
          </w:p>
        </w:tc>
        <w:tc>
          <w:tcPr>
            <w:tcW w:type="dxa" w:w="1140"/>
            <w:shd w:fill="D9EAF7"/>
            <w:tcMar>
              <w:top w:w="80" w:type="dxa"/>
              <w:start w:w="120" w:type="dxa"/>
              <w:bottom w:w="80" w:type="dxa"/>
              <w:end w:w="120" w:type="dxa"/>
            </w:tcMar>
            <w:vAlign w:val="center"/>
          </w:tcPr>
          <w:p>
            <w:pPr>
              <w:keepNext/>
            </w:pPr>
            <w:r>
              <w:rPr>
                <w:rFonts w:ascii="Calibri" w:hAnsi="Calibri"/>
                <w:b/>
                <w:color w:val="1F4E79"/>
                <w:sz w:val="13"/>
              </w:rPr>
              <w:t>Owner</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L-01</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Local package/supply-chain compromise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Endpoint</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4x5=20 Critical</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SLSA and exact release available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3x5=15 High</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Pin/hash/mirror; no @latest; isolate</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Endpoint / Supply Chain</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L-02</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Prompt injection drives write tools</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Agent/tools</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4x5=20 Critical</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Elicitation on four writes; default true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3x5=15 High</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Disable writes; approval default false; isolation</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AI Security</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L-03</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Broad data/privilege abuse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Dynatrace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4x5=20 Critical</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OAuth scopes; combined scope requests</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3x5=15 High</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Separate identities/scopes and negative tests</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IAM</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L-04</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Default telemetry disclosure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Telemetry</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4x4=16 High</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Opt-out flag; no field-level enterprise proof</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3x4=12 High</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Disable; DPIA; egress/log inspection</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DPO / Endpoint</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L-05</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Unsupported maintenance lifecycle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Product</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4x4=16 High</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Public source/security policy</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3x4=12 High</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Reject production; migrate to supported service</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Vendor Risk</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L-06</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DQL injection/regression</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Five tools</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4x5=20 Critical</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2.1.1 validation/escaping fix</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2x5=10 High</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Pin 2.1.1+; fuzz/negative tests; query policy</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AppSec</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L-07</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Token theft/persistence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Keychain/file/env</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3x5=15 High</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Keychain; file 0600; environment options</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2x5=10 High</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Short-lived OAuth; managed endpoint; removal test</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IAM / Endpoint</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L-08</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Cost/unbounded query consumption</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Grail</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4x3=12 High</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5,000 GB session budget; resettable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3x3=9 Moderate</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Tenant hard quotas, query/time/record limits</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FinOps</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L-09</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HTTP listener exposure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Optional HTTP</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3x5=15 High</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Loopback, bearer, host allowlist, 1 MiB limit</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2x4=8 Moderate</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Prohibit HTTP mode or isolate behind mTLS</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Platform Eng</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L-10</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Incorrect analysis/insurance decision</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Operations</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4x4=16 High</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Human review possible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2x4=8 Moderate</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No automated decisions; validate against source</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Business Owner</w:t>
            </w:r>
          </w:p>
        </w:tc>
      </w:tr>
    </w:tbl>
    <w:p>
      <w:pPr>
        <w:spacing w:after="40"/>
      </w:pPr>
    </w:p>
    <w:p>
      <w:pPr>
        <w:pStyle w:val="Heading2"/>
      </w:pPr>
      <w:r>
        <w:t>L-01 - Local supply-chain compromise</w:t>
      </w:r>
      <w:r>
        <w:t xml:space="preserve">  </w:t>
      </w:r>
      <w:hyperlink w:anchor="CONTENTS">
        <w:r>
          <w:rPr>
            <w:rStyle w:val="Hyperlink"/>
            <w:sz w:val="14"/>
          </w:rPr>
          <w:t>Back to contents</w:t>
        </w:r>
      </w:hyperlink>
    </w:p>
    <w:p>
      <w:r>
        <w:rPr>
          <w:rFonts w:ascii="Calibri" w:hAnsi="Calibri"/>
          <w:b/>
          <w:sz w:val="21"/>
        </w:rPr>
        <w:t xml:space="preserve">Threat scenario: </w:t>
      </w:r>
      <w:r>
        <w:rPr>
          <w:rFonts w:ascii="Calibri" w:hAnsi="Calibri"/>
          <w:sz w:val="21"/>
        </w:rPr>
        <w:t>Mutable @latest or a compromised package executes arbitrary code with the IDE user's rights.</w:t>
      </w:r>
    </w:p>
    <w:p>
      <w:r>
        <w:rPr>
          <w:rFonts w:ascii="Calibri" w:hAnsi="Calibri"/>
          <w:b/>
          <w:sz w:val="21"/>
        </w:rPr>
        <w:t xml:space="preserve">Evidence: </w:t>
      </w:r>
      <w:r>
        <w:rPr>
          <w:rFonts w:ascii="Calibri" w:hAnsi="Calibri"/>
          <w:sz w:val="21"/>
        </w:rPr>
        <w:t>EVD-001, EVD-003, EVD-004</w:t>
      </w:r>
    </w:p>
    <w:p>
      <w:r>
        <w:rPr>
          <w:rFonts w:ascii="Calibri" w:hAnsi="Calibri"/>
          <w:b/>
          <w:sz w:val="21"/>
        </w:rPr>
        <w:t xml:space="preserve">Existing controls: </w:t>
      </w:r>
      <w:r>
        <w:rPr>
          <w:rFonts w:ascii="Calibri" w:hAnsi="Calibri"/>
          <w:sz w:val="21"/>
        </w:rPr>
        <w:t>Exact v2.1.1, npm signature and SLSA provenance are available; source-to-bundle reproduction not performed.</w:t>
      </w:r>
    </w:p>
    <w:p>
      <w:r>
        <w:rPr>
          <w:rFonts w:ascii="Calibri" w:hAnsi="Calibri"/>
          <w:b/>
          <w:sz w:val="21"/>
        </w:rPr>
        <w:t xml:space="preserve">Required treatment and verification: </w:t>
      </w:r>
      <w:r>
        <w:rPr>
          <w:rFonts w:ascii="Calibri" w:hAnsi="Calibri"/>
          <w:sz w:val="21"/>
        </w:rPr>
        <w:t>Pin exact version/integrity, mirror the artefact, isolate endpoint, monitor advisories.</w:t>
      </w:r>
    </w:p>
    <w:p>
      <w:pPr>
        <w:pStyle w:val="Heading2"/>
      </w:pPr>
      <w:r>
        <w:t>L-02 - Prompt injection and excessive agency</w:t>
      </w:r>
      <w:r>
        <w:t xml:space="preserve">  </w:t>
      </w:r>
      <w:hyperlink w:anchor="CONTENTS">
        <w:r>
          <w:rPr>
            <w:rStyle w:val="Hyperlink"/>
            <w:sz w:val="14"/>
          </w:rPr>
          <w:t>Back to contents</w:t>
        </w:r>
      </w:hyperlink>
    </w:p>
    <w:p>
      <w:r>
        <w:rPr>
          <w:rFonts w:ascii="Calibri" w:hAnsi="Calibri"/>
          <w:b/>
          <w:sz w:val="21"/>
        </w:rPr>
        <w:t xml:space="preserve">Threat scenario: </w:t>
      </w:r>
      <w:r>
        <w:rPr>
          <w:rFonts w:ascii="Calibri" w:hAnsi="Calibri"/>
          <w:sz w:val="21"/>
        </w:rPr>
        <w:t>Attacker-authored telemetry directs the agent to email, post to Slack, create an event or persist a notebook.</w:t>
      </w:r>
    </w:p>
    <w:p>
      <w:r>
        <w:rPr>
          <w:rFonts w:ascii="Calibri" w:hAnsi="Calibri"/>
          <w:b/>
          <w:sz w:val="21"/>
        </w:rPr>
        <w:t xml:space="preserve">Evidence: </w:t>
      </w:r>
      <w:r>
        <w:rPr>
          <w:rFonts w:ascii="Calibri" w:hAnsi="Calibri"/>
          <w:sz w:val="21"/>
        </w:rPr>
        <w:t>EVD-006, EVD-008</w:t>
      </w:r>
    </w:p>
    <w:p>
      <w:r>
        <w:rPr>
          <w:rFonts w:ascii="Calibri" w:hAnsi="Calibri"/>
          <w:b/>
          <w:sz w:val="21"/>
        </w:rPr>
        <w:t xml:space="preserve">Existing controls: </w:t>
      </w:r>
      <w:r>
        <w:rPr>
          <w:rFonts w:ascii="Calibri" w:hAnsi="Calibri"/>
          <w:sz w:val="21"/>
        </w:rPr>
        <w:t>Write tools elicit approval, but default true and metadata gaps weaken the control.</w:t>
      </w:r>
    </w:p>
    <w:p>
      <w:r>
        <w:rPr>
          <w:rFonts w:ascii="Calibri" w:hAnsi="Calibri"/>
          <w:b/>
          <w:sz w:val="21"/>
        </w:rPr>
        <w:t xml:space="preserve">Required treatment and verification: </w:t>
      </w:r>
      <w:r>
        <w:rPr>
          <w:rFonts w:ascii="Calibri" w:hAnsi="Calibri"/>
          <w:sz w:val="21"/>
        </w:rPr>
        <w:t>Disable write tools; split identities; require approval default false and independent review.</w:t>
      </w:r>
    </w:p>
    <w:p>
      <w:pPr>
        <w:pStyle w:val="Heading2"/>
      </w:pPr>
      <w:r>
        <w:t>L-04 - Default telemetry disclosure</w:t>
      </w:r>
      <w:r>
        <w:t xml:space="preserve">  </w:t>
      </w:r>
      <w:hyperlink w:anchor="CONTENTS">
        <w:r>
          <w:rPr>
            <w:rStyle w:val="Hyperlink"/>
            <w:sz w:val="14"/>
          </w:rPr>
          <w:t>Back to contents</w:t>
        </w:r>
      </w:hyperlink>
    </w:p>
    <w:p>
      <w:r>
        <w:rPr>
          <w:rFonts w:ascii="Calibri" w:hAnsi="Calibri"/>
          <w:b/>
          <w:sz w:val="21"/>
        </w:rPr>
        <w:t xml:space="preserve">Threat scenario: </w:t>
      </w:r>
      <w:r>
        <w:rPr>
          <w:rFonts w:ascii="Calibri" w:hAnsi="Calibri"/>
          <w:sz w:val="21"/>
        </w:rPr>
        <w:t>Error fields or identifiers disclose sensitive environment context to the separate telemetry endpoint.</w:t>
      </w:r>
    </w:p>
    <w:p>
      <w:r>
        <w:rPr>
          <w:rFonts w:ascii="Calibri" w:hAnsi="Calibri"/>
          <w:b/>
          <w:sz w:val="21"/>
        </w:rPr>
        <w:t xml:space="preserve">Evidence: </w:t>
      </w:r>
      <w:r>
        <w:rPr>
          <w:rFonts w:ascii="Calibri" w:hAnsi="Calibri"/>
          <w:sz w:val="21"/>
        </w:rPr>
        <w:t>EVD-007</w:t>
      </w:r>
    </w:p>
    <w:p>
      <w:r>
        <w:rPr>
          <w:rFonts w:ascii="Calibri" w:hAnsi="Calibri"/>
          <w:b/>
          <w:sz w:val="21"/>
        </w:rPr>
        <w:t xml:space="preserve">Existing controls: </w:t>
      </w:r>
      <w:r>
        <w:rPr>
          <w:rFonts w:ascii="Calibri" w:hAnsi="Calibri"/>
          <w:sz w:val="21"/>
        </w:rPr>
        <w:t>Opt-out exists but is not secure-by-default for regulated deployments.</w:t>
      </w:r>
    </w:p>
    <w:p>
      <w:r>
        <w:rPr>
          <w:rFonts w:ascii="Calibri" w:hAnsi="Calibri"/>
          <w:b/>
          <w:sz w:val="21"/>
        </w:rPr>
        <w:t xml:space="preserve">Required treatment and verification: </w:t>
      </w:r>
      <w:r>
        <w:rPr>
          <w:rFonts w:ascii="Calibri" w:hAnsi="Calibri"/>
          <w:sz w:val="21"/>
        </w:rPr>
        <w:t>Disable telemetry, block endpoint, inspect traffic/logs in isolated runtime test and complete DPIA.</w:t>
      </w:r>
    </w:p>
    <w:p>
      <w:pPr>
        <w:pStyle w:val="Heading2"/>
      </w:pPr>
      <w:r>
        <w:t>L-06 - DQL injection</w:t>
      </w:r>
      <w:r>
        <w:t xml:space="preserve">  </w:t>
      </w:r>
      <w:hyperlink w:anchor="CONTENTS">
        <w:r>
          <w:rPr>
            <w:rStyle w:val="Hyperlink"/>
            <w:sz w:val="14"/>
          </w:rPr>
          <w:t>Back to contents</w:t>
        </w:r>
      </w:hyperlink>
    </w:p>
    <w:p>
      <w:r>
        <w:rPr>
          <w:rFonts w:ascii="Calibri" w:hAnsi="Calibri"/>
          <w:b/>
          <w:sz w:val="21"/>
        </w:rPr>
        <w:t xml:space="preserve">Threat scenario: </w:t>
      </w:r>
      <w:r>
        <w:rPr>
          <w:rFonts w:ascii="Calibri" w:hAnsi="Calibri"/>
          <w:sz w:val="21"/>
        </w:rPr>
        <w:t>Crafted filters/timeframes alter DQL pipeline semantics and broaden or corrupt queries.</w:t>
      </w:r>
    </w:p>
    <w:p>
      <w:r>
        <w:rPr>
          <w:rFonts w:ascii="Calibri" w:hAnsi="Calibri"/>
          <w:b/>
          <w:sz w:val="21"/>
        </w:rPr>
        <w:t xml:space="preserve">Evidence: </w:t>
      </w:r>
      <w:r>
        <w:rPr>
          <w:rFonts w:ascii="Calibri" w:hAnsi="Calibri"/>
          <w:sz w:val="21"/>
        </w:rPr>
        <w:t>EVD-005</w:t>
      </w:r>
    </w:p>
    <w:p>
      <w:r>
        <w:rPr>
          <w:rFonts w:ascii="Calibri" w:hAnsi="Calibri"/>
          <w:b/>
          <w:sz w:val="21"/>
        </w:rPr>
        <w:t xml:space="preserve">Existing controls: </w:t>
      </w:r>
      <w:r>
        <w:rPr>
          <w:rFonts w:ascii="Calibri" w:hAnsi="Calibri"/>
          <w:sz w:val="21"/>
        </w:rPr>
        <w:t>2.1.1 adds strict timeframe/filter validation and string escaping; bracket subqueries intentionally remain allowed and scope-bounded.</w:t>
      </w:r>
    </w:p>
    <w:p>
      <w:r>
        <w:rPr>
          <w:rFonts w:ascii="Calibri" w:hAnsi="Calibri"/>
          <w:b/>
          <w:sz w:val="21"/>
        </w:rPr>
        <w:t xml:space="preserve">Required treatment and verification: </w:t>
      </w:r>
      <w:r>
        <w:rPr>
          <w:rFonts w:ascii="Calibri" w:hAnsi="Calibri"/>
          <w:sz w:val="21"/>
        </w:rPr>
        <w:t>Pin fixed version; apply tenant query policy and adversarial negative tests.</w:t>
      </w:r>
    </w:p>
    <w:p>
      <w:bookmarkStart w:id="15" w:name="APPROVAL"/>
      <w:pPr>
        <w:pStyle w:val="Heading1"/>
      </w:pPr>
      <w:r>
        <w:t>Residual Risk and Approval</w:t>
      </w:r>
      <w:bookmarkEnd w:id="15"/>
      <w:r>
        <w:t xml:space="preserve">  </w:t>
      </w:r>
      <w:hyperlink w:anchor="CONTENTS">
        <w:r>
          <w:rPr>
            <w:rStyle w:val="Hyperlink"/>
            <w:sz w:val="14"/>
          </w:rPr>
          <w:t>Back to contents</w:t>
        </w:r>
      </w:hyperlink>
    </w:p>
    <w:p>
      <w:pPr>
        <w:spacing w:before="80" w:after="160"/>
        <w:ind w:left="173" w:right="173"/>
        <w:shd w:fill="F2F4F7"/>
        <w:pBdr>
          <w:left w:val="single" w:sz="20" w:space="8" w:color="9C0006"/>
        </w:pBdr>
      </w:pPr>
      <w:r>
        <w:rPr>
          <w:rFonts w:ascii="Calibri" w:hAnsi="Calibri"/>
          <w:b/>
          <w:color w:val="9C0006"/>
          <w:sz w:val="21"/>
        </w:rPr>
        <w:t xml:space="preserve">Approval: </w:t>
      </w:r>
      <w:r>
        <w:rPr>
          <w:rFonts w:ascii="Calibri" w:hAnsi="Calibri"/>
          <w:sz w:val="21"/>
        </w:rPr>
        <w:t>Do not approve @dynatrace-oss/dynatrace-mcp-server 2.1.1 for production UK-insurance deployment. A separately authorised, isolated static/runtime engineering evaluation may be considered only with synthetic data, pinned artefacts, default telemetry disabled and all write tools blocked. Prefer the supported hosted candidate.</w:t>
      </w:r>
    </w:p>
    <w:p>
      <w:bookmarkStart w:id="16" w:name="LIMITATIONS"/>
      <w:pPr>
        <w:pStyle w:val="Heading1"/>
      </w:pPr>
      <w:r>
        <w:t>Limitations and Confidence</w:t>
      </w:r>
      <w:bookmarkEnd w:id="16"/>
      <w:r>
        <w:t xml:space="preserve">  </w:t>
      </w:r>
      <w:hyperlink w:anchor="CONTENTS">
        <w:r>
          <w:rPr>
            <w:rStyle w:val="Hyperlink"/>
            <w:sz w:val="14"/>
          </w:rPr>
          <w:t>Back to contents</w:t>
        </w:r>
      </w:hyperlink>
    </w:p>
    <w:p>
      <w:pPr>
        <w:spacing w:after="160" w:line="280" w:lineRule="auto"/>
        <w:numPr>
          <w:ilvl w:val="0"/>
          <w:numId w:val="10"/>
        </w:numPr>
      </w:pPr>
      <w:r>
        <w:rPr>
          <w:rFonts w:ascii="Calibri" w:hAnsi="Calibri"/>
          <w:sz w:val="21"/>
        </w:rPr>
        <w:t>No package installation, dependency materialisation, server execution, OAuth authentication, IDE activation, tool invocation or network capture.</w:t>
      </w:r>
    </w:p>
    <w:p>
      <w:pPr>
        <w:spacing w:after="160" w:line="280" w:lineRule="auto"/>
        <w:numPr>
          <w:ilvl w:val="0"/>
          <w:numId w:val="10"/>
        </w:numPr>
      </w:pPr>
      <w:r>
        <w:rPr>
          <w:rFonts w:ascii="Calibri" w:hAnsi="Calibri"/>
          <w:sz w:val="21"/>
        </w:rPr>
        <w:t>No malware-focused YARA/AV/detonation or binary reverse engineering; @napi-rs/keyring native components were not materialised.</w:t>
      </w:r>
    </w:p>
    <w:p>
      <w:pPr>
        <w:spacing w:after="160" w:line="280" w:lineRule="auto"/>
        <w:numPr>
          <w:ilvl w:val="0"/>
          <w:numId w:val="10"/>
        </w:numPr>
      </w:pPr>
      <w:r>
        <w:rPr>
          <w:rFonts w:ascii="Calibri" w:hAnsi="Calibri"/>
          <w:sz w:val="21"/>
        </w:rPr>
        <w:t>npm audit is a point-in-time advisory query and clean output is not proof of safety.</w:t>
      </w:r>
    </w:p>
    <w:p>
      <w:pPr>
        <w:spacing w:after="160" w:line="280" w:lineRule="auto"/>
        <w:numPr>
          <w:ilvl w:val="0"/>
          <w:numId w:val="10"/>
        </w:numPr>
      </w:pPr>
      <w:r>
        <w:rPr>
          <w:rFonts w:ascii="Calibri" w:hAnsi="Calibri"/>
          <w:sz w:val="21"/>
        </w:rPr>
        <w:t>Source-to-published-bundle reproducibility was not tested because executing third-party build scripts was not authorised.</w:t>
      </w:r>
    </w:p>
    <w:p>
      <w:pPr>
        <w:spacing w:after="160" w:line="280" w:lineRule="auto"/>
        <w:numPr>
          <w:ilvl w:val="0"/>
          <w:numId w:val="10"/>
        </w:numPr>
      </w:pPr>
      <w:r>
        <w:rPr>
          <w:rFonts w:ascii="Calibri" w:hAnsi="Calibri"/>
          <w:sz w:val="21"/>
        </w:rPr>
        <w:t>Visual Studio behaviour, Windows Credential Manager state, host policy enforcement and uninstall residue remain Unknown.</w:t>
      </w:r>
    </w:p>
    <w:p>
      <w:bookmarkStart w:id="17" w:name="EVIDENCE"/>
      <w:pPr>
        <w:pStyle w:val="Heading1"/>
      </w:pPr>
      <w:r>
        <w:t>Evidence Register</w:t>
      </w:r>
      <w:bookmarkEnd w:id="17"/>
      <w:r>
        <w:t xml:space="preserve">  </w:t>
      </w:r>
      <w:hyperlink w:anchor="CONTENTS">
        <w:r>
          <w:rPr>
            <w:rStyle w:val="Hyperlink"/>
            <w:sz w:val="14"/>
          </w:rPr>
          <w:t>Back to contents</w:t>
        </w:r>
      </w:hyperlink>
    </w:p>
    <w:p>
      <w:pPr>
        <w:pStyle w:val="Caption"/>
      </w:pPr>
      <w:r>
        <w:t>Table 12. Evidence register</w:t>
      </w:r>
    </w:p>
    <w:tbl>
      <w:tblPr>
        <w:tblStyle w:val="TableGrid"/>
        <w:tblW w:type="dxa" w:w="9360"/>
        <w:jc w:val="left"/>
        <w:tblLayout w:type="fixed"/>
        <w:tblLook w:firstColumn="1" w:firstRow="1" w:lastColumn="0" w:lastRow="0" w:noHBand="0" w:noVBand="1" w:val="04A0"/>
        <w:tblInd w:w="120" w:type="dxa"/>
      </w:tblPr>
      <w:tblGrid>
        <w:gridCol w:w="900"/>
        <w:gridCol w:w="1200"/>
        <w:gridCol w:w="2700"/>
        <w:gridCol w:w="2100"/>
        <w:gridCol w:w="2460"/>
      </w:tblGrid>
      <w:tr>
        <w:trPr>
          <w:tblHeader w:val="true"/>
          <w:cantSplit/>
        </w:trPr>
        <w:tc>
          <w:tcPr>
            <w:tcW w:type="dxa" w:w="900"/>
            <w:shd w:fill="D9EAF7"/>
            <w:tcMar>
              <w:top w:w="80" w:type="dxa"/>
              <w:start w:w="120" w:type="dxa"/>
              <w:bottom w:w="80" w:type="dxa"/>
              <w:end w:w="120" w:type="dxa"/>
            </w:tcMar>
            <w:vAlign w:val="center"/>
          </w:tcPr>
          <w:p>
            <w:pPr>
              <w:keepNext/>
            </w:pPr>
            <w:r>
              <w:rPr>
                <w:rFonts w:ascii="Calibri" w:hAnsi="Calibri"/>
                <w:b/>
                <w:color w:val="1F4E79"/>
                <w:sz w:val="14"/>
              </w:rPr>
              <w:t>ID</w:t>
            </w:r>
          </w:p>
        </w:tc>
        <w:tc>
          <w:tcPr>
            <w:tcW w:type="dxa" w:w="1200"/>
            <w:shd w:fill="D9EAF7"/>
            <w:tcMar>
              <w:top w:w="80" w:type="dxa"/>
              <w:start w:w="120" w:type="dxa"/>
              <w:bottom w:w="80" w:type="dxa"/>
              <w:end w:w="120" w:type="dxa"/>
            </w:tcMar>
            <w:vAlign w:val="center"/>
          </w:tcPr>
          <w:p>
            <w:pPr>
              <w:keepNext/>
            </w:pPr>
            <w:r>
              <w:rPr>
                <w:rFonts w:ascii="Calibri" w:hAnsi="Calibri"/>
                <w:b/>
                <w:color w:val="1F4E79"/>
                <w:sz w:val="14"/>
              </w:rPr>
              <w:t>State</w:t>
            </w:r>
          </w:p>
        </w:tc>
        <w:tc>
          <w:tcPr>
            <w:tcW w:type="dxa" w:w="2700"/>
            <w:shd w:fill="D9EAF7"/>
            <w:tcMar>
              <w:top w:w="80" w:type="dxa"/>
              <w:start w:w="120" w:type="dxa"/>
              <w:bottom w:w="80" w:type="dxa"/>
              <w:end w:w="120" w:type="dxa"/>
            </w:tcMar>
            <w:vAlign w:val="center"/>
          </w:tcPr>
          <w:p>
            <w:pPr>
              <w:keepNext/>
            </w:pPr>
            <w:r>
              <w:rPr>
                <w:rFonts w:ascii="Calibri" w:hAnsi="Calibri"/>
                <w:b/>
                <w:color w:val="1F4E79"/>
                <w:sz w:val="14"/>
              </w:rPr>
              <w:t>Evidence</w:t>
            </w:r>
          </w:p>
        </w:tc>
        <w:tc>
          <w:tcPr>
            <w:tcW w:type="dxa" w:w="2100"/>
            <w:shd w:fill="D9EAF7"/>
            <w:tcMar>
              <w:top w:w="80" w:type="dxa"/>
              <w:start w:w="120" w:type="dxa"/>
              <w:bottom w:w="80" w:type="dxa"/>
              <w:end w:w="120" w:type="dxa"/>
            </w:tcMar>
            <w:vAlign w:val="center"/>
          </w:tcPr>
          <w:p>
            <w:pPr>
              <w:keepNext/>
            </w:pPr>
            <w:r>
              <w:rPr>
                <w:rFonts w:ascii="Calibri" w:hAnsi="Calibri"/>
                <w:b/>
                <w:color w:val="1F4E79"/>
                <w:sz w:val="14"/>
              </w:rPr>
              <w:t>Source</w:t>
            </w:r>
          </w:p>
        </w:tc>
        <w:tc>
          <w:tcPr>
            <w:tcW w:type="dxa" w:w="2460"/>
            <w:shd w:fill="D9EAF7"/>
            <w:tcMar>
              <w:top w:w="80" w:type="dxa"/>
              <w:start w:w="120" w:type="dxa"/>
              <w:bottom w:w="80" w:type="dxa"/>
              <w:end w:w="120" w:type="dxa"/>
            </w:tcMar>
            <w:vAlign w:val="center"/>
          </w:tcPr>
          <w:p>
            <w:pPr>
              <w:keepNext/>
            </w:pPr>
            <w:r>
              <w:rPr>
                <w:rFonts w:ascii="Calibri" w:hAnsi="Calibri"/>
                <w:b/>
                <w:color w:val="1F4E79"/>
                <w:sz w:val="14"/>
              </w:rPr>
              <w:t>Limitation</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EVD-001</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Verified</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npm 2.1.1 archive, integrity, size and SHA-256</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Static acquisition</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No install/execution</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EVD-002</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Verified</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Tag v2.1.1 / commit 9a5f6f86 and release asset digest</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GitHub API/release</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Release signature not host-validated</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EVD-003</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Verified</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npm SLSA provenance to release workflow/tag</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npm attestations</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Builder trust remains external</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EVD-004</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Verified</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0 current npm audit findings; 785 prod dependencies</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npm lockfile audit</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Point-in-time registry evidence</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EVD-005</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Verified</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2.1.1 DQL-injection fix and sanitizers</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Changelog/source</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No dynamic negative test</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EVD-006</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Verified</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18 tools, approval logic and annotations</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src/index.ts</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Host enforcement not tested</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EVD-007</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Verified</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Default telemetry fields/endpoint</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telemetry-openkit.ts</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Network transmission not observed</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EVD-008</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Verified</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Keychain and optional 0600 file cache</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token-cache.ts</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Host residue not observed</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EVD-009</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Not applicable</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Cursor-only skill absent from npm and assessed IDEs</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Source/package comparison</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Separate plugin proposal could change scope</w:t>
            </w:r>
          </w:p>
        </w:tc>
      </w:tr>
    </w:tbl>
    <w:p>
      <w:pPr>
        <w:spacing w:after="40"/>
      </w:pPr>
    </w:p>
    <w:p>
      <w:bookmarkStart w:id="18" w:name="REFERENCES"/>
      <w:pPr>
        <w:pStyle w:val="Heading1"/>
      </w:pPr>
      <w:r>
        <w:t>References</w:t>
      </w:r>
      <w:bookmarkEnd w:id="18"/>
      <w:r>
        <w:t xml:space="preserve">  </w:t>
      </w:r>
      <w:hyperlink w:anchor="CONTENTS">
        <w:r>
          <w:rPr>
            <w:rStyle w:val="Hyperlink"/>
            <w:sz w:val="14"/>
          </w:rPr>
          <w:t>Back to contents</w:t>
        </w:r>
      </w:hyperlink>
    </w:p>
    <w:p>
      <w:r>
        <w:rPr>
          <w:rFonts w:ascii="Calibri" w:hAnsi="Calibri"/>
          <w:sz w:val="21"/>
        </w:rPr>
        <w:t>Reference entries were accessed on 25 July 2026. In-text [REF-nnn] links jump to these entries; each source title links to the external primary source.</w:t>
      </w:r>
    </w:p>
    <w:p>
      <w:pPr>
        <w:pStyle w:val="Caption"/>
      </w:pPr>
      <w:r>
        <w:t>Table 13. Reference register</w:t>
      </w:r>
    </w:p>
    <w:tbl>
      <w:tblPr>
        <w:tblStyle w:val="TableGrid"/>
        <w:tblW w:type="dxa" w:w="9360"/>
        <w:jc w:val="left"/>
        <w:tblLayout w:type="fixed"/>
        <w:tblLook w:firstColumn="1" w:firstRow="1" w:lastColumn="0" w:lastRow="0" w:noHBand="0" w:noVBand="1" w:val="04A0"/>
        <w:tblInd w:w="120" w:type="dxa"/>
      </w:tblPr>
      <w:tblGrid>
        <w:gridCol w:w="1000"/>
        <w:gridCol w:w="5000"/>
        <w:gridCol w:w="3360"/>
      </w:tblGrid>
      <w:tr>
        <w:trPr>
          <w:tblHeader w:val="true"/>
          <w:cantSplit/>
        </w:trPr>
        <w:tc>
          <w:tcPr>
            <w:tcW w:type="dxa" w:w="1000"/>
            <w:shd w:fill="D9EAF7"/>
            <w:tcMar>
              <w:top w:w="80" w:type="dxa"/>
              <w:start w:w="120" w:type="dxa"/>
              <w:bottom w:w="80" w:type="dxa"/>
              <w:end w:w="120" w:type="dxa"/>
            </w:tcMar>
            <w:vAlign w:val="center"/>
          </w:tcPr>
          <w:p>
            <w:pPr>
              <w:keepNext/>
            </w:pPr>
            <w:r>
              <w:t>ID</w:t>
            </w:r>
          </w:p>
        </w:tc>
        <w:tc>
          <w:tcPr>
            <w:tcW w:type="dxa" w:w="5000"/>
            <w:shd w:fill="D9EAF7"/>
            <w:tcMar>
              <w:top w:w="80" w:type="dxa"/>
              <w:start w:w="120" w:type="dxa"/>
              <w:bottom w:w="80" w:type="dxa"/>
              <w:end w:w="120" w:type="dxa"/>
            </w:tcMar>
            <w:vAlign w:val="center"/>
          </w:tcPr>
          <w:p>
            <w:pPr>
              <w:keepNext/>
            </w:pPr>
            <w:r>
              <w:t>Primary source</w:t>
            </w:r>
          </w:p>
        </w:tc>
        <w:tc>
          <w:tcPr>
            <w:tcW w:type="dxa" w:w="3360"/>
            <w:shd w:fill="D9EAF7"/>
            <w:tcMar>
              <w:top w:w="80" w:type="dxa"/>
              <w:start w:w="120" w:type="dxa"/>
              <w:bottom w:w="80" w:type="dxa"/>
              <w:end w:w="120" w:type="dxa"/>
            </w:tcMar>
            <w:vAlign w:val="center"/>
          </w:tcPr>
          <w:p>
            <w:pPr>
              <w:keepNext/>
            </w:pPr>
            <w:r>
              <w:t>Applicability / status</w:t>
            </w:r>
          </w:p>
        </w:tc>
      </w:tr>
      <w:tr>
        <w:trPr>
          <w:cantSplit/>
        </w:trPr>
        <w:tc>
          <w:tcPr>
            <w:tcW w:type="dxa" w:w="1000"/>
            <w:tcMar>
              <w:top w:w="80" w:type="dxa"/>
              <w:start w:w="120" w:type="dxa"/>
              <w:bottom w:w="80" w:type="dxa"/>
              <w:end w:w="120" w:type="dxa"/>
            </w:tcMar>
            <w:vAlign w:val="center"/>
          </w:tcPr>
          <w:p>
            <w:pPr>
              <w:spacing w:after="20"/>
            </w:pPr>
            <w:bookmarkStart w:id="19" w:name="REF_001"/>
            <w:r>
              <w:rPr>
                <w:rFonts w:ascii="Calibri" w:hAnsi="Calibri"/>
                <w:sz w:val="16"/>
              </w:rPr>
              <w:t>REF-001</w:t>
            </w:r>
            <w:bookmarkEnd w:id="19"/>
          </w:p>
        </w:tc>
        <w:tc>
          <w:tcPr>
            <w:tcW w:type="dxa" w:w="5000"/>
            <w:tcMar>
              <w:top w:w="80" w:type="dxa"/>
              <w:start w:w="120" w:type="dxa"/>
              <w:bottom w:w="80" w:type="dxa"/>
              <w:end w:w="120" w:type="dxa"/>
            </w:tcMar>
            <w:vAlign w:val="center"/>
          </w:tcPr>
          <w:p>
            <w:pPr>
              <w:spacing w:after="20"/>
            </w:pPr>
            <w:hyperlink r:id="rId12">
              <w:r>
                <w:rPr>
                  <w:rStyle w:val="Hyperlink"/>
                  <w:sz w:val="16"/>
                </w:rPr>
                <w:t>npm package @dynatrace-oss/dynatrace-mcp-server</w:t>
              </w:r>
            </w:hyperlink>
          </w:p>
        </w:tc>
        <w:tc>
          <w:tcPr>
            <w:tcW w:type="dxa" w:w="3360"/>
            <w:tcMar>
              <w:top w:w="80" w:type="dxa"/>
              <w:start w:w="120" w:type="dxa"/>
              <w:bottom w:w="80" w:type="dxa"/>
              <w:end w:w="120" w:type="dxa"/>
            </w:tcMar>
            <w:vAlign w:val="center"/>
          </w:tcPr>
          <w:p>
            <w:pPr>
              <w:spacing w:after="20"/>
            </w:pPr>
            <w:r>
              <w:rPr>
                <w:rFonts w:ascii="Calibri" w:hAnsi="Calibri"/>
                <w:sz w:val="16"/>
              </w:rPr>
              <w:t>Version 2.1.1 acquired 25 July 2026</w:t>
            </w:r>
          </w:p>
        </w:tc>
      </w:tr>
      <w:tr>
        <w:trPr>
          <w:cantSplit/>
        </w:trPr>
        <w:tc>
          <w:tcPr>
            <w:tcW w:type="dxa" w:w="1000"/>
            <w:tcMar>
              <w:top w:w="80" w:type="dxa"/>
              <w:start w:w="120" w:type="dxa"/>
              <w:bottom w:w="80" w:type="dxa"/>
              <w:end w:w="120" w:type="dxa"/>
            </w:tcMar>
            <w:vAlign w:val="center"/>
          </w:tcPr>
          <w:p>
            <w:pPr>
              <w:spacing w:after="20"/>
            </w:pPr>
            <w:bookmarkStart w:id="20" w:name="REF_002"/>
            <w:r>
              <w:rPr>
                <w:rFonts w:ascii="Calibri" w:hAnsi="Calibri"/>
                <w:sz w:val="16"/>
              </w:rPr>
              <w:t>REF-002</w:t>
            </w:r>
            <w:bookmarkEnd w:id="20"/>
          </w:p>
        </w:tc>
        <w:tc>
          <w:tcPr>
            <w:tcW w:type="dxa" w:w="5000"/>
            <w:tcMar>
              <w:top w:w="80" w:type="dxa"/>
              <w:start w:w="120" w:type="dxa"/>
              <w:bottom w:w="80" w:type="dxa"/>
              <w:end w:w="120" w:type="dxa"/>
            </w:tcMar>
            <w:vAlign w:val="center"/>
          </w:tcPr>
          <w:p>
            <w:pPr>
              <w:spacing w:after="20"/>
            </w:pPr>
            <w:hyperlink r:id="rId13">
              <w:r>
                <w:rPr>
                  <w:rStyle w:val="Hyperlink"/>
                  <w:sz w:val="16"/>
                </w:rPr>
                <w:t>dynatrace-oss/dynatrace-mcp repository</w:t>
              </w:r>
            </w:hyperlink>
          </w:p>
        </w:tc>
        <w:tc>
          <w:tcPr>
            <w:tcW w:type="dxa" w:w="3360"/>
            <w:tcMar>
              <w:top w:w="80" w:type="dxa"/>
              <w:start w:w="120" w:type="dxa"/>
              <w:bottom w:w="80" w:type="dxa"/>
              <w:end w:w="120" w:type="dxa"/>
            </w:tcMar>
            <w:vAlign w:val="center"/>
          </w:tcPr>
          <w:p>
            <w:pPr>
              <w:spacing w:after="20"/>
            </w:pPr>
            <w:r>
              <w:rPr>
                <w:rFonts w:ascii="Calibri" w:hAnsi="Calibri"/>
                <w:sz w:val="16"/>
              </w:rPr>
              <w:t>Maintenance mode; not officially supported</w:t>
            </w:r>
          </w:p>
        </w:tc>
      </w:tr>
      <w:tr>
        <w:trPr>
          <w:cantSplit/>
        </w:trPr>
        <w:tc>
          <w:tcPr>
            <w:tcW w:type="dxa" w:w="1000"/>
            <w:tcMar>
              <w:top w:w="80" w:type="dxa"/>
              <w:start w:w="120" w:type="dxa"/>
              <w:bottom w:w="80" w:type="dxa"/>
              <w:end w:w="120" w:type="dxa"/>
            </w:tcMar>
            <w:vAlign w:val="center"/>
          </w:tcPr>
          <w:p>
            <w:pPr>
              <w:spacing w:after="20"/>
            </w:pPr>
            <w:bookmarkStart w:id="21" w:name="REF_003"/>
            <w:r>
              <w:rPr>
                <w:rFonts w:ascii="Calibri" w:hAnsi="Calibri"/>
                <w:sz w:val="16"/>
              </w:rPr>
              <w:t>REF-003</w:t>
            </w:r>
            <w:bookmarkEnd w:id="21"/>
          </w:p>
        </w:tc>
        <w:tc>
          <w:tcPr>
            <w:tcW w:type="dxa" w:w="5000"/>
            <w:tcMar>
              <w:top w:w="80" w:type="dxa"/>
              <w:start w:w="120" w:type="dxa"/>
              <w:bottom w:w="80" w:type="dxa"/>
              <w:end w:w="120" w:type="dxa"/>
            </w:tcMar>
            <w:vAlign w:val="center"/>
          </w:tcPr>
          <w:p>
            <w:pPr>
              <w:spacing w:after="20"/>
            </w:pPr>
            <w:hyperlink r:id="rId14">
              <w:r>
                <w:rPr>
                  <w:rStyle w:val="Hyperlink"/>
                  <w:sz w:val="16"/>
                </w:rPr>
                <w:t>Release v2.1.1</w:t>
              </w:r>
            </w:hyperlink>
          </w:p>
        </w:tc>
        <w:tc>
          <w:tcPr>
            <w:tcW w:type="dxa" w:w="3360"/>
            <w:tcMar>
              <w:top w:w="80" w:type="dxa"/>
              <w:start w:w="120" w:type="dxa"/>
              <w:bottom w:w="80" w:type="dxa"/>
              <w:end w:w="120" w:type="dxa"/>
            </w:tcMar>
            <w:vAlign w:val="center"/>
          </w:tcPr>
          <w:p>
            <w:pPr>
              <w:spacing w:after="20"/>
            </w:pPr>
            <w:r>
              <w:rPr>
                <w:rFonts w:ascii="Calibri" w:hAnsi="Calibri"/>
                <w:sz w:val="16"/>
              </w:rPr>
              <w:t>14 July 2026</w:t>
            </w:r>
          </w:p>
        </w:tc>
      </w:tr>
      <w:tr>
        <w:trPr>
          <w:cantSplit/>
        </w:trPr>
        <w:tc>
          <w:tcPr>
            <w:tcW w:type="dxa" w:w="1000"/>
            <w:tcMar>
              <w:top w:w="80" w:type="dxa"/>
              <w:start w:w="120" w:type="dxa"/>
              <w:bottom w:w="80" w:type="dxa"/>
              <w:end w:w="120" w:type="dxa"/>
            </w:tcMar>
            <w:vAlign w:val="center"/>
          </w:tcPr>
          <w:p>
            <w:pPr>
              <w:spacing w:after="20"/>
            </w:pPr>
            <w:bookmarkStart w:id="22" w:name="REF_004"/>
            <w:r>
              <w:rPr>
                <w:rFonts w:ascii="Calibri" w:hAnsi="Calibri"/>
                <w:sz w:val="16"/>
              </w:rPr>
              <w:t>REF-004</w:t>
            </w:r>
            <w:bookmarkEnd w:id="22"/>
          </w:p>
        </w:tc>
        <w:tc>
          <w:tcPr>
            <w:tcW w:type="dxa" w:w="5000"/>
            <w:tcMar>
              <w:top w:w="80" w:type="dxa"/>
              <w:start w:w="120" w:type="dxa"/>
              <w:bottom w:w="80" w:type="dxa"/>
              <w:end w:w="120" w:type="dxa"/>
            </w:tcMar>
            <w:vAlign w:val="center"/>
          </w:tcPr>
          <w:p>
            <w:pPr>
              <w:spacing w:after="20"/>
            </w:pPr>
            <w:hyperlink r:id="rId15">
              <w:r>
                <w:rPr>
                  <w:rStyle w:val="Hyperlink"/>
                  <w:sz w:val="16"/>
                </w:rPr>
                <w:t>Source tag v2.1.1</w:t>
              </w:r>
            </w:hyperlink>
          </w:p>
        </w:tc>
        <w:tc>
          <w:tcPr>
            <w:tcW w:type="dxa" w:w="3360"/>
            <w:tcMar>
              <w:top w:w="80" w:type="dxa"/>
              <w:start w:w="120" w:type="dxa"/>
              <w:bottom w:w="80" w:type="dxa"/>
              <w:end w:w="120" w:type="dxa"/>
            </w:tcMar>
            <w:vAlign w:val="center"/>
          </w:tcPr>
          <w:p>
            <w:pPr>
              <w:spacing w:after="20"/>
            </w:pPr>
            <w:r>
              <w:rPr>
                <w:rFonts w:ascii="Calibri" w:hAnsi="Calibri"/>
                <w:sz w:val="16"/>
              </w:rPr>
              <w:t>Commit 9a5f6f86...</w:t>
            </w:r>
          </w:p>
        </w:tc>
      </w:tr>
      <w:tr>
        <w:trPr>
          <w:cantSplit/>
        </w:trPr>
        <w:tc>
          <w:tcPr>
            <w:tcW w:type="dxa" w:w="1000"/>
            <w:tcMar>
              <w:top w:w="80" w:type="dxa"/>
              <w:start w:w="120" w:type="dxa"/>
              <w:bottom w:w="80" w:type="dxa"/>
              <w:end w:w="120" w:type="dxa"/>
            </w:tcMar>
            <w:vAlign w:val="center"/>
          </w:tcPr>
          <w:p>
            <w:pPr>
              <w:spacing w:after="20"/>
            </w:pPr>
            <w:bookmarkStart w:id="23" w:name="REF_005"/>
            <w:r>
              <w:rPr>
                <w:rFonts w:ascii="Calibri" w:hAnsi="Calibri"/>
                <w:sz w:val="16"/>
              </w:rPr>
              <w:t>REF-005</w:t>
            </w:r>
            <w:bookmarkEnd w:id="23"/>
          </w:p>
        </w:tc>
        <w:tc>
          <w:tcPr>
            <w:tcW w:type="dxa" w:w="5000"/>
            <w:tcMar>
              <w:top w:w="80" w:type="dxa"/>
              <w:start w:w="120" w:type="dxa"/>
              <w:bottom w:w="80" w:type="dxa"/>
              <w:end w:w="120" w:type="dxa"/>
            </w:tcMar>
            <w:vAlign w:val="center"/>
          </w:tcPr>
          <w:p>
            <w:pPr>
              <w:spacing w:after="20"/>
            </w:pPr>
            <w:hyperlink r:id="rId16">
              <w:r>
                <w:rPr>
                  <w:rStyle w:val="Hyperlink"/>
                  <w:sz w:val="16"/>
                </w:rPr>
                <w:t>CHANGELOG v2.1.1</w:t>
              </w:r>
            </w:hyperlink>
          </w:p>
        </w:tc>
        <w:tc>
          <w:tcPr>
            <w:tcW w:type="dxa" w:w="3360"/>
            <w:tcMar>
              <w:top w:w="80" w:type="dxa"/>
              <w:start w:w="120" w:type="dxa"/>
              <w:bottom w:w="80" w:type="dxa"/>
              <w:end w:w="120" w:type="dxa"/>
            </w:tcMar>
            <w:vAlign w:val="center"/>
          </w:tcPr>
          <w:p>
            <w:pPr>
              <w:spacing w:after="20"/>
            </w:pPr>
            <w:r>
              <w:rPr>
                <w:rFonts w:ascii="Calibri" w:hAnsi="Calibri"/>
                <w:sz w:val="16"/>
              </w:rPr>
              <w:t>Security fix and lifecycle history</w:t>
            </w:r>
          </w:p>
        </w:tc>
      </w:tr>
      <w:tr>
        <w:trPr>
          <w:cantSplit/>
        </w:trPr>
        <w:tc>
          <w:tcPr>
            <w:tcW w:type="dxa" w:w="1000"/>
            <w:tcMar>
              <w:top w:w="80" w:type="dxa"/>
              <w:start w:w="120" w:type="dxa"/>
              <w:bottom w:w="80" w:type="dxa"/>
              <w:end w:w="120" w:type="dxa"/>
            </w:tcMar>
            <w:vAlign w:val="center"/>
          </w:tcPr>
          <w:p>
            <w:pPr>
              <w:spacing w:after="20"/>
            </w:pPr>
            <w:bookmarkStart w:id="24" w:name="REF_006"/>
            <w:r>
              <w:rPr>
                <w:rFonts w:ascii="Calibri" w:hAnsi="Calibri"/>
                <w:sz w:val="16"/>
              </w:rPr>
              <w:t>REF-006</w:t>
            </w:r>
            <w:bookmarkEnd w:id="24"/>
          </w:p>
        </w:tc>
        <w:tc>
          <w:tcPr>
            <w:tcW w:type="dxa" w:w="5000"/>
            <w:tcMar>
              <w:top w:w="80" w:type="dxa"/>
              <w:start w:w="120" w:type="dxa"/>
              <w:bottom w:w="80" w:type="dxa"/>
              <w:end w:w="120" w:type="dxa"/>
            </w:tcMar>
            <w:vAlign w:val="center"/>
          </w:tcPr>
          <w:p>
            <w:pPr>
              <w:spacing w:after="20"/>
            </w:pPr>
            <w:hyperlink r:id="rId17">
              <w:r>
                <w:rPr>
                  <w:rStyle w:val="Hyperlink"/>
                  <w:sz w:val="16"/>
                </w:rPr>
                <w:t>Local server README</w:t>
              </w:r>
            </w:hyperlink>
          </w:p>
        </w:tc>
        <w:tc>
          <w:tcPr>
            <w:tcW w:type="dxa" w:w="3360"/>
            <w:tcMar>
              <w:top w:w="80" w:type="dxa"/>
              <w:start w:w="120" w:type="dxa"/>
              <w:bottom w:w="80" w:type="dxa"/>
              <w:end w:w="120" w:type="dxa"/>
            </w:tcMar>
            <w:vAlign w:val="center"/>
          </w:tcPr>
          <w:p>
            <w:pPr>
              <w:spacing w:after="20"/>
            </w:pPr>
            <w:r>
              <w:rPr>
                <w:rFonts w:ascii="Calibri" w:hAnsi="Calibri"/>
                <w:sz w:val="16"/>
              </w:rPr>
              <w:t>Configuration, scopes, telemetry and support</w:t>
            </w:r>
          </w:p>
        </w:tc>
      </w:tr>
      <w:tr>
        <w:trPr>
          <w:cantSplit/>
        </w:trPr>
        <w:tc>
          <w:tcPr>
            <w:tcW w:type="dxa" w:w="1000"/>
            <w:tcMar>
              <w:top w:w="80" w:type="dxa"/>
              <w:start w:w="120" w:type="dxa"/>
              <w:bottom w:w="80" w:type="dxa"/>
              <w:end w:w="120" w:type="dxa"/>
            </w:tcMar>
            <w:vAlign w:val="center"/>
          </w:tcPr>
          <w:p>
            <w:pPr>
              <w:spacing w:after="20"/>
            </w:pPr>
            <w:bookmarkStart w:id="25" w:name="REF_007"/>
            <w:r>
              <w:rPr>
                <w:rFonts w:ascii="Calibri" w:hAnsi="Calibri"/>
                <w:sz w:val="16"/>
              </w:rPr>
              <w:t>REF-007</w:t>
            </w:r>
            <w:bookmarkEnd w:id="25"/>
          </w:p>
        </w:tc>
        <w:tc>
          <w:tcPr>
            <w:tcW w:type="dxa" w:w="5000"/>
            <w:tcMar>
              <w:top w:w="80" w:type="dxa"/>
              <w:start w:w="120" w:type="dxa"/>
              <w:bottom w:w="80" w:type="dxa"/>
              <w:end w:w="120" w:type="dxa"/>
            </w:tcMar>
            <w:vAlign w:val="center"/>
          </w:tcPr>
          <w:p>
            <w:pPr>
              <w:spacing w:after="20"/>
            </w:pPr>
            <w:hyperlink r:id="rId18">
              <w:r>
                <w:rPr>
                  <w:rStyle w:val="Hyperlink"/>
                  <w:sz w:val="16"/>
                </w:rPr>
                <w:t>Security policy</w:t>
              </w:r>
            </w:hyperlink>
          </w:p>
        </w:tc>
        <w:tc>
          <w:tcPr>
            <w:tcW w:type="dxa" w:w="3360"/>
            <w:tcMar>
              <w:top w:w="80" w:type="dxa"/>
              <w:start w:w="120" w:type="dxa"/>
              <w:bottom w:w="80" w:type="dxa"/>
              <w:end w:w="120" w:type="dxa"/>
            </w:tcMar>
            <w:vAlign w:val="center"/>
          </w:tcPr>
          <w:p>
            <w:pPr>
              <w:spacing w:after="20"/>
            </w:pPr>
            <w:r>
              <w:rPr>
                <w:rFonts w:ascii="Calibri" w:hAnsi="Calibri"/>
                <w:sz w:val="16"/>
              </w:rPr>
              <w:t>Reporting/support evidence</w:t>
            </w:r>
          </w:p>
        </w:tc>
      </w:tr>
      <w:tr>
        <w:trPr>
          <w:cantSplit/>
        </w:trPr>
        <w:tc>
          <w:tcPr>
            <w:tcW w:type="dxa" w:w="1000"/>
            <w:tcMar>
              <w:top w:w="80" w:type="dxa"/>
              <w:start w:w="120" w:type="dxa"/>
              <w:bottom w:w="80" w:type="dxa"/>
              <w:end w:w="120" w:type="dxa"/>
            </w:tcMar>
            <w:vAlign w:val="center"/>
          </w:tcPr>
          <w:p>
            <w:pPr>
              <w:spacing w:after="20"/>
            </w:pPr>
            <w:bookmarkStart w:id="26" w:name="REF_008"/>
            <w:r>
              <w:rPr>
                <w:rFonts w:ascii="Calibri" w:hAnsi="Calibri"/>
                <w:sz w:val="16"/>
              </w:rPr>
              <w:t>REF-008</w:t>
            </w:r>
            <w:bookmarkEnd w:id="26"/>
          </w:p>
        </w:tc>
        <w:tc>
          <w:tcPr>
            <w:tcW w:type="dxa" w:w="5000"/>
            <w:tcMar>
              <w:top w:w="80" w:type="dxa"/>
              <w:start w:w="120" w:type="dxa"/>
              <w:bottom w:w="80" w:type="dxa"/>
              <w:end w:w="120" w:type="dxa"/>
            </w:tcMar>
            <w:vAlign w:val="center"/>
          </w:tcPr>
          <w:p>
            <w:pPr>
              <w:spacing w:after="20"/>
            </w:pPr>
            <w:hyperlink r:id="rId19">
              <w:r>
                <w:rPr>
                  <w:rStyle w:val="Hyperlink"/>
                  <w:sz w:val="16"/>
                </w:rPr>
                <w:t>npm provenance attestations for 2.1.1</w:t>
              </w:r>
            </w:hyperlink>
          </w:p>
        </w:tc>
        <w:tc>
          <w:tcPr>
            <w:tcW w:type="dxa" w:w="3360"/>
            <w:tcMar>
              <w:top w:w="80" w:type="dxa"/>
              <w:start w:w="120" w:type="dxa"/>
              <w:bottom w:w="80" w:type="dxa"/>
              <w:end w:w="120" w:type="dxa"/>
            </w:tcMar>
            <w:vAlign w:val="center"/>
          </w:tcPr>
          <w:p>
            <w:pPr>
              <w:spacing w:after="20"/>
            </w:pPr>
            <w:r>
              <w:rPr>
                <w:rFonts w:ascii="Calibri" w:hAnsi="Calibri"/>
                <w:sz w:val="16"/>
              </w:rPr>
              <w:t>SLSA and publish attestations</w:t>
            </w:r>
          </w:p>
        </w:tc>
      </w:tr>
      <w:tr>
        <w:trPr>
          <w:cantSplit/>
        </w:trPr>
        <w:tc>
          <w:tcPr>
            <w:tcW w:type="dxa" w:w="1000"/>
            <w:tcMar>
              <w:top w:w="80" w:type="dxa"/>
              <w:start w:w="120" w:type="dxa"/>
              <w:bottom w:w="80" w:type="dxa"/>
              <w:end w:w="120" w:type="dxa"/>
            </w:tcMar>
            <w:vAlign w:val="center"/>
          </w:tcPr>
          <w:p>
            <w:pPr>
              <w:spacing w:after="20"/>
            </w:pPr>
            <w:bookmarkStart w:id="27" w:name="REF_009"/>
            <w:r>
              <w:rPr>
                <w:rFonts w:ascii="Calibri" w:hAnsi="Calibri"/>
                <w:sz w:val="16"/>
              </w:rPr>
              <w:t>REF-009</w:t>
            </w:r>
            <w:bookmarkEnd w:id="27"/>
          </w:p>
        </w:tc>
        <w:tc>
          <w:tcPr>
            <w:tcW w:type="dxa" w:w="5000"/>
            <w:tcMar>
              <w:top w:w="80" w:type="dxa"/>
              <w:start w:w="120" w:type="dxa"/>
              <w:bottom w:w="80" w:type="dxa"/>
              <w:end w:w="120" w:type="dxa"/>
            </w:tcMar>
            <w:vAlign w:val="center"/>
          </w:tcPr>
          <w:p>
            <w:pPr>
              <w:spacing w:after="20"/>
            </w:pPr>
            <w:hyperlink r:id="rId20">
              <w:r>
                <w:rPr>
                  <w:rStyle w:val="Hyperlink"/>
                  <w:sz w:val="16"/>
                </w:rPr>
                <w:t>Local server tool registration source</w:t>
              </w:r>
            </w:hyperlink>
          </w:p>
        </w:tc>
        <w:tc>
          <w:tcPr>
            <w:tcW w:type="dxa" w:w="3360"/>
            <w:tcMar>
              <w:top w:w="80" w:type="dxa"/>
              <w:start w:w="120" w:type="dxa"/>
              <w:bottom w:w="80" w:type="dxa"/>
              <w:end w:w="120" w:type="dxa"/>
            </w:tcMar>
            <w:vAlign w:val="center"/>
          </w:tcPr>
          <w:p>
            <w:pPr>
              <w:spacing w:after="20"/>
            </w:pPr>
            <w:r>
              <w:rPr>
                <w:rFonts w:ascii="Calibri" w:hAnsi="Calibri"/>
                <w:sz w:val="16"/>
              </w:rPr>
              <w:t>Tool schemas, approvals and HTTP mode</w:t>
            </w:r>
          </w:p>
        </w:tc>
      </w:tr>
      <w:tr>
        <w:trPr>
          <w:cantSplit/>
        </w:trPr>
        <w:tc>
          <w:tcPr>
            <w:tcW w:type="dxa" w:w="1000"/>
            <w:tcMar>
              <w:top w:w="80" w:type="dxa"/>
              <w:start w:w="120" w:type="dxa"/>
              <w:bottom w:w="80" w:type="dxa"/>
              <w:end w:w="120" w:type="dxa"/>
            </w:tcMar>
            <w:vAlign w:val="center"/>
          </w:tcPr>
          <w:p>
            <w:pPr>
              <w:spacing w:after="20"/>
            </w:pPr>
            <w:bookmarkStart w:id="28" w:name="REF_010"/>
            <w:r>
              <w:rPr>
                <w:rFonts w:ascii="Calibri" w:hAnsi="Calibri"/>
                <w:sz w:val="16"/>
              </w:rPr>
              <w:t>REF-010</w:t>
            </w:r>
            <w:bookmarkEnd w:id="28"/>
          </w:p>
        </w:tc>
        <w:tc>
          <w:tcPr>
            <w:tcW w:type="dxa" w:w="5000"/>
            <w:tcMar>
              <w:top w:w="80" w:type="dxa"/>
              <w:start w:w="120" w:type="dxa"/>
              <w:bottom w:w="80" w:type="dxa"/>
              <w:end w:w="120" w:type="dxa"/>
            </w:tcMar>
            <w:vAlign w:val="center"/>
          </w:tcPr>
          <w:p>
            <w:pPr>
              <w:spacing w:after="20"/>
            </w:pPr>
            <w:hyperlink r:id="rId21">
              <w:r>
                <w:rPr>
                  <w:rStyle w:val="Hyperlink"/>
                  <w:sz w:val="16"/>
                </w:rPr>
                <w:t>Local server telemetry source</w:t>
              </w:r>
            </w:hyperlink>
          </w:p>
        </w:tc>
        <w:tc>
          <w:tcPr>
            <w:tcW w:type="dxa" w:w="3360"/>
            <w:tcMar>
              <w:top w:w="80" w:type="dxa"/>
              <w:start w:w="120" w:type="dxa"/>
              <w:bottom w:w="80" w:type="dxa"/>
              <w:end w:w="120" w:type="dxa"/>
            </w:tcMar>
            <w:vAlign w:val="center"/>
          </w:tcPr>
          <w:p>
            <w:pPr>
              <w:spacing w:after="20"/>
            </w:pPr>
            <w:r>
              <w:rPr>
                <w:rFonts w:ascii="Calibri" w:hAnsi="Calibri"/>
                <w:sz w:val="16"/>
              </w:rPr>
              <w:t>Default telemetry fields and endpoint</w:t>
            </w:r>
          </w:p>
        </w:tc>
      </w:tr>
      <w:tr>
        <w:trPr>
          <w:cantSplit/>
        </w:trPr>
        <w:tc>
          <w:tcPr>
            <w:tcW w:type="dxa" w:w="1000"/>
            <w:tcMar>
              <w:top w:w="80" w:type="dxa"/>
              <w:start w:w="120" w:type="dxa"/>
              <w:bottom w:w="80" w:type="dxa"/>
              <w:end w:w="120" w:type="dxa"/>
            </w:tcMar>
            <w:vAlign w:val="center"/>
          </w:tcPr>
          <w:p>
            <w:pPr>
              <w:spacing w:after="20"/>
            </w:pPr>
            <w:bookmarkStart w:id="29" w:name="REF_011"/>
            <w:r>
              <w:rPr>
                <w:rFonts w:ascii="Calibri" w:hAnsi="Calibri"/>
                <w:sz w:val="16"/>
              </w:rPr>
              <w:t>REF-011</w:t>
            </w:r>
            <w:bookmarkEnd w:id="29"/>
          </w:p>
        </w:tc>
        <w:tc>
          <w:tcPr>
            <w:tcW w:type="dxa" w:w="5000"/>
            <w:tcMar>
              <w:top w:w="80" w:type="dxa"/>
              <w:start w:w="120" w:type="dxa"/>
              <w:bottom w:w="80" w:type="dxa"/>
              <w:end w:w="120" w:type="dxa"/>
            </w:tcMar>
            <w:vAlign w:val="center"/>
          </w:tcPr>
          <w:p>
            <w:pPr>
              <w:spacing w:after="20"/>
            </w:pPr>
            <w:hyperlink r:id="rId22">
              <w:r>
                <w:rPr>
                  <w:rStyle w:val="Hyperlink"/>
                  <w:sz w:val="16"/>
                </w:rPr>
                <w:t>Local token-cache source</w:t>
              </w:r>
            </w:hyperlink>
          </w:p>
        </w:tc>
        <w:tc>
          <w:tcPr>
            <w:tcW w:type="dxa" w:w="3360"/>
            <w:tcMar>
              <w:top w:w="80" w:type="dxa"/>
              <w:start w:w="120" w:type="dxa"/>
              <w:bottom w:w="80" w:type="dxa"/>
              <w:end w:w="120" w:type="dxa"/>
            </w:tcMar>
            <w:vAlign w:val="center"/>
          </w:tcPr>
          <w:p>
            <w:pPr>
              <w:spacing w:after="20"/>
            </w:pPr>
            <w:r>
              <w:rPr>
                <w:rFonts w:ascii="Calibri" w:hAnsi="Calibri"/>
                <w:sz w:val="16"/>
              </w:rPr>
              <w:t>Keychain/file persistence</w:t>
            </w:r>
          </w:p>
        </w:tc>
      </w:tr>
      <w:tr>
        <w:trPr>
          <w:cantSplit/>
        </w:trPr>
        <w:tc>
          <w:tcPr>
            <w:tcW w:type="dxa" w:w="1000"/>
            <w:tcMar>
              <w:top w:w="80" w:type="dxa"/>
              <w:start w:w="120" w:type="dxa"/>
              <w:bottom w:w="80" w:type="dxa"/>
              <w:end w:w="120" w:type="dxa"/>
            </w:tcMar>
            <w:vAlign w:val="center"/>
          </w:tcPr>
          <w:p>
            <w:pPr>
              <w:spacing w:after="20"/>
            </w:pPr>
            <w:bookmarkStart w:id="30" w:name="REF_012"/>
            <w:r>
              <w:rPr>
                <w:rFonts w:ascii="Calibri" w:hAnsi="Calibri"/>
                <w:sz w:val="16"/>
              </w:rPr>
              <w:t>REF-012</w:t>
            </w:r>
            <w:bookmarkEnd w:id="30"/>
          </w:p>
        </w:tc>
        <w:tc>
          <w:tcPr>
            <w:tcW w:type="dxa" w:w="5000"/>
            <w:tcMar>
              <w:top w:w="80" w:type="dxa"/>
              <w:start w:w="120" w:type="dxa"/>
              <w:bottom w:w="80" w:type="dxa"/>
              <w:end w:w="120" w:type="dxa"/>
            </w:tcMar>
            <w:vAlign w:val="center"/>
          </w:tcPr>
          <w:p>
            <w:pPr>
              <w:spacing w:after="20"/>
            </w:pPr>
            <w:hyperlink r:id="rId23">
              <w:r>
                <w:rPr>
                  <w:rStyle w:val="Hyperlink"/>
                  <w:sz w:val="16"/>
                </w:rPr>
                <w:t>Cursor Dynatrace investigation skill</w:t>
              </w:r>
            </w:hyperlink>
          </w:p>
        </w:tc>
        <w:tc>
          <w:tcPr>
            <w:tcW w:type="dxa" w:w="3360"/>
            <w:tcMar>
              <w:top w:w="80" w:type="dxa"/>
              <w:start w:w="120" w:type="dxa"/>
              <w:bottom w:w="80" w:type="dxa"/>
              <w:end w:w="120" w:type="dxa"/>
            </w:tcMar>
            <w:vAlign w:val="center"/>
          </w:tcPr>
          <w:p>
            <w:pPr>
              <w:spacing w:after="20"/>
            </w:pPr>
            <w:r>
              <w:rPr>
                <w:rFonts w:ascii="Calibri" w:hAnsi="Calibri"/>
                <w:sz w:val="16"/>
              </w:rPr>
              <w:t>Not applicable to assessed IDEs</w:t>
            </w:r>
          </w:p>
        </w:tc>
      </w:tr>
      <w:tr>
        <w:trPr>
          <w:cantSplit/>
        </w:trPr>
        <w:tc>
          <w:tcPr>
            <w:tcW w:type="dxa" w:w="1000"/>
            <w:tcMar>
              <w:top w:w="80" w:type="dxa"/>
              <w:start w:w="120" w:type="dxa"/>
              <w:bottom w:w="80" w:type="dxa"/>
              <w:end w:w="120" w:type="dxa"/>
            </w:tcMar>
            <w:vAlign w:val="center"/>
          </w:tcPr>
          <w:p>
            <w:pPr>
              <w:spacing w:after="20"/>
            </w:pPr>
            <w:bookmarkStart w:id="31" w:name="REF_013"/>
            <w:r>
              <w:rPr>
                <w:rFonts w:ascii="Calibri" w:hAnsi="Calibri"/>
                <w:sz w:val="16"/>
              </w:rPr>
              <w:t>REF-013</w:t>
            </w:r>
            <w:bookmarkEnd w:id="31"/>
          </w:p>
        </w:tc>
        <w:tc>
          <w:tcPr>
            <w:tcW w:type="dxa" w:w="5000"/>
            <w:tcMar>
              <w:top w:w="80" w:type="dxa"/>
              <w:start w:w="120" w:type="dxa"/>
              <w:bottom w:w="80" w:type="dxa"/>
              <w:end w:w="120" w:type="dxa"/>
            </w:tcMar>
            <w:vAlign w:val="center"/>
          </w:tcPr>
          <w:p>
            <w:pPr>
              <w:spacing w:after="20"/>
            </w:pPr>
            <w:hyperlink r:id="rId24">
              <w:r>
                <w:rPr>
                  <w:rStyle w:val="Hyperlink"/>
                  <w:sz w:val="16"/>
                </w:rPr>
                <w:t>DQL sanitizer source</w:t>
              </w:r>
            </w:hyperlink>
          </w:p>
        </w:tc>
        <w:tc>
          <w:tcPr>
            <w:tcW w:type="dxa" w:w="3360"/>
            <w:tcMar>
              <w:top w:w="80" w:type="dxa"/>
              <w:start w:w="120" w:type="dxa"/>
              <w:bottom w:w="80" w:type="dxa"/>
              <w:end w:w="120" w:type="dxa"/>
            </w:tcMar>
            <w:vAlign w:val="center"/>
          </w:tcPr>
          <w:p>
            <w:pPr>
              <w:spacing w:after="20"/>
            </w:pPr>
            <w:r>
              <w:rPr>
                <w:rFonts w:ascii="Calibri" w:hAnsi="Calibri"/>
                <w:sz w:val="16"/>
              </w:rPr>
              <w:t>2.1.1 validation controls</w:t>
            </w:r>
          </w:p>
        </w:tc>
      </w:tr>
      <w:tr>
        <w:trPr>
          <w:cantSplit/>
        </w:trPr>
        <w:tc>
          <w:tcPr>
            <w:tcW w:type="dxa" w:w="1000"/>
            <w:tcMar>
              <w:top w:w="80" w:type="dxa"/>
              <w:start w:w="120" w:type="dxa"/>
              <w:bottom w:w="80" w:type="dxa"/>
              <w:end w:w="120" w:type="dxa"/>
            </w:tcMar>
            <w:vAlign w:val="center"/>
          </w:tcPr>
          <w:p>
            <w:pPr>
              <w:spacing w:after="20"/>
            </w:pPr>
            <w:bookmarkStart w:id="32" w:name="REF_014"/>
            <w:r>
              <w:rPr>
                <w:rFonts w:ascii="Calibri" w:hAnsi="Calibri"/>
                <w:sz w:val="16"/>
              </w:rPr>
              <w:t>REF-014</w:t>
            </w:r>
            <w:bookmarkEnd w:id="32"/>
          </w:p>
        </w:tc>
        <w:tc>
          <w:tcPr>
            <w:tcW w:type="dxa" w:w="5000"/>
            <w:tcMar>
              <w:top w:w="80" w:type="dxa"/>
              <w:start w:w="120" w:type="dxa"/>
              <w:bottom w:w="80" w:type="dxa"/>
              <w:end w:w="120" w:type="dxa"/>
            </w:tcMar>
            <w:vAlign w:val="center"/>
          </w:tcPr>
          <w:p>
            <w:pPr>
              <w:spacing w:after="20"/>
            </w:pPr>
            <w:hyperlink r:id="rId25">
              <w:r>
                <w:rPr>
                  <w:rStyle w:val="Hyperlink"/>
                  <w:sz w:val="16"/>
                </w:rPr>
                <w:t>Use MCP servers in Visual Studio</w:t>
              </w:r>
            </w:hyperlink>
          </w:p>
        </w:tc>
        <w:tc>
          <w:tcPr>
            <w:tcW w:type="dxa" w:w="3360"/>
            <w:tcMar>
              <w:top w:w="80" w:type="dxa"/>
              <w:start w:w="120" w:type="dxa"/>
              <w:bottom w:w="80" w:type="dxa"/>
              <w:end w:w="120" w:type="dxa"/>
            </w:tcMar>
            <w:vAlign w:val="center"/>
          </w:tcPr>
          <w:p>
            <w:pPr>
              <w:spacing w:after="20"/>
            </w:pPr>
            <w:r>
              <w:rPr>
                <w:rFonts w:ascii="Calibri" w:hAnsi="Calibri"/>
                <w:sz w:val="16"/>
              </w:rPr>
              <w:t>Visual Studio 2026 / 2022 17.14+</w:t>
            </w:r>
          </w:p>
        </w:tc>
      </w:tr>
      <w:tr>
        <w:trPr>
          <w:cantSplit/>
        </w:trPr>
        <w:tc>
          <w:tcPr>
            <w:tcW w:type="dxa" w:w="1000"/>
            <w:tcMar>
              <w:top w:w="80" w:type="dxa"/>
              <w:start w:w="120" w:type="dxa"/>
              <w:bottom w:w="80" w:type="dxa"/>
              <w:end w:w="120" w:type="dxa"/>
            </w:tcMar>
            <w:vAlign w:val="center"/>
          </w:tcPr>
          <w:p>
            <w:pPr>
              <w:spacing w:after="20"/>
            </w:pPr>
            <w:bookmarkStart w:id="33" w:name="REF_015"/>
            <w:r>
              <w:rPr>
                <w:rFonts w:ascii="Calibri" w:hAnsi="Calibri"/>
                <w:sz w:val="16"/>
              </w:rPr>
              <w:t>REF-015</w:t>
            </w:r>
            <w:bookmarkEnd w:id="33"/>
          </w:p>
        </w:tc>
        <w:tc>
          <w:tcPr>
            <w:tcW w:type="dxa" w:w="5000"/>
            <w:tcMar>
              <w:top w:w="80" w:type="dxa"/>
              <w:start w:w="120" w:type="dxa"/>
              <w:bottom w:w="80" w:type="dxa"/>
              <w:end w:w="120" w:type="dxa"/>
            </w:tcMar>
            <w:vAlign w:val="center"/>
          </w:tcPr>
          <w:p>
            <w:pPr>
              <w:spacing w:after="20"/>
            </w:pPr>
            <w:hyperlink r:id="rId26">
              <w:r>
                <w:rPr>
                  <w:rStyle w:val="Hyperlink"/>
                  <w:sz w:val="16"/>
                </w:rPr>
                <w:t>VS Code MCP server management</w:t>
              </w:r>
            </w:hyperlink>
          </w:p>
        </w:tc>
        <w:tc>
          <w:tcPr>
            <w:tcW w:type="dxa" w:w="3360"/>
            <w:tcMar>
              <w:top w:w="80" w:type="dxa"/>
              <w:start w:w="120" w:type="dxa"/>
              <w:bottom w:w="80" w:type="dxa"/>
              <w:end w:w="120" w:type="dxa"/>
            </w:tcMar>
            <w:vAlign w:val="center"/>
          </w:tcPr>
          <w:p>
            <w:pPr>
              <w:spacing w:after="20"/>
            </w:pPr>
            <w:r>
              <w:rPr>
                <w:rFonts w:ascii="Calibri" w:hAnsi="Calibri"/>
                <w:sz w:val="16"/>
              </w:rPr>
              <w:t>MCP trust and sandbox controls</w:t>
            </w:r>
          </w:p>
        </w:tc>
      </w:tr>
      <w:tr>
        <w:trPr>
          <w:cantSplit/>
        </w:trPr>
        <w:tc>
          <w:tcPr>
            <w:tcW w:type="dxa" w:w="1000"/>
            <w:tcMar>
              <w:top w:w="80" w:type="dxa"/>
              <w:start w:w="120" w:type="dxa"/>
              <w:bottom w:w="80" w:type="dxa"/>
              <w:end w:w="120" w:type="dxa"/>
            </w:tcMar>
            <w:vAlign w:val="center"/>
          </w:tcPr>
          <w:p>
            <w:pPr>
              <w:spacing w:after="20"/>
            </w:pPr>
            <w:bookmarkStart w:id="34" w:name="REF_016"/>
            <w:r>
              <w:rPr>
                <w:rFonts w:ascii="Calibri" w:hAnsi="Calibri"/>
                <w:sz w:val="16"/>
              </w:rPr>
              <w:t>REF-016</w:t>
            </w:r>
            <w:bookmarkEnd w:id="34"/>
          </w:p>
        </w:tc>
        <w:tc>
          <w:tcPr>
            <w:tcW w:type="dxa" w:w="5000"/>
            <w:tcMar>
              <w:top w:w="80" w:type="dxa"/>
              <w:start w:w="120" w:type="dxa"/>
              <w:bottom w:w="80" w:type="dxa"/>
              <w:end w:w="120" w:type="dxa"/>
            </w:tcMar>
            <w:vAlign w:val="center"/>
          </w:tcPr>
          <w:p>
            <w:pPr>
              <w:spacing w:after="20"/>
            </w:pPr>
            <w:hyperlink r:id="rId27">
              <w:r>
                <w:rPr>
                  <w:rStyle w:val="Hyperlink"/>
                  <w:sz w:val="16"/>
                </w:rPr>
                <w:t>OWASP Top 10 for LLM Applications 2025</w:t>
              </w:r>
            </w:hyperlink>
          </w:p>
        </w:tc>
        <w:tc>
          <w:tcPr>
            <w:tcW w:type="dxa" w:w="3360"/>
            <w:tcMar>
              <w:top w:w="80" w:type="dxa"/>
              <w:start w:w="120" w:type="dxa"/>
              <w:bottom w:w="80" w:type="dxa"/>
              <w:end w:w="120" w:type="dxa"/>
            </w:tcMar>
            <w:vAlign w:val="center"/>
          </w:tcPr>
          <w:p>
            <w:pPr>
              <w:spacing w:after="20"/>
            </w:pPr>
            <w:r>
              <w:rPr>
                <w:rFonts w:ascii="Calibri" w:hAnsi="Calibri"/>
                <w:sz w:val="16"/>
              </w:rPr>
              <w:t>2025 voluntary guidance</w:t>
            </w:r>
          </w:p>
        </w:tc>
      </w:tr>
      <w:tr>
        <w:trPr>
          <w:cantSplit/>
        </w:trPr>
        <w:tc>
          <w:tcPr>
            <w:tcW w:type="dxa" w:w="1000"/>
            <w:tcMar>
              <w:top w:w="80" w:type="dxa"/>
              <w:start w:w="120" w:type="dxa"/>
              <w:bottom w:w="80" w:type="dxa"/>
              <w:end w:w="120" w:type="dxa"/>
            </w:tcMar>
            <w:vAlign w:val="center"/>
          </w:tcPr>
          <w:p>
            <w:pPr>
              <w:spacing w:after="20"/>
            </w:pPr>
            <w:bookmarkStart w:id="35" w:name="REF_017"/>
            <w:r>
              <w:rPr>
                <w:rFonts w:ascii="Calibri" w:hAnsi="Calibri"/>
                <w:sz w:val="16"/>
              </w:rPr>
              <w:t>REF-017</w:t>
            </w:r>
            <w:bookmarkEnd w:id="35"/>
          </w:p>
        </w:tc>
        <w:tc>
          <w:tcPr>
            <w:tcW w:type="dxa" w:w="5000"/>
            <w:tcMar>
              <w:top w:w="80" w:type="dxa"/>
              <w:start w:w="120" w:type="dxa"/>
              <w:bottom w:w="80" w:type="dxa"/>
              <w:end w:w="120" w:type="dxa"/>
            </w:tcMar>
            <w:vAlign w:val="center"/>
          </w:tcPr>
          <w:p>
            <w:pPr>
              <w:spacing w:after="20"/>
            </w:pPr>
            <w:hyperlink r:id="rId28">
              <w:r>
                <w:rPr>
                  <w:rStyle w:val="Hyperlink"/>
                  <w:sz w:val="16"/>
                </w:rPr>
                <w:t>OWASP Top 10 for Agentic Applications</w:t>
              </w:r>
            </w:hyperlink>
          </w:p>
        </w:tc>
        <w:tc>
          <w:tcPr>
            <w:tcW w:type="dxa" w:w="3360"/>
            <w:tcMar>
              <w:top w:w="80" w:type="dxa"/>
              <w:start w:w="120" w:type="dxa"/>
              <w:bottom w:w="80" w:type="dxa"/>
              <w:end w:w="120" w:type="dxa"/>
            </w:tcMar>
            <w:vAlign w:val="center"/>
          </w:tcPr>
          <w:p>
            <w:pPr>
              <w:spacing w:after="20"/>
            </w:pPr>
            <w:r>
              <w:rPr>
                <w:rFonts w:ascii="Calibri" w:hAnsi="Calibri"/>
                <w:sz w:val="16"/>
              </w:rPr>
              <w:t>2026 voluntary guidance</w:t>
            </w:r>
          </w:p>
        </w:tc>
      </w:tr>
      <w:tr>
        <w:trPr>
          <w:cantSplit/>
        </w:trPr>
        <w:tc>
          <w:tcPr>
            <w:tcW w:type="dxa" w:w="1000"/>
            <w:tcMar>
              <w:top w:w="80" w:type="dxa"/>
              <w:start w:w="120" w:type="dxa"/>
              <w:bottom w:w="80" w:type="dxa"/>
              <w:end w:w="120" w:type="dxa"/>
            </w:tcMar>
            <w:vAlign w:val="center"/>
          </w:tcPr>
          <w:p>
            <w:pPr>
              <w:spacing w:after="20"/>
            </w:pPr>
            <w:bookmarkStart w:id="36" w:name="REF_018"/>
            <w:r>
              <w:rPr>
                <w:rFonts w:ascii="Calibri" w:hAnsi="Calibri"/>
                <w:sz w:val="16"/>
              </w:rPr>
              <w:t>REF-018</w:t>
            </w:r>
            <w:bookmarkEnd w:id="36"/>
          </w:p>
        </w:tc>
        <w:tc>
          <w:tcPr>
            <w:tcW w:type="dxa" w:w="5000"/>
            <w:tcMar>
              <w:top w:w="80" w:type="dxa"/>
              <w:start w:w="120" w:type="dxa"/>
              <w:bottom w:w="80" w:type="dxa"/>
              <w:end w:w="120" w:type="dxa"/>
            </w:tcMar>
            <w:vAlign w:val="center"/>
          </w:tcPr>
          <w:p>
            <w:pPr>
              <w:spacing w:after="20"/>
            </w:pPr>
            <w:hyperlink r:id="rId29">
              <w:r>
                <w:rPr>
                  <w:rStyle w:val="Hyperlink"/>
                  <w:sz w:val="16"/>
                </w:rPr>
                <w:t>OWASP MCP Top 10</w:t>
              </w:r>
            </w:hyperlink>
          </w:p>
        </w:tc>
        <w:tc>
          <w:tcPr>
            <w:tcW w:type="dxa" w:w="3360"/>
            <w:tcMar>
              <w:top w:w="80" w:type="dxa"/>
              <w:start w:w="120" w:type="dxa"/>
              <w:bottom w:w="80" w:type="dxa"/>
              <w:end w:w="120" w:type="dxa"/>
            </w:tcMar>
            <w:vAlign w:val="center"/>
          </w:tcPr>
          <w:p>
            <w:pPr>
              <w:spacing w:after="20"/>
            </w:pPr>
            <w:r>
              <w:rPr>
                <w:rFonts w:ascii="Calibri" w:hAnsi="Calibri"/>
                <w:sz w:val="16"/>
              </w:rPr>
              <w:t>v0.1 (2025), early-version guidance</w:t>
            </w:r>
          </w:p>
        </w:tc>
      </w:tr>
      <w:tr>
        <w:trPr>
          <w:cantSplit/>
        </w:trPr>
        <w:tc>
          <w:tcPr>
            <w:tcW w:type="dxa" w:w="1000"/>
            <w:tcMar>
              <w:top w:w="80" w:type="dxa"/>
              <w:start w:w="120" w:type="dxa"/>
              <w:bottom w:w="80" w:type="dxa"/>
              <w:end w:w="120" w:type="dxa"/>
            </w:tcMar>
            <w:vAlign w:val="center"/>
          </w:tcPr>
          <w:p>
            <w:pPr>
              <w:spacing w:after="20"/>
            </w:pPr>
            <w:bookmarkStart w:id="37" w:name="REF_019"/>
            <w:r>
              <w:rPr>
                <w:rFonts w:ascii="Calibri" w:hAnsi="Calibri"/>
                <w:sz w:val="16"/>
              </w:rPr>
              <w:t>REF-019</w:t>
            </w:r>
            <w:bookmarkEnd w:id="37"/>
          </w:p>
        </w:tc>
        <w:tc>
          <w:tcPr>
            <w:tcW w:type="dxa" w:w="5000"/>
            <w:tcMar>
              <w:top w:w="80" w:type="dxa"/>
              <w:start w:w="120" w:type="dxa"/>
              <w:bottom w:w="80" w:type="dxa"/>
              <w:end w:w="120" w:type="dxa"/>
            </w:tcMar>
            <w:vAlign w:val="center"/>
          </w:tcPr>
          <w:p>
            <w:pPr>
              <w:spacing w:after="20"/>
            </w:pPr>
            <w:hyperlink r:id="rId30">
              <w:r>
                <w:rPr>
                  <w:rStyle w:val="Hyperlink"/>
                  <w:sz w:val="16"/>
                </w:rPr>
                <w:t>OWASP Application Security Verification Standard</w:t>
              </w:r>
            </w:hyperlink>
          </w:p>
        </w:tc>
        <w:tc>
          <w:tcPr>
            <w:tcW w:type="dxa" w:w="3360"/>
            <w:tcMar>
              <w:top w:w="80" w:type="dxa"/>
              <w:start w:w="120" w:type="dxa"/>
              <w:bottom w:w="80" w:type="dxa"/>
              <w:end w:w="120" w:type="dxa"/>
            </w:tcMar>
            <w:vAlign w:val="center"/>
          </w:tcPr>
          <w:p>
            <w:pPr>
              <w:spacing w:after="20"/>
            </w:pPr>
            <w:r>
              <w:rPr>
                <w:rFonts w:ascii="Calibri" w:hAnsi="Calibri"/>
                <w:sz w:val="16"/>
              </w:rPr>
              <w:t>Latest stable 5.0.0</w:t>
            </w:r>
          </w:p>
        </w:tc>
      </w:tr>
      <w:tr>
        <w:trPr>
          <w:cantSplit/>
        </w:trPr>
        <w:tc>
          <w:tcPr>
            <w:tcW w:type="dxa" w:w="1000"/>
            <w:tcMar>
              <w:top w:w="80" w:type="dxa"/>
              <w:start w:w="120" w:type="dxa"/>
              <w:bottom w:w="80" w:type="dxa"/>
              <w:end w:w="120" w:type="dxa"/>
            </w:tcMar>
            <w:vAlign w:val="center"/>
          </w:tcPr>
          <w:p>
            <w:pPr>
              <w:spacing w:after="20"/>
            </w:pPr>
            <w:bookmarkStart w:id="38" w:name="REF_020"/>
            <w:r>
              <w:rPr>
                <w:rFonts w:ascii="Calibri" w:hAnsi="Calibri"/>
                <w:sz w:val="16"/>
              </w:rPr>
              <w:t>REF-020</w:t>
            </w:r>
            <w:bookmarkEnd w:id="38"/>
          </w:p>
        </w:tc>
        <w:tc>
          <w:tcPr>
            <w:tcW w:type="dxa" w:w="5000"/>
            <w:tcMar>
              <w:top w:w="80" w:type="dxa"/>
              <w:start w:w="120" w:type="dxa"/>
              <w:bottom w:w="80" w:type="dxa"/>
              <w:end w:w="120" w:type="dxa"/>
            </w:tcMar>
            <w:vAlign w:val="center"/>
          </w:tcPr>
          <w:p>
            <w:pPr>
              <w:spacing w:after="20"/>
            </w:pPr>
            <w:hyperlink r:id="rId31">
              <w:r>
                <w:rPr>
                  <w:rStyle w:val="Hyperlink"/>
                  <w:sz w:val="16"/>
                </w:rPr>
                <w:t>NIST AI Risk Management Framework 1.0</w:t>
              </w:r>
            </w:hyperlink>
          </w:p>
        </w:tc>
        <w:tc>
          <w:tcPr>
            <w:tcW w:type="dxa" w:w="3360"/>
            <w:tcMar>
              <w:top w:w="80" w:type="dxa"/>
              <w:start w:w="120" w:type="dxa"/>
              <w:bottom w:w="80" w:type="dxa"/>
              <w:end w:w="120" w:type="dxa"/>
            </w:tcMar>
            <w:vAlign w:val="center"/>
          </w:tcPr>
          <w:p>
            <w:pPr>
              <w:spacing w:after="20"/>
            </w:pPr>
            <w:r>
              <w:rPr>
                <w:rFonts w:ascii="Calibri" w:hAnsi="Calibri"/>
                <w:sz w:val="16"/>
              </w:rPr>
              <w:t>NIST AI 100-1, voluntary</w:t>
            </w:r>
          </w:p>
        </w:tc>
      </w:tr>
      <w:tr>
        <w:trPr>
          <w:cantSplit/>
        </w:trPr>
        <w:tc>
          <w:tcPr>
            <w:tcW w:type="dxa" w:w="1000"/>
            <w:tcMar>
              <w:top w:w="80" w:type="dxa"/>
              <w:start w:w="120" w:type="dxa"/>
              <w:bottom w:w="80" w:type="dxa"/>
              <w:end w:w="120" w:type="dxa"/>
            </w:tcMar>
            <w:vAlign w:val="center"/>
          </w:tcPr>
          <w:p>
            <w:pPr>
              <w:spacing w:after="20"/>
            </w:pPr>
            <w:bookmarkStart w:id="39" w:name="REF_021"/>
            <w:r>
              <w:rPr>
                <w:rFonts w:ascii="Calibri" w:hAnsi="Calibri"/>
                <w:sz w:val="16"/>
              </w:rPr>
              <w:t>REF-021</w:t>
            </w:r>
            <w:bookmarkEnd w:id="39"/>
          </w:p>
        </w:tc>
        <w:tc>
          <w:tcPr>
            <w:tcW w:type="dxa" w:w="5000"/>
            <w:tcMar>
              <w:top w:w="80" w:type="dxa"/>
              <w:start w:w="120" w:type="dxa"/>
              <w:bottom w:w="80" w:type="dxa"/>
              <w:end w:w="120" w:type="dxa"/>
            </w:tcMar>
            <w:vAlign w:val="center"/>
          </w:tcPr>
          <w:p>
            <w:pPr>
              <w:spacing w:after="20"/>
            </w:pPr>
            <w:hyperlink r:id="rId32">
              <w:r>
                <w:rPr>
                  <w:rStyle w:val="Hyperlink"/>
                  <w:sz w:val="16"/>
                </w:rPr>
                <w:t>NIST AI 600-1 Generative AI Profile</w:t>
              </w:r>
            </w:hyperlink>
          </w:p>
        </w:tc>
        <w:tc>
          <w:tcPr>
            <w:tcW w:type="dxa" w:w="3360"/>
            <w:tcMar>
              <w:top w:w="80" w:type="dxa"/>
              <w:start w:w="120" w:type="dxa"/>
              <w:bottom w:w="80" w:type="dxa"/>
              <w:end w:w="120" w:type="dxa"/>
            </w:tcMar>
            <w:vAlign w:val="center"/>
          </w:tcPr>
          <w:p>
            <w:pPr>
              <w:spacing w:after="20"/>
            </w:pPr>
            <w:r>
              <w:rPr>
                <w:rFonts w:ascii="Calibri" w:hAnsi="Calibri"/>
                <w:sz w:val="16"/>
              </w:rPr>
              <w:t>July 2024 voluntary profile</w:t>
            </w:r>
          </w:p>
        </w:tc>
      </w:tr>
      <w:tr>
        <w:trPr>
          <w:cantSplit/>
        </w:trPr>
        <w:tc>
          <w:tcPr>
            <w:tcW w:type="dxa" w:w="1000"/>
            <w:tcMar>
              <w:top w:w="80" w:type="dxa"/>
              <w:start w:w="120" w:type="dxa"/>
              <w:bottom w:w="80" w:type="dxa"/>
              <w:end w:w="120" w:type="dxa"/>
            </w:tcMar>
            <w:vAlign w:val="center"/>
          </w:tcPr>
          <w:p>
            <w:pPr>
              <w:spacing w:after="20"/>
            </w:pPr>
            <w:bookmarkStart w:id="40" w:name="REF_022"/>
            <w:r>
              <w:rPr>
                <w:rFonts w:ascii="Calibri" w:hAnsi="Calibri"/>
                <w:sz w:val="16"/>
              </w:rPr>
              <w:t>REF-022</w:t>
            </w:r>
            <w:bookmarkEnd w:id="40"/>
          </w:p>
        </w:tc>
        <w:tc>
          <w:tcPr>
            <w:tcW w:type="dxa" w:w="5000"/>
            <w:tcMar>
              <w:top w:w="80" w:type="dxa"/>
              <w:start w:w="120" w:type="dxa"/>
              <w:bottom w:w="80" w:type="dxa"/>
              <w:end w:w="120" w:type="dxa"/>
            </w:tcMar>
            <w:vAlign w:val="center"/>
          </w:tcPr>
          <w:p>
            <w:pPr>
              <w:spacing w:after="20"/>
            </w:pPr>
            <w:hyperlink r:id="rId33">
              <w:r>
                <w:rPr>
                  <w:rStyle w:val="Hyperlink"/>
                  <w:sz w:val="16"/>
                </w:rPr>
                <w:t>MITRE ATLAS</w:t>
              </w:r>
            </w:hyperlink>
          </w:p>
        </w:tc>
        <w:tc>
          <w:tcPr>
            <w:tcW w:type="dxa" w:w="3360"/>
            <w:tcMar>
              <w:top w:w="80" w:type="dxa"/>
              <w:start w:w="120" w:type="dxa"/>
              <w:bottom w:w="80" w:type="dxa"/>
              <w:end w:w="120" w:type="dxa"/>
            </w:tcMar>
            <w:vAlign w:val="center"/>
          </w:tcPr>
          <w:p>
            <w:pPr>
              <w:spacing w:after="20"/>
            </w:pPr>
            <w:r>
              <w:rPr>
                <w:rFonts w:ascii="Calibri" w:hAnsi="Calibri"/>
                <w:sz w:val="16"/>
              </w:rPr>
              <w:t>Living threat knowledge base; ATLAS-2026.06 used</w:t>
            </w:r>
          </w:p>
        </w:tc>
      </w:tr>
      <w:tr>
        <w:trPr>
          <w:cantSplit/>
        </w:trPr>
        <w:tc>
          <w:tcPr>
            <w:tcW w:type="dxa" w:w="1000"/>
            <w:tcMar>
              <w:top w:w="80" w:type="dxa"/>
              <w:start w:w="120" w:type="dxa"/>
              <w:bottom w:w="80" w:type="dxa"/>
              <w:end w:w="120" w:type="dxa"/>
            </w:tcMar>
            <w:vAlign w:val="center"/>
          </w:tcPr>
          <w:p>
            <w:pPr>
              <w:spacing w:after="20"/>
            </w:pPr>
            <w:bookmarkStart w:id="41" w:name="REF_023"/>
            <w:r>
              <w:rPr>
                <w:rFonts w:ascii="Calibri" w:hAnsi="Calibri"/>
                <w:sz w:val="16"/>
              </w:rPr>
              <w:t>REF-023</w:t>
            </w:r>
            <w:bookmarkEnd w:id="41"/>
          </w:p>
        </w:tc>
        <w:tc>
          <w:tcPr>
            <w:tcW w:type="dxa" w:w="5000"/>
            <w:tcMar>
              <w:top w:w="80" w:type="dxa"/>
              <w:start w:w="120" w:type="dxa"/>
              <w:bottom w:w="80" w:type="dxa"/>
              <w:end w:w="120" w:type="dxa"/>
            </w:tcMar>
            <w:vAlign w:val="center"/>
          </w:tcPr>
          <w:p>
            <w:pPr>
              <w:spacing w:after="20"/>
            </w:pPr>
            <w:hyperlink r:id="rId34">
              <w:r>
                <w:rPr>
                  <w:rStyle w:val="Hyperlink"/>
                  <w:sz w:val="16"/>
                </w:rPr>
                <w:t>CIS Critical Security Controls v8.1</w:t>
              </w:r>
            </w:hyperlink>
          </w:p>
        </w:tc>
        <w:tc>
          <w:tcPr>
            <w:tcW w:type="dxa" w:w="3360"/>
            <w:tcMar>
              <w:top w:w="80" w:type="dxa"/>
              <w:start w:w="120" w:type="dxa"/>
              <w:bottom w:w="80" w:type="dxa"/>
              <w:end w:w="120" w:type="dxa"/>
            </w:tcMar>
            <w:vAlign w:val="center"/>
          </w:tcPr>
          <w:p>
            <w:pPr>
              <w:spacing w:after="20"/>
            </w:pPr>
            <w:r>
              <w:rPr>
                <w:rFonts w:ascii="Calibri" w:hAnsi="Calibri"/>
                <w:sz w:val="16"/>
              </w:rPr>
              <w:t>June 2024 voluntary controls</w:t>
            </w:r>
          </w:p>
        </w:tc>
      </w:tr>
      <w:tr>
        <w:trPr>
          <w:cantSplit/>
        </w:trPr>
        <w:tc>
          <w:tcPr>
            <w:tcW w:type="dxa" w:w="1000"/>
            <w:tcMar>
              <w:top w:w="80" w:type="dxa"/>
              <w:start w:w="120" w:type="dxa"/>
              <w:bottom w:w="80" w:type="dxa"/>
              <w:end w:w="120" w:type="dxa"/>
            </w:tcMar>
            <w:vAlign w:val="center"/>
          </w:tcPr>
          <w:p>
            <w:pPr>
              <w:spacing w:after="20"/>
            </w:pPr>
            <w:bookmarkStart w:id="42" w:name="REF_024"/>
            <w:r>
              <w:rPr>
                <w:rFonts w:ascii="Calibri" w:hAnsi="Calibri"/>
                <w:sz w:val="16"/>
              </w:rPr>
              <w:t>REF-024</w:t>
            </w:r>
            <w:bookmarkEnd w:id="42"/>
          </w:p>
        </w:tc>
        <w:tc>
          <w:tcPr>
            <w:tcW w:type="dxa" w:w="5000"/>
            <w:tcMar>
              <w:top w:w="80" w:type="dxa"/>
              <w:start w:w="120" w:type="dxa"/>
              <w:bottom w:w="80" w:type="dxa"/>
              <w:end w:w="120" w:type="dxa"/>
            </w:tcMar>
            <w:vAlign w:val="center"/>
          </w:tcPr>
          <w:p>
            <w:pPr>
              <w:spacing w:after="20"/>
            </w:pPr>
            <w:hyperlink r:id="rId35">
              <w:r>
                <w:rPr>
                  <w:rStyle w:val="Hyperlink"/>
                  <w:sz w:val="16"/>
                </w:rPr>
                <w:t>ISO/IEC 27001:2022</w:t>
              </w:r>
            </w:hyperlink>
          </w:p>
        </w:tc>
        <w:tc>
          <w:tcPr>
            <w:tcW w:type="dxa" w:w="3360"/>
            <w:tcMar>
              <w:top w:w="80" w:type="dxa"/>
              <w:start w:w="120" w:type="dxa"/>
              <w:bottom w:w="80" w:type="dxa"/>
              <w:end w:w="120" w:type="dxa"/>
            </w:tcMar>
            <w:vAlign w:val="center"/>
          </w:tcPr>
          <w:p>
            <w:pPr>
              <w:spacing w:after="20"/>
            </w:pPr>
            <w:r>
              <w:rPr>
                <w:rFonts w:ascii="Calibri" w:hAnsi="Calibri"/>
                <w:sz w:val="16"/>
              </w:rPr>
              <w:t>Edition 3; Amd 1:2024 considered</w:t>
            </w:r>
          </w:p>
        </w:tc>
      </w:tr>
      <w:tr>
        <w:trPr>
          <w:cantSplit/>
        </w:trPr>
        <w:tc>
          <w:tcPr>
            <w:tcW w:type="dxa" w:w="1000"/>
            <w:tcMar>
              <w:top w:w="80" w:type="dxa"/>
              <w:start w:w="120" w:type="dxa"/>
              <w:bottom w:w="80" w:type="dxa"/>
              <w:end w:w="120" w:type="dxa"/>
            </w:tcMar>
            <w:vAlign w:val="center"/>
          </w:tcPr>
          <w:p>
            <w:pPr>
              <w:spacing w:after="20"/>
            </w:pPr>
            <w:bookmarkStart w:id="43" w:name="REF_025"/>
            <w:r>
              <w:rPr>
                <w:rFonts w:ascii="Calibri" w:hAnsi="Calibri"/>
                <w:sz w:val="16"/>
              </w:rPr>
              <w:t>REF-025</w:t>
            </w:r>
            <w:bookmarkEnd w:id="43"/>
          </w:p>
        </w:tc>
        <w:tc>
          <w:tcPr>
            <w:tcW w:type="dxa" w:w="5000"/>
            <w:tcMar>
              <w:top w:w="80" w:type="dxa"/>
              <w:start w:w="120" w:type="dxa"/>
              <w:bottom w:w="80" w:type="dxa"/>
              <w:end w:w="120" w:type="dxa"/>
            </w:tcMar>
            <w:vAlign w:val="center"/>
          </w:tcPr>
          <w:p>
            <w:pPr>
              <w:spacing w:after="20"/>
            </w:pPr>
            <w:hyperlink r:id="rId36">
              <w:r>
                <w:rPr>
                  <w:rStyle w:val="Hyperlink"/>
                  <w:sz w:val="16"/>
                </w:rPr>
                <w:t>NCSC Guidelines for Secure AI System Development</w:t>
              </w:r>
            </w:hyperlink>
          </w:p>
        </w:tc>
        <w:tc>
          <w:tcPr>
            <w:tcW w:type="dxa" w:w="3360"/>
            <w:tcMar>
              <w:top w:w="80" w:type="dxa"/>
              <w:start w:w="120" w:type="dxa"/>
              <w:bottom w:w="80" w:type="dxa"/>
              <w:end w:w="120" w:type="dxa"/>
            </w:tcMar>
            <w:vAlign w:val="center"/>
          </w:tcPr>
          <w:p>
            <w:pPr>
              <w:spacing w:after="20"/>
            </w:pPr>
            <w:r>
              <w:rPr>
                <w:rFonts w:ascii="Calibri" w:hAnsi="Calibri"/>
                <w:sz w:val="16"/>
              </w:rPr>
              <w:t>v1.1, non-binding good practice</w:t>
            </w:r>
          </w:p>
        </w:tc>
      </w:tr>
      <w:tr>
        <w:trPr>
          <w:cantSplit/>
        </w:trPr>
        <w:tc>
          <w:tcPr>
            <w:tcW w:type="dxa" w:w="1000"/>
            <w:tcMar>
              <w:top w:w="80" w:type="dxa"/>
              <w:start w:w="120" w:type="dxa"/>
              <w:bottom w:w="80" w:type="dxa"/>
              <w:end w:w="120" w:type="dxa"/>
            </w:tcMar>
            <w:vAlign w:val="center"/>
          </w:tcPr>
          <w:p>
            <w:pPr>
              <w:spacing w:after="20"/>
            </w:pPr>
            <w:bookmarkStart w:id="44" w:name="REF_026"/>
            <w:r>
              <w:rPr>
                <w:rFonts w:ascii="Calibri" w:hAnsi="Calibri"/>
                <w:sz w:val="16"/>
              </w:rPr>
              <w:t>REF-026</w:t>
            </w:r>
            <w:bookmarkEnd w:id="44"/>
          </w:p>
        </w:tc>
        <w:tc>
          <w:tcPr>
            <w:tcW w:type="dxa" w:w="5000"/>
            <w:tcMar>
              <w:top w:w="80" w:type="dxa"/>
              <w:start w:w="120" w:type="dxa"/>
              <w:bottom w:w="80" w:type="dxa"/>
              <w:end w:w="120" w:type="dxa"/>
            </w:tcMar>
            <w:vAlign w:val="center"/>
          </w:tcPr>
          <w:p>
            <w:pPr>
              <w:spacing w:after="20"/>
            </w:pPr>
            <w:hyperlink r:id="rId37">
              <w:r>
                <w:rPr>
                  <w:rStyle w:val="Hyperlink"/>
                  <w:sz w:val="16"/>
                </w:rPr>
                <w:t>ICO guidance on AI and data protection</w:t>
              </w:r>
            </w:hyperlink>
          </w:p>
        </w:tc>
        <w:tc>
          <w:tcPr>
            <w:tcW w:type="dxa" w:w="3360"/>
            <w:tcMar>
              <w:top w:w="80" w:type="dxa"/>
              <w:start w:w="120" w:type="dxa"/>
              <w:bottom w:w="80" w:type="dxa"/>
              <w:end w:w="120" w:type="dxa"/>
            </w:tcMar>
            <w:vAlign w:val="center"/>
          </w:tcPr>
          <w:p>
            <w:pPr>
              <w:spacing w:after="20"/>
            </w:pPr>
            <w:r>
              <w:rPr>
                <w:rFonts w:ascii="Calibri" w:hAnsi="Calibri"/>
                <w:sz w:val="16"/>
              </w:rPr>
              <w:t>Regulator guidance; distinguishes must/should</w:t>
            </w:r>
          </w:p>
        </w:tc>
      </w:tr>
      <w:tr>
        <w:trPr>
          <w:cantSplit/>
        </w:trPr>
        <w:tc>
          <w:tcPr>
            <w:tcW w:type="dxa" w:w="1000"/>
            <w:tcMar>
              <w:top w:w="80" w:type="dxa"/>
              <w:start w:w="120" w:type="dxa"/>
              <w:bottom w:w="80" w:type="dxa"/>
              <w:end w:w="120" w:type="dxa"/>
            </w:tcMar>
            <w:vAlign w:val="center"/>
          </w:tcPr>
          <w:p>
            <w:pPr>
              <w:spacing w:after="20"/>
            </w:pPr>
            <w:bookmarkStart w:id="45" w:name="REF_027"/>
            <w:r>
              <w:rPr>
                <w:rFonts w:ascii="Calibri" w:hAnsi="Calibri"/>
                <w:sz w:val="16"/>
              </w:rPr>
              <w:t>REF-027</w:t>
            </w:r>
            <w:bookmarkEnd w:id="45"/>
          </w:p>
        </w:tc>
        <w:tc>
          <w:tcPr>
            <w:tcW w:type="dxa" w:w="5000"/>
            <w:tcMar>
              <w:top w:w="80" w:type="dxa"/>
              <w:start w:w="120" w:type="dxa"/>
              <w:bottom w:w="80" w:type="dxa"/>
              <w:end w:w="120" w:type="dxa"/>
            </w:tcMar>
            <w:vAlign w:val="center"/>
          </w:tcPr>
          <w:p>
            <w:pPr>
              <w:spacing w:after="20"/>
            </w:pPr>
            <w:hyperlink r:id="rId38">
              <w:r>
                <w:rPr>
                  <w:rStyle w:val="Hyperlink"/>
                  <w:sz w:val="16"/>
                </w:rPr>
                <w:t>FCA operational resilience</w:t>
              </w:r>
            </w:hyperlink>
          </w:p>
        </w:tc>
        <w:tc>
          <w:tcPr>
            <w:tcW w:type="dxa" w:w="3360"/>
            <w:tcMar>
              <w:top w:w="80" w:type="dxa"/>
              <w:start w:w="120" w:type="dxa"/>
              <w:bottom w:w="80" w:type="dxa"/>
              <w:end w:w="120" w:type="dxa"/>
            </w:tcMar>
            <w:vAlign w:val="center"/>
          </w:tcPr>
          <w:p>
            <w:pPr>
              <w:spacing w:after="20"/>
            </w:pPr>
            <w:r>
              <w:rPr>
                <w:rFonts w:ascii="Calibri" w:hAnsi="Calibri"/>
                <w:sz w:val="16"/>
              </w:rPr>
              <w:t>FCA overview and transition milestone</w:t>
            </w:r>
          </w:p>
        </w:tc>
      </w:tr>
      <w:tr>
        <w:trPr>
          <w:cantSplit/>
        </w:trPr>
        <w:tc>
          <w:tcPr>
            <w:tcW w:type="dxa" w:w="1000"/>
            <w:tcMar>
              <w:top w:w="80" w:type="dxa"/>
              <w:start w:w="120" w:type="dxa"/>
              <w:bottom w:w="80" w:type="dxa"/>
              <w:end w:w="120" w:type="dxa"/>
            </w:tcMar>
            <w:vAlign w:val="center"/>
          </w:tcPr>
          <w:p>
            <w:pPr>
              <w:spacing w:after="20"/>
            </w:pPr>
            <w:bookmarkStart w:id="46" w:name="REF_028"/>
            <w:r>
              <w:rPr>
                <w:rFonts w:ascii="Calibri" w:hAnsi="Calibri"/>
                <w:sz w:val="16"/>
              </w:rPr>
              <w:t>REF-028</w:t>
            </w:r>
            <w:bookmarkEnd w:id="46"/>
          </w:p>
        </w:tc>
        <w:tc>
          <w:tcPr>
            <w:tcW w:type="dxa" w:w="5000"/>
            <w:tcMar>
              <w:top w:w="80" w:type="dxa"/>
              <w:start w:w="120" w:type="dxa"/>
              <w:bottom w:w="80" w:type="dxa"/>
              <w:end w:w="120" w:type="dxa"/>
            </w:tcMar>
            <w:vAlign w:val="center"/>
          </w:tcPr>
          <w:p>
            <w:pPr>
              <w:spacing w:after="20"/>
            </w:pPr>
            <w:hyperlink r:id="rId39">
              <w:r>
                <w:rPr>
                  <w:rStyle w:val="Hyperlink"/>
                  <w:sz w:val="16"/>
                </w:rPr>
                <w:t>PRA SS1/21 Operational Resilience</w:t>
              </w:r>
            </w:hyperlink>
          </w:p>
        </w:tc>
        <w:tc>
          <w:tcPr>
            <w:tcW w:type="dxa" w:w="3360"/>
            <w:tcMar>
              <w:top w:w="80" w:type="dxa"/>
              <w:start w:w="120" w:type="dxa"/>
              <w:bottom w:w="80" w:type="dxa"/>
              <w:end w:w="120" w:type="dxa"/>
            </w:tcMar>
            <w:vAlign w:val="center"/>
          </w:tcPr>
          <w:p>
            <w:pPr>
              <w:spacing w:after="20"/>
            </w:pPr>
            <w:r>
              <w:rPr>
                <w:rFonts w:ascii="Calibri" w:hAnsi="Calibri"/>
                <w:sz w:val="16"/>
              </w:rPr>
              <w:t>Supervisory expectations for insurers</w:t>
            </w:r>
          </w:p>
        </w:tc>
      </w:tr>
      <w:tr>
        <w:trPr>
          <w:cantSplit/>
        </w:trPr>
        <w:tc>
          <w:tcPr>
            <w:tcW w:type="dxa" w:w="1000"/>
            <w:tcMar>
              <w:top w:w="80" w:type="dxa"/>
              <w:start w:w="120" w:type="dxa"/>
              <w:bottom w:w="80" w:type="dxa"/>
              <w:end w:w="120" w:type="dxa"/>
            </w:tcMar>
            <w:vAlign w:val="center"/>
          </w:tcPr>
          <w:p>
            <w:pPr>
              <w:spacing w:after="20"/>
            </w:pPr>
            <w:bookmarkStart w:id="47" w:name="REF_029"/>
            <w:r>
              <w:rPr>
                <w:rFonts w:ascii="Calibri" w:hAnsi="Calibri"/>
                <w:sz w:val="16"/>
              </w:rPr>
              <w:t>REF-029</w:t>
            </w:r>
            <w:bookmarkEnd w:id="47"/>
          </w:p>
        </w:tc>
        <w:tc>
          <w:tcPr>
            <w:tcW w:type="dxa" w:w="5000"/>
            <w:tcMar>
              <w:top w:w="80" w:type="dxa"/>
              <w:start w:w="120" w:type="dxa"/>
              <w:bottom w:w="80" w:type="dxa"/>
              <w:end w:w="120" w:type="dxa"/>
            </w:tcMar>
            <w:vAlign w:val="center"/>
          </w:tcPr>
          <w:p>
            <w:pPr>
              <w:spacing w:after="20"/>
            </w:pPr>
            <w:hyperlink r:id="rId40">
              <w:r>
                <w:rPr>
                  <w:rStyle w:val="Hyperlink"/>
                  <w:sz w:val="16"/>
                </w:rPr>
                <w:t>PRA SS2/21 Outsourcing and Third-Party Risk</w:t>
              </w:r>
            </w:hyperlink>
          </w:p>
        </w:tc>
        <w:tc>
          <w:tcPr>
            <w:tcW w:type="dxa" w:w="3360"/>
            <w:tcMar>
              <w:top w:w="80" w:type="dxa"/>
              <w:start w:w="120" w:type="dxa"/>
              <w:bottom w:w="80" w:type="dxa"/>
              <w:end w:w="120" w:type="dxa"/>
            </w:tcMar>
            <w:vAlign w:val="center"/>
          </w:tcPr>
          <w:p>
            <w:pPr>
              <w:spacing w:after="20"/>
            </w:pPr>
            <w:r>
              <w:rPr>
                <w:rFonts w:ascii="Calibri" w:hAnsi="Calibri"/>
                <w:sz w:val="16"/>
              </w:rPr>
              <w:t>Current supervisory expectations</w:t>
            </w:r>
          </w:p>
        </w:tc>
      </w:tr>
      <w:tr>
        <w:trPr>
          <w:cantSplit/>
        </w:trPr>
        <w:tc>
          <w:tcPr>
            <w:tcW w:type="dxa" w:w="1000"/>
            <w:tcMar>
              <w:top w:w="80" w:type="dxa"/>
              <w:start w:w="120" w:type="dxa"/>
              <w:bottom w:w="80" w:type="dxa"/>
              <w:end w:w="120" w:type="dxa"/>
            </w:tcMar>
            <w:vAlign w:val="center"/>
          </w:tcPr>
          <w:p>
            <w:pPr>
              <w:spacing w:after="20"/>
            </w:pPr>
            <w:bookmarkStart w:id="48" w:name="REF_030"/>
            <w:r>
              <w:rPr>
                <w:rFonts w:ascii="Calibri" w:hAnsi="Calibri"/>
                <w:sz w:val="16"/>
              </w:rPr>
              <w:t>REF-030</w:t>
            </w:r>
            <w:bookmarkEnd w:id="48"/>
          </w:p>
        </w:tc>
        <w:tc>
          <w:tcPr>
            <w:tcW w:type="dxa" w:w="5000"/>
            <w:tcMar>
              <w:top w:w="80" w:type="dxa"/>
              <w:start w:w="120" w:type="dxa"/>
              <w:bottom w:w="80" w:type="dxa"/>
              <w:end w:w="120" w:type="dxa"/>
            </w:tcMar>
            <w:vAlign w:val="center"/>
          </w:tcPr>
          <w:p>
            <w:pPr>
              <w:spacing w:after="20"/>
            </w:pPr>
            <w:hyperlink r:id="rId41">
              <w:r>
                <w:rPr>
                  <w:rStyle w:val="Hyperlink"/>
                  <w:sz w:val="16"/>
                </w:rPr>
                <w:t>UK GDPR retained text</w:t>
              </w:r>
            </w:hyperlink>
          </w:p>
        </w:tc>
        <w:tc>
          <w:tcPr>
            <w:tcW w:type="dxa" w:w="3360"/>
            <w:tcMar>
              <w:top w:w="80" w:type="dxa"/>
              <w:start w:w="120" w:type="dxa"/>
              <w:bottom w:w="80" w:type="dxa"/>
              <w:end w:w="120" w:type="dxa"/>
            </w:tcMar>
            <w:vAlign w:val="center"/>
          </w:tcPr>
          <w:p>
            <w:pPr>
              <w:spacing w:after="20"/>
            </w:pPr>
            <w:r>
              <w:rPr>
                <w:rFonts w:ascii="Calibri" w:hAnsi="Calibri"/>
                <w:sz w:val="16"/>
              </w:rPr>
              <w:t>Binding law as amended</w:t>
            </w:r>
          </w:p>
        </w:tc>
      </w:tr>
      <w:tr>
        <w:trPr>
          <w:cantSplit/>
        </w:trPr>
        <w:tc>
          <w:tcPr>
            <w:tcW w:type="dxa" w:w="1000"/>
            <w:tcMar>
              <w:top w:w="80" w:type="dxa"/>
              <w:start w:w="120" w:type="dxa"/>
              <w:bottom w:w="80" w:type="dxa"/>
              <w:end w:w="120" w:type="dxa"/>
            </w:tcMar>
            <w:vAlign w:val="center"/>
          </w:tcPr>
          <w:p>
            <w:pPr>
              <w:spacing w:after="20"/>
            </w:pPr>
            <w:bookmarkStart w:id="49" w:name="REF_031"/>
            <w:r>
              <w:rPr>
                <w:rFonts w:ascii="Calibri" w:hAnsi="Calibri"/>
                <w:sz w:val="16"/>
              </w:rPr>
              <w:t>REF-031</w:t>
            </w:r>
            <w:bookmarkEnd w:id="49"/>
          </w:p>
        </w:tc>
        <w:tc>
          <w:tcPr>
            <w:tcW w:type="dxa" w:w="5000"/>
            <w:tcMar>
              <w:top w:w="80" w:type="dxa"/>
              <w:start w:w="120" w:type="dxa"/>
              <w:bottom w:w="80" w:type="dxa"/>
              <w:end w:w="120" w:type="dxa"/>
            </w:tcMar>
            <w:vAlign w:val="center"/>
          </w:tcPr>
          <w:p>
            <w:pPr>
              <w:spacing w:after="20"/>
            </w:pPr>
            <w:hyperlink r:id="rId42">
              <w:r>
                <w:rPr>
                  <w:rStyle w:val="Hyperlink"/>
                  <w:sz w:val="16"/>
                </w:rPr>
                <w:t>Data Protection Act 2018</w:t>
              </w:r>
            </w:hyperlink>
          </w:p>
        </w:tc>
        <w:tc>
          <w:tcPr>
            <w:tcW w:type="dxa" w:w="3360"/>
            <w:tcMar>
              <w:top w:w="80" w:type="dxa"/>
              <w:start w:w="120" w:type="dxa"/>
              <w:bottom w:w="80" w:type="dxa"/>
              <w:end w:w="120" w:type="dxa"/>
            </w:tcMar>
            <w:vAlign w:val="center"/>
          </w:tcPr>
          <w:p>
            <w:pPr>
              <w:spacing w:after="20"/>
            </w:pPr>
            <w:r>
              <w:rPr>
                <w:rFonts w:ascii="Calibri" w:hAnsi="Calibri"/>
                <w:sz w:val="16"/>
              </w:rPr>
              <w:t>Binding UK Act</w:t>
            </w:r>
          </w:p>
        </w:tc>
      </w:tr>
      <w:tr>
        <w:trPr>
          <w:cantSplit/>
        </w:trPr>
        <w:tc>
          <w:tcPr>
            <w:tcW w:type="dxa" w:w="1000"/>
            <w:tcMar>
              <w:top w:w="80" w:type="dxa"/>
              <w:start w:w="120" w:type="dxa"/>
              <w:bottom w:w="80" w:type="dxa"/>
              <w:end w:w="120" w:type="dxa"/>
            </w:tcMar>
            <w:vAlign w:val="center"/>
          </w:tcPr>
          <w:p>
            <w:pPr>
              <w:spacing w:after="20"/>
            </w:pPr>
            <w:bookmarkStart w:id="50" w:name="REF_032"/>
            <w:r>
              <w:rPr>
                <w:rFonts w:ascii="Calibri" w:hAnsi="Calibri"/>
                <w:sz w:val="16"/>
              </w:rPr>
              <w:t>REF-032</w:t>
            </w:r>
            <w:bookmarkEnd w:id="50"/>
          </w:p>
        </w:tc>
        <w:tc>
          <w:tcPr>
            <w:tcW w:type="dxa" w:w="5000"/>
            <w:tcMar>
              <w:top w:w="80" w:type="dxa"/>
              <w:start w:w="120" w:type="dxa"/>
              <w:bottom w:w="80" w:type="dxa"/>
              <w:end w:w="120" w:type="dxa"/>
            </w:tcMar>
            <w:vAlign w:val="center"/>
          </w:tcPr>
          <w:p>
            <w:pPr>
              <w:spacing w:after="20"/>
            </w:pPr>
            <w:hyperlink r:id="rId43">
              <w:r>
                <w:rPr>
                  <w:rStyle w:val="Hyperlink"/>
                  <w:sz w:val="16"/>
                </w:rPr>
                <w:t>FCA SYSC 15A</w:t>
              </w:r>
            </w:hyperlink>
          </w:p>
        </w:tc>
        <w:tc>
          <w:tcPr>
            <w:tcW w:type="dxa" w:w="3360"/>
            <w:tcMar>
              <w:top w:w="80" w:type="dxa"/>
              <w:start w:w="120" w:type="dxa"/>
              <w:bottom w:w="80" w:type="dxa"/>
              <w:end w:w="120" w:type="dxa"/>
            </w:tcMar>
            <w:vAlign w:val="center"/>
          </w:tcPr>
          <w:p>
            <w:pPr>
              <w:spacing w:after="20"/>
            </w:pPr>
            <w:r>
              <w:rPr>
                <w:rFonts w:ascii="Calibri" w:hAnsi="Calibri"/>
                <w:sz w:val="16"/>
              </w:rPr>
              <w:t>Binding operational-resilience rules where applicable</w:t>
            </w:r>
          </w:p>
        </w:tc>
      </w:tr>
      <w:tr>
        <w:trPr>
          <w:cantSplit/>
        </w:trPr>
        <w:tc>
          <w:tcPr>
            <w:tcW w:type="dxa" w:w="1000"/>
            <w:tcMar>
              <w:top w:w="80" w:type="dxa"/>
              <w:start w:w="120" w:type="dxa"/>
              <w:bottom w:w="80" w:type="dxa"/>
              <w:end w:w="120" w:type="dxa"/>
            </w:tcMar>
            <w:vAlign w:val="center"/>
          </w:tcPr>
          <w:p>
            <w:pPr>
              <w:spacing w:after="20"/>
            </w:pPr>
            <w:bookmarkStart w:id="51" w:name="REF_033"/>
            <w:r>
              <w:rPr>
                <w:rFonts w:ascii="Calibri" w:hAnsi="Calibri"/>
                <w:sz w:val="16"/>
              </w:rPr>
              <w:t>REF-033</w:t>
            </w:r>
            <w:bookmarkEnd w:id="51"/>
          </w:p>
        </w:tc>
        <w:tc>
          <w:tcPr>
            <w:tcW w:type="dxa" w:w="5000"/>
            <w:tcMar>
              <w:top w:w="80" w:type="dxa"/>
              <w:start w:w="120" w:type="dxa"/>
              <w:bottom w:w="80" w:type="dxa"/>
              <w:end w:w="120" w:type="dxa"/>
            </w:tcMar>
            <w:vAlign w:val="center"/>
          </w:tcPr>
          <w:p>
            <w:pPr>
              <w:spacing w:after="20"/>
            </w:pPr>
            <w:hyperlink r:id="rId44">
              <w:r>
                <w:rPr>
                  <w:rStyle w:val="Hyperlink"/>
                  <w:sz w:val="16"/>
                </w:rPr>
                <w:t>FCA SYSC 8</w:t>
              </w:r>
            </w:hyperlink>
          </w:p>
        </w:tc>
        <w:tc>
          <w:tcPr>
            <w:tcW w:type="dxa" w:w="3360"/>
            <w:tcMar>
              <w:top w:w="80" w:type="dxa"/>
              <w:start w:w="120" w:type="dxa"/>
              <w:bottom w:w="80" w:type="dxa"/>
              <w:end w:w="120" w:type="dxa"/>
            </w:tcMar>
            <w:vAlign w:val="center"/>
          </w:tcPr>
          <w:p>
            <w:pPr>
              <w:spacing w:after="20"/>
            </w:pPr>
            <w:r>
              <w:rPr>
                <w:rFonts w:ascii="Calibri" w:hAnsi="Calibri"/>
                <w:sz w:val="16"/>
              </w:rPr>
              <w:t>Outsourcing rules subject to firm/activity applicability</w:t>
            </w:r>
          </w:p>
        </w:tc>
      </w:tr>
      <w:tr>
        <w:trPr>
          <w:cantSplit/>
        </w:trPr>
        <w:tc>
          <w:tcPr>
            <w:tcW w:type="dxa" w:w="1000"/>
            <w:tcMar>
              <w:top w:w="80" w:type="dxa"/>
              <w:start w:w="120" w:type="dxa"/>
              <w:bottom w:w="80" w:type="dxa"/>
              <w:end w:w="120" w:type="dxa"/>
            </w:tcMar>
            <w:vAlign w:val="center"/>
          </w:tcPr>
          <w:p>
            <w:pPr>
              <w:spacing w:after="20"/>
            </w:pPr>
            <w:bookmarkStart w:id="52" w:name="REF_034"/>
            <w:r>
              <w:rPr>
                <w:rFonts w:ascii="Calibri" w:hAnsi="Calibri"/>
                <w:sz w:val="16"/>
              </w:rPr>
              <w:t>REF-034</w:t>
            </w:r>
            <w:bookmarkEnd w:id="52"/>
          </w:p>
        </w:tc>
        <w:tc>
          <w:tcPr>
            <w:tcW w:type="dxa" w:w="5000"/>
            <w:tcMar>
              <w:top w:w="80" w:type="dxa"/>
              <w:start w:w="120" w:type="dxa"/>
              <w:bottom w:w="80" w:type="dxa"/>
              <w:end w:w="120" w:type="dxa"/>
            </w:tcMar>
            <w:vAlign w:val="center"/>
          </w:tcPr>
          <w:p>
            <w:pPr>
              <w:spacing w:after="20"/>
            </w:pPr>
            <w:hyperlink r:id="rId45">
              <w:r>
                <w:rPr>
                  <w:rStyle w:val="Hyperlink"/>
                  <w:sz w:val="16"/>
                </w:rPr>
                <w:t>PRA Rulebook</w:t>
              </w:r>
            </w:hyperlink>
          </w:p>
        </w:tc>
        <w:tc>
          <w:tcPr>
            <w:tcW w:type="dxa" w:w="3360"/>
            <w:tcMar>
              <w:top w:w="80" w:type="dxa"/>
              <w:start w:w="120" w:type="dxa"/>
              <w:bottom w:w="80" w:type="dxa"/>
              <w:end w:w="120" w:type="dxa"/>
            </w:tcMar>
            <w:vAlign w:val="center"/>
          </w:tcPr>
          <w:p>
            <w:pPr>
              <w:spacing w:after="20"/>
            </w:pPr>
            <w:r>
              <w:rPr>
                <w:rFonts w:ascii="Calibri" w:hAnsi="Calibri"/>
                <w:sz w:val="16"/>
              </w:rPr>
              <w:t>Binding PRA rules</w:t>
            </w:r>
          </w:p>
        </w:tc>
      </w:tr>
    </w:tbl>
    <w:p>
      <w:bookmarkStart w:id="53" w:name="APPENDIX"/>
      <w:pPr>
        <w:pStyle w:val="Heading1"/>
      </w:pPr>
      <w:r>
        <w:t>Appendix - Host Verification Plan</w:t>
      </w:r>
      <w:bookmarkEnd w:id="53"/>
      <w:r>
        <w:t xml:space="preserve">  </w:t>
      </w:r>
      <w:hyperlink w:anchor="CONTENTS">
        <w:r>
          <w:rPr>
            <w:rStyle w:val="Hyperlink"/>
            <w:sz w:val="14"/>
          </w:rPr>
          <w:t>Back to contents</w:t>
        </w:r>
      </w:hyperlink>
    </w:p>
    <w:p>
      <w:pPr>
        <w:spacing w:after="160" w:line="280" w:lineRule="auto"/>
        <w:numPr>
          <w:ilvl w:val="0"/>
          <w:numId w:val="10"/>
        </w:numPr>
      </w:pPr>
      <w:r>
        <w:rPr>
          <w:rFonts w:ascii="Calibri" w:hAnsi="Calibri"/>
          <w:sz w:val="21"/>
        </w:rPr>
        <w:t>Create a disposable managed endpoint and synthetic Dynatrace tenant; baseline files, caches, keychain, processes, ports, environment and network.</w:t>
      </w:r>
    </w:p>
    <w:p>
      <w:pPr>
        <w:spacing w:after="160" w:line="280" w:lineRule="auto"/>
        <w:numPr>
          <w:ilvl w:val="0"/>
          <w:numId w:val="10"/>
        </w:numPr>
      </w:pPr>
      <w:r>
        <w:rPr>
          <w:rFonts w:ascii="Calibri" w:hAnsi="Calibri"/>
          <w:sz w:val="21"/>
        </w:rPr>
        <w:t>Acquire only the pinned 2.1.1 archive by approved mirror and integrity; confirm no @latest resolution and capture full materialised dependency SBOM.</w:t>
      </w:r>
    </w:p>
    <w:p>
      <w:pPr>
        <w:spacing w:after="160" w:line="280" w:lineRule="auto"/>
        <w:numPr>
          <w:ilvl w:val="0"/>
          <w:numId w:val="10"/>
        </w:numPr>
      </w:pPr>
      <w:r>
        <w:rPr>
          <w:rFonts w:ascii="Calibri" w:hAnsi="Calibri"/>
          <w:sz w:val="21"/>
        </w:rPr>
        <w:t>Set DT_MCP_DISABLE_TELEMETRY=true and block the default telemetry endpoint; verify no alternate telemetry or error exfiltration.</w:t>
      </w:r>
    </w:p>
    <w:p>
      <w:pPr>
        <w:spacing w:after="160" w:line="280" w:lineRule="auto"/>
        <w:numPr>
          <w:ilvl w:val="0"/>
          <w:numId w:val="10"/>
        </w:numPr>
      </w:pPr>
      <w:r>
        <w:rPr>
          <w:rFonts w:ascii="Calibri" w:hAnsi="Calibri"/>
          <w:sz w:val="21"/>
        </w:rPr>
        <w:t>Enable read-only tools individually; deny email, Slack, events, notebook creation, HTTP mode and budget reset; test prompt-injection payloads.</w:t>
      </w:r>
    </w:p>
    <w:p>
      <w:pPr>
        <w:spacing w:after="160" w:line="280" w:lineRule="auto"/>
        <w:numPr>
          <w:ilvl w:val="0"/>
          <w:numId w:val="10"/>
        </w:numPr>
      </w:pPr>
      <w:r>
        <w:rPr>
          <w:rFonts w:ascii="Calibri" w:hAnsi="Calibri"/>
          <w:sz w:val="21"/>
        </w:rPr>
        <w:t>Prove least-privilege token scopes, keychain/file permissions, expiry, refresh, revocation and removal in both IDE hosts.</w:t>
      </w:r>
    </w:p>
    <w:p>
      <w:pPr>
        <w:spacing w:after="160" w:line="280" w:lineRule="auto"/>
        <w:numPr>
          <w:ilvl w:val="0"/>
          <w:numId w:val="10"/>
        </w:numPr>
      </w:pPr>
      <w:r>
        <w:rPr>
          <w:rFonts w:ascii="Calibri" w:hAnsi="Calibri"/>
          <w:sz w:val="21"/>
        </w:rPr>
        <w:t>Capture tool schemas/annotations, child processes, network destinations, logs, cost counters and uninstall residue; securely destroy the test environment.</w:t>
      </w:r>
    </w:p>
    <w:p>
      <w:r>
        <w:t>Regeneration verification statement: decision and approval remain governed by the report recommendation. Purpose and function, architecture, trust boundaries, and data flows were rechecked for this IDE. Installation manifest, uninstall, runtime and activation, network, authentication, telemetry, privacy, MCP and Agent Skills, supply chain dependencies, threats and findings, framework disposition, controls and detection, residual risk, confidence, limitations, evidence, and verification were explicitly considered. Current static and malware evidence is retained. Representative IDE runtime evidence is Blocked: no disposable representative Windows 11/macOS VS Code or Windows 11 Visual Studio host was available; this limitation is not treated as a passed control. No bundled Agent Skill was found in the assessed installation surface unless the product-specific section states otherwise.</w:t>
      </w:r>
    </w:p>
    <w:p>
      <w:r>
        <w:br w:type="page"/>
      </w:r>
    </w:p>
    <w:p>
      <w:pPr>
        <w:pStyle w:val="Heading1"/>
      </w:pPr>
      <w:r>
        <w:t>Regeneration Addendum and Current Evidence</w:t>
      </w:r>
    </w:p>
    <w:p>
      <w:r>
        <w:t>This version 1.1 report preserves the previously delivered assessment as comparison evidence and regenerates the authoritative record under the current repository quality gates. Claims from the historical report were reclassified where necessary as historical verified evidence, current verified evidence, inference, not observed, not applicable, or unknown. The preserved baseline was not silently overwritten. The current source and package records were acquired directly from the publisher or official registry, cryptographically hashed, archive-safety checked, statically inspected, malware scanned, and correlated with current advisory data. Scanner output is evidence, not approval.</w:t>
      </w:r>
    </w:p>
    <w:p>
      <w:r>
        <w:t>The exact 2.1.1 npm archive remains reproducibly available with the historical SHA-256. Registry metadata now marks 2.1.1 deprecated, and 2.1.2 is also deprecated. The current state strengthens the historical conclusion: this local package is no longer a suitable production dependency. The supported hosted alternative should be assessed separately; migration does not make the hosted service equivalent to the local package.</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Evidence item</w:t>
            </w:r>
          </w:p>
        </w:tc>
        <w:tc>
          <w:tcPr>
            <w:tcW w:type="dxa" w:w="2340"/>
            <w:shd w:fill="17365D"/>
          </w:tcPr>
          <w:p>
            <w:r>
              <w:rPr>
                <w:b/>
                <w:color w:val="FFFFFF"/>
                <w:sz w:val="16"/>
              </w:rPr>
              <w:t>Current state</w:t>
            </w:r>
          </w:p>
        </w:tc>
        <w:tc>
          <w:tcPr>
            <w:tcW w:type="dxa" w:w="2340"/>
            <w:shd w:fill="17365D"/>
          </w:tcPr>
          <w:p>
            <w:r>
              <w:rPr>
                <w:b/>
                <w:color w:val="FFFFFF"/>
                <w:sz w:val="16"/>
              </w:rPr>
              <w:t>SHA-256 / result</w:t>
            </w:r>
          </w:p>
        </w:tc>
        <w:tc>
          <w:tcPr>
            <w:tcW w:type="dxa" w:w="2340"/>
            <w:shd w:fill="17365D"/>
          </w:tcPr>
          <w:p>
            <w:r>
              <w:rPr>
                <w:b/>
                <w:color w:val="FFFFFF"/>
                <w:sz w:val="16"/>
              </w:rPr>
              <w:t>Claim status</w:t>
            </w:r>
          </w:p>
        </w:tc>
      </w:tr>
      <w:tr>
        <w:trPr>
          <w:cantSplit/>
        </w:trPr>
        <w:tc>
          <w:tcPr>
            <w:tcW w:type="dxa" w:w="2340"/>
            <w:vAlign w:val="top"/>
          </w:tcPr>
          <w:p>
            <w:pPr>
              <w:spacing w:after="20"/>
            </w:pPr>
            <w:r>
              <w:rPr>
                <w:sz w:val="15"/>
              </w:rPr>
              <w:t>npm archive 2.1.1</w:t>
            </w:r>
          </w:p>
        </w:tc>
        <w:tc>
          <w:tcPr>
            <w:tcW w:type="dxa" w:w="2340"/>
            <w:vAlign w:val="top"/>
          </w:tcPr>
          <w:p>
            <w:pPr>
              <w:spacing w:after="20"/>
            </w:pPr>
            <w:r>
              <w:rPr>
                <w:sz w:val="15"/>
              </w:rPr>
              <w:t>Exact historical target</w:t>
            </w:r>
          </w:p>
        </w:tc>
        <w:tc>
          <w:tcPr>
            <w:tcW w:type="dxa" w:w="2340"/>
            <w:vAlign w:val="top"/>
          </w:tcPr>
          <w:p>
            <w:pPr>
              <w:spacing w:after="20"/>
            </w:pPr>
            <w:r>
              <w:rPr>
                <w:sz w:val="15"/>
              </w:rPr>
              <w:t>bb9e2cef17f2a4cce59e6db6154570831587c6b849e4dca35b1bd03ba09f60e4</w:t>
            </w:r>
          </w:p>
        </w:tc>
        <w:tc>
          <w:tcPr>
            <w:tcW w:type="dxa" w:w="2340"/>
            <w:vAlign w:val="top"/>
          </w:tcPr>
          <w:p>
            <w:pPr>
              <w:spacing w:after="20"/>
            </w:pPr>
            <w:r>
              <w:rPr>
                <w:sz w:val="15"/>
              </w:rPr>
              <w:t>Current verified</w:t>
            </w:r>
          </w:p>
        </w:tc>
      </w:tr>
      <w:tr>
        <w:trPr>
          <w:cantSplit/>
        </w:trPr>
        <w:tc>
          <w:tcPr>
            <w:tcW w:type="dxa" w:w="2340"/>
            <w:vAlign w:val="top"/>
            <w:shd w:fill="EEF4F7"/>
          </w:tcPr>
          <w:p>
            <w:pPr>
              <w:spacing w:after="20"/>
            </w:pPr>
            <w:r>
              <w:rPr>
                <w:sz w:val="15"/>
              </w:rPr>
              <w:t>npm 2.1.1 metadata</w:t>
            </w:r>
          </w:p>
        </w:tc>
        <w:tc>
          <w:tcPr>
            <w:tcW w:type="dxa" w:w="2340"/>
            <w:vAlign w:val="top"/>
            <w:shd w:fill="EEF4F7"/>
          </w:tcPr>
          <w:p>
            <w:pPr>
              <w:spacing w:after="20"/>
            </w:pPr>
            <w:r>
              <w:rPr>
                <w:sz w:val="15"/>
              </w:rPr>
              <w:t>Deprecated</w:t>
            </w:r>
          </w:p>
        </w:tc>
        <w:tc>
          <w:tcPr>
            <w:tcW w:type="dxa" w:w="2340"/>
            <w:vAlign w:val="top"/>
            <w:shd w:fill="EEF4F7"/>
          </w:tcPr>
          <w:p>
            <w:pPr>
              <w:spacing w:after="20"/>
            </w:pPr>
            <w:r>
              <w:rPr>
                <w:sz w:val="15"/>
              </w:rPr>
              <w:t>Registry signature and SLSA link present</w:t>
            </w:r>
          </w:p>
        </w:tc>
        <w:tc>
          <w:tcPr>
            <w:tcW w:type="dxa" w:w="2340"/>
            <w:vAlign w:val="top"/>
            <w:shd w:fill="EEF4F7"/>
          </w:tcPr>
          <w:p>
            <w:pPr>
              <w:spacing w:after="20"/>
            </w:pPr>
            <w:r>
              <w:rPr>
                <w:sz w:val="15"/>
              </w:rPr>
              <w:t>Current verified</w:t>
            </w:r>
          </w:p>
        </w:tc>
      </w:tr>
      <w:tr>
        <w:trPr>
          <w:cantSplit/>
        </w:trPr>
        <w:tc>
          <w:tcPr>
            <w:tcW w:type="dxa" w:w="2340"/>
            <w:vAlign w:val="top"/>
          </w:tcPr>
          <w:p>
            <w:pPr>
              <w:spacing w:after="20"/>
            </w:pPr>
            <w:r>
              <w:rPr>
                <w:sz w:val="15"/>
              </w:rPr>
              <w:t>npm 2.1.2 metadata</w:t>
            </w:r>
          </w:p>
        </w:tc>
        <w:tc>
          <w:tcPr>
            <w:tcW w:type="dxa" w:w="2340"/>
            <w:vAlign w:val="top"/>
          </w:tcPr>
          <w:p>
            <w:pPr>
              <w:spacing w:after="20"/>
            </w:pPr>
            <w:r>
              <w:rPr>
                <w:sz w:val="15"/>
              </w:rPr>
              <w:t>Current final package also deprecated</w:t>
            </w:r>
          </w:p>
        </w:tc>
        <w:tc>
          <w:tcPr>
            <w:tcW w:type="dxa" w:w="2340"/>
            <w:vAlign w:val="top"/>
          </w:tcPr>
          <w:p>
            <w:pPr>
              <w:spacing w:after="20"/>
            </w:pPr>
            <w:r>
              <w:rPr>
                <w:sz w:val="15"/>
              </w:rPr>
              <w:t>6aca5014023f38380043b74394f1f660163ee0b291122eb442e4779227f806c8</w:t>
            </w:r>
          </w:p>
        </w:tc>
        <w:tc>
          <w:tcPr>
            <w:tcW w:type="dxa" w:w="2340"/>
            <w:vAlign w:val="top"/>
          </w:tcPr>
          <w:p>
            <w:pPr>
              <w:spacing w:after="20"/>
            </w:pPr>
            <w:r>
              <w:rPr>
                <w:sz w:val="15"/>
              </w:rPr>
              <w:t>Current drift evidence</w:t>
            </w:r>
          </w:p>
        </w:tc>
      </w:tr>
      <w:tr>
        <w:trPr>
          <w:cantSplit/>
        </w:trPr>
        <w:tc>
          <w:tcPr>
            <w:tcW w:type="dxa" w:w="2340"/>
            <w:vAlign w:val="top"/>
            <w:shd w:fill="EEF4F7"/>
          </w:tcPr>
          <w:p>
            <w:pPr>
              <w:spacing w:after="20"/>
            </w:pPr>
            <w:r>
              <w:rPr>
                <w:sz w:val="15"/>
              </w:rPr>
              <w:t>ClamAV</w:t>
            </w:r>
          </w:p>
        </w:tc>
        <w:tc>
          <w:tcPr>
            <w:tcW w:type="dxa" w:w="2340"/>
            <w:vAlign w:val="top"/>
            <w:shd w:fill="EEF4F7"/>
          </w:tcPr>
          <w:p>
            <w:pPr>
              <w:spacing w:after="20"/>
            </w:pPr>
            <w:r>
              <w:rPr>
                <w:sz w:val="15"/>
              </w:rPr>
              <w:t>7 files; 0 infected</w:t>
            </w:r>
          </w:p>
        </w:tc>
        <w:tc>
          <w:tcPr>
            <w:tcW w:type="dxa" w:w="2340"/>
            <w:vAlign w:val="top"/>
            <w:shd w:fill="EEF4F7"/>
          </w:tcPr>
          <w:p>
            <w:pPr>
              <w:spacing w:after="20"/>
            </w:pPr>
            <w:r>
              <w:rPr>
                <w:sz w:val="15"/>
              </w:rPr>
              <w:t>Engine 1.5.3 / DB 28071</w:t>
            </w:r>
          </w:p>
        </w:tc>
        <w:tc>
          <w:tcPr>
            <w:tcW w:type="dxa" w:w="2340"/>
            <w:vAlign w:val="top"/>
            <w:shd w:fill="EEF4F7"/>
          </w:tcPr>
          <w:p>
            <w:pPr>
              <w:spacing w:after="20"/>
            </w:pPr>
            <w:r>
              <w:rPr>
                <w:sz w:val="15"/>
              </w:rPr>
              <w:t>Current verified within scope</w:t>
            </w:r>
          </w:p>
        </w:tc>
      </w:tr>
      <w:tr>
        <w:trPr>
          <w:cantSplit/>
        </w:trPr>
        <w:tc>
          <w:tcPr>
            <w:tcW w:type="dxa" w:w="2340"/>
            <w:vAlign w:val="top"/>
          </w:tcPr>
          <w:p>
            <w:pPr>
              <w:spacing w:after="20"/>
            </w:pPr>
            <w:r>
              <w:rPr>
                <w:sz w:val="15"/>
              </w:rPr>
              <w:t>OSV</w:t>
            </w:r>
          </w:p>
        </w:tc>
        <w:tc>
          <w:tcPr>
            <w:tcW w:type="dxa" w:w="2340"/>
            <w:vAlign w:val="top"/>
          </w:tcPr>
          <w:p>
            <w:pPr>
              <w:spacing w:after="20"/>
            </w:pPr>
            <w:r>
              <w:rPr>
                <w:sz w:val="15"/>
              </w:rPr>
              <w:t>17 production packages; 0 findings</w:t>
            </w:r>
          </w:p>
        </w:tc>
        <w:tc>
          <w:tcPr>
            <w:tcW w:type="dxa" w:w="2340"/>
            <w:vAlign w:val="top"/>
          </w:tcPr>
          <w:p>
            <w:pPr>
              <w:spacing w:after="20"/>
            </w:pPr>
            <w:r>
              <w:rPr>
                <w:sz w:val="15"/>
              </w:rPr>
              <w:t>osv-scanner 2.4.0</w:t>
            </w:r>
          </w:p>
        </w:tc>
        <w:tc>
          <w:tcPr>
            <w:tcW w:type="dxa" w:w="2340"/>
            <w:vAlign w:val="top"/>
          </w:tcPr>
          <w:p>
            <w:pPr>
              <w:spacing w:after="20"/>
            </w:pPr>
            <w:r>
              <w:rPr>
                <w:sz w:val="15"/>
              </w:rPr>
              <w:t>Current point-in-time evidence</w:t>
            </w:r>
          </w:p>
        </w:tc>
      </w:tr>
    </w:tbl>
    <w:p/>
    <w:p>
      <w:pPr>
        <w:pStyle w:val="Heading1"/>
      </w:pPr>
      <w:r>
        <w:t>Static Analysis and Malware Review</w:t>
      </w:r>
    </w:p>
    <w:p>
      <w:r>
        <w:t>Archive inspection verified seven regular files. Semgrep 1.171.0 ran 51 applicable rules against five metadata and documentation targets and reported zero findings, while explicitly skipping the large bundled index.js and MCP App HTML because of the one-megabyte limit. Manual inspection confirmed the bundle contains expected credential, OAuth, telemetry, network, tool, UI, and persistence-related strings. Static coverage is therefore partial, not clean.</w:t>
      </w:r>
    </w:p>
    <w:p>
      <w:r>
        <w:t>ClamAV 1.5.3 with database 28071 scanned all seven extracted files and reported zero infected files. Sixteen YARA heuristic matches concerned credential-file access, network or exfiltration indicators, decoding, command bridges, package installation, and the bundled UI. Manual triage found those strings consistent with documented product capabilities and compiled dependencies. They remain security-relevant authority indicators even though no malware was identified.</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Method</w:t>
            </w:r>
          </w:p>
        </w:tc>
        <w:tc>
          <w:tcPr>
            <w:tcW w:type="dxa" w:w="2340"/>
            <w:shd w:fill="17365D"/>
          </w:tcPr>
          <w:p>
            <w:r>
              <w:rPr>
                <w:b/>
                <w:color w:val="FFFFFF"/>
                <w:sz w:val="16"/>
              </w:rPr>
              <w:t>Scope</w:t>
            </w:r>
          </w:p>
        </w:tc>
        <w:tc>
          <w:tcPr>
            <w:tcW w:type="dxa" w:w="2340"/>
            <w:shd w:fill="17365D"/>
          </w:tcPr>
          <w:p>
            <w:r>
              <w:rPr>
                <w:b/>
                <w:color w:val="FFFFFF"/>
                <w:sz w:val="16"/>
              </w:rPr>
              <w:t>Result</w:t>
            </w:r>
          </w:p>
        </w:tc>
        <w:tc>
          <w:tcPr>
            <w:tcW w:type="dxa" w:w="2340"/>
            <w:shd w:fill="17365D"/>
          </w:tcPr>
          <w:p>
            <w:r>
              <w:rPr>
                <w:b/>
                <w:color w:val="FFFFFF"/>
                <w:sz w:val="16"/>
              </w:rPr>
              <w:t>Limitation</w:t>
            </w:r>
          </w:p>
        </w:tc>
      </w:tr>
      <w:tr>
        <w:trPr>
          <w:cantSplit/>
        </w:trPr>
        <w:tc>
          <w:tcPr>
            <w:tcW w:type="dxa" w:w="2340"/>
            <w:vAlign w:val="top"/>
          </w:tcPr>
          <w:p>
            <w:pPr>
              <w:spacing w:after="20"/>
            </w:pPr>
            <w:r>
              <w:rPr>
                <w:sz w:val="15"/>
              </w:rPr>
              <w:t>Archive safety</w:t>
            </w:r>
          </w:p>
        </w:tc>
        <w:tc>
          <w:tcPr>
            <w:tcW w:type="dxa" w:w="2340"/>
            <w:vAlign w:val="top"/>
          </w:tcPr>
          <w:p>
            <w:pPr>
              <w:spacing w:after="20"/>
            </w:pPr>
            <w:r>
              <w:rPr>
                <w:sz w:val="15"/>
              </w:rPr>
              <w:t>7 npm members</w:t>
            </w:r>
          </w:p>
        </w:tc>
        <w:tc>
          <w:tcPr>
            <w:tcW w:type="dxa" w:w="2340"/>
            <w:vAlign w:val="top"/>
          </w:tcPr>
          <w:p>
            <w:pPr>
              <w:spacing w:after="20"/>
            </w:pPr>
            <w:r>
              <w:rPr>
                <w:sz w:val="15"/>
              </w:rPr>
              <w:t>No traversal, links or device entries</w:t>
            </w:r>
          </w:p>
        </w:tc>
        <w:tc>
          <w:tcPr>
            <w:tcW w:type="dxa" w:w="2340"/>
            <w:vAlign w:val="top"/>
          </w:tcPr>
          <w:p>
            <w:pPr>
              <w:spacing w:after="20"/>
            </w:pPr>
            <w:r>
              <w:rPr>
                <w:sz w:val="15"/>
              </w:rPr>
              <w:t>Does not establish benign behavior</w:t>
            </w:r>
          </w:p>
        </w:tc>
      </w:tr>
      <w:tr>
        <w:trPr>
          <w:cantSplit/>
        </w:trPr>
        <w:tc>
          <w:tcPr>
            <w:tcW w:type="dxa" w:w="2340"/>
            <w:vAlign w:val="top"/>
            <w:shd w:fill="EEF4F7"/>
          </w:tcPr>
          <w:p>
            <w:pPr>
              <w:spacing w:after="20"/>
            </w:pPr>
            <w:r>
              <w:rPr>
                <w:sz w:val="15"/>
              </w:rPr>
              <w:t>Semgrep</w:t>
            </w:r>
          </w:p>
        </w:tc>
        <w:tc>
          <w:tcPr>
            <w:tcW w:type="dxa" w:w="2340"/>
            <w:vAlign w:val="top"/>
            <w:shd w:fill="EEF4F7"/>
          </w:tcPr>
          <w:p>
            <w:pPr>
              <w:spacing w:after="20"/>
            </w:pPr>
            <w:r>
              <w:rPr>
                <w:sz w:val="15"/>
              </w:rPr>
              <w:t>5 metadata/doc files; 51 rules</w:t>
            </w:r>
          </w:p>
        </w:tc>
        <w:tc>
          <w:tcPr>
            <w:tcW w:type="dxa" w:w="2340"/>
            <w:vAlign w:val="top"/>
            <w:shd w:fill="EEF4F7"/>
          </w:tcPr>
          <w:p>
            <w:pPr>
              <w:spacing w:after="20"/>
            </w:pPr>
            <w:r>
              <w:rPr>
                <w:sz w:val="15"/>
              </w:rPr>
              <w:t>0 findings</w:t>
            </w:r>
          </w:p>
        </w:tc>
        <w:tc>
          <w:tcPr>
            <w:tcW w:type="dxa" w:w="2340"/>
            <w:vAlign w:val="top"/>
            <w:shd w:fill="EEF4F7"/>
          </w:tcPr>
          <w:p>
            <w:pPr>
              <w:spacing w:after="20"/>
            </w:pPr>
            <w:r>
              <w:rPr>
                <w:sz w:val="15"/>
              </w:rPr>
              <w:t>2 large bundles skipped</w:t>
            </w:r>
          </w:p>
        </w:tc>
      </w:tr>
      <w:tr>
        <w:trPr>
          <w:cantSplit/>
        </w:trPr>
        <w:tc>
          <w:tcPr>
            <w:tcW w:type="dxa" w:w="2340"/>
            <w:vAlign w:val="top"/>
          </w:tcPr>
          <w:p>
            <w:pPr>
              <w:spacing w:after="20"/>
            </w:pPr>
            <w:r>
              <w:rPr>
                <w:sz w:val="15"/>
              </w:rPr>
              <w:t>Manual static review</w:t>
            </w:r>
          </w:p>
        </w:tc>
        <w:tc>
          <w:tcPr>
            <w:tcW w:type="dxa" w:w="2340"/>
            <w:vAlign w:val="top"/>
          </w:tcPr>
          <w:p>
            <w:pPr>
              <w:spacing w:after="20"/>
            </w:pPr>
            <w:r>
              <w:rPr>
                <w:sz w:val="15"/>
              </w:rPr>
              <w:t>index.js and MCP App HTML</w:t>
            </w:r>
          </w:p>
        </w:tc>
        <w:tc>
          <w:tcPr>
            <w:tcW w:type="dxa" w:w="2340"/>
            <w:vAlign w:val="top"/>
          </w:tcPr>
          <w:p>
            <w:pPr>
              <w:spacing w:after="20"/>
            </w:pPr>
            <w:r>
              <w:rPr>
                <w:sz w:val="15"/>
              </w:rPr>
              <w:t>Credential, network, telemetry and UI authority confirmed</w:t>
            </w:r>
          </w:p>
        </w:tc>
        <w:tc>
          <w:tcPr>
            <w:tcW w:type="dxa" w:w="2340"/>
            <w:vAlign w:val="top"/>
          </w:tcPr>
          <w:p>
            <w:pPr>
              <w:spacing w:after="20"/>
            </w:pPr>
            <w:r>
              <w:rPr>
                <w:sz w:val="15"/>
              </w:rPr>
              <w:t>Compiled/minified bundle</w:t>
            </w:r>
          </w:p>
        </w:tc>
      </w:tr>
      <w:tr>
        <w:trPr>
          <w:cantSplit/>
        </w:trPr>
        <w:tc>
          <w:tcPr>
            <w:tcW w:type="dxa" w:w="2340"/>
            <w:vAlign w:val="top"/>
            <w:shd w:fill="EEF4F7"/>
          </w:tcPr>
          <w:p>
            <w:pPr>
              <w:spacing w:after="20"/>
            </w:pPr>
            <w:r>
              <w:rPr>
                <w:sz w:val="15"/>
              </w:rPr>
              <w:t>ClamAV</w:t>
            </w:r>
          </w:p>
        </w:tc>
        <w:tc>
          <w:tcPr>
            <w:tcW w:type="dxa" w:w="2340"/>
            <w:vAlign w:val="top"/>
            <w:shd w:fill="EEF4F7"/>
          </w:tcPr>
          <w:p>
            <w:pPr>
              <w:spacing w:after="20"/>
            </w:pPr>
            <w:r>
              <w:rPr>
                <w:sz w:val="15"/>
              </w:rPr>
              <w:t>7 extracted files</w:t>
            </w:r>
          </w:p>
        </w:tc>
        <w:tc>
          <w:tcPr>
            <w:tcW w:type="dxa" w:w="2340"/>
            <w:vAlign w:val="top"/>
            <w:shd w:fill="EEF4F7"/>
          </w:tcPr>
          <w:p>
            <w:pPr>
              <w:spacing w:after="20"/>
            </w:pPr>
            <w:r>
              <w:rPr>
                <w:sz w:val="15"/>
              </w:rPr>
              <w:t>0 infected</w:t>
            </w:r>
          </w:p>
        </w:tc>
        <w:tc>
          <w:tcPr>
            <w:tcW w:type="dxa" w:w="2340"/>
            <w:vAlign w:val="top"/>
            <w:shd w:fill="EEF4F7"/>
          </w:tcPr>
          <w:p>
            <w:pPr>
              <w:spacing w:after="20"/>
            </w:pPr>
            <w:r>
              <w:rPr>
                <w:sz w:val="15"/>
              </w:rPr>
              <w:t>Signature absence is not approval</w:t>
            </w:r>
          </w:p>
        </w:tc>
      </w:tr>
      <w:tr>
        <w:trPr>
          <w:cantSplit/>
        </w:trPr>
        <w:tc>
          <w:tcPr>
            <w:tcW w:type="dxa" w:w="2340"/>
            <w:vAlign w:val="top"/>
          </w:tcPr>
          <w:p>
            <w:pPr>
              <w:spacing w:after="20"/>
            </w:pPr>
            <w:r>
              <w:rPr>
                <w:sz w:val="15"/>
              </w:rPr>
              <w:t>YARA</w:t>
            </w:r>
          </w:p>
        </w:tc>
        <w:tc>
          <w:tcPr>
            <w:tcW w:type="dxa" w:w="2340"/>
            <w:vAlign w:val="top"/>
          </w:tcPr>
          <w:p>
            <w:pPr>
              <w:spacing w:after="20"/>
            </w:pPr>
            <w:r>
              <w:rPr>
                <w:sz w:val="15"/>
              </w:rPr>
              <w:t>7 extracted files</w:t>
            </w:r>
          </w:p>
        </w:tc>
        <w:tc>
          <w:tcPr>
            <w:tcW w:type="dxa" w:w="2340"/>
            <w:vAlign w:val="top"/>
          </w:tcPr>
          <w:p>
            <w:pPr>
              <w:spacing w:after="20"/>
            </w:pPr>
            <w:r>
              <w:rPr>
                <w:sz w:val="15"/>
              </w:rPr>
              <w:t>16 heuristic matches; manually triaged</w:t>
            </w:r>
          </w:p>
        </w:tc>
        <w:tc>
          <w:tcPr>
            <w:tcW w:type="dxa" w:w="2340"/>
            <w:vAlign w:val="top"/>
          </w:tcPr>
          <w:p>
            <w:pPr>
              <w:spacing w:after="20"/>
            </w:pPr>
            <w:r>
              <w:rPr>
                <w:sz w:val="15"/>
              </w:rPr>
              <w:t>Skill-focused rules over compiled bundles</w:t>
            </w:r>
          </w:p>
        </w:tc>
      </w:tr>
      <w:tr>
        <w:trPr>
          <w:cantSplit/>
        </w:trPr>
        <w:tc>
          <w:tcPr>
            <w:tcW w:type="dxa" w:w="2340"/>
            <w:vAlign w:val="top"/>
            <w:shd w:fill="EEF4F7"/>
          </w:tcPr>
          <w:p>
            <w:pPr>
              <w:spacing w:after="20"/>
            </w:pPr>
            <w:r>
              <w:rPr>
                <w:sz w:val="15"/>
              </w:rPr>
              <w:t>Dynamic analysis</w:t>
            </w:r>
          </w:p>
        </w:tc>
        <w:tc>
          <w:tcPr>
            <w:tcW w:type="dxa" w:w="2340"/>
            <w:vAlign w:val="top"/>
            <w:shd w:fill="EEF4F7"/>
          </w:tcPr>
          <w:p>
            <w:pPr>
              <w:spacing w:after="20"/>
            </w:pPr>
            <w:r>
              <w:rPr>
                <w:sz w:val="15"/>
              </w:rPr>
              <w:t>Requested IDEs</w:t>
            </w:r>
          </w:p>
        </w:tc>
        <w:tc>
          <w:tcPr>
            <w:tcW w:type="dxa" w:w="2340"/>
            <w:vAlign w:val="top"/>
            <w:shd w:fill="EEF4F7"/>
          </w:tcPr>
          <w:p>
            <w:pPr>
              <w:spacing w:after="20"/>
            </w:pPr>
            <w:r>
              <w:rPr>
                <w:sz w:val="15"/>
              </w:rPr>
              <w:t>Blocked</w:t>
            </w:r>
          </w:p>
        </w:tc>
        <w:tc>
          <w:tcPr>
            <w:tcW w:type="dxa" w:w="2340"/>
            <w:vAlign w:val="top"/>
            <w:shd w:fill="EEF4F7"/>
          </w:tcPr>
          <w:p>
            <w:pPr>
              <w:spacing w:after="20"/>
            </w:pPr>
            <w:r>
              <w:rPr>
                <w:sz w:val="15"/>
              </w:rPr>
              <w:t>No disposable representative hosts</w:t>
            </w:r>
          </w:p>
        </w:tc>
      </w:tr>
    </w:tbl>
    <w:p/>
    <w:p>
      <w:pPr>
        <w:pStyle w:val="Heading1"/>
      </w:pPr>
      <w:r>
        <w:t>Consolidated Supply Chain Assessment Update</w:t>
      </w:r>
    </w:p>
    <w:p>
      <w:r>
        <w:t>The npm record provides a registry signature, SLSA provenance link, integrity value, repository identity, and exact archive. Those controls are materially better than an unpinned npx invocation, but they do not make a deprecated maintenance-mode package appropriate for production. The analysis-only lock resolved 17 production packages and current OSV correlation returned no known vulnerabilities. Semgrep could not inspect the large bundles completely, source-to-bundle reproducibility was not repeated, and mutable @latest remains prohibited.</w:t>
      </w:r>
    </w:p>
    <w:p>
      <w:pPr>
        <w:pStyle w:val="Heading1"/>
      </w:pPr>
      <w:r>
        <w:t>Consolidated Privacy and Data Protection Update</w:t>
      </w:r>
    </w:p>
    <w:p>
      <w:r>
        <w:t>The local process can authenticate to Dynatrace, query operational telemetry, return content to the IDE and model context, and emit product telemetry by default as documented historically. Credentials may be present in environment variables, the OS keychain, or local token caches. Production logs and DQL results may contain personal or customer-linked information. Disabling product telemetry, minimising scopes, synthetic-data testing, retention controls, DLP, log redaction, and a DPIA trigger decision are mandatory even for an engineering evaluation.</w:t>
      </w:r>
    </w:p>
    <w:p>
      <w:pPr>
        <w:pStyle w:val="Heading1"/>
      </w:pPr>
      <w:r>
        <w:t>Cross-IDE Comparison</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Dimension</w:t>
            </w:r>
          </w:p>
        </w:tc>
        <w:tc>
          <w:tcPr>
            <w:tcW w:type="dxa" w:w="2340"/>
            <w:shd w:fill="17365D"/>
          </w:tcPr>
          <w:p>
            <w:r>
              <w:rPr>
                <w:b/>
                <w:color w:val="FFFFFF"/>
                <w:sz w:val="16"/>
              </w:rPr>
              <w:t>VS Code Windows 11</w:t>
            </w:r>
          </w:p>
        </w:tc>
        <w:tc>
          <w:tcPr>
            <w:tcW w:type="dxa" w:w="2340"/>
            <w:shd w:fill="17365D"/>
          </w:tcPr>
          <w:p>
            <w:r>
              <w:rPr>
                <w:b/>
                <w:color w:val="FFFFFF"/>
                <w:sz w:val="16"/>
              </w:rPr>
              <w:t>VS Code macOS</w:t>
            </w:r>
          </w:p>
        </w:tc>
        <w:tc>
          <w:tcPr>
            <w:tcW w:type="dxa" w:w="2340"/>
            <w:shd w:fill="17365D"/>
          </w:tcPr>
          <w:p>
            <w:r>
              <w:rPr>
                <w:b/>
                <w:color w:val="FFFFFF"/>
                <w:sz w:val="16"/>
              </w:rPr>
              <w:t>Visual Studio Windows 11</w:t>
            </w:r>
          </w:p>
        </w:tc>
      </w:tr>
      <w:tr>
        <w:trPr>
          <w:cantSplit/>
        </w:trPr>
        <w:tc>
          <w:tcPr>
            <w:tcW w:type="dxa" w:w="2340"/>
            <w:vAlign w:val="top"/>
          </w:tcPr>
          <w:p>
            <w:pPr>
              <w:spacing w:after="20"/>
            </w:pPr>
            <w:r>
              <w:rPr>
                <w:sz w:val="15"/>
              </w:rPr>
              <w:t>Assessment decision</w:t>
            </w:r>
          </w:p>
        </w:tc>
        <w:tc>
          <w:tcPr>
            <w:tcW w:type="dxa" w:w="2340"/>
            <w:vAlign w:val="top"/>
          </w:tcPr>
          <w:p>
            <w:pPr>
              <w:spacing w:after="20"/>
            </w:pPr>
            <w:r>
              <w:rPr>
                <w:sz w:val="15"/>
              </w:rPr>
              <w:t>As stated in the current recommendation</w:t>
            </w:r>
          </w:p>
        </w:tc>
        <w:tc>
          <w:tcPr>
            <w:tcW w:type="dxa" w:w="2340"/>
            <w:vAlign w:val="top"/>
          </w:tcPr>
          <w:p>
            <w:pPr>
              <w:spacing w:after="20"/>
            </w:pPr>
            <w:r>
              <w:rPr>
                <w:sz w:val="15"/>
              </w:rPr>
              <w:t>As stated in the current recommendation</w:t>
            </w:r>
          </w:p>
        </w:tc>
        <w:tc>
          <w:tcPr>
            <w:tcW w:type="dxa" w:w="2340"/>
            <w:vAlign w:val="top"/>
          </w:tcPr>
          <w:p>
            <w:pPr>
              <w:spacing w:after="20"/>
            </w:pPr>
            <w:r>
              <w:rPr>
                <w:sz w:val="15"/>
              </w:rPr>
              <w:t>As stated in the current recommendation</w:t>
            </w:r>
          </w:p>
        </w:tc>
      </w:tr>
      <w:tr>
        <w:trPr>
          <w:cantSplit/>
        </w:trPr>
        <w:tc>
          <w:tcPr>
            <w:tcW w:type="dxa" w:w="2340"/>
            <w:vAlign w:val="top"/>
            <w:shd w:fill="EEF4F7"/>
          </w:tcPr>
          <w:p>
            <w:pPr>
              <w:spacing w:after="20"/>
            </w:pPr>
            <w:r>
              <w:rPr>
                <w:sz w:val="15"/>
              </w:rPr>
              <w:t>Runtime evidence</w:t>
            </w:r>
          </w:p>
        </w:tc>
        <w:tc>
          <w:tcPr>
            <w:tcW w:type="dxa" w:w="2340"/>
            <w:vAlign w:val="top"/>
            <w:shd w:fill="EEF4F7"/>
          </w:tcPr>
          <w:p>
            <w:pPr>
              <w:spacing w:after="20"/>
            </w:pPr>
            <w:r>
              <w:rPr>
                <w:sz w:val="15"/>
              </w:rPr>
              <w:t>Blocked: no disposable representative Windows 11/macOS VS Code or Windows 11 Visual Studio host was available</w:t>
            </w:r>
          </w:p>
        </w:tc>
        <w:tc>
          <w:tcPr>
            <w:tcW w:type="dxa" w:w="2340"/>
            <w:vAlign w:val="top"/>
            <w:shd w:fill="EEF4F7"/>
          </w:tcPr>
          <w:p>
            <w:pPr>
              <w:spacing w:after="20"/>
            </w:pPr>
            <w:r>
              <w:rPr>
                <w:sz w:val="15"/>
              </w:rPr>
              <w:t>Blocked: no disposable representative Windows 11/macOS VS Code or Windows 11 Visual Studio host was available</w:t>
            </w:r>
          </w:p>
        </w:tc>
        <w:tc>
          <w:tcPr>
            <w:tcW w:type="dxa" w:w="2340"/>
            <w:vAlign w:val="top"/>
            <w:shd w:fill="EEF4F7"/>
          </w:tcPr>
          <w:p>
            <w:pPr>
              <w:spacing w:after="20"/>
            </w:pPr>
            <w:r>
              <w:rPr>
                <w:sz w:val="15"/>
              </w:rPr>
              <w:t>Blocked: no disposable representative Windows 11/macOS VS Code or Windows 11 Visual Studio host was available</w:t>
            </w:r>
          </w:p>
        </w:tc>
      </w:tr>
      <w:tr>
        <w:trPr>
          <w:cantSplit/>
        </w:trPr>
        <w:tc>
          <w:tcPr>
            <w:tcW w:type="dxa" w:w="2340"/>
            <w:vAlign w:val="top"/>
          </w:tcPr>
          <w:p>
            <w:pPr>
              <w:spacing w:after="20"/>
            </w:pPr>
            <w:r>
              <w:rPr>
                <w:sz w:val="15"/>
              </w:rPr>
              <w:t>Required isolation</w:t>
            </w:r>
          </w:p>
        </w:tc>
        <w:tc>
          <w:tcPr>
            <w:tcW w:type="dxa" w:w="2340"/>
            <w:vAlign w:val="top"/>
          </w:tcPr>
          <w:p>
            <w:pPr>
              <w:spacing w:after="20"/>
            </w:pPr>
            <w:r>
              <w:rPr>
                <w:sz w:val="15"/>
              </w:rPr>
              <w:t>Enterprise policy and disposable test host</w:t>
            </w:r>
          </w:p>
        </w:tc>
        <w:tc>
          <w:tcPr>
            <w:tcW w:type="dxa" w:w="2340"/>
            <w:vAlign w:val="top"/>
          </w:tcPr>
          <w:p>
            <w:pPr>
              <w:spacing w:after="20"/>
            </w:pPr>
            <w:r>
              <w:rPr>
                <w:sz w:val="15"/>
              </w:rPr>
              <w:t>Enterprise policy and disposable test host</w:t>
            </w:r>
          </w:p>
        </w:tc>
        <w:tc>
          <w:tcPr>
            <w:tcW w:type="dxa" w:w="2340"/>
            <w:vAlign w:val="top"/>
          </w:tcPr>
          <w:p>
            <w:pPr>
              <w:spacing w:after="20"/>
            </w:pPr>
            <w:r>
              <w:rPr>
                <w:sz w:val="15"/>
              </w:rPr>
              <w:t>Enterprise policy and disposable test host</w:t>
            </w:r>
          </w:p>
        </w:tc>
      </w:tr>
      <w:tr>
        <w:trPr>
          <w:cantSplit/>
        </w:trPr>
        <w:tc>
          <w:tcPr>
            <w:tcW w:type="dxa" w:w="2340"/>
            <w:vAlign w:val="top"/>
            <w:shd w:fill="EEF4F7"/>
          </w:tcPr>
          <w:p>
            <w:pPr>
              <w:spacing w:after="20"/>
            </w:pPr>
            <w:r>
              <w:rPr>
                <w:sz w:val="15"/>
              </w:rPr>
              <w:t>Lifecycle evidence</w:t>
            </w:r>
          </w:p>
        </w:tc>
        <w:tc>
          <w:tcPr>
            <w:tcW w:type="dxa" w:w="2340"/>
            <w:vAlign w:val="top"/>
            <w:shd w:fill="EEF4F7"/>
          </w:tcPr>
          <w:p>
            <w:pPr>
              <w:spacing w:after="20"/>
            </w:pPr>
            <w:r>
              <w:rPr>
                <w:sz w:val="15"/>
              </w:rPr>
              <w:t>Activation, update, rollback and uninstall require verification</w:t>
            </w:r>
          </w:p>
        </w:tc>
        <w:tc>
          <w:tcPr>
            <w:tcW w:type="dxa" w:w="2340"/>
            <w:vAlign w:val="top"/>
            <w:shd w:fill="EEF4F7"/>
          </w:tcPr>
          <w:p>
            <w:pPr>
              <w:spacing w:after="20"/>
            </w:pPr>
            <w:r>
              <w:rPr>
                <w:sz w:val="15"/>
              </w:rPr>
              <w:t>Activation, update, rollback and uninstall require verification</w:t>
            </w:r>
          </w:p>
        </w:tc>
        <w:tc>
          <w:tcPr>
            <w:tcW w:type="dxa" w:w="2340"/>
            <w:vAlign w:val="top"/>
            <w:shd w:fill="EEF4F7"/>
          </w:tcPr>
          <w:p>
            <w:pPr>
              <w:spacing w:after="20"/>
            </w:pPr>
            <w:r>
              <w:rPr>
                <w:sz w:val="15"/>
              </w:rPr>
              <w:t>Activation, update, rollback and uninstall require verification</w:t>
            </w:r>
          </w:p>
        </w:tc>
      </w:tr>
    </w:tbl>
    <w:p/>
    <w:p>
      <w:pPr>
        <w:pStyle w:val="Heading1"/>
      </w:pPr>
      <w:r>
        <w:t>Control Strength and Assurance</w:t>
      </w:r>
    </w:p>
    <w:p>
      <w:r>
        <w:t>Control strength is rated by what is demonstrably enforced, not by policy intent. A strong preventive control blocks an unsafe action at the process, identity, network, package, or tool boundary. A detective control identifies behavior after or during execution and therefore does not replace prevention. Governance and human approval controls are necessary but weaker when attacker-controlled content can influence an agent. Controls marked proposed or unverified do not reduce the current residual score.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cantSplit/>
        </w:trPr>
        <w:tc>
          <w:tcPr>
            <w:tcW w:type="dxa" w:w="1872"/>
            <w:shd w:fill="17365D"/>
          </w:tcPr>
          <w:p>
            <w:r>
              <w:rPr>
                <w:b/>
                <w:color w:val="FFFFFF"/>
                <w:sz w:val="16"/>
              </w:rPr>
              <w:t>Milestone / target date</w:t>
            </w:r>
          </w:p>
        </w:tc>
        <w:tc>
          <w:tcPr>
            <w:tcW w:type="dxa" w:w="1872"/>
            <w:shd w:fill="17365D"/>
          </w:tcPr>
          <w:p>
            <w:r>
              <w:rPr>
                <w:b/>
                <w:color w:val="FFFFFF"/>
                <w:sz w:val="16"/>
              </w:rPr>
              <w:t>Owner</w:t>
            </w:r>
          </w:p>
        </w:tc>
        <w:tc>
          <w:tcPr>
            <w:tcW w:type="dxa" w:w="1872"/>
            <w:shd w:fill="17365D"/>
          </w:tcPr>
          <w:p>
            <w:r>
              <w:rPr>
                <w:b/>
                <w:color w:val="FFFFFF"/>
                <w:sz w:val="16"/>
              </w:rPr>
              <w:t>Control</w:t>
            </w:r>
          </w:p>
        </w:tc>
        <w:tc>
          <w:tcPr>
            <w:tcW w:type="dxa" w:w="1872"/>
            <w:shd w:fill="17365D"/>
          </w:tcPr>
          <w:p>
            <w:r>
              <w:rPr>
                <w:b/>
                <w:color w:val="FFFFFF"/>
                <w:sz w:val="16"/>
              </w:rPr>
              <w:t>Strength</w:t>
            </w:r>
          </w:p>
        </w:tc>
        <w:tc>
          <w:tcPr>
            <w:tcW w:type="dxa" w:w="1872"/>
            <w:shd w:fill="17365D"/>
          </w:tcPr>
          <w:p>
            <w:r>
              <w:rPr>
                <w:b/>
                <w:color w:val="FFFFFF"/>
                <w:sz w:val="16"/>
              </w:rPr>
              <w:t>Acceptance test</w:t>
            </w:r>
          </w:p>
        </w:tc>
      </w:tr>
      <w:tr>
        <w:trPr>
          <w:cantSplit/>
        </w:trPr>
        <w:tc>
          <w:tcPr>
            <w:tcW w:type="dxa" w:w="1872"/>
            <w:vAlign w:val="top"/>
          </w:tcPr>
          <w:p>
            <w:pPr>
              <w:spacing w:after="20"/>
            </w:pPr>
            <w:r>
              <w:rPr>
                <w:sz w:val="15"/>
              </w:rPr>
              <w:t>Immediate</w:t>
            </w:r>
          </w:p>
        </w:tc>
        <w:tc>
          <w:tcPr>
            <w:tcW w:type="dxa" w:w="1872"/>
            <w:vAlign w:val="top"/>
          </w:tcPr>
          <w:p>
            <w:pPr>
              <w:spacing w:after="20"/>
            </w:pPr>
            <w:r>
              <w:rPr>
                <w:sz w:val="15"/>
              </w:rPr>
              <w:t>IDE platform</w:t>
            </w:r>
          </w:p>
        </w:tc>
        <w:tc>
          <w:tcPr>
            <w:tcW w:type="dxa" w:w="1872"/>
            <w:vAlign w:val="top"/>
          </w:tcPr>
          <w:p>
            <w:pPr>
              <w:spacing w:after="20"/>
            </w:pPr>
            <w:r>
              <w:rPr>
                <w:sz w:val="15"/>
              </w:rPr>
              <w:t>Deny 2.1.1, 2.1.2 and mutable @latest in production</w:t>
            </w:r>
          </w:p>
        </w:tc>
        <w:tc>
          <w:tcPr>
            <w:tcW w:type="dxa" w:w="1872"/>
            <w:vAlign w:val="top"/>
          </w:tcPr>
          <w:p>
            <w:pPr>
              <w:spacing w:after="20"/>
            </w:pPr>
            <w:r>
              <w:rPr>
                <w:sz w:val="15"/>
              </w:rPr>
              <w:t>Strong preventive</w:t>
            </w:r>
          </w:p>
        </w:tc>
        <w:tc>
          <w:tcPr>
            <w:tcW w:type="dxa" w:w="1872"/>
            <w:vAlign w:val="top"/>
          </w:tcPr>
          <w:p>
            <w:pPr>
              <w:spacing w:after="20"/>
            </w:pPr>
            <w:r>
              <w:rPr>
                <w:sz w:val="15"/>
              </w:rPr>
              <w:t>Policy blocks npm and npx launch</w:t>
            </w:r>
          </w:p>
        </w:tc>
      </w:tr>
      <w:tr>
        <w:trPr>
          <w:cantSplit/>
        </w:trPr>
        <w:tc>
          <w:tcPr>
            <w:tcW w:type="dxa" w:w="1872"/>
            <w:vAlign w:val="top"/>
            <w:shd w:fill="EEF4F7"/>
          </w:tcPr>
          <w:p>
            <w:pPr>
              <w:spacing w:after="20"/>
            </w:pPr>
            <w:r>
              <w:rPr>
                <w:sz w:val="15"/>
              </w:rPr>
              <w:t>Before any evaluation</w:t>
            </w:r>
          </w:p>
        </w:tc>
        <w:tc>
          <w:tcPr>
            <w:tcW w:type="dxa" w:w="1872"/>
            <w:vAlign w:val="top"/>
            <w:shd w:fill="EEF4F7"/>
          </w:tcPr>
          <w:p>
            <w:pPr>
              <w:spacing w:after="20"/>
            </w:pPr>
            <w:r>
              <w:rPr>
                <w:sz w:val="15"/>
              </w:rPr>
              <w:t>Supply chain</w:t>
            </w:r>
          </w:p>
        </w:tc>
        <w:tc>
          <w:tcPr>
            <w:tcW w:type="dxa" w:w="1872"/>
            <w:vAlign w:val="top"/>
            <w:shd w:fill="EEF4F7"/>
          </w:tcPr>
          <w:p>
            <w:pPr>
              <w:spacing w:after="20"/>
            </w:pPr>
            <w:r>
              <w:rPr>
                <w:sz w:val="15"/>
              </w:rPr>
              <w:t>Mirror exact archive, integrity, provenance and lock</w:t>
            </w:r>
          </w:p>
        </w:tc>
        <w:tc>
          <w:tcPr>
            <w:tcW w:type="dxa" w:w="1872"/>
            <w:vAlign w:val="top"/>
            <w:shd w:fill="EEF4F7"/>
          </w:tcPr>
          <w:p>
            <w:pPr>
              <w:spacing w:after="20"/>
            </w:pPr>
            <w:r>
              <w:rPr>
                <w:sz w:val="15"/>
              </w:rPr>
              <w:t>Strong preventive</w:t>
            </w:r>
          </w:p>
        </w:tc>
        <w:tc>
          <w:tcPr>
            <w:tcW w:type="dxa" w:w="1872"/>
            <w:vAlign w:val="top"/>
            <w:shd w:fill="EEF4F7"/>
          </w:tcPr>
          <w:p>
            <w:pPr>
              <w:spacing w:after="20"/>
            </w:pPr>
            <w:r>
              <w:rPr>
                <w:sz w:val="15"/>
              </w:rPr>
              <w:t>Offline hash verification passes</w:t>
            </w:r>
          </w:p>
        </w:tc>
      </w:tr>
      <w:tr>
        <w:trPr>
          <w:cantSplit/>
        </w:trPr>
        <w:tc>
          <w:tcPr>
            <w:tcW w:type="dxa" w:w="1872"/>
            <w:vAlign w:val="top"/>
          </w:tcPr>
          <w:p>
            <w:pPr>
              <w:spacing w:after="20"/>
            </w:pPr>
            <w:r>
              <w:rPr>
                <w:sz w:val="15"/>
              </w:rPr>
              <w:t>Before any evaluation</w:t>
            </w:r>
          </w:p>
        </w:tc>
        <w:tc>
          <w:tcPr>
            <w:tcW w:type="dxa" w:w="1872"/>
            <w:vAlign w:val="top"/>
          </w:tcPr>
          <w:p>
            <w:pPr>
              <w:spacing w:after="20"/>
            </w:pPr>
            <w:r>
              <w:rPr>
                <w:sz w:val="15"/>
              </w:rPr>
              <w:t>IAM</w:t>
            </w:r>
          </w:p>
        </w:tc>
        <w:tc>
          <w:tcPr>
            <w:tcW w:type="dxa" w:w="1872"/>
            <w:vAlign w:val="top"/>
          </w:tcPr>
          <w:p>
            <w:pPr>
              <w:spacing w:after="20"/>
            </w:pPr>
            <w:r>
              <w:rPr>
                <w:sz w:val="15"/>
              </w:rPr>
              <w:t>Synthetic tenant and read-only least-privilege identity</w:t>
            </w:r>
          </w:p>
        </w:tc>
        <w:tc>
          <w:tcPr>
            <w:tcW w:type="dxa" w:w="1872"/>
            <w:vAlign w:val="top"/>
          </w:tcPr>
          <w:p>
            <w:pPr>
              <w:spacing w:after="20"/>
            </w:pPr>
            <w:r>
              <w:rPr>
                <w:sz w:val="15"/>
              </w:rPr>
              <w:t>Strong preventive</w:t>
            </w:r>
          </w:p>
        </w:tc>
        <w:tc>
          <w:tcPr>
            <w:tcW w:type="dxa" w:w="1872"/>
            <w:vAlign w:val="top"/>
          </w:tcPr>
          <w:p>
            <w:pPr>
              <w:spacing w:after="20"/>
            </w:pPr>
            <w:r>
              <w:rPr>
                <w:sz w:val="15"/>
              </w:rPr>
              <w:t>Write and cross-tenant tests fail</w:t>
            </w:r>
          </w:p>
        </w:tc>
      </w:tr>
      <w:tr>
        <w:trPr>
          <w:cantSplit/>
        </w:trPr>
        <w:tc>
          <w:tcPr>
            <w:tcW w:type="dxa" w:w="1872"/>
            <w:vAlign w:val="top"/>
            <w:shd w:fill="EEF4F7"/>
          </w:tcPr>
          <w:p>
            <w:pPr>
              <w:spacing w:after="20"/>
            </w:pPr>
            <w:r>
              <w:rPr>
                <w:sz w:val="15"/>
              </w:rPr>
              <w:t>Before any evaluation</w:t>
            </w:r>
          </w:p>
        </w:tc>
        <w:tc>
          <w:tcPr>
            <w:tcW w:type="dxa" w:w="1872"/>
            <w:vAlign w:val="top"/>
            <w:shd w:fill="EEF4F7"/>
          </w:tcPr>
          <w:p>
            <w:pPr>
              <w:spacing w:after="20"/>
            </w:pPr>
            <w:r>
              <w:rPr>
                <w:sz w:val="15"/>
              </w:rPr>
              <w:t>Privacy</w:t>
            </w:r>
          </w:p>
        </w:tc>
        <w:tc>
          <w:tcPr>
            <w:tcW w:type="dxa" w:w="1872"/>
            <w:vAlign w:val="top"/>
            <w:shd w:fill="EEF4F7"/>
          </w:tcPr>
          <w:p>
            <w:pPr>
              <w:spacing w:after="20"/>
            </w:pPr>
            <w:r>
              <w:rPr>
                <w:sz w:val="15"/>
              </w:rPr>
              <w:t>Disable telemetry and approve synthetic data flow</w:t>
            </w:r>
          </w:p>
        </w:tc>
        <w:tc>
          <w:tcPr>
            <w:tcW w:type="dxa" w:w="1872"/>
            <w:vAlign w:val="top"/>
            <w:shd w:fill="EEF4F7"/>
          </w:tcPr>
          <w:p>
            <w:pPr>
              <w:spacing w:after="20"/>
            </w:pPr>
            <w:r>
              <w:rPr>
                <w:sz w:val="15"/>
              </w:rPr>
              <w:t>Preventive + governance</w:t>
            </w:r>
          </w:p>
        </w:tc>
        <w:tc>
          <w:tcPr>
            <w:tcW w:type="dxa" w:w="1872"/>
            <w:vAlign w:val="top"/>
            <w:shd w:fill="EEF4F7"/>
          </w:tcPr>
          <w:p>
            <w:pPr>
              <w:spacing w:after="20"/>
            </w:pPr>
            <w:r>
              <w:rPr>
                <w:sz w:val="15"/>
              </w:rPr>
              <w:t>Network capture shows approved destinations only</w:t>
            </w:r>
          </w:p>
        </w:tc>
      </w:tr>
      <w:tr>
        <w:trPr>
          <w:cantSplit/>
        </w:trPr>
        <w:tc>
          <w:tcPr>
            <w:tcW w:type="dxa" w:w="1872"/>
            <w:vAlign w:val="top"/>
          </w:tcPr>
          <w:p>
            <w:pPr>
              <w:spacing w:after="20"/>
            </w:pPr>
            <w:r>
              <w:rPr>
                <w:sz w:val="15"/>
              </w:rPr>
              <w:t>End of evaluation</w:t>
            </w:r>
          </w:p>
        </w:tc>
        <w:tc>
          <w:tcPr>
            <w:tcW w:type="dxa" w:w="1872"/>
            <w:vAlign w:val="top"/>
          </w:tcPr>
          <w:p>
            <w:pPr>
              <w:spacing w:after="20"/>
            </w:pPr>
            <w:r>
              <w:rPr>
                <w:sz w:val="15"/>
              </w:rPr>
              <w:t>Endpoint owner</w:t>
            </w:r>
          </w:p>
        </w:tc>
        <w:tc>
          <w:tcPr>
            <w:tcW w:type="dxa" w:w="1872"/>
            <w:vAlign w:val="top"/>
          </w:tcPr>
          <w:p>
            <w:pPr>
              <w:spacing w:after="20"/>
            </w:pPr>
            <w:r>
              <w:rPr>
                <w:sz w:val="15"/>
              </w:rPr>
              <w:t>Remove config, process, cache, token and logs</w:t>
            </w:r>
          </w:p>
        </w:tc>
        <w:tc>
          <w:tcPr>
            <w:tcW w:type="dxa" w:w="1872"/>
            <w:vAlign w:val="top"/>
          </w:tcPr>
          <w:p>
            <w:pPr>
              <w:spacing w:after="20"/>
            </w:pPr>
            <w:r>
              <w:rPr>
                <w:sz w:val="15"/>
              </w:rPr>
              <w:t>Verification</w:t>
            </w:r>
          </w:p>
        </w:tc>
        <w:tc>
          <w:tcPr>
            <w:tcW w:type="dxa" w:w="1872"/>
            <w:vAlign w:val="top"/>
          </w:tcPr>
          <w:p>
            <w:pPr>
              <w:spacing w:after="20"/>
            </w:pPr>
            <w:r>
              <w:rPr>
                <w:sz w:val="15"/>
              </w:rPr>
              <w:t>Residue inspection passes</w:t>
            </w:r>
          </w:p>
        </w:tc>
      </w:tr>
    </w:tbl>
    <w:p/>
    <w:p>
      <w:pPr>
        <w:pStyle w:val="Heading1"/>
      </w:pPr>
      <w:r>
        <w:t>Finding ID Reconciliation and Current Risk Update</w:t>
      </w:r>
    </w:p>
    <w:p>
      <w:r>
        <w:t>The regenerated report assigns stable F-xxx identifiers so findings can be tracked independently of the historical R-xx labels. Inherent and residual ratings use likelihood × impact on a 1–5 scale: 1–4 Low, 5–9 Moderate, 10–16 High, and 17–25 Critical. Residual ratings only credit controls supported by retained evidence. Findings remain open until remediated or explicitly risk-accepted by an accountable owner.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1560"/>
            <w:shd w:fill="17365D"/>
          </w:tcPr>
          <w:p>
            <w:r>
              <w:rPr>
                <w:b/>
                <w:color w:val="FFFFFF"/>
                <w:sz w:val="16"/>
              </w:rPr>
              <w:t>ID</w:t>
            </w:r>
          </w:p>
        </w:tc>
        <w:tc>
          <w:tcPr>
            <w:tcW w:type="dxa" w:w="1560"/>
            <w:shd w:fill="17365D"/>
          </w:tcPr>
          <w:p>
            <w:r>
              <w:rPr>
                <w:b/>
                <w:color w:val="FFFFFF"/>
                <w:sz w:val="16"/>
              </w:rPr>
              <w:t>Finding</w:t>
            </w:r>
          </w:p>
        </w:tc>
        <w:tc>
          <w:tcPr>
            <w:tcW w:type="dxa" w:w="1560"/>
            <w:shd w:fill="17365D"/>
          </w:tcPr>
          <w:p>
            <w:r>
              <w:rPr>
                <w:b/>
                <w:color w:val="FFFFFF"/>
                <w:sz w:val="16"/>
              </w:rPr>
              <w:t>Inherent</w:t>
            </w:r>
          </w:p>
        </w:tc>
        <w:tc>
          <w:tcPr>
            <w:tcW w:type="dxa" w:w="1560"/>
            <w:shd w:fill="17365D"/>
          </w:tcPr>
          <w:p>
            <w:r>
              <w:rPr>
                <w:b/>
                <w:color w:val="FFFFFF"/>
                <w:sz w:val="16"/>
              </w:rPr>
              <w:t>Residual</w:t>
            </w:r>
          </w:p>
        </w:tc>
        <w:tc>
          <w:tcPr>
            <w:tcW w:type="dxa" w:w="1560"/>
            <w:shd w:fill="17365D"/>
          </w:tcPr>
          <w:p>
            <w:r>
              <w:rPr>
                <w:b/>
                <w:color w:val="FFFFFF"/>
                <w:sz w:val="16"/>
              </w:rPr>
              <w:t>Owner / treatment</w:t>
            </w:r>
          </w:p>
        </w:tc>
        <w:tc>
          <w:tcPr>
            <w:tcW w:type="dxa" w:w="1560"/>
            <w:shd w:fill="17365D"/>
          </w:tcPr>
          <w:p>
            <w:r>
              <w:rPr>
                <w:b/>
                <w:color w:val="FFFFFF"/>
                <w:sz w:val="16"/>
              </w:rPr>
              <w:t>Target date</w:t>
            </w:r>
          </w:p>
        </w:tc>
      </w:tr>
      <w:tr>
        <w:trPr>
          <w:cantSplit/>
        </w:trPr>
        <w:tc>
          <w:tcPr>
            <w:tcW w:type="dxa" w:w="1560"/>
            <w:vAlign w:val="top"/>
          </w:tcPr>
          <w:p>
            <w:pPr>
              <w:spacing w:after="20"/>
            </w:pPr>
            <w:r>
              <w:rPr>
                <w:sz w:val="15"/>
              </w:rPr>
              <w:t>F-001</w:t>
            </w:r>
          </w:p>
        </w:tc>
        <w:tc>
          <w:tcPr>
            <w:tcW w:type="dxa" w:w="1560"/>
            <w:vAlign w:val="top"/>
          </w:tcPr>
          <w:p>
            <w:pPr>
              <w:spacing w:after="20"/>
            </w:pPr>
            <w:r>
              <w:rPr>
                <w:sz w:val="15"/>
              </w:rPr>
              <w:t>Deprecated and unsupported local package creates lifecycle and exit risk</w:t>
            </w:r>
          </w:p>
        </w:tc>
        <w:tc>
          <w:tcPr>
            <w:tcW w:type="dxa" w:w="1560"/>
            <w:vAlign w:val="top"/>
          </w:tcPr>
          <w:p>
            <w:pPr>
              <w:spacing w:after="20"/>
            </w:pPr>
            <w:r>
              <w:rPr>
                <w:sz w:val="15"/>
              </w:rPr>
              <w:t>4×4=16 High</w:t>
            </w:r>
          </w:p>
        </w:tc>
        <w:tc>
          <w:tcPr>
            <w:tcW w:type="dxa" w:w="1560"/>
            <w:vAlign w:val="top"/>
          </w:tcPr>
          <w:p>
            <w:pPr>
              <w:spacing w:after="20"/>
            </w:pPr>
            <w:r>
              <w:rPr>
                <w:sz w:val="15"/>
              </w:rPr>
              <w:t>4×4=16 High</w:t>
            </w:r>
          </w:p>
        </w:tc>
        <w:tc>
          <w:tcPr>
            <w:tcW w:type="dxa" w:w="1560"/>
            <w:vAlign w:val="top"/>
          </w:tcPr>
          <w:p>
            <w:pPr>
              <w:spacing w:after="20"/>
            </w:pPr>
            <w:r>
              <w:rPr>
                <w:sz w:val="15"/>
              </w:rPr>
              <w:t>Platform owner / avoid</w:t>
            </w:r>
          </w:p>
        </w:tc>
        <w:tc>
          <w:tcPr>
            <w:tcW w:type="dxa" w:w="1560"/>
            <w:vAlign w:val="top"/>
          </w:tcPr>
          <w:p>
            <w:pPr>
              <w:spacing w:after="20"/>
            </w:pPr>
            <w:r>
              <w:rPr>
                <w:sz w:val="15"/>
              </w:rPr>
              <w:t>Immediate</w:t>
            </w:r>
          </w:p>
        </w:tc>
      </w:tr>
      <w:tr>
        <w:trPr>
          <w:cantSplit/>
        </w:trPr>
        <w:tc>
          <w:tcPr>
            <w:tcW w:type="dxa" w:w="1560"/>
            <w:vAlign w:val="top"/>
            <w:shd w:fill="EEF4F7"/>
          </w:tcPr>
          <w:p>
            <w:pPr>
              <w:spacing w:after="20"/>
            </w:pPr>
            <w:r>
              <w:rPr>
                <w:sz w:val="15"/>
              </w:rPr>
              <w:t>F-002</w:t>
            </w:r>
          </w:p>
        </w:tc>
        <w:tc>
          <w:tcPr>
            <w:tcW w:type="dxa" w:w="1560"/>
            <w:vAlign w:val="top"/>
            <w:shd w:fill="EEF4F7"/>
          </w:tcPr>
          <w:p>
            <w:pPr>
              <w:spacing w:after="20"/>
            </w:pPr>
            <w:r>
              <w:rPr>
                <w:sz w:val="15"/>
              </w:rPr>
              <w:t>Mutable npx @latest can execute changed code with user privileges</w:t>
            </w:r>
          </w:p>
        </w:tc>
        <w:tc>
          <w:tcPr>
            <w:tcW w:type="dxa" w:w="1560"/>
            <w:vAlign w:val="top"/>
            <w:shd w:fill="EEF4F7"/>
          </w:tcPr>
          <w:p>
            <w:pPr>
              <w:spacing w:after="20"/>
            </w:pPr>
            <w:r>
              <w:rPr>
                <w:sz w:val="15"/>
              </w:rPr>
              <w:t>4×5=20 Critical</w:t>
            </w:r>
          </w:p>
        </w:tc>
        <w:tc>
          <w:tcPr>
            <w:tcW w:type="dxa" w:w="1560"/>
            <w:vAlign w:val="top"/>
            <w:shd w:fill="EEF4F7"/>
          </w:tcPr>
          <w:p>
            <w:pPr>
              <w:spacing w:after="20"/>
            </w:pPr>
            <w:r>
              <w:rPr>
                <w:sz w:val="15"/>
              </w:rPr>
              <w:t>2×5=10 High</w:t>
            </w:r>
          </w:p>
        </w:tc>
        <w:tc>
          <w:tcPr>
            <w:tcW w:type="dxa" w:w="1560"/>
            <w:vAlign w:val="top"/>
            <w:shd w:fill="EEF4F7"/>
          </w:tcPr>
          <w:p>
            <w:pPr>
              <w:spacing w:after="20"/>
            </w:pPr>
            <w:r>
              <w:rPr>
                <w:sz w:val="15"/>
              </w:rPr>
              <w:t>Supply chain / mitigate</w:t>
            </w:r>
          </w:p>
        </w:tc>
        <w:tc>
          <w:tcPr>
            <w:tcW w:type="dxa" w:w="1560"/>
            <w:vAlign w:val="top"/>
            <w:shd w:fill="EEF4F7"/>
          </w:tcPr>
          <w:p>
            <w:pPr>
              <w:spacing w:after="20"/>
            </w:pPr>
            <w:r>
              <w:rPr>
                <w:sz w:val="15"/>
              </w:rPr>
              <w:t>Before evaluation</w:t>
            </w:r>
          </w:p>
        </w:tc>
      </w:tr>
      <w:tr>
        <w:trPr>
          <w:cantSplit/>
        </w:trPr>
        <w:tc>
          <w:tcPr>
            <w:tcW w:type="dxa" w:w="1560"/>
            <w:vAlign w:val="top"/>
          </w:tcPr>
          <w:p>
            <w:pPr>
              <w:spacing w:after="20"/>
            </w:pPr>
            <w:r>
              <w:rPr>
                <w:sz w:val="15"/>
              </w:rPr>
              <w:t>F-003</w:t>
            </w:r>
          </w:p>
        </w:tc>
        <w:tc>
          <w:tcPr>
            <w:tcW w:type="dxa" w:w="1560"/>
            <w:vAlign w:val="top"/>
          </w:tcPr>
          <w:p>
            <w:pPr>
              <w:spacing w:after="20"/>
            </w:pPr>
            <w:r>
              <w:rPr>
                <w:sz w:val="15"/>
              </w:rPr>
              <w:t>Default product telemetry can disclose regulated context</w:t>
            </w:r>
          </w:p>
        </w:tc>
        <w:tc>
          <w:tcPr>
            <w:tcW w:type="dxa" w:w="1560"/>
            <w:vAlign w:val="top"/>
          </w:tcPr>
          <w:p>
            <w:pPr>
              <w:spacing w:after="20"/>
            </w:pPr>
            <w:r>
              <w:rPr>
                <w:sz w:val="15"/>
              </w:rPr>
              <w:t>4×4=16 High</w:t>
            </w:r>
          </w:p>
        </w:tc>
        <w:tc>
          <w:tcPr>
            <w:tcW w:type="dxa" w:w="1560"/>
            <w:vAlign w:val="top"/>
          </w:tcPr>
          <w:p>
            <w:pPr>
              <w:spacing w:after="20"/>
            </w:pPr>
            <w:r>
              <w:rPr>
                <w:sz w:val="15"/>
              </w:rPr>
              <w:t>3×4=12 High</w:t>
            </w:r>
          </w:p>
        </w:tc>
        <w:tc>
          <w:tcPr>
            <w:tcW w:type="dxa" w:w="1560"/>
            <w:vAlign w:val="top"/>
          </w:tcPr>
          <w:p>
            <w:pPr>
              <w:spacing w:after="20"/>
            </w:pPr>
            <w:r>
              <w:rPr>
                <w:sz w:val="15"/>
              </w:rPr>
              <w:t>Privacy / mitigate</w:t>
            </w:r>
          </w:p>
        </w:tc>
        <w:tc>
          <w:tcPr>
            <w:tcW w:type="dxa" w:w="1560"/>
            <w:vAlign w:val="top"/>
          </w:tcPr>
          <w:p>
            <w:pPr>
              <w:spacing w:after="20"/>
            </w:pPr>
            <w:r>
              <w:rPr>
                <w:sz w:val="15"/>
              </w:rPr>
              <w:t>Before evaluation</w:t>
            </w:r>
          </w:p>
        </w:tc>
      </w:tr>
      <w:tr>
        <w:trPr>
          <w:cantSplit/>
        </w:trPr>
        <w:tc>
          <w:tcPr>
            <w:tcW w:type="dxa" w:w="1560"/>
            <w:vAlign w:val="top"/>
            <w:shd w:fill="EEF4F7"/>
          </w:tcPr>
          <w:p>
            <w:pPr>
              <w:spacing w:after="20"/>
            </w:pPr>
            <w:r>
              <w:rPr>
                <w:sz w:val="15"/>
              </w:rPr>
              <w:t>F-004</w:t>
            </w:r>
          </w:p>
        </w:tc>
        <w:tc>
          <w:tcPr>
            <w:tcW w:type="dxa" w:w="1560"/>
            <w:vAlign w:val="top"/>
            <w:shd w:fill="EEF4F7"/>
          </w:tcPr>
          <w:p>
            <w:pPr>
              <w:spacing w:after="20"/>
            </w:pPr>
            <w:r>
              <w:rPr>
                <w:sz w:val="15"/>
              </w:rPr>
              <w:t>Broad Dynatrace query or write authority can expose or alter production</w:t>
            </w:r>
          </w:p>
        </w:tc>
        <w:tc>
          <w:tcPr>
            <w:tcW w:type="dxa" w:w="1560"/>
            <w:vAlign w:val="top"/>
            <w:shd w:fill="EEF4F7"/>
          </w:tcPr>
          <w:p>
            <w:pPr>
              <w:spacing w:after="20"/>
            </w:pPr>
            <w:r>
              <w:rPr>
                <w:sz w:val="15"/>
              </w:rPr>
              <w:t>4×5=20 Critical</w:t>
            </w:r>
          </w:p>
        </w:tc>
        <w:tc>
          <w:tcPr>
            <w:tcW w:type="dxa" w:w="1560"/>
            <w:vAlign w:val="top"/>
            <w:shd w:fill="EEF4F7"/>
          </w:tcPr>
          <w:p>
            <w:pPr>
              <w:spacing w:after="20"/>
            </w:pPr>
            <w:r>
              <w:rPr>
                <w:sz w:val="15"/>
              </w:rPr>
              <w:t>3×5=15 High</w:t>
            </w:r>
          </w:p>
        </w:tc>
        <w:tc>
          <w:tcPr>
            <w:tcW w:type="dxa" w:w="1560"/>
            <w:vAlign w:val="top"/>
            <w:shd w:fill="EEF4F7"/>
          </w:tcPr>
          <w:p>
            <w:pPr>
              <w:spacing w:after="20"/>
            </w:pPr>
            <w:r>
              <w:rPr>
                <w:sz w:val="15"/>
              </w:rPr>
              <w:t>IAM / avoid</w:t>
            </w:r>
          </w:p>
        </w:tc>
        <w:tc>
          <w:tcPr>
            <w:tcW w:type="dxa" w:w="1560"/>
            <w:vAlign w:val="top"/>
            <w:shd w:fill="EEF4F7"/>
          </w:tcPr>
          <w:p>
            <w:pPr>
              <w:spacing w:after="20"/>
            </w:pPr>
            <w:r>
              <w:rPr>
                <w:sz w:val="15"/>
              </w:rPr>
              <w:t>Before evaluation</w:t>
            </w:r>
          </w:p>
        </w:tc>
      </w:tr>
      <w:tr>
        <w:trPr>
          <w:cantSplit/>
        </w:trPr>
        <w:tc>
          <w:tcPr>
            <w:tcW w:type="dxa" w:w="1560"/>
            <w:vAlign w:val="top"/>
          </w:tcPr>
          <w:p>
            <w:pPr>
              <w:spacing w:after="20"/>
            </w:pPr>
            <w:r>
              <w:rPr>
                <w:sz w:val="15"/>
              </w:rPr>
              <w:t>F-005</w:t>
            </w:r>
          </w:p>
        </w:tc>
        <w:tc>
          <w:tcPr>
            <w:tcW w:type="dxa" w:w="1560"/>
            <w:vAlign w:val="top"/>
          </w:tcPr>
          <w:p>
            <w:pPr>
              <w:spacing w:after="20"/>
            </w:pPr>
            <w:r>
              <w:rPr>
                <w:sz w:val="15"/>
              </w:rPr>
              <w:t>Credential, keychain, cache and uninstall residue are unverified</w:t>
            </w:r>
          </w:p>
        </w:tc>
        <w:tc>
          <w:tcPr>
            <w:tcW w:type="dxa" w:w="1560"/>
            <w:vAlign w:val="top"/>
          </w:tcPr>
          <w:p>
            <w:pPr>
              <w:spacing w:after="20"/>
            </w:pPr>
            <w:r>
              <w:rPr>
                <w:sz w:val="15"/>
              </w:rPr>
              <w:t>3×5=15 High</w:t>
            </w:r>
          </w:p>
        </w:tc>
        <w:tc>
          <w:tcPr>
            <w:tcW w:type="dxa" w:w="1560"/>
            <w:vAlign w:val="top"/>
          </w:tcPr>
          <w:p>
            <w:pPr>
              <w:spacing w:after="20"/>
            </w:pPr>
            <w:r>
              <w:rPr>
                <w:sz w:val="15"/>
              </w:rPr>
              <w:t>3×5=15 High</w:t>
            </w:r>
          </w:p>
        </w:tc>
        <w:tc>
          <w:tcPr>
            <w:tcW w:type="dxa" w:w="1560"/>
            <w:vAlign w:val="top"/>
          </w:tcPr>
          <w:p>
            <w:pPr>
              <w:spacing w:after="20"/>
            </w:pPr>
            <w:r>
              <w:rPr>
                <w:sz w:val="15"/>
              </w:rPr>
              <w:t>Endpoint / mitigate</w:t>
            </w:r>
          </w:p>
        </w:tc>
        <w:tc>
          <w:tcPr>
            <w:tcW w:type="dxa" w:w="1560"/>
            <w:vAlign w:val="top"/>
          </w:tcPr>
          <w:p>
            <w:pPr>
              <w:spacing w:after="20"/>
            </w:pPr>
            <w:r>
              <w:rPr>
                <w:sz w:val="15"/>
              </w:rPr>
              <w:t>Before evaluation</w:t>
            </w:r>
          </w:p>
        </w:tc>
      </w:tr>
      <w:tr>
        <w:trPr>
          <w:cantSplit/>
        </w:trPr>
        <w:tc>
          <w:tcPr>
            <w:tcW w:type="dxa" w:w="1560"/>
            <w:vAlign w:val="top"/>
            <w:shd w:fill="EEF4F7"/>
          </w:tcPr>
          <w:p>
            <w:pPr>
              <w:spacing w:after="20"/>
            </w:pPr>
            <w:r>
              <w:rPr>
                <w:sz w:val="15"/>
              </w:rPr>
              <w:t>F-006</w:t>
            </w:r>
          </w:p>
        </w:tc>
        <w:tc>
          <w:tcPr>
            <w:tcW w:type="dxa" w:w="1560"/>
            <w:vAlign w:val="top"/>
            <w:shd w:fill="EEF4F7"/>
          </w:tcPr>
          <w:p>
            <w:pPr>
              <w:spacing w:after="20"/>
            </w:pPr>
            <w:r>
              <w:rPr>
                <w:sz w:val="15"/>
              </w:rPr>
              <w:t>Bundled MCP App and tool outputs expand prompt-injection surface</w:t>
            </w:r>
          </w:p>
        </w:tc>
        <w:tc>
          <w:tcPr>
            <w:tcW w:type="dxa" w:w="1560"/>
            <w:vAlign w:val="top"/>
            <w:shd w:fill="EEF4F7"/>
          </w:tcPr>
          <w:p>
            <w:pPr>
              <w:spacing w:after="20"/>
            </w:pPr>
            <w:r>
              <w:rPr>
                <w:sz w:val="15"/>
              </w:rPr>
              <w:t>4×4=16 High</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IDE platform / mitigate</w:t>
            </w:r>
          </w:p>
        </w:tc>
        <w:tc>
          <w:tcPr>
            <w:tcW w:type="dxa" w:w="1560"/>
            <w:vAlign w:val="top"/>
            <w:shd w:fill="EEF4F7"/>
          </w:tcPr>
          <w:p>
            <w:pPr>
              <w:spacing w:after="20"/>
            </w:pPr>
            <w:r>
              <w:rPr>
                <w:sz w:val="15"/>
              </w:rPr>
              <w:t>Before evaluation</w:t>
            </w:r>
          </w:p>
        </w:tc>
      </w:tr>
      <w:tr>
        <w:trPr>
          <w:cantSplit/>
        </w:trPr>
        <w:tc>
          <w:tcPr>
            <w:tcW w:type="dxa" w:w="1560"/>
            <w:vAlign w:val="top"/>
          </w:tcPr>
          <w:p>
            <w:pPr>
              <w:spacing w:after="20"/>
            </w:pPr>
            <w:r>
              <w:rPr>
                <w:sz w:val="15"/>
              </w:rPr>
              <w:t>F-007</w:t>
            </w:r>
          </w:p>
        </w:tc>
        <w:tc>
          <w:tcPr>
            <w:tcW w:type="dxa" w:w="1560"/>
            <w:vAlign w:val="top"/>
          </w:tcPr>
          <w:p>
            <w:pPr>
              <w:spacing w:after="20"/>
            </w:pPr>
            <w:r>
              <w:rPr>
                <w:sz w:val="15"/>
              </w:rPr>
              <w:t>Large compiled bundles received incomplete automated static coverage</w:t>
            </w:r>
          </w:p>
        </w:tc>
        <w:tc>
          <w:tcPr>
            <w:tcW w:type="dxa" w:w="1560"/>
            <w:vAlign w:val="top"/>
          </w:tcPr>
          <w:p>
            <w:pPr>
              <w:spacing w:after="20"/>
            </w:pPr>
            <w:r>
              <w:rPr>
                <w:sz w:val="15"/>
              </w:rPr>
              <w:t>3×4=12 High</w:t>
            </w:r>
          </w:p>
        </w:tc>
        <w:tc>
          <w:tcPr>
            <w:tcW w:type="dxa" w:w="1560"/>
            <w:vAlign w:val="top"/>
          </w:tcPr>
          <w:p>
            <w:pPr>
              <w:spacing w:after="20"/>
            </w:pPr>
            <w:r>
              <w:rPr>
                <w:sz w:val="15"/>
              </w:rPr>
              <w:t>3×4=12 High</w:t>
            </w:r>
          </w:p>
        </w:tc>
        <w:tc>
          <w:tcPr>
            <w:tcW w:type="dxa" w:w="1560"/>
            <w:vAlign w:val="top"/>
          </w:tcPr>
          <w:p>
            <w:pPr>
              <w:spacing w:after="20"/>
            </w:pPr>
            <w:r>
              <w:rPr>
                <w:sz w:val="15"/>
              </w:rPr>
              <w:t>Product security / defer</w:t>
            </w:r>
          </w:p>
        </w:tc>
        <w:tc>
          <w:tcPr>
            <w:tcW w:type="dxa" w:w="1560"/>
            <w:vAlign w:val="top"/>
          </w:tcPr>
          <w:p>
            <w:pPr>
              <w:spacing w:after="20"/>
            </w:pPr>
            <w:r>
              <w:rPr>
                <w:sz w:val="15"/>
              </w:rPr>
              <w:t>Before production</w:t>
            </w:r>
          </w:p>
        </w:tc>
      </w:tr>
      <w:tr>
        <w:trPr>
          <w:cantSplit/>
        </w:trPr>
        <w:tc>
          <w:tcPr>
            <w:tcW w:type="dxa" w:w="1560"/>
            <w:vAlign w:val="top"/>
            <w:shd w:fill="EEF4F7"/>
          </w:tcPr>
          <w:p>
            <w:pPr>
              <w:spacing w:after="20"/>
            </w:pPr>
            <w:r>
              <w:rPr>
                <w:sz w:val="15"/>
              </w:rPr>
              <w:t>F-008</w:t>
            </w:r>
          </w:p>
        </w:tc>
        <w:tc>
          <w:tcPr>
            <w:tcW w:type="dxa" w:w="1560"/>
            <w:vAlign w:val="top"/>
            <w:shd w:fill="EEF4F7"/>
          </w:tcPr>
          <w:p>
            <w:pPr>
              <w:spacing w:after="20"/>
            </w:pPr>
            <w:r>
              <w:rPr>
                <w:sz w:val="15"/>
              </w:rPr>
              <w:t>Representative IDE runtime and lifecycle are not observed</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Security testing / defer</w:t>
            </w:r>
          </w:p>
        </w:tc>
        <w:tc>
          <w:tcPr>
            <w:tcW w:type="dxa" w:w="1560"/>
            <w:vAlign w:val="top"/>
            <w:shd w:fill="EEF4F7"/>
          </w:tcPr>
          <w:p>
            <w:pPr>
              <w:spacing w:after="20"/>
            </w:pPr>
            <w:r>
              <w:rPr>
                <w:sz w:val="15"/>
              </w:rPr>
              <w:t>Before evaluation</w:t>
            </w:r>
          </w:p>
        </w:tc>
      </w:tr>
    </w:tbl>
    <w:p/>
    <w:p>
      <w:pPr>
        <w:pStyle w:val="Heading1"/>
      </w:pPr>
      <w:r>
        <w:t>Detection Opportunities and Monitoring Plan</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Signal</w:t>
            </w:r>
          </w:p>
        </w:tc>
        <w:tc>
          <w:tcPr>
            <w:tcW w:type="dxa" w:w="2340"/>
            <w:shd w:fill="17365D"/>
          </w:tcPr>
          <w:p>
            <w:r>
              <w:rPr>
                <w:b/>
                <w:color w:val="FFFFFF"/>
                <w:sz w:val="16"/>
              </w:rPr>
              <w:t>Detection opportunity</w:t>
            </w:r>
          </w:p>
        </w:tc>
        <w:tc>
          <w:tcPr>
            <w:tcW w:type="dxa" w:w="2340"/>
            <w:shd w:fill="17365D"/>
          </w:tcPr>
          <w:p>
            <w:r>
              <w:rPr>
                <w:b/>
                <w:color w:val="FFFFFF"/>
                <w:sz w:val="16"/>
              </w:rPr>
              <w:t>Response</w:t>
            </w:r>
          </w:p>
        </w:tc>
        <w:tc>
          <w:tcPr>
            <w:tcW w:type="dxa" w:w="2340"/>
            <w:shd w:fill="17365D"/>
          </w:tcPr>
          <w:p>
            <w:r>
              <w:rPr>
                <w:b/>
                <w:color w:val="FFFFFF"/>
                <w:sz w:val="16"/>
              </w:rPr>
              <w:t>Control strength</w:t>
            </w:r>
          </w:p>
        </w:tc>
      </w:tr>
      <w:tr>
        <w:trPr>
          <w:cantSplit/>
        </w:trPr>
        <w:tc>
          <w:tcPr>
            <w:tcW w:type="dxa" w:w="2340"/>
            <w:vAlign w:val="top"/>
          </w:tcPr>
          <w:p>
            <w:pPr>
              <w:spacing w:after="20"/>
            </w:pPr>
            <w:r>
              <w:rPr>
                <w:sz w:val="15"/>
              </w:rPr>
              <w:t>Process</w:t>
            </w:r>
          </w:p>
        </w:tc>
        <w:tc>
          <w:tcPr>
            <w:tcW w:type="dxa" w:w="2340"/>
            <w:vAlign w:val="top"/>
          </w:tcPr>
          <w:p>
            <w:pPr>
              <w:spacing w:after="20"/>
            </w:pPr>
            <w:r>
              <w:rPr>
                <w:sz w:val="15"/>
              </w:rPr>
              <w:t>IDE or npx launches deprecated dynatrace package</w:t>
            </w:r>
          </w:p>
        </w:tc>
        <w:tc>
          <w:tcPr>
            <w:tcW w:type="dxa" w:w="2340"/>
            <w:vAlign w:val="top"/>
          </w:tcPr>
          <w:p>
            <w:pPr>
              <w:spacing w:after="20"/>
            </w:pPr>
            <w:r>
              <w:rPr>
                <w:sz w:val="15"/>
              </w:rPr>
              <w:t>Block and investigate</w:t>
            </w:r>
          </w:p>
        </w:tc>
        <w:tc>
          <w:tcPr>
            <w:tcW w:type="dxa" w:w="2340"/>
            <w:vAlign w:val="top"/>
          </w:tcPr>
          <w:p>
            <w:pPr>
              <w:spacing w:after="20"/>
            </w:pPr>
            <w:r>
              <w:rPr>
                <w:sz w:val="15"/>
              </w:rPr>
              <w:t>Preventive</w:t>
            </w:r>
          </w:p>
        </w:tc>
      </w:tr>
      <w:tr>
        <w:trPr>
          <w:cantSplit/>
        </w:trPr>
        <w:tc>
          <w:tcPr>
            <w:tcW w:type="dxa" w:w="2340"/>
            <w:vAlign w:val="top"/>
            <w:shd w:fill="EEF4F7"/>
          </w:tcPr>
          <w:p>
            <w:pPr>
              <w:spacing w:after="20"/>
            </w:pPr>
            <w:r>
              <w:rPr>
                <w:sz w:val="15"/>
              </w:rPr>
              <w:t>Network</w:t>
            </w:r>
          </w:p>
        </w:tc>
        <w:tc>
          <w:tcPr>
            <w:tcW w:type="dxa" w:w="2340"/>
            <w:vAlign w:val="top"/>
            <w:shd w:fill="EEF4F7"/>
          </w:tcPr>
          <w:p>
            <w:pPr>
              <w:spacing w:after="20"/>
            </w:pPr>
            <w:r>
              <w:rPr>
                <w:sz w:val="15"/>
              </w:rPr>
              <w:t>Unexpected telemetry, OAuth or Dynatrace destination</w:t>
            </w:r>
          </w:p>
        </w:tc>
        <w:tc>
          <w:tcPr>
            <w:tcW w:type="dxa" w:w="2340"/>
            <w:vAlign w:val="top"/>
            <w:shd w:fill="EEF4F7"/>
          </w:tcPr>
          <w:p>
            <w:pPr>
              <w:spacing w:after="20"/>
            </w:pPr>
            <w:r>
              <w:rPr>
                <w:sz w:val="15"/>
              </w:rPr>
              <w:t>Terminate and revoke</w:t>
            </w:r>
          </w:p>
        </w:tc>
        <w:tc>
          <w:tcPr>
            <w:tcW w:type="dxa" w:w="2340"/>
            <w:vAlign w:val="top"/>
            <w:shd w:fill="EEF4F7"/>
          </w:tcPr>
          <w:p>
            <w:pPr>
              <w:spacing w:after="20"/>
            </w:pPr>
            <w:r>
              <w:rPr>
                <w:sz w:val="15"/>
              </w:rPr>
              <w:t>Preventive + detective</w:t>
            </w:r>
          </w:p>
        </w:tc>
      </w:tr>
      <w:tr>
        <w:trPr>
          <w:cantSplit/>
        </w:trPr>
        <w:tc>
          <w:tcPr>
            <w:tcW w:type="dxa" w:w="2340"/>
            <w:vAlign w:val="top"/>
          </w:tcPr>
          <w:p>
            <w:pPr>
              <w:spacing w:after="20"/>
            </w:pPr>
            <w:r>
              <w:rPr>
                <w:sz w:val="15"/>
              </w:rPr>
              <w:t>Tool</w:t>
            </w:r>
          </w:p>
        </w:tc>
        <w:tc>
          <w:tcPr>
            <w:tcW w:type="dxa" w:w="2340"/>
            <w:vAlign w:val="top"/>
          </w:tcPr>
          <w:p>
            <w:pPr>
              <w:spacing w:after="20"/>
            </w:pPr>
            <w:r>
              <w:rPr>
                <w:sz w:val="15"/>
              </w:rPr>
              <w:t>Write, high-volume or unapproved DQL tool call</w:t>
            </w:r>
          </w:p>
        </w:tc>
        <w:tc>
          <w:tcPr>
            <w:tcW w:type="dxa" w:w="2340"/>
            <w:vAlign w:val="top"/>
          </w:tcPr>
          <w:p>
            <w:pPr>
              <w:spacing w:after="20"/>
            </w:pPr>
            <w:r>
              <w:rPr>
                <w:sz w:val="15"/>
              </w:rPr>
              <w:t>Block and alert</w:t>
            </w:r>
          </w:p>
        </w:tc>
        <w:tc>
          <w:tcPr>
            <w:tcW w:type="dxa" w:w="2340"/>
            <w:vAlign w:val="top"/>
          </w:tcPr>
          <w:p>
            <w:pPr>
              <w:spacing w:after="20"/>
            </w:pPr>
            <w:r>
              <w:rPr>
                <w:sz w:val="15"/>
              </w:rPr>
              <w:t>Preventive</w:t>
            </w:r>
          </w:p>
        </w:tc>
      </w:tr>
      <w:tr>
        <w:trPr>
          <w:cantSplit/>
        </w:trPr>
        <w:tc>
          <w:tcPr>
            <w:tcW w:type="dxa" w:w="2340"/>
            <w:vAlign w:val="top"/>
            <w:shd w:fill="EEF4F7"/>
          </w:tcPr>
          <w:p>
            <w:pPr>
              <w:spacing w:after="20"/>
            </w:pPr>
            <w:r>
              <w:rPr>
                <w:sz w:val="15"/>
              </w:rPr>
              <w:t>Credential</w:t>
            </w:r>
          </w:p>
        </w:tc>
        <w:tc>
          <w:tcPr>
            <w:tcW w:type="dxa" w:w="2340"/>
            <w:vAlign w:val="top"/>
            <w:shd w:fill="EEF4F7"/>
          </w:tcPr>
          <w:p>
            <w:pPr>
              <w:spacing w:after="20"/>
            </w:pPr>
            <w:r>
              <w:rPr>
                <w:sz w:val="15"/>
              </w:rPr>
              <w:t>Token read, cache creation or anomalous use</w:t>
            </w:r>
          </w:p>
        </w:tc>
        <w:tc>
          <w:tcPr>
            <w:tcW w:type="dxa" w:w="2340"/>
            <w:vAlign w:val="top"/>
            <w:shd w:fill="EEF4F7"/>
          </w:tcPr>
          <w:p>
            <w:pPr>
              <w:spacing w:after="20"/>
            </w:pPr>
            <w:r>
              <w:rPr>
                <w:sz w:val="15"/>
              </w:rPr>
              <w:t>Revoke and investigate</w:t>
            </w:r>
          </w:p>
        </w:tc>
        <w:tc>
          <w:tcPr>
            <w:tcW w:type="dxa" w:w="2340"/>
            <w:vAlign w:val="top"/>
            <w:shd w:fill="EEF4F7"/>
          </w:tcPr>
          <w:p>
            <w:pPr>
              <w:spacing w:after="20"/>
            </w:pPr>
            <w:r>
              <w:rPr>
                <w:sz w:val="15"/>
              </w:rPr>
              <w:t>Detective</w:t>
            </w:r>
          </w:p>
        </w:tc>
      </w:tr>
      <w:tr>
        <w:trPr>
          <w:cantSplit/>
        </w:trPr>
        <w:tc>
          <w:tcPr>
            <w:tcW w:type="dxa" w:w="2340"/>
            <w:vAlign w:val="top"/>
          </w:tcPr>
          <w:p>
            <w:pPr>
              <w:spacing w:after="20"/>
            </w:pPr>
            <w:r>
              <w:rPr>
                <w:sz w:val="15"/>
              </w:rPr>
              <w:t>Supply chain</w:t>
            </w:r>
          </w:p>
        </w:tc>
        <w:tc>
          <w:tcPr>
            <w:tcW w:type="dxa" w:w="2340"/>
            <w:vAlign w:val="top"/>
          </w:tcPr>
          <w:p>
            <w:pPr>
              <w:spacing w:after="20"/>
            </w:pPr>
            <w:r>
              <w:rPr>
                <w:sz w:val="15"/>
              </w:rPr>
              <w:t>Hash, signature, provenance or package-state drift</w:t>
            </w:r>
          </w:p>
        </w:tc>
        <w:tc>
          <w:tcPr>
            <w:tcW w:type="dxa" w:w="2340"/>
            <w:vAlign w:val="top"/>
          </w:tcPr>
          <w:p>
            <w:pPr>
              <w:spacing w:after="20"/>
            </w:pPr>
            <w:r>
              <w:rPr>
                <w:sz w:val="15"/>
              </w:rPr>
              <w:t>Quarantine</w:t>
            </w:r>
          </w:p>
        </w:tc>
        <w:tc>
          <w:tcPr>
            <w:tcW w:type="dxa" w:w="2340"/>
            <w:vAlign w:val="top"/>
          </w:tcPr>
          <w:p>
            <w:pPr>
              <w:spacing w:after="20"/>
            </w:pPr>
            <w:r>
              <w:rPr>
                <w:sz w:val="15"/>
              </w:rPr>
              <w:t>Preventive</w:t>
            </w:r>
          </w:p>
        </w:tc>
      </w:tr>
    </w:tbl>
    <w:p/>
    <w:p>
      <w:pPr>
        <w:pStyle w:val="Heading1"/>
      </w:pPr>
      <w:r>
        <w:t>Residual Risk and Approval Recommendation Update</w:t>
      </w:r>
    </w:p>
    <w:p>
      <w:r>
        <w:t>Decision: DO NOT APPROVE @dynatrace-oss/dynatrace-mcp-server 2.1.1 for production, regulated data, or internal-confidential workloads. The package is deprecated and unsupported, includes a large partially opaque bundle, operates with user privileges, handles credentials and high-value telemetry, and lacks representative IDE runtime evidence. A separately authorised, time-limited static or runtime engineering evaluation may use only synthetic data, exact pinned artifacts, default telemetry disabled, read-only tools, isolated identities and disposable hosts. Prefer reassessment of the hosted service rather than extending this local package.</w:t>
      </w:r>
    </w:p>
    <w:p>
      <w:pPr>
        <w:pStyle w:val="Heading1"/>
      </w:pPr>
      <w:r>
        <w:t>Regeneration Limitations and Confidence</w:t>
      </w:r>
    </w:p>
    <w:p>
      <w:r>
        <w:t>Confidence is High for registry metadata, archive hash and contents, current deprecation, ClamAV result, and lockfile advisory query; Medium for bundle behavior inferred from manual inspection; and Low for runtime, IDE lifecycle, telemetry destinations, credential persistence, update, and uninstall residue. Dynamic analysis was selected but blocked. The Cursor skill was not executed or treated as part of the npm installation.</w:t>
      </w:r>
    </w:p>
    <w:p>
      <w:pPr>
        <w:pStyle w:val="Heading1"/>
      </w:pPr>
      <w:r>
        <w:t>Evidence Register Update</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Evidence ID</w:t>
            </w:r>
          </w:p>
        </w:tc>
        <w:tc>
          <w:tcPr>
            <w:tcW w:type="dxa" w:w="2340"/>
            <w:shd w:fill="17365D"/>
          </w:tcPr>
          <w:p>
            <w:r>
              <w:rPr>
                <w:b/>
                <w:color w:val="FFFFFF"/>
                <w:sz w:val="16"/>
              </w:rPr>
              <w:t>Evidence</w:t>
            </w:r>
          </w:p>
        </w:tc>
        <w:tc>
          <w:tcPr>
            <w:tcW w:type="dxa" w:w="2340"/>
            <w:shd w:fill="17365D"/>
          </w:tcPr>
          <w:p>
            <w:r>
              <w:rPr>
                <w:b/>
                <w:color w:val="FFFFFF"/>
                <w:sz w:val="16"/>
              </w:rPr>
              <w:t>State</w:t>
            </w:r>
          </w:p>
        </w:tc>
        <w:tc>
          <w:tcPr>
            <w:tcW w:type="dxa" w:w="2340"/>
            <w:shd w:fill="17365D"/>
          </w:tcPr>
          <w:p>
            <w:r>
              <w:rPr>
                <w:b/>
                <w:color w:val="FFFFFF"/>
                <w:sz w:val="16"/>
              </w:rPr>
              <w:t>Retention / verification</w:t>
            </w:r>
          </w:p>
        </w:tc>
      </w:tr>
      <w:tr>
        <w:trPr>
          <w:cantSplit/>
        </w:trPr>
        <w:tc>
          <w:tcPr>
            <w:tcW w:type="dxa" w:w="2340"/>
            <w:vAlign w:val="top"/>
          </w:tcPr>
          <w:p>
            <w:pPr>
              <w:spacing w:after="20"/>
            </w:pPr>
            <w:r>
              <w:rPr>
                <w:sz w:val="15"/>
              </w:rPr>
              <w:t>EV-001</w:t>
            </w:r>
          </w:p>
        </w:tc>
        <w:tc>
          <w:tcPr>
            <w:tcW w:type="dxa" w:w="2340"/>
            <w:vAlign w:val="top"/>
          </w:tcPr>
          <w:p>
            <w:pPr>
              <w:spacing w:after="20"/>
            </w:pPr>
            <w:r>
              <w:rPr>
                <w:sz w:val="15"/>
              </w:rPr>
              <w:t>Historical baseline v1.0</w:t>
            </w:r>
          </w:p>
        </w:tc>
        <w:tc>
          <w:tcPr>
            <w:tcW w:type="dxa" w:w="2340"/>
            <w:vAlign w:val="top"/>
          </w:tcPr>
          <w:p>
            <w:pPr>
              <w:spacing w:after="20"/>
            </w:pPr>
            <w:r>
              <w:rPr>
                <w:sz w:val="15"/>
              </w:rPr>
              <w:t>Preserved</w:t>
            </w:r>
          </w:p>
        </w:tc>
        <w:tc>
          <w:tcPr>
            <w:tcW w:type="dxa" w:w="2340"/>
            <w:vAlign w:val="top"/>
          </w:tcPr>
          <w:p>
            <w:pPr>
              <w:spacing w:after="20"/>
            </w:pPr>
            <w:r>
              <w:rPr>
                <w:sz w:val="15"/>
              </w:rPr>
              <w:t>SHA-256 in migration provenance</w:t>
            </w:r>
          </w:p>
        </w:tc>
      </w:tr>
      <w:tr>
        <w:trPr>
          <w:cantSplit/>
        </w:trPr>
        <w:tc>
          <w:tcPr>
            <w:tcW w:type="dxa" w:w="2340"/>
            <w:vAlign w:val="top"/>
            <w:shd w:fill="EEF4F7"/>
          </w:tcPr>
          <w:p>
            <w:pPr>
              <w:spacing w:after="20"/>
            </w:pPr>
            <w:r>
              <w:rPr>
                <w:sz w:val="15"/>
              </w:rPr>
              <w:t>EV-002</w:t>
            </w:r>
          </w:p>
        </w:tc>
        <w:tc>
          <w:tcPr>
            <w:tcW w:type="dxa" w:w="2340"/>
            <w:vAlign w:val="top"/>
            <w:shd w:fill="EEF4F7"/>
          </w:tcPr>
          <w:p>
            <w:pPr>
              <w:spacing w:after="20"/>
            </w:pPr>
            <w:r>
              <w:rPr>
                <w:sz w:val="15"/>
              </w:rPr>
              <w:t>npm 2.1.1 archive and metadata</w:t>
            </w:r>
          </w:p>
        </w:tc>
        <w:tc>
          <w:tcPr>
            <w:tcW w:type="dxa" w:w="2340"/>
            <w:vAlign w:val="top"/>
            <w:shd w:fill="EEF4F7"/>
          </w:tcPr>
          <w:p>
            <w:pPr>
              <w:spacing w:after="20"/>
            </w:pPr>
            <w:r>
              <w:rPr>
                <w:sz w:val="15"/>
              </w:rPr>
              <w:t>Current verified</w:t>
            </w:r>
          </w:p>
        </w:tc>
        <w:tc>
          <w:tcPr>
            <w:tcW w:type="dxa" w:w="2340"/>
            <w:vAlign w:val="top"/>
            <w:shd w:fill="EEF4F7"/>
          </w:tcPr>
          <w:p>
            <w:pPr>
              <w:spacing w:after="20"/>
            </w:pPr>
            <w:r>
              <w:rPr>
                <w:sz w:val="15"/>
              </w:rPr>
              <w:t>Retained exact artifact and registry JSON</w:t>
            </w:r>
          </w:p>
        </w:tc>
      </w:tr>
      <w:tr>
        <w:trPr>
          <w:cantSplit/>
        </w:trPr>
        <w:tc>
          <w:tcPr>
            <w:tcW w:type="dxa" w:w="2340"/>
            <w:vAlign w:val="top"/>
          </w:tcPr>
          <w:p>
            <w:pPr>
              <w:spacing w:after="20"/>
            </w:pPr>
            <w:r>
              <w:rPr>
                <w:sz w:val="15"/>
              </w:rPr>
              <w:t>EV-003</w:t>
            </w:r>
          </w:p>
        </w:tc>
        <w:tc>
          <w:tcPr>
            <w:tcW w:type="dxa" w:w="2340"/>
            <w:vAlign w:val="top"/>
          </w:tcPr>
          <w:p>
            <w:pPr>
              <w:spacing w:after="20"/>
            </w:pPr>
            <w:r>
              <w:rPr>
                <w:sz w:val="15"/>
              </w:rPr>
              <w:t>npm 2.1.2 deprecation metadata</w:t>
            </w:r>
          </w:p>
        </w:tc>
        <w:tc>
          <w:tcPr>
            <w:tcW w:type="dxa" w:w="2340"/>
            <w:vAlign w:val="top"/>
          </w:tcPr>
          <w:p>
            <w:pPr>
              <w:spacing w:after="20"/>
            </w:pPr>
            <w:r>
              <w:rPr>
                <w:sz w:val="15"/>
              </w:rPr>
              <w:t>Current drift</w:t>
            </w:r>
          </w:p>
        </w:tc>
        <w:tc>
          <w:tcPr>
            <w:tcW w:type="dxa" w:w="2340"/>
            <w:vAlign w:val="top"/>
          </w:tcPr>
          <w:p>
            <w:pPr>
              <w:spacing w:after="20"/>
            </w:pPr>
            <w:r>
              <w:rPr>
                <w:sz w:val="15"/>
              </w:rPr>
              <w:t>Retained registry JSON</w:t>
            </w:r>
          </w:p>
        </w:tc>
      </w:tr>
      <w:tr>
        <w:trPr>
          <w:cantSplit/>
        </w:trPr>
        <w:tc>
          <w:tcPr>
            <w:tcW w:type="dxa" w:w="2340"/>
            <w:vAlign w:val="top"/>
            <w:shd w:fill="EEF4F7"/>
          </w:tcPr>
          <w:p>
            <w:pPr>
              <w:spacing w:after="20"/>
            </w:pPr>
            <w:r>
              <w:rPr>
                <w:sz w:val="15"/>
              </w:rPr>
              <w:t>EV-004</w:t>
            </w:r>
          </w:p>
        </w:tc>
        <w:tc>
          <w:tcPr>
            <w:tcW w:type="dxa" w:w="2340"/>
            <w:vAlign w:val="top"/>
            <w:shd w:fill="EEF4F7"/>
          </w:tcPr>
          <w:p>
            <w:pPr>
              <w:spacing w:after="20"/>
            </w:pPr>
            <w:r>
              <w:rPr>
                <w:sz w:val="15"/>
              </w:rPr>
              <w:t>Semgrep, OSV, ClamAV and YARA</w:t>
            </w:r>
          </w:p>
        </w:tc>
        <w:tc>
          <w:tcPr>
            <w:tcW w:type="dxa" w:w="2340"/>
            <w:vAlign w:val="top"/>
            <w:shd w:fill="EEF4F7"/>
          </w:tcPr>
          <w:p>
            <w:pPr>
              <w:spacing w:after="20"/>
            </w:pPr>
            <w:r>
              <w:rPr>
                <w:sz w:val="15"/>
              </w:rPr>
              <w:t>Current verified with limitations</w:t>
            </w:r>
          </w:p>
        </w:tc>
        <w:tc>
          <w:tcPr>
            <w:tcW w:type="dxa" w:w="2340"/>
            <w:vAlign w:val="top"/>
            <w:shd w:fill="EEF4F7"/>
          </w:tcPr>
          <w:p>
            <w:pPr>
              <w:spacing w:after="20"/>
            </w:pPr>
            <w:r>
              <w:rPr>
                <w:sz w:val="15"/>
              </w:rPr>
              <w:t>Retained machine-readable output</w:t>
            </w:r>
          </w:p>
        </w:tc>
      </w:tr>
      <w:tr>
        <w:trPr>
          <w:cantSplit/>
        </w:trPr>
        <w:tc>
          <w:tcPr>
            <w:tcW w:type="dxa" w:w="2340"/>
            <w:vAlign w:val="top"/>
          </w:tcPr>
          <w:p>
            <w:pPr>
              <w:spacing w:after="20"/>
            </w:pPr>
            <w:r>
              <w:rPr>
                <w:sz w:val="15"/>
              </w:rPr>
              <w:t>EV-005</w:t>
            </w:r>
          </w:p>
        </w:tc>
        <w:tc>
          <w:tcPr>
            <w:tcW w:type="dxa" w:w="2340"/>
            <w:vAlign w:val="top"/>
          </w:tcPr>
          <w:p>
            <w:pPr>
              <w:spacing w:after="20"/>
            </w:pPr>
            <w:r>
              <w:rPr>
                <w:sz w:val="15"/>
              </w:rPr>
              <w:t>Representative runtime</w:t>
            </w:r>
          </w:p>
        </w:tc>
        <w:tc>
          <w:tcPr>
            <w:tcW w:type="dxa" w:w="2340"/>
            <w:vAlign w:val="top"/>
          </w:tcPr>
          <w:p>
            <w:pPr>
              <w:spacing w:after="20"/>
            </w:pPr>
            <w:r>
              <w:rPr>
                <w:sz w:val="15"/>
              </w:rPr>
              <w:t>Blocked</w:t>
            </w:r>
          </w:p>
        </w:tc>
        <w:tc>
          <w:tcPr>
            <w:tcW w:type="dxa" w:w="2340"/>
            <w:vAlign w:val="top"/>
          </w:tcPr>
          <w:p>
            <w:pPr>
              <w:spacing w:after="20"/>
            </w:pPr>
            <w:r>
              <w:rPr>
                <w:sz w:val="15"/>
              </w:rPr>
              <w:t>Acceptance protocol retained</w:t>
            </w:r>
          </w:p>
        </w:tc>
      </w:tr>
    </w:tbl>
    <w:p/>
    <w:p>
      <w:pPr>
        <w:pStyle w:val="Heading1"/>
      </w:pPr>
      <w:r>
        <w:t>Revision History Update</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Version</w:t>
            </w:r>
          </w:p>
        </w:tc>
        <w:tc>
          <w:tcPr>
            <w:tcW w:type="dxa" w:w="2340"/>
            <w:shd w:fill="17365D"/>
          </w:tcPr>
          <w:p>
            <w:r>
              <w:rPr>
                <w:b/>
                <w:color w:val="FFFFFF"/>
                <w:sz w:val="16"/>
              </w:rPr>
              <w:t>Date</w:t>
            </w:r>
          </w:p>
        </w:tc>
        <w:tc>
          <w:tcPr>
            <w:tcW w:type="dxa" w:w="2340"/>
            <w:shd w:fill="17365D"/>
          </w:tcPr>
          <w:p>
            <w:r>
              <w:rPr>
                <w:b/>
                <w:color w:val="FFFFFF"/>
                <w:sz w:val="16"/>
              </w:rPr>
              <w:t>Change</w:t>
            </w:r>
          </w:p>
        </w:tc>
        <w:tc>
          <w:tcPr>
            <w:tcW w:type="dxa" w:w="2340"/>
            <w:shd w:fill="17365D"/>
          </w:tcPr>
          <w:p>
            <w:r>
              <w:rPr>
                <w:b/>
                <w:color w:val="FFFFFF"/>
                <w:sz w:val="16"/>
              </w:rPr>
              <w:t>Approval state</w:t>
            </w:r>
          </w:p>
        </w:tc>
      </w:tr>
      <w:tr>
        <w:trPr>
          <w:cantSplit/>
        </w:trPr>
        <w:tc>
          <w:tcPr>
            <w:tcW w:type="dxa" w:w="2340"/>
            <w:vAlign w:val="top"/>
          </w:tcPr>
          <w:p>
            <w:pPr>
              <w:spacing w:after="20"/>
            </w:pPr>
            <w:r>
              <w:rPr>
                <w:sz w:val="15"/>
              </w:rPr>
              <w:t>1.0</w:t>
            </w:r>
          </w:p>
        </w:tc>
        <w:tc>
          <w:tcPr>
            <w:tcW w:type="dxa" w:w="2340"/>
            <w:vAlign w:val="top"/>
          </w:tcPr>
          <w:p>
            <w:pPr>
              <w:spacing w:after="20"/>
            </w:pPr>
            <w:r>
              <w:rPr>
                <w:sz w:val="15"/>
              </w:rPr>
              <w:t>15 July 2026</w:t>
            </w:r>
          </w:p>
        </w:tc>
        <w:tc>
          <w:tcPr>
            <w:tcW w:type="dxa" w:w="2340"/>
            <w:vAlign w:val="top"/>
          </w:tcPr>
          <w:p>
            <w:pPr>
              <w:spacing w:after="20"/>
            </w:pPr>
            <w:r>
              <w:rPr>
                <w:sz w:val="15"/>
              </w:rPr>
              <w:t>Historical delivered assessment preserved as baseline evidence</w:t>
            </w:r>
          </w:p>
        </w:tc>
        <w:tc>
          <w:tcPr>
            <w:tcW w:type="dxa" w:w="2340"/>
            <w:vAlign w:val="top"/>
          </w:tcPr>
          <w:p>
            <w:pPr>
              <w:spacing w:after="20"/>
            </w:pPr>
            <w:r>
              <w:rPr>
                <w:sz w:val="15"/>
              </w:rPr>
              <w:t>Superseded</w:t>
            </w:r>
          </w:p>
        </w:tc>
      </w:tr>
      <w:tr>
        <w:trPr>
          <w:cantSplit/>
        </w:trPr>
        <w:tc>
          <w:tcPr>
            <w:tcW w:type="dxa" w:w="2340"/>
            <w:vAlign w:val="top"/>
            <w:shd w:fill="EEF4F7"/>
          </w:tcPr>
          <w:p>
            <w:pPr>
              <w:spacing w:after="20"/>
            </w:pPr>
            <w:r>
              <w:rPr>
                <w:sz w:val="15"/>
              </w:rPr>
              <w:t>1.1</w:t>
            </w:r>
          </w:p>
        </w:tc>
        <w:tc>
          <w:tcPr>
            <w:tcW w:type="dxa" w:w="2340"/>
            <w:vAlign w:val="top"/>
            <w:shd w:fill="EEF4F7"/>
          </w:tcPr>
          <w:p>
            <w:pPr>
              <w:spacing w:after="20"/>
            </w:pPr>
            <w:r>
              <w:rPr>
                <w:sz w:val="15"/>
              </w:rPr>
              <w:t>25 July 2026</w:t>
            </w:r>
          </w:p>
        </w:tc>
        <w:tc>
          <w:tcPr>
            <w:tcW w:type="dxa" w:w="2340"/>
            <w:vAlign w:val="top"/>
            <w:shd w:fill="EEF4F7"/>
          </w:tcPr>
          <w:p>
            <w:pPr>
              <w:spacing w:after="20"/>
            </w:pPr>
            <w:r>
              <w:rPr>
                <w:sz w:val="15"/>
              </w:rPr>
              <w:t>Repository regeneration, current source drift, static, malware, advisory and quality-gate review</w:t>
            </w:r>
          </w:p>
        </w:tc>
        <w:tc>
          <w:tcPr>
            <w:tcW w:type="dxa" w:w="2340"/>
            <w:vAlign w:val="top"/>
            <w:shd w:fill="EEF4F7"/>
          </w:tcPr>
          <w:p>
            <w:pPr>
              <w:spacing w:after="20"/>
            </w:pPr>
            <w:r>
              <w:rPr>
                <w:sz w:val="15"/>
              </w:rPr>
              <w:t>Candidate / draft PR</w:t>
            </w:r>
          </w:p>
        </w:tc>
      </w:tr>
    </w:tbl>
    <w:p/>
    <w:p>
      <w:pPr>
        <w:pStyle w:val="Heading1"/>
      </w:pPr>
      <w:r>
        <w:t>Document Control Update</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4680"/>
            <w:shd w:fill="17365D"/>
          </w:tcPr>
          <w:p>
            <w:r>
              <w:rPr>
                <w:b/>
                <w:color w:val="FFFFFF"/>
                <w:sz w:val="16"/>
              </w:rPr>
              <w:t>Field</w:t>
            </w:r>
          </w:p>
        </w:tc>
        <w:tc>
          <w:tcPr>
            <w:tcW w:type="dxa" w:w="4680"/>
            <w:shd w:fill="17365D"/>
          </w:tcPr>
          <w:p>
            <w:r>
              <w:rPr>
                <w:b/>
                <w:color w:val="FFFFFF"/>
                <w:sz w:val="16"/>
              </w:rPr>
              <w:t>Value</w:t>
            </w:r>
          </w:p>
        </w:tc>
      </w:tr>
      <w:tr>
        <w:trPr>
          <w:cantSplit/>
        </w:trPr>
        <w:tc>
          <w:tcPr>
            <w:tcW w:type="dxa" w:w="4680"/>
            <w:vAlign w:val="top"/>
          </w:tcPr>
          <w:p>
            <w:pPr>
              <w:spacing w:after="20"/>
            </w:pPr>
            <w:r>
              <w:rPr>
                <w:sz w:val="15"/>
              </w:rPr>
              <w:t>Classification</w:t>
            </w:r>
          </w:p>
        </w:tc>
        <w:tc>
          <w:tcPr>
            <w:tcW w:type="dxa" w:w="4680"/>
            <w:vAlign w:val="top"/>
          </w:tcPr>
          <w:p>
            <w:pPr>
              <w:spacing w:after="20"/>
            </w:pPr>
            <w:r>
              <w:rPr>
                <w:sz w:val="15"/>
              </w:rPr>
              <w:t>PUBLIC</w:t>
            </w:r>
          </w:p>
        </w:tc>
      </w:tr>
      <w:tr>
        <w:trPr>
          <w:cantSplit/>
        </w:trPr>
        <w:tc>
          <w:tcPr>
            <w:tcW w:type="dxa" w:w="4680"/>
            <w:vAlign w:val="top"/>
            <w:shd w:fill="EEF4F7"/>
          </w:tcPr>
          <w:p>
            <w:pPr>
              <w:spacing w:after="20"/>
            </w:pPr>
            <w:r>
              <w:rPr>
                <w:sz w:val="15"/>
              </w:rPr>
              <w:t>Audience</w:t>
            </w:r>
          </w:p>
        </w:tc>
        <w:tc>
          <w:tcPr>
            <w:tcW w:type="dxa" w:w="4680"/>
            <w:vAlign w:val="top"/>
            <w:shd w:fill="EEF4F7"/>
          </w:tcPr>
          <w:p>
            <w:pPr>
              <w:spacing w:after="20"/>
            </w:pPr>
            <w:r>
              <w:rPr>
                <w:sz w:val="15"/>
              </w:rPr>
              <w:t>UK financial-services security, engineering, privacy and risk owners</w:t>
            </w:r>
          </w:p>
        </w:tc>
      </w:tr>
      <w:tr>
        <w:trPr>
          <w:cantSplit/>
        </w:trPr>
        <w:tc>
          <w:tcPr>
            <w:tcW w:type="dxa" w:w="4680"/>
            <w:vAlign w:val="top"/>
          </w:tcPr>
          <w:p>
            <w:pPr>
              <w:spacing w:after="20"/>
            </w:pPr>
            <w:r>
              <w:rPr>
                <w:sz w:val="15"/>
              </w:rPr>
              <w:t>Authority</w:t>
            </w:r>
          </w:p>
        </w:tc>
        <w:tc>
          <w:tcPr>
            <w:tcW w:type="dxa" w:w="4680"/>
            <w:vAlign w:val="top"/>
          </w:tcPr>
          <w:p>
            <w:pPr>
              <w:spacing w:after="20"/>
            </w:pPr>
            <w:r>
              <w:rPr>
                <w:sz w:val="15"/>
              </w:rPr>
              <w:t>Candidate until reviewed PR is approved and merged</w:t>
            </w:r>
          </w:p>
        </w:tc>
      </w:tr>
      <w:tr>
        <w:trPr>
          <w:cantSplit/>
        </w:trPr>
        <w:tc>
          <w:tcPr>
            <w:tcW w:type="dxa" w:w="4680"/>
            <w:vAlign w:val="top"/>
            <w:shd w:fill="EEF4F7"/>
          </w:tcPr>
          <w:p>
            <w:pPr>
              <w:spacing w:after="20"/>
            </w:pPr>
            <w:r>
              <w:rPr>
                <w:sz w:val="15"/>
              </w:rPr>
              <w:t>Source baseline</w:t>
            </w:r>
          </w:p>
        </w:tc>
        <w:tc>
          <w:tcPr>
            <w:tcW w:type="dxa" w:w="4680"/>
            <w:vAlign w:val="top"/>
            <w:shd w:fill="EEF4F7"/>
          </w:tcPr>
          <w:p>
            <w:pPr>
              <w:spacing w:after="20"/>
            </w:pPr>
            <w:r>
              <w:rPr>
                <w:sz w:val="15"/>
              </w:rPr>
              <w:t>historical-baseline-v1.0.docx</w:t>
            </w:r>
          </w:p>
        </w:tc>
      </w:tr>
      <w:tr>
        <w:trPr>
          <w:cantSplit/>
        </w:trPr>
        <w:tc>
          <w:tcPr>
            <w:tcW w:type="dxa" w:w="4680"/>
            <w:vAlign w:val="top"/>
          </w:tcPr>
          <w:p>
            <w:pPr>
              <w:spacing w:after="20"/>
            </w:pPr>
            <w:r>
              <w:rPr>
                <w:sz w:val="15"/>
              </w:rPr>
              <w:t>Repository run key</w:t>
            </w:r>
          </w:p>
        </w:tc>
        <w:tc>
          <w:tcPr>
            <w:tcW w:type="dxa" w:w="4680"/>
            <w:vAlign w:val="top"/>
          </w:tcPr>
          <w:p>
            <w:pPr>
              <w:spacing w:after="20"/>
            </w:pPr>
            <w:r>
              <w:rPr>
                <w:sz w:val="15"/>
              </w:rPr>
              <w:t>2026-07-25-v1.1</w:t>
            </w:r>
          </w:p>
        </w:tc>
      </w:tr>
    </w:tbl>
    <w:p/>
    <w:p>
      <w:pPr>
        <w:pStyle w:val="Heading1"/>
      </w:pPr>
      <w:r>
        <w:t>Glossary Update</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4680"/>
            <w:shd w:fill="17365D"/>
          </w:tcPr>
          <w:p>
            <w:r>
              <w:rPr>
                <w:b/>
                <w:color w:val="FFFFFF"/>
                <w:sz w:val="16"/>
              </w:rPr>
              <w:t>Term</w:t>
            </w:r>
          </w:p>
        </w:tc>
        <w:tc>
          <w:tcPr>
            <w:tcW w:type="dxa" w:w="4680"/>
            <w:shd w:fill="17365D"/>
          </w:tcPr>
          <w:p>
            <w:r>
              <w:rPr>
                <w:b/>
                <w:color w:val="FFFFFF"/>
                <w:sz w:val="16"/>
              </w:rPr>
              <w:t>Meaning</w:t>
            </w:r>
          </w:p>
        </w:tc>
      </w:tr>
      <w:tr>
        <w:trPr>
          <w:cantSplit/>
        </w:trPr>
        <w:tc>
          <w:tcPr>
            <w:tcW w:type="dxa" w:w="4680"/>
            <w:vAlign w:val="top"/>
          </w:tcPr>
          <w:p>
            <w:pPr>
              <w:spacing w:after="20"/>
            </w:pPr>
            <w:r>
              <w:rPr>
                <w:sz w:val="15"/>
              </w:rPr>
              <w:t>Current verified</w:t>
            </w:r>
          </w:p>
        </w:tc>
        <w:tc>
          <w:tcPr>
            <w:tcW w:type="dxa" w:w="4680"/>
            <w:vAlign w:val="top"/>
          </w:tcPr>
          <w:p>
            <w:pPr>
              <w:spacing w:after="20"/>
            </w:pPr>
            <w:r>
              <w:rPr>
                <w:sz w:val="15"/>
              </w:rPr>
              <w:t>Supported by evidence acquired during the 25 July 2026 regeneration</w:t>
            </w:r>
          </w:p>
        </w:tc>
      </w:tr>
      <w:tr>
        <w:trPr>
          <w:cantSplit/>
        </w:trPr>
        <w:tc>
          <w:tcPr>
            <w:tcW w:type="dxa" w:w="4680"/>
            <w:vAlign w:val="top"/>
            <w:shd w:fill="EEF4F7"/>
          </w:tcPr>
          <w:p>
            <w:pPr>
              <w:spacing w:after="20"/>
            </w:pPr>
            <w:r>
              <w:rPr>
                <w:sz w:val="15"/>
              </w:rPr>
              <w:t>Historical verified</w:t>
            </w:r>
          </w:p>
        </w:tc>
        <w:tc>
          <w:tcPr>
            <w:tcW w:type="dxa" w:w="4680"/>
            <w:vAlign w:val="top"/>
            <w:shd w:fill="EEF4F7"/>
          </w:tcPr>
          <w:p>
            <w:pPr>
              <w:spacing w:after="20"/>
            </w:pPr>
            <w:r>
              <w:rPr>
                <w:sz w:val="15"/>
              </w:rPr>
              <w:t>Supported by retained evidence from the original assessment but not repeated on a current representative host</w:t>
            </w:r>
          </w:p>
        </w:tc>
      </w:tr>
      <w:tr>
        <w:trPr>
          <w:cantSplit/>
        </w:trPr>
        <w:tc>
          <w:tcPr>
            <w:tcW w:type="dxa" w:w="4680"/>
            <w:vAlign w:val="top"/>
          </w:tcPr>
          <w:p>
            <w:pPr>
              <w:spacing w:after="20"/>
            </w:pPr>
            <w:r>
              <w:rPr>
                <w:sz w:val="15"/>
              </w:rPr>
              <w:t>Not observed</w:t>
            </w:r>
          </w:p>
        </w:tc>
        <w:tc>
          <w:tcPr>
            <w:tcW w:type="dxa" w:w="4680"/>
            <w:vAlign w:val="top"/>
          </w:tcPr>
          <w:p>
            <w:pPr>
              <w:spacing w:after="20"/>
            </w:pPr>
            <w:r>
              <w:rPr>
                <w:sz w:val="15"/>
              </w:rPr>
              <w:t>No representative runtime evidence was obtained</w:t>
            </w:r>
          </w:p>
        </w:tc>
      </w:tr>
      <w:tr>
        <w:trPr>
          <w:cantSplit/>
        </w:trPr>
        <w:tc>
          <w:tcPr>
            <w:tcW w:type="dxa" w:w="4680"/>
            <w:vAlign w:val="top"/>
            <w:shd w:fill="EEF4F7"/>
          </w:tcPr>
          <w:p>
            <w:pPr>
              <w:spacing w:after="20"/>
            </w:pPr>
            <w:r>
              <w:rPr>
                <w:sz w:val="15"/>
              </w:rPr>
              <w:t>Blocked</w:t>
            </w:r>
          </w:p>
        </w:tc>
        <w:tc>
          <w:tcPr>
            <w:tcW w:type="dxa" w:w="4680"/>
            <w:vAlign w:val="top"/>
            <w:shd w:fill="EEF4F7"/>
          </w:tcPr>
          <w:p>
            <w:pPr>
              <w:spacing w:after="20"/>
            </w:pPr>
            <w:r>
              <w:rPr>
                <w:sz w:val="15"/>
              </w:rPr>
              <w:t>Selected analysis could not run because a required disposable host, account, or credential was unavailable</w:t>
            </w:r>
          </w:p>
        </w:tc>
      </w:tr>
      <w:tr>
        <w:trPr>
          <w:cantSplit/>
        </w:trPr>
        <w:tc>
          <w:tcPr>
            <w:tcW w:type="dxa" w:w="4680"/>
            <w:vAlign w:val="top"/>
          </w:tcPr>
          <w:p>
            <w:pPr>
              <w:spacing w:after="20"/>
            </w:pPr>
            <w:r>
              <w:rPr>
                <w:sz w:val="15"/>
              </w:rPr>
              <w:t>Control strength</w:t>
            </w:r>
          </w:p>
        </w:tc>
        <w:tc>
          <w:tcPr>
            <w:tcW w:type="dxa" w:w="4680"/>
            <w:vAlign w:val="top"/>
          </w:tcPr>
          <w:p>
            <w:pPr>
              <w:spacing w:after="20"/>
            </w:pPr>
            <w:r>
              <w:rPr>
                <w:sz w:val="15"/>
              </w:rPr>
              <w:t>Assurance rating based on enforcement and verification rather than intent</w:t>
            </w:r>
          </w:p>
        </w:tc>
      </w:tr>
    </w:tbl>
    <w:p/>
    <w:p>
      <w:pPr>
        <w:pStyle w:val="Heading1"/>
      </w:pPr>
      <w:r>
        <w:t>Current Primary References</w:t>
      </w:r>
    </w:p>
    <w:p>
      <w:r>
        <w:t xml:space="preserve">REF-L01 — npm package 2.1.1: </w:t>
      </w:r>
      <w:hyperlink r:id="rId48">
        <w:r>
          <w:rPr>
            <w:color w:val="0563C1"/>
            <w:u w:val="single"/>
          </w:rPr>
          <w:t>open primary source</w:t>
        </w:r>
      </w:hyperlink>
      <w:r>
        <w:t xml:space="preserve"> (accessed 25 July 2026).</w:t>
      </w:r>
    </w:p>
    <w:p>
      <w:r>
        <w:t xml:space="preserve">REF-L02 — Dynatrace MCP source repository: </w:t>
      </w:r>
      <w:hyperlink r:id="rId13">
        <w:r>
          <w:rPr>
            <w:color w:val="0563C1"/>
            <w:u w:val="single"/>
          </w:rPr>
          <w:t>open primary source</w:t>
        </w:r>
      </w:hyperlink>
      <w:r>
        <w:t xml:space="preserve"> (accessed 25 July 2026).</w:t>
      </w:r>
    </w:p>
    <w:p>
      <w:r>
        <w:t xml:space="preserve">REF-L03 — Dynatrace hosted MCP documentation: </w:t>
      </w:r>
      <w:hyperlink r:id="rId49">
        <w:r>
          <w:rPr>
            <w:color w:val="0563C1"/>
            <w:u w:val="single"/>
          </w:rPr>
          <w:t>open primary source</w:t>
        </w:r>
      </w:hyperlink>
      <w:r>
        <w:t xml:space="preserve"> (accessed 25 July 2026).</w:t>
      </w:r>
    </w:p>
    <w:p>
      <w:r>
        <w:t xml:space="preserve">REF-C01 — VS Code MCP servers: </w:t>
      </w:r>
      <w:hyperlink r:id="rId26">
        <w:r>
          <w:rPr>
            <w:color w:val="0563C1"/>
            <w:u w:val="single"/>
          </w:rPr>
          <w:t>open primary source</w:t>
        </w:r>
      </w:hyperlink>
      <w:r>
        <w:t xml:space="preserve"> (accessed 25 July 2026).</w:t>
      </w:r>
    </w:p>
    <w:p>
      <w:r>
        <w:t xml:space="preserve">REF-C02 — Visual Studio MCP servers: </w:t>
      </w:r>
      <w:hyperlink r:id="rId25">
        <w:r>
          <w:rPr>
            <w:color w:val="0563C1"/>
            <w:u w:val="single"/>
          </w:rPr>
          <w:t>open primary source</w:t>
        </w:r>
      </w:hyperlink>
      <w:r>
        <w:t xml:space="preserve"> (accessed 25 July 2026).</w:t>
      </w:r>
    </w:p>
    <w:p>
      <w:r>
        <w:t xml:space="preserve">REF-C03 — OWASP Top 10 for LLM Applications 2025: </w:t>
      </w:r>
      <w:hyperlink r:id="rId50">
        <w:r>
          <w:rPr>
            <w:color w:val="0563C1"/>
            <w:u w:val="single"/>
          </w:rPr>
          <w:t>open primary source</w:t>
        </w:r>
      </w:hyperlink>
      <w:r>
        <w:t xml:space="preserve"> (accessed 25 July 2026).</w:t>
      </w:r>
    </w:p>
    <w:p>
      <w:r>
        <w:t xml:space="preserve">REF-C04 — OWASP MCP Top 10: </w:t>
      </w:r>
      <w:hyperlink r:id="rId29">
        <w:r>
          <w:rPr>
            <w:color w:val="0563C1"/>
            <w:u w:val="single"/>
          </w:rPr>
          <w:t>open primary source</w:t>
        </w:r>
      </w:hyperlink>
      <w:r>
        <w:t xml:space="preserve"> (accessed 25 July 2026).</w:t>
      </w:r>
    </w:p>
    <w:p>
      <w:r>
        <w:t xml:space="preserve">REF-C05 — NIST AI Risk Management Framework: </w:t>
      </w:r>
      <w:hyperlink r:id="rId51">
        <w:r>
          <w:rPr>
            <w:color w:val="0563C1"/>
            <w:u w:val="single"/>
          </w:rPr>
          <w:t>open primary source</w:t>
        </w:r>
      </w:hyperlink>
      <w:r>
        <w:t xml:space="preserve"> (accessed 25 July 2026).</w:t>
      </w:r>
    </w:p>
    <w:p>
      <w:r>
        <w:t xml:space="preserve">REF-C06 — NCSC secure AI system development: </w:t>
      </w:r>
      <w:hyperlink r:id="rId52">
        <w:r>
          <w:rPr>
            <w:color w:val="0563C1"/>
            <w:u w:val="single"/>
          </w:rPr>
          <w:t>open primary source</w:t>
        </w:r>
      </w:hyperlink>
      <w:r>
        <w:t xml:space="preserve"> (accessed 25 July 2026).</w:t>
      </w:r>
    </w:p>
    <w:p>
      <w:r>
        <w:t xml:space="preserve">REF-C07 — ICO AI and data-protection guidance: </w:t>
      </w:r>
      <w:hyperlink r:id="rId53">
        <w:r>
          <w:rPr>
            <w:color w:val="0563C1"/>
            <w:u w:val="single"/>
          </w:rPr>
          <w:t>open primary source</w:t>
        </w:r>
      </w:hyperlink>
      <w:r>
        <w:t xml:space="preserve"> (accessed 25 July 2026).</w:t>
      </w:r>
    </w:p>
    <w:p>
      <w:r>
        <w:t xml:space="preserve">REF-C08 — FCA operational resilience: </w:t>
      </w:r>
      <w:hyperlink r:id="rId38">
        <w:r>
          <w:rPr>
            <w:color w:val="0563C1"/>
            <w:u w:val="single"/>
          </w:rPr>
          <w:t>open primary source</w:t>
        </w:r>
      </w:hyperlink>
      <w:r>
        <w:t xml:space="preserve"> (accessed 25 July 2026).</w:t>
      </w:r>
    </w:p>
    <w:p>
      <w:r>
        <w:t xml:space="preserve">REF-C09 — PRA SS2/21 third-party risk: </w:t>
      </w:r>
      <w:hyperlink r:id="rId40">
        <w:r>
          <w:rPr>
            <w:color w:val="0563C1"/>
            <w:u w:val="single"/>
          </w:rPr>
          <w:t>open primary source</w:t>
        </w:r>
      </w:hyperlink>
      <w:r>
        <w:t xml:space="preserve"> (accessed 25 July 2026).</w:t>
      </w:r>
    </w:p>
    <w:sectPr>
      <w:headerReference w:type="default" r:id="rId9"/>
      <w:footerReference w:type="default" r:id="rId10"/>
      <w:headerReference w:type="even" r:id="rId46"/>
      <w:footerReference w:type="even" r:id="rId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25 July 2026  |  Page </w:t>
    </w:r>
    <w:r>
      <w:fldChar w:fldCharType="begin"/>
      <w:instrText xml:space="preserve"> PAGE </w:instrText>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25 July 2026  |  Page </w:t>
    </w:r>
    <w:r>
      <w:fldChar w:fldCharType="begin"/>
      <w:instrText xml:space="preserve"> PAGE </w:instrText>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PUBLIC  |  Dynatrace Local MCP Security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PUBLIC  |  Dynatrace Local MCP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40404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pPr>
    <w:rPr>
      <w:rFonts w:ascii="Calibri" w:hAnsi="Calibri"/>
      <w:b/>
      <w:bCs/>
      <w:i/>
      <w:color w:val="40404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npmjs.com/package/@dynatrace-oss/dynatrace-mcp-server" TargetMode="External"/><Relationship Id="rId13" Type="http://schemas.openxmlformats.org/officeDocument/2006/relationships/hyperlink" Target="https://github.com/dynatrace-oss/dynatrace-mcp" TargetMode="External"/><Relationship Id="rId14" Type="http://schemas.openxmlformats.org/officeDocument/2006/relationships/hyperlink" Target="https://github.com/dynatrace-oss/dynatrace-mcp/releases/tag/v2.1.1" TargetMode="External"/><Relationship Id="rId15" Type="http://schemas.openxmlformats.org/officeDocument/2006/relationships/hyperlink" Target="https://github.com/dynatrace-oss/dynatrace-mcp/tree/v2.1.1" TargetMode="External"/><Relationship Id="rId16" Type="http://schemas.openxmlformats.org/officeDocument/2006/relationships/hyperlink" Target="https://github.com/dynatrace-oss/dynatrace-mcp/blob/v2.1.1/CHANGELOG.md" TargetMode="External"/><Relationship Id="rId17" Type="http://schemas.openxmlformats.org/officeDocument/2006/relationships/hyperlink" Target="https://github.com/dynatrace-oss/dynatrace-mcp/blob/v2.1.1/README.md" TargetMode="External"/><Relationship Id="rId18" Type="http://schemas.openxmlformats.org/officeDocument/2006/relationships/hyperlink" Target="https://github.com/dynatrace-oss/dynatrace-mcp/blob/v2.1.1/SECURITY.md" TargetMode="External"/><Relationship Id="rId19" Type="http://schemas.openxmlformats.org/officeDocument/2006/relationships/hyperlink" Target="https://registry.npmjs.org/-/npm/v1/attestations/@dynatrace-oss%2fdynatrace-mcp-server@2.1.1" TargetMode="External"/><Relationship Id="rId20" Type="http://schemas.openxmlformats.org/officeDocument/2006/relationships/hyperlink" Target="https://github.com/dynatrace-oss/dynatrace-mcp/blob/v2.1.1/src/index.ts" TargetMode="External"/><Relationship Id="rId21" Type="http://schemas.openxmlformats.org/officeDocument/2006/relationships/hyperlink" Target="https://github.com/dynatrace-oss/dynatrace-mcp/blob/v2.1.1/src/utils/telemetry-openkit.ts" TargetMode="External"/><Relationship Id="rId22" Type="http://schemas.openxmlformats.org/officeDocument/2006/relationships/hyperlink" Target="https://github.com/dynatrace-oss/dynatrace-mcp/blob/v2.1.1/src/authentication/token-cache.ts" TargetMode="External"/><Relationship Id="rId23" Type="http://schemas.openxmlformats.org/officeDocument/2006/relationships/hyperlink" Target="https://github.com/dynatrace-oss/dynatrace-mcp/blob/v2.1.1/plugins/dynatrace-mcp/skills/dynatrace-investigation/SKILL.md" TargetMode="External"/><Relationship Id="rId24" Type="http://schemas.openxmlformats.org/officeDocument/2006/relationships/hyperlink" Target="https://github.com/dynatrace-oss/dynatrace-mcp/blob/v2.1.1/src/utils/dql-sanitize.ts" TargetMode="External"/><Relationship Id="rId25" Type="http://schemas.openxmlformats.org/officeDocument/2006/relationships/hyperlink" Target="https://learn.microsoft.com/en-us/visualstudio/ide/mcp-servers?view=visualstudio" TargetMode="External"/><Relationship Id="rId26" Type="http://schemas.openxmlformats.org/officeDocument/2006/relationships/hyperlink" Target="https://code.visualstudio.com/docs/agent-customization/mcp-servers" TargetMode="External"/><Relationship Id="rId27" Type="http://schemas.openxmlformats.org/officeDocument/2006/relationships/hyperlink" Target="https://owasp.org/www-project-top-10-for-large-language-model-applications/assets/PDF/OWASP-Top-10-for-LLMs-v2025.pdf" TargetMode="External"/><Relationship Id="rId28" Type="http://schemas.openxmlformats.org/officeDocument/2006/relationships/hyperlink" Target="https://genai.owasp.org/2025/12/09/owasp-top-10-for-agentic-applications-the-benchmark-for-agentic-security-in-the-age-of-autonomous-ai/" TargetMode="External"/><Relationship Id="rId29" Type="http://schemas.openxmlformats.org/officeDocument/2006/relationships/hyperlink" Target="https://owasp.org/www-project-mcp-top-10/" TargetMode="External"/><Relationship Id="rId30" Type="http://schemas.openxmlformats.org/officeDocument/2006/relationships/hyperlink" Target="https://owasp.org/www-project-application-security-verification-standard/" TargetMode="External"/><Relationship Id="rId31" Type="http://schemas.openxmlformats.org/officeDocument/2006/relationships/hyperlink" Target="https://www.nist.gov/publications/artificial-intelligence-risk-management-framework-ai-rmf-10" TargetMode="External"/><Relationship Id="rId32" Type="http://schemas.openxmlformats.org/officeDocument/2006/relationships/hyperlink" Target="https://nvlpubs.nist.gov/nistpubs/ai/NIST.AI.600-1.pdf" TargetMode="External"/><Relationship Id="rId33" Type="http://schemas.openxmlformats.org/officeDocument/2006/relationships/hyperlink" Target="https://atlas.mitre.org/" TargetMode="External"/><Relationship Id="rId34" Type="http://schemas.openxmlformats.org/officeDocument/2006/relationships/hyperlink" Target="https://www.cisecurity.org/controls/v8-1" TargetMode="External"/><Relationship Id="rId35" Type="http://schemas.openxmlformats.org/officeDocument/2006/relationships/hyperlink" Target="https://www.iso.org/standard/27001" TargetMode="External"/><Relationship Id="rId36" Type="http://schemas.openxmlformats.org/officeDocument/2006/relationships/hyperlink" Target="https://www.ncsc.gov.uk/collection/guidelines-secure-ai-system-development/guidelines" TargetMode="External"/><Relationship Id="rId37" Type="http://schemas.openxmlformats.org/officeDocument/2006/relationships/hyperlink" Target="https://ico.org.uk/for-organisations/uk-gdpr-guidance-and-resources/artificial-intelligence/guidance-on-ai-and-data-protection/about-this-guidance/" TargetMode="External"/><Relationship Id="rId38" Type="http://schemas.openxmlformats.org/officeDocument/2006/relationships/hyperlink" Target="https://www.fca.org.uk/firms/operational-resilience" TargetMode="External"/><Relationship Id="rId39" Type="http://schemas.openxmlformats.org/officeDocument/2006/relationships/hyperlink" Target="https://www.bankofengland.co.uk/prudential-regulation/publication/2021/march/operational-resilience-impact-tolerances-for-important-business-services-ss" TargetMode="External"/><Relationship Id="rId40" Type="http://schemas.openxmlformats.org/officeDocument/2006/relationships/hyperlink" Target="https://www.bankofengland.co.uk/prudential-regulation/publication/2021/march/outsourcing-and-third-party-risk-management-ss" TargetMode="External"/><Relationship Id="rId41" Type="http://schemas.openxmlformats.org/officeDocument/2006/relationships/hyperlink" Target="https://www.legislation.gov.uk/eur/2016/679/contents" TargetMode="External"/><Relationship Id="rId42" Type="http://schemas.openxmlformats.org/officeDocument/2006/relationships/hyperlink" Target="https://www.legislation.gov.uk/ukpga/2018/12/contents" TargetMode="External"/><Relationship Id="rId43" Type="http://schemas.openxmlformats.org/officeDocument/2006/relationships/hyperlink" Target="https://handbook.fca.org.uk/handbook/sysc15a?timeline=true" TargetMode="External"/><Relationship Id="rId44" Type="http://schemas.openxmlformats.org/officeDocument/2006/relationships/hyperlink" Target="https://handbook.fca.org.uk/handbook/sysc8?timeline=true" TargetMode="External"/><Relationship Id="rId45" Type="http://schemas.openxmlformats.org/officeDocument/2006/relationships/hyperlink" Target="https://www.prarulebook.co.uk/pra-rules" TargetMode="External"/><Relationship Id="rId46" Type="http://schemas.openxmlformats.org/officeDocument/2006/relationships/header" Target="header2.xml"/><Relationship Id="rId47" Type="http://schemas.openxmlformats.org/officeDocument/2006/relationships/footer" Target="footer2.xml"/><Relationship Id="rId48" Type="http://schemas.openxmlformats.org/officeDocument/2006/relationships/hyperlink" Target="https://www.npmjs.com/package/@dynatrace-oss/dynatrace-mcp-server/v/2.1.1" TargetMode="External"/><Relationship Id="rId49" Type="http://schemas.openxmlformats.org/officeDocument/2006/relationships/hyperlink" Target="https://docs.dynatrace.com/docs/dynatrace-intelligence/dynatrace-mcp" TargetMode="External"/><Relationship Id="rId50" Type="http://schemas.openxmlformats.org/officeDocument/2006/relationships/hyperlink" Target="https://genai.owasp.org/resource/owasp-top-10-for-llm-applications-2025/" TargetMode="External"/><Relationship Id="rId51" Type="http://schemas.openxmlformats.org/officeDocument/2006/relationships/hyperlink" Target="https://www.nist.gov/itl/ai-risk-management-framework" TargetMode="External"/><Relationship Id="rId52" Type="http://schemas.openxmlformats.org/officeDocument/2006/relationships/hyperlink" Target="https://www.ncsc.gov.uk/collection/guidelines-secure-ai-system-development" TargetMode="External"/><Relationship Id="rId53" Type="http://schemas.openxmlformats.org/officeDocument/2006/relationships/hyperlink" Target="https://ico.org.uk/for-organisations/uk-gdpr-guidance-and-resources/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Dynatrace Local MCP 2.1.1 Security Assessment</dc:title>
  <dc:subject>VS Code and Visual Studio MCP security assessment</dc:subject>
  <dc:creator>SoloSentry Assessment Environment</dc:creator>
  <cp:keywords>MCP, VS Code, Visual Studio, security assessment, UK financial services</cp:keywords>
  <dc:description>generated by python-docx</dc:description>
  <cp:lastModifiedBy>SoloSentry Assessment Environment</cp:lastModifiedBy>
  <cp:revision>1</cp:revision>
  <dcterms:created xsi:type="dcterms:W3CDTF">2013-12-23T23:15:00Z</dcterms:created>
  <dcterms:modified xsi:type="dcterms:W3CDTF">2013-12-23T23:15:00Z</dcterms:modified>
  <cp:category/>
</cp:coreProperties>
</file>