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jc w:val="center"/>
      </w:pPr>
      <w:r>
        <w:rPr>
          <w:rFonts w:ascii="Arial" w:hAnsi="Arial"/>
          <w:b/>
          <w:i w:val="0"/>
          <w:color w:val="2E74B5"/>
          <w:sz w:val="22"/>
        </w:rPr>
        <w:t>SECURITY ASSESSMENT</w:t>
      </w:r>
    </w:p>
    <w:p>
      <w:pPr>
        <w:pStyle w:val="Title"/>
        <w:jc w:val="center"/>
      </w:pPr>
      <w:r>
        <w:t>Microsoft Learn MCP Server</w:t>
      </w:r>
    </w:p>
    <w:p>
      <w:pPr>
        <w:pStyle w:val="Subtitle"/>
        <w:jc w:val="center"/>
      </w:pPr>
      <w:r>
        <w:t>VS Code and Visual Studio | Current hosted service state</w:t>
      </w:r>
    </w:p>
    <w:p>
      <w:pPr>
        <w:jc w:val="center"/>
      </w:pPr>
      <w:r>
        <w:rPr>
          <w:rFonts w:ascii="Arial" w:hAnsi="Arial"/>
          <w:b/>
          <w:i w:val="0"/>
          <w:color w:val="17365D"/>
          <w:sz w:val="24"/>
        </w:rPr>
        <w:t>UK financial services | Confidential enterprise code</w:t>
      </w:r>
    </w:p>
    <w:p>
      <w:pPr>
        <w:spacing w:after="1200"/>
      </w:pPr>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288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Document control</w:t>
            </w:r>
          </w:p>
        </w:tc>
        <w:tc>
          <w:tcPr>
            <w:tcW w:type="dxa" w:w="633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Value</w:t>
            </w:r>
          </w:p>
        </w:tc>
      </w:tr>
      <w:tr>
        <w:trPr>
          <w:cantSplit/>
        </w:trPr>
        <w:tc>
          <w:tcPr>
            <w:tcW w:type="dxa" w:w="2880"/>
            <w:vAlign w:val="center"/>
            <w:tcMar>
              <w:top w:w="80" w:type="dxa"/>
              <w:start w:w="120" w:type="dxa"/>
              <w:bottom w:w="80" w:type="dxa"/>
              <w:end w:w="120" w:type="dxa"/>
            </w:tcMar>
            <w:shd w:fill="F2F4F7"/>
          </w:tcPr>
          <w:p>
            <w:pPr>
              <w:spacing w:after="0" w:line="252" w:lineRule="auto"/>
            </w:pPr>
            <w:r/>
            <w:r>
              <w:rPr>
                <w:rFonts w:ascii="Arial" w:hAnsi="Arial"/>
                <w:b w:val="0"/>
                <w:i w:val="0"/>
                <w:sz w:val="16"/>
              </w:rPr>
              <w:t>Decision</w:t>
            </w:r>
          </w:p>
        </w:tc>
        <w:tc>
          <w:tcPr>
            <w:tcW w:type="dxa" w:w="6336"/>
            <w:vAlign w:val="center"/>
            <w:tcMar>
              <w:top w:w="80" w:type="dxa"/>
              <w:start w:w="120" w:type="dxa"/>
              <w:bottom w:w="80" w:type="dxa"/>
              <w:end w:w="120" w:type="dxa"/>
            </w:tcMar>
            <w:shd w:fill="F2F4F7"/>
          </w:tcPr>
          <w:p>
            <w:pPr>
              <w:spacing w:after="0" w:line="252" w:lineRule="auto"/>
            </w:pPr>
            <w:r/>
            <w:r>
              <w:rPr>
                <w:rFonts w:ascii="Arial" w:hAnsi="Arial"/>
                <w:b w:val="0"/>
                <w:i w:val="0"/>
                <w:sz w:val="16"/>
              </w:rPr>
              <w:t>DEFER PENDING EVIDENCE for unrestricted confidential-code use</w:t>
            </w:r>
          </w:p>
        </w:tc>
      </w:tr>
      <w:tr>
        <w:trPr>
          <w:cantSplit/>
        </w:trPr>
        <w:tc>
          <w:tcPr>
            <w:tcW w:type="dxa" w:w="2880"/>
            <w:vAlign w:val="center"/>
            <w:tcMar>
              <w:top w:w="80" w:type="dxa"/>
              <w:start w:w="120" w:type="dxa"/>
              <w:bottom w:w="80" w:type="dxa"/>
              <w:end w:w="120" w:type="dxa"/>
            </w:tcMar>
            <w:shd w:fill="FFFFFF"/>
          </w:tcPr>
          <w:p>
            <w:pPr>
              <w:spacing w:after="0" w:line="252" w:lineRule="auto"/>
            </w:pPr>
            <w:r/>
            <w:r>
              <w:rPr>
                <w:rFonts w:ascii="Arial" w:hAnsi="Arial"/>
                <w:b w:val="0"/>
                <w:i w:val="0"/>
                <w:sz w:val="16"/>
              </w:rPr>
              <w:t>Conditional path</w:t>
            </w:r>
          </w:p>
        </w:tc>
        <w:tc>
          <w:tcPr>
            <w:tcW w:type="dxa" w:w="6336"/>
            <w:vAlign w:val="center"/>
            <w:tcMar>
              <w:top w:w="80" w:type="dxa"/>
              <w:start w:w="120" w:type="dxa"/>
              <w:bottom w:w="80" w:type="dxa"/>
              <w:end w:w="120" w:type="dxa"/>
            </w:tcMar>
            <w:shd w:fill="FFFFFF"/>
          </w:tcPr>
          <w:p>
            <w:pPr>
              <w:spacing w:after="0" w:line="252" w:lineRule="auto"/>
            </w:pPr>
            <w:r/>
            <w:r>
              <w:rPr>
                <w:rFonts w:ascii="Arial" w:hAnsi="Arial"/>
                <w:b w:val="0"/>
                <w:i w:val="0"/>
                <w:sz w:val="16"/>
              </w:rPr>
              <w:t>Approve with conditions for non-sensitive, minimised documentation queries only</w:t>
            </w:r>
          </w:p>
        </w:tc>
      </w:tr>
      <w:tr>
        <w:trPr>
          <w:cantSplit/>
        </w:trPr>
        <w:tc>
          <w:tcPr>
            <w:tcW w:type="dxa" w:w="2880"/>
            <w:vAlign w:val="center"/>
            <w:tcMar>
              <w:top w:w="80" w:type="dxa"/>
              <w:start w:w="120" w:type="dxa"/>
              <w:bottom w:w="80" w:type="dxa"/>
              <w:end w:w="120" w:type="dxa"/>
            </w:tcMar>
            <w:shd w:fill="F2F4F7"/>
          </w:tcPr>
          <w:p>
            <w:pPr>
              <w:spacing w:after="0" w:line="252" w:lineRule="auto"/>
            </w:pPr>
            <w:r/>
            <w:r>
              <w:rPr>
                <w:rFonts w:ascii="Arial" w:hAnsi="Arial"/>
                <w:b w:val="0"/>
                <w:i w:val="0"/>
                <w:sz w:val="16"/>
              </w:rPr>
              <w:t>Assessment date</w:t>
            </w:r>
          </w:p>
        </w:tc>
        <w:tc>
          <w:tcPr>
            <w:tcW w:type="dxa" w:w="6336"/>
            <w:vAlign w:val="center"/>
            <w:tcMar>
              <w:top w:w="80" w:type="dxa"/>
              <w:start w:w="120" w:type="dxa"/>
              <w:bottom w:w="80" w:type="dxa"/>
              <w:end w:w="120" w:type="dxa"/>
            </w:tcMar>
            <w:shd w:fill="F2F4F7"/>
          </w:tcPr>
          <w:p>
            <w:pPr>
              <w:spacing w:after="0" w:line="252" w:lineRule="auto"/>
            </w:pPr>
            <w:r/>
            <w:r>
              <w:rPr>
                <w:rFonts w:ascii="Arial" w:hAnsi="Arial"/>
                <w:b w:val="0"/>
                <w:i w:val="0"/>
                <w:sz w:val="16"/>
              </w:rPr>
              <w:t>25 July 2026</w:t>
            </w:r>
          </w:p>
        </w:tc>
      </w:tr>
      <w:tr>
        <w:trPr>
          <w:cantSplit/>
        </w:trPr>
        <w:tc>
          <w:tcPr>
            <w:tcW w:type="dxa" w:w="2880"/>
            <w:vAlign w:val="center"/>
            <w:tcMar>
              <w:top w:w="80" w:type="dxa"/>
              <w:start w:w="120" w:type="dxa"/>
              <w:bottom w:w="80" w:type="dxa"/>
              <w:end w:w="120" w:type="dxa"/>
            </w:tcMar>
            <w:shd w:fill="FFFFFF"/>
          </w:tcPr>
          <w:p>
            <w:pPr>
              <w:spacing w:after="0" w:line="252" w:lineRule="auto"/>
            </w:pPr>
            <w:r/>
            <w:r>
              <w:rPr>
                <w:rFonts w:ascii="Arial" w:hAnsi="Arial"/>
                <w:b w:val="0"/>
                <w:i w:val="0"/>
                <w:sz w:val="16"/>
              </w:rPr>
              <w:t>Version</w:t>
            </w:r>
          </w:p>
        </w:tc>
        <w:tc>
          <w:tcPr>
            <w:tcW w:type="dxa" w:w="6336"/>
            <w:vAlign w:val="center"/>
            <w:tcMar>
              <w:top w:w="80" w:type="dxa"/>
              <w:start w:w="120" w:type="dxa"/>
              <w:bottom w:w="80" w:type="dxa"/>
              <w:end w:w="120" w:type="dxa"/>
            </w:tcMar>
            <w:shd w:fill="FFFFFF"/>
          </w:tcPr>
          <w:p>
            <w:r>
              <w:t>1.1</w:t>
            </w:r>
          </w:p>
        </w:tc>
      </w:tr>
      <w:tr>
        <w:trPr>
          <w:cantSplit/>
        </w:trPr>
        <w:tc>
          <w:tcPr>
            <w:tcW w:type="dxa" w:w="2880"/>
            <w:vAlign w:val="center"/>
            <w:tcMar>
              <w:top w:w="80" w:type="dxa"/>
              <w:start w:w="120" w:type="dxa"/>
              <w:bottom w:w="80" w:type="dxa"/>
              <w:end w:w="120" w:type="dxa"/>
            </w:tcMar>
            <w:shd w:fill="F2F4F7"/>
          </w:tcPr>
          <w:p>
            <w:pPr>
              <w:spacing w:after="0" w:line="252" w:lineRule="auto"/>
            </w:pPr>
            <w:r/>
            <w:r>
              <w:rPr>
                <w:rFonts w:ascii="Arial" w:hAnsi="Arial"/>
                <w:b w:val="0"/>
                <w:i w:val="0"/>
                <w:sz w:val="16"/>
              </w:rPr>
              <w:t>Runtime analysis</w:t>
            </w:r>
          </w:p>
        </w:tc>
        <w:tc>
          <w:tcPr>
            <w:tcW w:type="dxa" w:w="6336"/>
            <w:vAlign w:val="center"/>
            <w:tcMar>
              <w:top w:w="80" w:type="dxa"/>
              <w:start w:w="120" w:type="dxa"/>
              <w:bottom w:w="80" w:type="dxa"/>
              <w:end w:w="120" w:type="dxa"/>
            </w:tcMar>
            <w:shd w:fill="F2F4F7"/>
          </w:tcPr>
          <w:p>
            <w:r>
              <w:t>Selected; blocked or historical only as stated in the current limitations</w:t>
            </w:r>
          </w:p>
        </w:tc>
      </w:tr>
      <w:tr>
        <w:trPr>
          <w:cantSplit/>
        </w:trPr>
        <w:tc>
          <w:tcPr>
            <w:tcW w:type="dxa" w:w="2880"/>
            <w:vAlign w:val="center"/>
            <w:tcMar>
              <w:top w:w="80" w:type="dxa"/>
              <w:start w:w="120" w:type="dxa"/>
              <w:bottom w:w="80" w:type="dxa"/>
              <w:end w:w="120" w:type="dxa"/>
            </w:tcMar>
            <w:shd w:fill="FFFFFF"/>
          </w:tcPr>
          <w:p>
            <w:pPr>
              <w:spacing w:after="0" w:line="252" w:lineRule="auto"/>
            </w:pPr>
            <w:r/>
            <w:r>
              <w:rPr>
                <w:rFonts w:ascii="Arial" w:hAnsi="Arial"/>
                <w:b w:val="0"/>
                <w:i w:val="0"/>
                <w:sz w:val="16"/>
              </w:rPr>
              <w:t>Malware review</w:t>
            </w:r>
          </w:p>
        </w:tc>
        <w:tc>
          <w:tcPr>
            <w:tcW w:type="dxa" w:w="6336"/>
            <w:vAlign w:val="center"/>
            <w:tcMar>
              <w:top w:w="80" w:type="dxa"/>
              <w:start w:w="120" w:type="dxa"/>
              <w:bottom w:w="80" w:type="dxa"/>
              <w:end w:w="120" w:type="dxa"/>
            </w:tcMar>
            <w:shd w:fill="FFFFFF"/>
          </w:tcPr>
          <w:p>
            <w:r>
              <w:t>Yes; current evidence retained with explicit scope limits</w:t>
            </w:r>
          </w:p>
        </w:tc>
      </w:tr>
      <w:tr>
        <w:trPr>
          <w:cantSplit/>
        </w:trPr>
        <w:tc>
          <w:tcPr>
            <w:tcW w:type="dxa" w:w="2880"/>
            <w:vAlign w:val="center"/>
            <w:tcMar>
              <w:top w:w="80" w:type="dxa"/>
              <w:start w:w="120" w:type="dxa"/>
              <w:bottom w:w="80" w:type="dxa"/>
              <w:end w:w="120" w:type="dxa"/>
            </w:tcMar>
            <w:shd w:fill="F2F4F7"/>
          </w:tcPr>
          <w:p>
            <w:pPr>
              <w:spacing w:after="0" w:line="252" w:lineRule="auto"/>
            </w:pPr>
            <w:r/>
            <w:r>
              <w:rPr>
                <w:rFonts w:ascii="Arial" w:hAnsi="Arial"/>
                <w:b w:val="0"/>
                <w:i w:val="0"/>
                <w:sz w:val="16"/>
              </w:rPr>
              <w:t>Classification</w:t>
            </w:r>
          </w:p>
        </w:tc>
        <w:tc>
          <w:tcPr>
            <w:tcW w:type="dxa" w:w="6336"/>
            <w:vAlign w:val="center"/>
            <w:tcMar>
              <w:top w:w="80" w:type="dxa"/>
              <w:start w:w="120" w:type="dxa"/>
              <w:bottom w:w="80" w:type="dxa"/>
              <w:end w:w="120" w:type="dxa"/>
            </w:tcMar>
            <w:shd w:fill="F2F4F7"/>
          </w:tcPr>
          <w:p>
            <w:r>
              <w:t>PUBLIC</w:t>
            </w:r>
          </w:p>
        </w:tc>
      </w:tr>
    </w:tbl>
    <w:p>
      <w:pPr>
        <w:spacing w:after="20"/>
      </w:pPr>
    </w:p>
    <w:p>
      <w:pPr>
        <w:jc w:val="center"/>
      </w:pPr>
      <w:r>
        <w:rPr>
          <w:rFonts w:ascii="Arial" w:hAnsi="Arial"/>
          <w:b w:val="0"/>
          <w:i/>
          <w:color w:val="5B6573"/>
          <w:sz w:val="18"/>
        </w:rPr>
        <w:t>Prepared as an evidence-led static assessment. This report is not legal advice or a certification.</w:t>
      </w:r>
    </w:p>
    <w:p>
      <w:r>
        <w:br w:type="page"/>
      </w:r>
    </w:p>
    <w:p>
      <w:bookmarkStart w:id="1010" w:name="REVISION_HISTORY"/>
      <w:pPr>
        <w:pStyle w:val="Heading1"/>
      </w:pPr>
      <w:r>
        <w:t>Revision history</w:t>
      </w:r>
      <w:bookmarkEnd w:id="1010"/>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115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Version</w:t>
            </w:r>
          </w:p>
        </w:tc>
        <w:tc>
          <w:tcPr>
            <w:tcW w:type="dxa" w:w="1584"/>
            <w:vAlign w:val="center"/>
            <w:tcMar>
              <w:top w:w="80" w:type="dxa"/>
              <w:start w:w="120" w:type="dxa"/>
              <w:bottom w:w="80" w:type="dxa"/>
              <w:end w:w="120" w:type="dxa"/>
            </w:tcMar>
            <w:shd w:fill="17365D"/>
          </w:tcPr>
          <w:p>
            <w:pPr>
              <w:keepNext/>
            </w:pPr>
            <w:r>
              <w:t>1.1</w:t>
            </w:r>
          </w:p>
        </w:tc>
        <w:tc>
          <w:tcPr>
            <w:tcW w:type="dxa" w:w="172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Status</w:t>
            </w:r>
          </w:p>
        </w:tc>
        <w:tc>
          <w:tcPr>
            <w:tcW w:type="dxa" w:w="475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Summary</w:t>
            </w:r>
          </w:p>
        </w:tc>
      </w:tr>
      <w:tr>
        <w:trPr>
          <w:cantSplit/>
        </w:trPr>
        <w:tc>
          <w:tcPr>
            <w:tcW w:type="dxa" w:w="1152"/>
            <w:vAlign w:val="center"/>
            <w:tcMar>
              <w:top w:w="80" w:type="dxa"/>
              <w:start w:w="120" w:type="dxa"/>
              <w:bottom w:w="80" w:type="dxa"/>
              <w:end w:w="120" w:type="dxa"/>
            </w:tcMar>
            <w:shd w:fill="F2F4F7"/>
          </w:tcPr>
          <w:p>
            <w:pPr>
              <w:spacing w:after="0" w:line="252" w:lineRule="auto"/>
            </w:pPr>
            <w:r/>
            <w:r>
              <w:rPr>
                <w:rFonts w:ascii="Arial" w:hAnsi="Arial"/>
                <w:b w:val="0"/>
                <w:i w:val="0"/>
                <w:sz w:val="16"/>
              </w:rPr>
              <w:t>1.0</w:t>
            </w:r>
          </w:p>
        </w:tc>
        <w:tc>
          <w:tcPr>
            <w:tcW w:type="dxa" w:w="1584"/>
            <w:vAlign w:val="center"/>
            <w:tcMar>
              <w:top w:w="80" w:type="dxa"/>
              <w:start w:w="120" w:type="dxa"/>
              <w:bottom w:w="80" w:type="dxa"/>
              <w:end w:w="120" w:type="dxa"/>
            </w:tcMar>
            <w:shd w:fill="F2F4F7"/>
          </w:tcPr>
          <w:p>
            <w:pPr>
              <w:spacing w:after="0" w:line="252" w:lineRule="auto"/>
            </w:pPr>
            <w:r/>
            <w:r>
              <w:rPr>
                <w:rFonts w:ascii="Arial" w:hAnsi="Arial"/>
                <w:b w:val="0"/>
                <w:i w:val="0"/>
                <w:sz w:val="16"/>
              </w:rPr>
              <w:t>13 Jul 2026</w:t>
            </w:r>
          </w:p>
        </w:tc>
        <w:tc>
          <w:tcPr>
            <w:tcW w:type="dxa" w:w="1728"/>
            <w:vAlign w:val="center"/>
            <w:tcMar>
              <w:top w:w="80" w:type="dxa"/>
              <w:start w:w="120" w:type="dxa"/>
              <w:bottom w:w="80" w:type="dxa"/>
              <w:end w:w="120" w:type="dxa"/>
            </w:tcMar>
            <w:shd w:fill="F2F4F7"/>
          </w:tcPr>
          <w:p>
            <w:pPr>
              <w:spacing w:after="0" w:line="252" w:lineRule="auto"/>
            </w:pPr>
            <w:r/>
            <w:r>
              <w:rPr>
                <w:rFonts w:ascii="Arial" w:hAnsi="Arial"/>
                <w:b w:val="0"/>
                <w:i w:val="0"/>
                <w:sz w:val="16"/>
              </w:rPr>
              <w:t>Final static assessment</w:t>
            </w:r>
          </w:p>
        </w:tc>
        <w:tc>
          <w:tcPr>
            <w:tcW w:type="dxa" w:w="4752"/>
            <w:vAlign w:val="center"/>
            <w:tcMar>
              <w:top w:w="80" w:type="dxa"/>
              <w:start w:w="120" w:type="dxa"/>
              <w:bottom w:w="80" w:type="dxa"/>
              <w:end w:w="120" w:type="dxa"/>
            </w:tcMar>
            <w:shd w:fill="F2F4F7"/>
          </w:tcPr>
          <w:p>
            <w:pPr>
              <w:spacing w:after="0" w:line="252" w:lineRule="auto"/>
            </w:pPr>
            <w:r/>
            <w:r>
              <w:rPr>
                <w:rFonts w:ascii="Arial" w:hAnsi="Arial"/>
                <w:b w:val="0"/>
                <w:i w:val="0"/>
                <w:sz w:val="16"/>
              </w:rPr>
              <w:t>Initial current-state assessment for both IDEs</w:t>
            </w:r>
          </w:p>
        </w:tc>
      </w:tr>
    </w:tbl>
    <w:p>
      <w:pPr>
        <w:spacing w:after="20"/>
      </w:pPr>
    </w:p>
    <w:p>
      <w:bookmarkStart w:id="1012" w:name="TOC"/>
      <w:pPr>
        <w:pStyle w:val="Heading1"/>
      </w:pPr>
      <w:r>
        <w:t>Contents</w:t>
      </w:r>
      <w:bookmarkEnd w:id="1012"/>
    </w:p>
    <w:p>
      <w:hyperlink w:anchor="EXEC_SUMMARY" w:history="1">
        <w:r>
          <w:rPr>
            <w:color w:val="2E74B5"/>
            <w:u w:val="single"/>
          </w:rPr>
          <w:t>1. Executive Summary</w:t>
        </w:r>
      </w:hyperlink>
    </w:p>
    <w:p>
      <w:hyperlink w:anchor="PURPOSE" w:history="1">
        <w:r>
          <w:rPr>
            <w:color w:val="2E74B5"/>
            <w:u w:val="single"/>
          </w:rPr>
          <w:t>2. Purpose &amp; Function Overview</w:t>
        </w:r>
      </w:hyperlink>
    </w:p>
    <w:p>
      <w:hyperlink w:anchor="METHOD" w:history="1">
        <w:r>
          <w:rPr>
            <w:color w:val="2E74B5"/>
            <w:u w:val="single"/>
          </w:rPr>
          <w:t>3. Scope, Assumptions and Method</w:t>
        </w:r>
      </w:hyperlink>
    </w:p>
    <w:p>
      <w:hyperlink w:anchor="IDENTITY" w:history="1">
        <w:r>
          <w:rPr>
            <w:color w:val="2E74B5"/>
            <w:u w:val="single"/>
          </w:rPr>
          <w:t>4. Product Identity and Version</w:t>
        </w:r>
      </w:hyperlink>
    </w:p>
    <w:p>
      <w:hyperlink w:anchor="VSCODE" w:history="1">
        <w:r>
          <w:rPr>
            <w:color w:val="2E74B5"/>
            <w:u w:val="single"/>
          </w:rPr>
          <w:t>Part I - VS Code assessment</w:t>
        </w:r>
      </w:hyperlink>
    </w:p>
    <w:p>
      <w:hyperlink w:anchor="VISUAL_STUDIO" w:history="1">
        <w:r>
          <w:rPr>
            <w:color w:val="2E74B5"/>
            <w:u w:val="single"/>
          </w:rPr>
          <w:t>Part II - Visual Studio assessment</w:t>
        </w:r>
      </w:hyperlink>
    </w:p>
    <w:p>
      <w:hyperlink w:anchor="SKILLS" w:history="1">
        <w:r>
          <w:rPr>
            <w:color w:val="2E74B5"/>
            <w:u w:val="single"/>
          </w:rPr>
          <w:t>Part III - Optional Agent Skills</w:t>
        </w:r>
      </w:hyperlink>
    </w:p>
    <w:p>
      <w:hyperlink w:anchor="CONSOLIDATED" w:history="1">
        <w:r>
          <w:rPr>
            <w:color w:val="2E74B5"/>
            <w:u w:val="single"/>
          </w:rPr>
          <w:t>Cross-IDE and consolidated assessment</w:t>
        </w:r>
      </w:hyperlink>
    </w:p>
    <w:p>
      <w:hyperlink w:anchor="RISKS" w:history="1">
        <w:r>
          <w:rPr>
            <w:color w:val="2E74B5"/>
            <w:u w:val="single"/>
          </w:rPr>
          <w:t>Risk register</w:t>
        </w:r>
      </w:hyperlink>
    </w:p>
    <w:p>
      <w:hyperlink w:anchor="CONTROLS" w:history="1">
        <w:r>
          <w:rPr>
            <w:color w:val="2E74B5"/>
            <w:u w:val="single"/>
          </w:rPr>
          <w:t>Controls roadmap and host verification</w:t>
        </w:r>
      </w:hyperlink>
    </w:p>
    <w:p>
      <w:hyperlink w:anchor="EVIDENCE" w:history="1">
        <w:r>
          <w:rPr>
            <w:color w:val="2E74B5"/>
            <w:u w:val="single"/>
          </w:rPr>
          <w:t>Evidence register</w:t>
        </w:r>
      </w:hyperlink>
    </w:p>
    <w:p>
      <w:hyperlink w:anchor="REFERENCES" w:history="1">
        <w:r>
          <w:rPr>
            <w:color w:val="2E74B5"/>
            <w:u w:val="single"/>
          </w:rPr>
          <w:t>References</w:t>
        </w:r>
      </w:hyperlink>
    </w:p>
    <w:p>
      <w:r>
        <w:br w:type="page"/>
      </w:r>
    </w:p>
    <w:p>
      <w:bookmarkStart w:id="1026" w:name="EXEC_SUMMARY"/>
      <w:pPr>
        <w:pStyle w:val="Heading1"/>
      </w:pPr>
      <w:r>
        <w:t>1. Executive Summary</w:t>
      </w:r>
      <w:bookmarkEnd w:id="1026"/>
    </w:p>
    <w:p>
      <w:r>
        <w:rPr>
          <w:rFonts w:ascii="Arial" w:hAnsi="Arial"/>
          <w:b w:val="0"/>
          <w:i w:val="0"/>
          <w:sz w:val="21"/>
        </w:rPr>
        <w:t>Decision: Defer pending evidence for unrestricted use where an agent could send confidential enterprise code, personal data, customer information, credentials, security findings or regulated records to the Microsoft Learn MCP endpoint. A narrower approval with conditions is supportable for public/general Microsoft-documentation questions when technical and procedural controls ensure only non-sensitive, minimised query text is transmitted.</w:t>
      </w:r>
      <w:r>
        <w:t xml:space="preserve"> </w:t>
      </w:r>
      <w:hyperlink w:anchor="REF_001" w:history="1">
        <w:r>
          <w:rPr>
            <w:color w:val="2E74B5"/>
            <w:u w:val="single"/>
          </w:rPr>
          <w:t>[REF-001]</w:t>
        </w:r>
      </w:hyperlink>
      <w:r>
        <w:t xml:space="preserve"> </w:t>
      </w:r>
      <w:hyperlink w:anchor="REF_012" w:history="1">
        <w:r>
          <w:rPr>
            <w:color w:val="2E74B5"/>
            <w:u w:val="single"/>
          </w:rPr>
          <w:t>[REF-012]</w:t>
        </w:r>
      </w:hyperlink>
    </w:p>
    <w:p>
      <w:pPr>
        <w:pStyle w:val="ListBullet"/>
      </w:pPr>
      <w:r>
        <w:rPr>
          <w:rFonts w:ascii="Arial" w:hAnsi="Arial"/>
          <w:b w:val="0"/>
          <w:i w:val="0"/>
          <w:sz w:val="21"/>
        </w:rPr>
        <w:t>The service is a Microsoft-operated, public, unauthenticated remote Streamable HTTP MCP endpoint; it is not a conventional VSIX and exposes documentation-search, page-fetch and code-sample-search tools.</w:t>
      </w:r>
    </w:p>
    <w:p>
      <w:pPr>
        <w:pStyle w:val="ListBullet"/>
      </w:pPr>
      <w:r>
        <w:rPr>
          <w:rFonts w:ascii="Arial" w:hAnsi="Arial"/>
          <w:b w:val="0"/>
          <w:i w:val="0"/>
          <w:sz w:val="21"/>
        </w:rPr>
        <w:t>Tool inputs cross the enterprise boundary. Product-specific public evidence did not establish request retention, deletion, processing geography, tenant isolation, human access, training use, subprocessors, contractual DPA/OST coverage, enterprise SLA or production build/SBOM correspondence.</w:t>
      </w:r>
    </w:p>
    <w:p>
      <w:pPr>
        <w:pStyle w:val="ListBullet"/>
      </w:pPr>
      <w:r>
        <w:rPr>
          <w:rFonts w:ascii="Arial" w:hAnsi="Arial"/>
          <w:b w:val="0"/>
          <w:i w:val="0"/>
          <w:sz w:val="21"/>
        </w:rPr>
        <w:t>The documented tools are retrieval-oriented and no direct local file-write, command execution or cloud-administration capability was observed. This lowers integrity risk but does not prevent confidential context from being placed in tool arguments or agent/model context.</w:t>
      </w:r>
    </w:p>
    <w:p>
      <w:pPr>
        <w:pStyle w:val="ListBullet"/>
      </w:pPr>
      <w:r>
        <w:rPr>
          <w:rFonts w:ascii="Arial" w:hAnsi="Arial"/>
          <w:b w:val="0"/>
          <w:i w:val="0"/>
          <w:sz w:val="21"/>
        </w:rPr>
        <w:t>VS Code and Visual Studio provide useful client controls, including trust/confirmation, per-tool enablement and policy options. Visual Studio also resets prior acceptance after tool-list changes. These controls do not themselves prevent sensitive text from reaching an approved endpoint.</w:t>
      </w:r>
    </w:p>
    <w:p>
      <w:pPr>
        <w:pStyle w:val="ListBullet"/>
      </w:pPr>
      <w:r>
        <w:rPr>
          <w:rFonts w:ascii="Arial" w:hAnsi="Arial"/>
          <w:b w:val="0"/>
          <w:i w:val="0"/>
          <w:sz w:val="21"/>
        </w:rPr>
        <w:t>Approval must be owned by Engineering Security with Privacy/Legal and the relevant FCA/PRA accountable owner; reassess on tool-schema change, terms/privacy change, service incident, client-policy change, material use-case change, or no later than 13 January 2027.</w:t>
      </w:r>
    </w:p>
    <w:p>
      <w:r>
        <w:rPr>
          <w:rFonts w:ascii="Arial" w:hAnsi="Arial"/>
          <w:b w:val="0"/>
          <w:i w:val="0"/>
          <w:sz w:val="21"/>
        </w:rPr>
        <w:t>Overall residual risk: High for unrestricted confidential-code use; Moderate for the constrained non-sensitive use case after the mandatory controls and verification tests in this report are evidenced. Confidence is Medium because product and client documentation are strong, but no runtime test or production-server attestation was available.</w:t>
      </w:r>
      <w:r>
        <w:t xml:space="preserve"> </w:t>
      </w:r>
      <w:hyperlink w:anchor="REF_002" w:history="1">
        <w:r>
          <w:rPr>
            <w:color w:val="2E74B5"/>
            <w:u w:val="single"/>
          </w:rPr>
          <w:t>[REF-002]</w:t>
        </w:r>
      </w:hyperlink>
      <w:r>
        <w:t xml:space="preserve"> </w:t>
      </w:r>
      <w:hyperlink w:anchor="REF_003" w:history="1">
        <w:r>
          <w:rPr>
            <w:color w:val="2E74B5"/>
            <w:u w:val="single"/>
          </w:rPr>
          <w:t>[REF-003]</w:t>
        </w:r>
      </w:hyperlink>
      <w:r>
        <w:t xml:space="preserve"> </w:t>
      </w:r>
      <w:hyperlink w:anchor="REF_010" w:history="1">
        <w:r>
          <w:rPr>
            <w:color w:val="2E74B5"/>
            <w:u w:val="single"/>
          </w:rPr>
          <w:t>[REF-010]</w:t>
        </w:r>
      </w:hyperlink>
    </w:p>
    <w:p>
      <w:pPr>
        <w:pStyle w:val="Heading2"/>
      </w:pPr>
      <w:r>
        <w:t>Approval conditions</w:t>
      </w:r>
    </w:p>
    <w:p>
      <w:pPr>
        <w:pStyle w:val="ListBullet"/>
      </w:pPr>
      <w:r>
        <w:rPr>
          <w:rFonts w:ascii="Arial" w:hAnsi="Arial"/>
          <w:b w:val="0"/>
          <w:i w:val="0"/>
          <w:sz w:val="21"/>
        </w:rPr>
        <w:t>Deny confidential, personal, regulated, credential, vulnerability and customer data in MCP tool arguments by policy and enforceable client/data-loss controls.</w:t>
      </w:r>
    </w:p>
    <w:p>
      <w:pPr>
        <w:pStyle w:val="ListBullet"/>
      </w:pPr>
      <w:r>
        <w:rPr>
          <w:rFonts w:ascii="Arial" w:hAnsi="Arial"/>
          <w:b w:val="0"/>
          <w:i w:val="0"/>
          <w:sz w:val="21"/>
        </w:rPr>
        <w:t>Allowlist only https://learn.microsoft.com/api/mcp; prohibit workspace-supplied shadow servers and review all .mcp.json or mcp.json changes as security-sensitive code.</w:t>
      </w:r>
    </w:p>
    <w:p>
      <w:pPr>
        <w:pStyle w:val="ListBullet"/>
      </w:pPr>
      <w:r>
        <w:rPr>
          <w:rFonts w:ascii="Arial" w:hAnsi="Arial"/>
          <w:b w:val="0"/>
          <w:i w:val="0"/>
          <w:sz w:val="21"/>
        </w:rPr>
        <w:t>Keep each tool disabled by default or require per-invocation confirmation; disallow auto-approval in confidential repositories.</w:t>
      </w:r>
    </w:p>
    <w:p>
      <w:pPr>
        <w:pStyle w:val="ListBullet"/>
      </w:pPr>
      <w:r>
        <w:rPr>
          <w:rFonts w:ascii="Arial" w:hAnsi="Arial"/>
          <w:b w:val="0"/>
          <w:i w:val="0"/>
          <w:sz w:val="21"/>
        </w:rPr>
        <w:t>Log server identity, tool name, schema hash/change, invocation decision and data-classification outcome without logging confidential payloads.</w:t>
      </w:r>
    </w:p>
    <w:p>
      <w:pPr>
        <w:pStyle w:val="ListBullet"/>
      </w:pPr>
      <w:r>
        <w:rPr>
          <w:rFonts w:ascii="Arial" w:hAnsi="Arial"/>
          <w:b w:val="0"/>
          <w:i w:val="0"/>
          <w:sz w:val="21"/>
        </w:rPr>
        <w:t>Obtain written Microsoft/contractual answers for retention, residency, subprocessors, incident notification, service assurance and whether inputs are used for model/product improvement before expanding scope.</w:t>
      </w:r>
    </w:p>
    <w:p>
      <w:bookmarkStart w:id="1040" w:name="PURPOSE"/>
      <w:pPr>
        <w:pStyle w:val="Heading1"/>
      </w:pPr>
      <w:r>
        <w:t>2. Purpose &amp; Function Overview</w:t>
      </w:r>
      <w:bookmarkEnd w:id="1040"/>
    </w:p>
    <w:p>
      <w:r>
        <w:rPr>
          <w:rFonts w:ascii="Arial" w:hAnsi="Arial"/>
          <w:b w:val="0"/>
          <w:i w:val="0"/>
          <w:sz w:val="21"/>
        </w:rPr>
        <w:t>Microsoft Learn MCP Server connects compatible agents and IDEs to Microsoft’s public technical documentation and code samples through a remote MCP endpoint. Microsoft documents three tools: microsoft_docs_search, microsoft_docs_fetch and microsoft_code_sample_search. The service fronts the Microsoft Learn knowledge service and is designed for dynamic tool discovery.</w:t>
      </w:r>
      <w:r>
        <w:t xml:space="preserve"> </w:t>
      </w:r>
      <w:hyperlink w:anchor="REF_001" w:history="1">
        <w:r>
          <w:rPr>
            <w:color w:val="2E74B5"/>
            <w:u w:val="single"/>
          </w:rPr>
          <w:t>[REF-001]</w:t>
        </w:r>
      </w:hyperlink>
      <w:r>
        <w:t xml:space="preserve"> </w:t>
      </w:r>
      <w:hyperlink w:anchor="REF_002" w:history="1">
        <w:r>
          <w:rPr>
            <w:color w:val="2E74B5"/>
            <w:u w:val="single"/>
          </w:rPr>
          <w:t>[REF-002]</w:t>
        </w:r>
      </w:hyperlink>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80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Capability</w:t>
            </w:r>
          </w:p>
        </w:tc>
        <w:tc>
          <w:tcPr>
            <w:tcW w:type="dxa" w:w="316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Documented purpose</w:t>
            </w:r>
          </w:p>
        </w:tc>
        <w:tc>
          <w:tcPr>
            <w:tcW w:type="dxa" w:w="424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Security significance</w:t>
            </w:r>
          </w:p>
        </w:tc>
      </w:tr>
      <w:tr>
        <w:trPr>
          <w:cantSplit/>
        </w:trPr>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Documentation search</w:t>
            </w:r>
          </w:p>
        </w:tc>
        <w:tc>
          <w:tcPr>
            <w:tcW w:type="dxa" w:w="3168"/>
            <w:vAlign w:val="center"/>
            <w:tcMar>
              <w:top w:w="80" w:type="dxa"/>
              <w:start w:w="120" w:type="dxa"/>
              <w:bottom w:w="80" w:type="dxa"/>
              <w:end w:w="120" w:type="dxa"/>
            </w:tcMar>
            <w:shd w:fill="F2F4F7"/>
          </w:tcPr>
          <w:p>
            <w:pPr>
              <w:spacing w:after="0" w:line="252" w:lineRule="auto"/>
            </w:pPr>
            <w:r/>
            <w:r>
              <w:rPr>
                <w:rFonts w:ascii="Arial" w:hAnsi="Arial"/>
                <w:b w:val="0"/>
                <w:i w:val="0"/>
                <w:sz w:val="16"/>
              </w:rPr>
              <w:t>Semantic search of official Microsoft technical documentation</w:t>
            </w:r>
          </w:p>
        </w:tc>
        <w:tc>
          <w:tcPr>
            <w:tcW w:type="dxa" w:w="4248"/>
            <w:vAlign w:val="center"/>
            <w:tcMar>
              <w:top w:w="80" w:type="dxa"/>
              <w:start w:w="120" w:type="dxa"/>
              <w:bottom w:w="80" w:type="dxa"/>
              <w:end w:w="120" w:type="dxa"/>
            </w:tcMar>
            <w:shd w:fill="F2F4F7"/>
          </w:tcPr>
          <w:p>
            <w:pPr>
              <w:spacing w:after="0" w:line="252" w:lineRule="auto"/>
            </w:pPr>
            <w:r/>
            <w:r>
              <w:rPr>
                <w:rFonts w:ascii="Arial" w:hAnsi="Arial"/>
                <w:b w:val="0"/>
                <w:i w:val="0"/>
                <w:sz w:val="16"/>
              </w:rPr>
              <w:t>User/agent query leaves the IDE; returned text is untrusted input to the model.</w:t>
            </w:r>
          </w:p>
        </w:tc>
      </w:tr>
      <w:tr>
        <w:trPr>
          <w:cantSplit/>
        </w:trPr>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Page fetch</w:t>
            </w:r>
          </w:p>
        </w:tc>
        <w:tc>
          <w:tcPr>
            <w:tcW w:type="dxa" w:w="3168"/>
            <w:vAlign w:val="center"/>
            <w:tcMar>
              <w:top w:w="80" w:type="dxa"/>
              <w:start w:w="120" w:type="dxa"/>
              <w:bottom w:w="80" w:type="dxa"/>
              <w:end w:w="120" w:type="dxa"/>
            </w:tcMar>
            <w:shd w:fill="FFFFFF"/>
          </w:tcPr>
          <w:p>
            <w:pPr>
              <w:spacing w:after="0" w:line="252" w:lineRule="auto"/>
            </w:pPr>
            <w:r/>
            <w:r>
              <w:rPr>
                <w:rFonts w:ascii="Arial" w:hAnsi="Arial"/>
                <w:b w:val="0"/>
                <w:i w:val="0"/>
                <w:sz w:val="16"/>
              </w:rPr>
              <w:t>Retrieve a Microsoft documentation page as Markdown</w:t>
            </w:r>
          </w:p>
        </w:tc>
        <w:tc>
          <w:tcPr>
            <w:tcW w:type="dxa" w:w="4248"/>
            <w:vAlign w:val="center"/>
            <w:tcMar>
              <w:top w:w="80" w:type="dxa"/>
              <w:start w:w="120" w:type="dxa"/>
              <w:bottom w:w="80" w:type="dxa"/>
              <w:end w:w="120" w:type="dxa"/>
            </w:tcMar>
            <w:shd w:fill="FFFFFF"/>
          </w:tcPr>
          <w:p>
            <w:pPr>
              <w:spacing w:after="0" w:line="252" w:lineRule="auto"/>
            </w:pPr>
            <w:r/>
            <w:r>
              <w:rPr>
                <w:rFonts w:ascii="Arial" w:hAnsi="Arial"/>
                <w:b w:val="0"/>
                <w:i w:val="0"/>
                <w:sz w:val="16"/>
              </w:rPr>
              <w:t>URL and response enter agent context; validate domain, redirects, content and citations.</w:t>
            </w:r>
          </w:p>
        </w:tc>
      </w:tr>
      <w:tr>
        <w:trPr>
          <w:cantSplit/>
        </w:trPr>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Code-sample search</w:t>
            </w:r>
          </w:p>
        </w:tc>
        <w:tc>
          <w:tcPr>
            <w:tcW w:type="dxa" w:w="3168"/>
            <w:vAlign w:val="center"/>
            <w:tcMar>
              <w:top w:w="80" w:type="dxa"/>
              <w:start w:w="120" w:type="dxa"/>
              <w:bottom w:w="80" w:type="dxa"/>
              <w:end w:w="120" w:type="dxa"/>
            </w:tcMar>
            <w:shd w:fill="F2F4F7"/>
          </w:tcPr>
          <w:p>
            <w:pPr>
              <w:spacing w:after="0" w:line="252" w:lineRule="auto"/>
            </w:pPr>
            <w:r/>
            <w:r>
              <w:rPr>
                <w:rFonts w:ascii="Arial" w:hAnsi="Arial"/>
                <w:b w:val="0"/>
                <w:i w:val="0"/>
                <w:sz w:val="16"/>
              </w:rPr>
              <w:t>Search official Microsoft/Azure code samples</w:t>
            </w:r>
          </w:p>
        </w:tc>
        <w:tc>
          <w:tcPr>
            <w:tcW w:type="dxa" w:w="4248"/>
            <w:vAlign w:val="center"/>
            <w:tcMar>
              <w:top w:w="80" w:type="dxa"/>
              <w:start w:w="120" w:type="dxa"/>
              <w:bottom w:w="80" w:type="dxa"/>
              <w:end w:w="120" w:type="dxa"/>
            </w:tcMar>
            <w:shd w:fill="F2F4F7"/>
          </w:tcPr>
          <w:p>
            <w:pPr>
              <w:spacing w:after="0" w:line="252" w:lineRule="auto"/>
            </w:pPr>
            <w:r/>
            <w:r>
              <w:rPr>
                <w:rFonts w:ascii="Arial" w:hAnsi="Arial"/>
                <w:b w:val="0"/>
                <w:i w:val="0"/>
                <w:sz w:val="16"/>
              </w:rPr>
              <w:t>Examples may be stale or unsafe for the local context; review before use or execution.</w:t>
            </w:r>
          </w:p>
        </w:tc>
      </w:tr>
    </w:tbl>
    <w:p>
      <w:pPr>
        <w:spacing w:after="20"/>
      </w:pPr>
    </w:p>
    <w:p>
      <w:bookmarkStart w:id="1043" w:name="METHOD"/>
      <w:pPr>
        <w:pStyle w:val="Heading1"/>
      </w:pPr>
      <w:r>
        <w:t>3. Scope, Assumptions and Method</w:t>
      </w:r>
      <w:bookmarkEnd w:id="1043"/>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208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Item</w:t>
            </w:r>
          </w:p>
        </w:tc>
        <w:tc>
          <w:tcPr>
            <w:tcW w:type="dxa" w:w="712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Assessment position</w:t>
            </w:r>
          </w:p>
        </w:tc>
      </w:tr>
      <w:tr>
        <w:trPr>
          <w:cantSplit/>
        </w:trPr>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Service state</w:t>
            </w:r>
          </w:p>
        </w:tc>
        <w:tc>
          <w:tcPr>
            <w:tcW w:type="dxa" w:w="7128"/>
            <w:vAlign w:val="center"/>
            <w:tcMar>
              <w:top w:w="80" w:type="dxa"/>
              <w:start w:w="120" w:type="dxa"/>
              <w:bottom w:w="80" w:type="dxa"/>
              <w:end w:w="120" w:type="dxa"/>
            </w:tcMar>
            <w:shd w:fill="F2F4F7"/>
          </w:tcPr>
          <w:p>
            <w:pPr>
              <w:spacing w:after="0" w:line="252" w:lineRule="auto"/>
            </w:pPr>
            <w:r/>
            <w:r>
              <w:rPr>
                <w:rFonts w:ascii="Arial" w:hAnsi="Arial"/>
                <w:b w:val="0"/>
                <w:i w:val="0"/>
                <w:sz w:val="16"/>
              </w:rPr>
              <w:t>Current hosted service as at 25 July 2026; no public semantic server version identified.</w:t>
            </w:r>
          </w:p>
        </w:tc>
      </w:tr>
      <w:tr>
        <w:trPr>
          <w:cantSplit/>
        </w:trPr>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IDEs</w:t>
            </w:r>
          </w:p>
        </w:tc>
        <w:tc>
          <w:tcPr>
            <w:tcW w:type="dxa" w:w="7128"/>
            <w:vAlign w:val="center"/>
            <w:tcMar>
              <w:top w:w="80" w:type="dxa"/>
              <w:start w:w="120" w:type="dxa"/>
              <w:bottom w:w="80" w:type="dxa"/>
              <w:end w:w="120" w:type="dxa"/>
            </w:tcMar>
            <w:shd w:fill="FFFFFF"/>
          </w:tcPr>
          <w:p>
            <w:pPr>
              <w:spacing w:after="0" w:line="252" w:lineRule="auto"/>
            </w:pPr>
            <w:r/>
            <w:r>
              <w:rPr>
                <w:rFonts w:ascii="Arial" w:hAnsi="Arial"/>
                <w:b w:val="0"/>
                <w:i w:val="0"/>
                <w:sz w:val="16"/>
              </w:rPr>
              <w:t>VS Code and Visual Studio assessed independently.</w:t>
            </w:r>
          </w:p>
        </w:tc>
      </w:tr>
      <w:tr>
        <w:trPr>
          <w:cantSplit/>
        </w:trPr>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Environment</w:t>
            </w:r>
          </w:p>
        </w:tc>
        <w:tc>
          <w:tcPr>
            <w:tcW w:type="dxa" w:w="7128"/>
            <w:vAlign w:val="center"/>
            <w:tcMar>
              <w:top w:w="80" w:type="dxa"/>
              <w:start w:w="120" w:type="dxa"/>
              <w:bottom w:w="80" w:type="dxa"/>
              <w:end w:w="120" w:type="dxa"/>
            </w:tcMar>
            <w:shd w:fill="F2F4F7"/>
          </w:tcPr>
          <w:p>
            <w:pPr>
              <w:spacing w:after="0" w:line="252" w:lineRule="auto"/>
            </w:pPr>
            <w:r/>
            <w:r>
              <w:rPr>
                <w:rFonts w:ascii="Arial" w:hAnsi="Arial"/>
                <w:b w:val="0"/>
                <w:i w:val="0"/>
                <w:sz w:val="16"/>
              </w:rPr>
              <w:t>UK financial services; confidential enterprise code; managed enterprise endpoints assumed.</w:t>
            </w:r>
          </w:p>
        </w:tc>
      </w:tr>
      <w:tr>
        <w:trPr>
          <w:cantSplit/>
        </w:trPr>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Runtime</w:t>
            </w:r>
          </w:p>
        </w:tc>
        <w:tc>
          <w:tcPr>
            <w:tcW w:type="dxa" w:w="7128"/>
            <w:vAlign w:val="center"/>
            <w:tcMar>
              <w:top w:w="80" w:type="dxa"/>
              <w:start w:w="120" w:type="dxa"/>
              <w:bottom w:w="80" w:type="dxa"/>
              <w:end w:w="120" w:type="dxa"/>
            </w:tcMar>
            <w:shd w:fill="FFFFFF"/>
          </w:tcPr>
          <w:p>
            <w:pPr>
              <w:spacing w:after="0" w:line="252" w:lineRule="auto"/>
            </w:pPr>
            <w:r/>
            <w:r>
              <w:rPr>
                <w:rFonts w:ascii="Arial" w:hAnsi="Arial"/>
                <w:b w:val="0"/>
                <w:i w:val="0"/>
                <w:sz w:val="16"/>
              </w:rPr>
              <w:t>Not authorised. No installation, activation, authentication, endpoint invocation or detonation.</w:t>
            </w:r>
          </w:p>
        </w:tc>
      </w:tr>
      <w:tr>
        <w:trPr>
          <w:cantSplit/>
        </w:trPr>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Static malware triage</w:t>
            </w:r>
          </w:p>
        </w:tc>
        <w:tc>
          <w:tcPr>
            <w:tcW w:type="dxa" w:w="7128"/>
            <w:vAlign w:val="center"/>
            <w:tcMar>
              <w:top w:w="80" w:type="dxa"/>
              <w:start w:w="120" w:type="dxa"/>
              <w:bottom w:w="80" w:type="dxa"/>
              <w:end w:w="120" w:type="dxa"/>
            </w:tcMar>
            <w:shd w:fill="F2F4F7"/>
          </w:tcPr>
          <w:p>
            <w:pPr>
              <w:spacing w:after="0" w:line="252" w:lineRule="auto"/>
            </w:pPr>
            <w:r/>
            <w:r>
              <w:rPr>
                <w:rFonts w:ascii="Arial" w:hAnsi="Arial"/>
                <w:b w:val="0"/>
                <w:i w:val="0"/>
                <w:sz w:val="16"/>
              </w:rPr>
              <w:t>Public repository/package surface, provenance, scripts, workflows, dependencies and suspicious indicators; clean results are not proof of safety.</w:t>
            </w:r>
          </w:p>
        </w:tc>
      </w:tr>
      <w:tr>
        <w:trPr>
          <w:cantSplit/>
        </w:trPr>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Privacy</w:t>
            </w:r>
          </w:p>
        </w:tc>
        <w:tc>
          <w:tcPr>
            <w:tcW w:type="dxa" w:w="7128"/>
            <w:vAlign w:val="center"/>
            <w:tcMar>
              <w:top w:w="80" w:type="dxa"/>
              <w:start w:w="120" w:type="dxa"/>
              <w:bottom w:w="80" w:type="dxa"/>
              <w:end w:w="120" w:type="dxa"/>
            </w:tcMar>
            <w:shd w:fill="FFFFFF"/>
          </w:tcPr>
          <w:p>
            <w:pPr>
              <w:spacing w:after="0" w:line="252" w:lineRule="auto"/>
            </w:pPr>
            <w:r/>
            <w:r>
              <w:rPr>
                <w:rFonts w:ascii="Arial" w:hAnsi="Arial"/>
                <w:b w:val="0"/>
                <w:i w:val="0"/>
                <w:sz w:val="16"/>
              </w:rPr>
              <w:t>Included by default.</w:t>
            </w:r>
          </w:p>
        </w:tc>
      </w:tr>
      <w:tr>
        <w:trPr>
          <w:cantSplit/>
        </w:trPr>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Evidence states</w:t>
            </w:r>
          </w:p>
        </w:tc>
        <w:tc>
          <w:tcPr>
            <w:tcW w:type="dxa" w:w="7128"/>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 Inferred, Not observed, Not applicable and Unknown are used explicitly.</w:t>
            </w:r>
          </w:p>
        </w:tc>
      </w:tr>
    </w:tbl>
    <w:p>
      <w:pPr>
        <w:spacing w:after="20"/>
      </w:pPr>
    </w:p>
    <w:p>
      <w:r>
        <w:rPr>
          <w:rFonts w:ascii="Arial" w:hAnsi="Arial"/>
          <w:b w:val="0"/>
          <w:i w:val="0"/>
          <w:sz w:val="21"/>
        </w:rPr>
        <w:t>Method: primary Microsoft product/client documentation, official repository evidence, regulator and standards-body sources were prioritised. External content was treated as untrusted. Findings were scored 1-5 for likelihood and impact; scores 1-4 Low, 5-9 Moderate, 10-16 High and 17-25 Critical. Residual scores were re-evaluated after verified controls rather than mechanically reduced.</w:t>
      </w:r>
      <w:r>
        <w:t xml:space="preserve"> </w:t>
      </w:r>
      <w:hyperlink w:anchor="REF_018" w:history="1">
        <w:r>
          <w:rPr>
            <w:color w:val="2E74B5"/>
            <w:u w:val="single"/>
          </w:rPr>
          <w:t>[REF-018]</w:t>
        </w:r>
      </w:hyperlink>
      <w:r>
        <w:t xml:space="preserve"> </w:t>
      </w:r>
      <w:hyperlink w:anchor="REF_019" w:history="1">
        <w:r>
          <w:rPr>
            <w:color w:val="2E74B5"/>
            <w:u w:val="single"/>
          </w:rPr>
          <w:t>[REF-019]</w:t>
        </w:r>
      </w:hyperlink>
      <w:r>
        <w:t xml:space="preserve"> </w:t>
      </w:r>
      <w:hyperlink w:anchor="REF_020" w:history="1">
        <w:r>
          <w:rPr>
            <w:color w:val="2E74B5"/>
            <w:u w:val="single"/>
          </w:rPr>
          <w:t>[REF-020]</w:t>
        </w:r>
      </w:hyperlink>
    </w:p>
    <w:p>
      <w:pPr>
        <w:pStyle w:val="Heading2"/>
      </w:pPr>
      <w:r>
        <w:t>Limitations</w:t>
      </w:r>
    </w:p>
    <w:p>
      <w:pPr>
        <w:pStyle w:val="ListBullet"/>
      </w:pPr>
      <w:r>
        <w:rPr>
          <w:rFonts w:ascii="Arial" w:hAnsi="Arial"/>
          <w:b w:val="0"/>
          <w:i w:val="0"/>
          <w:sz w:val="21"/>
        </w:rPr>
        <w:t>No runtime network capture, payload inspection, host baseline, uninstall test, service response analysis or TLS/authentication behavior test.</w:t>
      </w:r>
    </w:p>
    <w:p>
      <w:pPr>
        <w:pStyle w:val="ListBullet"/>
      </w:pPr>
      <w:r>
        <w:rPr>
          <w:rFonts w:ascii="Arial" w:hAnsi="Arial"/>
          <w:b w:val="0"/>
          <w:i w:val="0"/>
          <w:sz w:val="21"/>
        </w:rPr>
        <w:t>No access to Microsoft’s deployed server source, deployment hash, SBOM, penetration-test report, audit report, internal telemetry configuration or production data-flow record.</w:t>
      </w:r>
    </w:p>
    <w:p>
      <w:pPr>
        <w:pStyle w:val="ListBullet"/>
      </w:pPr>
      <w:r>
        <w:rPr>
          <w:rFonts w:ascii="Arial" w:hAnsi="Arial"/>
          <w:b w:val="0"/>
          <w:i w:val="0"/>
          <w:sz w:val="21"/>
        </w:rPr>
        <w:t>No firm-specific architecture, exact client versions, endpoint-management policies, contracts, data inventory, legal basis, DPIA, materiality assessment or important-business-service mapping was supplied.</w:t>
      </w:r>
    </w:p>
    <w:p>
      <w:pPr>
        <w:pStyle w:val="ListBullet"/>
      </w:pPr>
      <w:r>
        <w:rPr>
          <w:rFonts w:ascii="Arial" w:hAnsi="Arial"/>
          <w:b w:val="0"/>
          <w:i w:val="0"/>
          <w:sz w:val="21"/>
        </w:rPr>
        <w:t>Repository source and hosted service correspondence is unknown; “not observed” means only that the stated static scope did not reveal it.</w:t>
      </w:r>
    </w:p>
    <w:p>
      <w:bookmarkStart w:id="1051" w:name="IDENTITY"/>
      <w:pPr>
        <w:pStyle w:val="Heading1"/>
      </w:pPr>
      <w:r>
        <w:t>4. Product Identity and Version</w:t>
      </w:r>
      <w:bookmarkEnd w:id="1051"/>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237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Field</w:t>
            </w:r>
          </w:p>
        </w:tc>
        <w:tc>
          <w:tcPr>
            <w:tcW w:type="dxa" w:w="684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Verified/observed position</w:t>
            </w:r>
          </w:p>
        </w:tc>
      </w:tr>
      <w:tr>
        <w:trPr>
          <w:cantSplit/>
        </w:trPr>
        <w:tc>
          <w:tcPr>
            <w:tcW w:type="dxa" w:w="2376"/>
            <w:vAlign w:val="center"/>
            <w:tcMar>
              <w:top w:w="80" w:type="dxa"/>
              <w:start w:w="120" w:type="dxa"/>
              <w:bottom w:w="80" w:type="dxa"/>
              <w:end w:w="120" w:type="dxa"/>
            </w:tcMar>
            <w:shd w:fill="F2F4F7"/>
          </w:tcPr>
          <w:p>
            <w:pPr>
              <w:spacing w:after="0" w:line="252" w:lineRule="auto"/>
            </w:pPr>
            <w:r/>
            <w:r>
              <w:rPr>
                <w:rFonts w:ascii="Arial" w:hAnsi="Arial"/>
                <w:b w:val="0"/>
                <w:i w:val="0"/>
                <w:sz w:val="16"/>
              </w:rPr>
              <w:t>Product</w:t>
            </w:r>
          </w:p>
        </w:tc>
        <w:tc>
          <w:tcPr>
            <w:tcW w:type="dxa" w:w="6840"/>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 Learn MCP Server</w:t>
            </w:r>
          </w:p>
        </w:tc>
      </w:tr>
      <w:tr>
        <w:trPr>
          <w:cantSplit/>
        </w:trPr>
        <w:tc>
          <w:tcPr>
            <w:tcW w:type="dxa" w:w="2376"/>
            <w:vAlign w:val="center"/>
            <w:tcMar>
              <w:top w:w="80" w:type="dxa"/>
              <w:start w:w="120" w:type="dxa"/>
              <w:bottom w:w="80" w:type="dxa"/>
              <w:end w:w="120" w:type="dxa"/>
            </w:tcMar>
            <w:shd w:fill="FFFFFF"/>
          </w:tcPr>
          <w:p>
            <w:pPr>
              <w:spacing w:after="0" w:line="252" w:lineRule="auto"/>
            </w:pPr>
            <w:r/>
            <w:r>
              <w:rPr>
                <w:rFonts w:ascii="Arial" w:hAnsi="Arial"/>
                <w:b w:val="0"/>
                <w:i w:val="0"/>
                <w:sz w:val="16"/>
              </w:rPr>
              <w:t>Publisher/operator</w:t>
            </w:r>
          </w:p>
        </w:tc>
        <w:tc>
          <w:tcPr>
            <w:tcW w:type="dxa" w:w="6840"/>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 / MicrosoftDocs</w:t>
            </w:r>
          </w:p>
        </w:tc>
      </w:tr>
      <w:tr>
        <w:trPr>
          <w:cantSplit/>
        </w:trPr>
        <w:tc>
          <w:tcPr>
            <w:tcW w:type="dxa" w:w="2376"/>
            <w:vAlign w:val="center"/>
            <w:tcMar>
              <w:top w:w="80" w:type="dxa"/>
              <w:start w:w="120" w:type="dxa"/>
              <w:bottom w:w="80" w:type="dxa"/>
              <w:end w:w="120" w:type="dxa"/>
            </w:tcMar>
            <w:shd w:fill="F2F4F7"/>
          </w:tcPr>
          <w:p>
            <w:pPr>
              <w:spacing w:after="0" w:line="252" w:lineRule="auto"/>
            </w:pPr>
            <w:r/>
            <w:r>
              <w:rPr>
                <w:rFonts w:ascii="Arial" w:hAnsi="Arial"/>
                <w:b w:val="0"/>
                <w:i w:val="0"/>
                <w:sz w:val="16"/>
              </w:rPr>
              <w:t>Endpoint</w:t>
            </w:r>
          </w:p>
        </w:tc>
        <w:tc>
          <w:tcPr>
            <w:tcW w:type="dxa" w:w="6840"/>
            <w:vAlign w:val="center"/>
            <w:tcMar>
              <w:top w:w="80" w:type="dxa"/>
              <w:start w:w="120" w:type="dxa"/>
              <w:bottom w:w="80" w:type="dxa"/>
              <w:end w:w="120" w:type="dxa"/>
            </w:tcMar>
            <w:shd w:fill="F2F4F7"/>
          </w:tcPr>
          <w:p>
            <w:pPr>
              <w:spacing w:after="0" w:line="252" w:lineRule="auto"/>
            </w:pPr>
            <w:r/>
            <w:r>
              <w:rPr>
                <w:rFonts w:ascii="Arial" w:hAnsi="Arial"/>
                <w:b w:val="0"/>
                <w:i w:val="0"/>
                <w:sz w:val="16"/>
              </w:rPr>
              <w:t>https://learn.microsoft.com/api/mcp</w:t>
            </w:r>
          </w:p>
        </w:tc>
      </w:tr>
      <w:tr>
        <w:trPr>
          <w:cantSplit/>
        </w:trPr>
        <w:tc>
          <w:tcPr>
            <w:tcW w:type="dxa" w:w="2376"/>
            <w:vAlign w:val="center"/>
            <w:tcMar>
              <w:top w:w="80" w:type="dxa"/>
              <w:start w:w="120" w:type="dxa"/>
              <w:bottom w:w="80" w:type="dxa"/>
              <w:end w:w="120" w:type="dxa"/>
            </w:tcMar>
            <w:shd w:fill="FFFFFF"/>
          </w:tcPr>
          <w:p>
            <w:pPr>
              <w:spacing w:after="0" w:line="252" w:lineRule="auto"/>
            </w:pPr>
            <w:r/>
            <w:r>
              <w:rPr>
                <w:rFonts w:ascii="Arial" w:hAnsi="Arial"/>
                <w:b w:val="0"/>
                <w:i w:val="0"/>
                <w:sz w:val="16"/>
              </w:rPr>
              <w:t>Transport</w:t>
            </w:r>
          </w:p>
        </w:tc>
        <w:tc>
          <w:tcPr>
            <w:tcW w:type="dxa" w:w="6840"/>
            <w:vAlign w:val="center"/>
            <w:tcMar>
              <w:top w:w="80" w:type="dxa"/>
              <w:start w:w="120" w:type="dxa"/>
              <w:bottom w:w="80" w:type="dxa"/>
              <w:end w:w="120" w:type="dxa"/>
            </w:tcMar>
            <w:shd w:fill="FFFFFF"/>
          </w:tcPr>
          <w:p>
            <w:pPr>
              <w:spacing w:after="0" w:line="252" w:lineRule="auto"/>
            </w:pPr>
            <w:r/>
            <w:r>
              <w:rPr>
                <w:rFonts w:ascii="Arial" w:hAnsi="Arial"/>
                <w:b w:val="0"/>
                <w:i w:val="0"/>
                <w:sz w:val="16"/>
              </w:rPr>
              <w:t>Remote Streamable HTTP over HTTPS</w:t>
            </w:r>
          </w:p>
        </w:tc>
      </w:tr>
      <w:tr>
        <w:trPr>
          <w:cantSplit/>
        </w:trPr>
        <w:tc>
          <w:tcPr>
            <w:tcW w:type="dxa" w:w="2376"/>
            <w:vAlign w:val="center"/>
            <w:tcMar>
              <w:top w:w="80" w:type="dxa"/>
              <w:start w:w="120" w:type="dxa"/>
              <w:bottom w:w="80" w:type="dxa"/>
              <w:end w:w="120" w:type="dxa"/>
            </w:tcMar>
            <w:shd w:fill="F2F4F7"/>
          </w:tcPr>
          <w:p>
            <w:pPr>
              <w:spacing w:after="0" w:line="252" w:lineRule="auto"/>
            </w:pPr>
            <w:r/>
            <w:r>
              <w:rPr>
                <w:rFonts w:ascii="Arial" w:hAnsi="Arial"/>
                <w:b w:val="0"/>
                <w:i w:val="0"/>
                <w:sz w:val="16"/>
              </w:rPr>
              <w:t>Authentication</w:t>
            </w:r>
          </w:p>
        </w:tc>
        <w:tc>
          <w:tcPr>
            <w:tcW w:type="dxa" w:w="6840"/>
            <w:vAlign w:val="center"/>
            <w:tcMar>
              <w:top w:w="80" w:type="dxa"/>
              <w:start w:w="120" w:type="dxa"/>
              <w:bottom w:w="80" w:type="dxa"/>
              <w:end w:w="120" w:type="dxa"/>
            </w:tcMar>
            <w:shd w:fill="F2F4F7"/>
          </w:tcPr>
          <w:p>
            <w:pPr>
              <w:spacing w:after="0" w:line="252" w:lineRule="auto"/>
            </w:pPr>
            <w:r/>
            <w:r>
              <w:rPr>
                <w:rFonts w:ascii="Arial" w:hAnsi="Arial"/>
                <w:b w:val="0"/>
                <w:i w:val="0"/>
                <w:sz w:val="16"/>
              </w:rPr>
              <w:t>None required</w:t>
            </w:r>
          </w:p>
        </w:tc>
      </w:tr>
      <w:tr>
        <w:trPr>
          <w:cantSplit/>
        </w:trPr>
        <w:tc>
          <w:tcPr>
            <w:tcW w:type="dxa" w:w="2376"/>
            <w:vAlign w:val="center"/>
            <w:tcMar>
              <w:top w:w="80" w:type="dxa"/>
              <w:start w:w="120" w:type="dxa"/>
              <w:bottom w:w="80" w:type="dxa"/>
              <w:end w:w="120" w:type="dxa"/>
            </w:tcMar>
            <w:shd w:fill="FFFFFF"/>
          </w:tcPr>
          <w:p>
            <w:pPr>
              <w:spacing w:after="0" w:line="252" w:lineRule="auto"/>
            </w:pPr>
            <w:r/>
            <w:r>
              <w:rPr>
                <w:rFonts w:ascii="Arial" w:hAnsi="Arial"/>
                <w:b w:val="0"/>
                <w:i w:val="0"/>
                <w:sz w:val="16"/>
              </w:rPr>
              <w:t>Service release</w:t>
            </w:r>
          </w:p>
        </w:tc>
        <w:tc>
          <w:tcPr>
            <w:tcW w:type="dxa" w:w="6840"/>
            <w:vAlign w:val="center"/>
            <w:tcMar>
              <w:top w:w="80" w:type="dxa"/>
              <w:start w:w="120" w:type="dxa"/>
              <w:bottom w:w="80" w:type="dxa"/>
              <w:end w:w="120" w:type="dxa"/>
            </w:tcMar>
            <w:shd w:fill="FFFFFF"/>
          </w:tcPr>
          <w:p>
            <w:pPr>
              <w:spacing w:after="0" w:line="252" w:lineRule="auto"/>
            </w:pPr>
            <w:r/>
            <w:r>
              <w:rPr>
                <w:rFonts w:ascii="Arial" w:hAnsi="Arial"/>
                <w:b w:val="0"/>
                <w:i w:val="0"/>
                <w:sz w:val="16"/>
              </w:rPr>
              <w:t>12 Jun 2025; generally available 7 Nov 2025</w:t>
            </w:r>
          </w:p>
        </w:tc>
      </w:tr>
      <w:tr>
        <w:trPr>
          <w:cantSplit/>
        </w:trPr>
        <w:tc>
          <w:tcPr>
            <w:tcW w:type="dxa" w:w="2376"/>
            <w:vAlign w:val="center"/>
            <w:tcMar>
              <w:top w:w="80" w:type="dxa"/>
              <w:start w:w="120" w:type="dxa"/>
              <w:bottom w:w="80" w:type="dxa"/>
              <w:end w:w="120" w:type="dxa"/>
            </w:tcMar>
            <w:shd w:fill="F2F4F7"/>
          </w:tcPr>
          <w:p>
            <w:pPr>
              <w:spacing w:after="0" w:line="252" w:lineRule="auto"/>
            </w:pPr>
            <w:r/>
            <w:r>
              <w:rPr>
                <w:rFonts w:ascii="Arial" w:hAnsi="Arial"/>
                <w:b w:val="0"/>
                <w:i w:val="0"/>
                <w:sz w:val="16"/>
              </w:rPr>
              <w:t>Latest published milestone</w:t>
            </w:r>
          </w:p>
        </w:tc>
        <w:tc>
          <w:tcPr>
            <w:tcW w:type="dxa" w:w="6840"/>
            <w:vAlign w:val="center"/>
            <w:tcMar>
              <w:top w:w="80" w:type="dxa"/>
              <w:start w:w="120" w:type="dxa"/>
              <w:bottom w:w="80" w:type="dxa"/>
              <w:end w:w="120" w:type="dxa"/>
            </w:tcMar>
            <w:shd w:fill="F2F4F7"/>
          </w:tcPr>
          <w:p>
            <w:pPr>
              <w:spacing w:after="0" w:line="252" w:lineRule="auto"/>
            </w:pPr>
            <w:r/>
            <w:r>
              <w:rPr>
                <w:rFonts w:ascii="Arial" w:hAnsi="Arial"/>
                <w:b w:val="0"/>
                <w:i w:val="0"/>
                <w:sz w:val="16"/>
              </w:rPr>
              <w:t>Compatible-client plugin, 23 Mar 2026</w:t>
            </w:r>
          </w:p>
        </w:tc>
      </w:tr>
      <w:tr>
        <w:trPr>
          <w:cantSplit/>
        </w:trPr>
        <w:tc>
          <w:tcPr>
            <w:tcW w:type="dxa" w:w="2376"/>
            <w:vAlign w:val="center"/>
            <w:tcMar>
              <w:top w:w="80" w:type="dxa"/>
              <w:start w:w="120" w:type="dxa"/>
              <w:bottom w:w="80" w:type="dxa"/>
              <w:end w:w="120" w:type="dxa"/>
            </w:tcMar>
            <w:shd w:fill="FFFFFF"/>
          </w:tcPr>
          <w:p>
            <w:pPr>
              <w:spacing w:after="0" w:line="252" w:lineRule="auto"/>
            </w:pPr>
            <w:r/>
            <w:r>
              <w:rPr>
                <w:rFonts w:ascii="Arial" w:hAnsi="Arial"/>
                <w:b w:val="0"/>
                <w:i w:val="0"/>
                <w:sz w:val="16"/>
              </w:rPr>
              <w:t>Public server version</w:t>
            </w:r>
          </w:p>
        </w:tc>
        <w:tc>
          <w:tcPr>
            <w:tcW w:type="dxa" w:w="6840"/>
            <w:vAlign w:val="center"/>
            <w:tcMar>
              <w:top w:w="80" w:type="dxa"/>
              <w:start w:w="120" w:type="dxa"/>
              <w:bottom w:w="80" w:type="dxa"/>
              <w:end w:w="120" w:type="dxa"/>
            </w:tcMar>
            <w:shd w:fill="FFFFFF"/>
          </w:tcPr>
          <w:p>
            <w:pPr>
              <w:spacing w:after="0" w:line="252" w:lineRule="auto"/>
            </w:pPr>
            <w:r/>
            <w:r>
              <w:rPr>
                <w:rFonts w:ascii="Arial" w:hAnsi="Arial"/>
                <w:b w:val="0"/>
                <w:i w:val="0"/>
                <w:sz w:val="16"/>
              </w:rPr>
              <w:t>Unknown; no semantic release/tag identified</w:t>
            </w:r>
          </w:p>
        </w:tc>
      </w:tr>
      <w:tr>
        <w:trPr>
          <w:cantSplit/>
        </w:trPr>
        <w:tc>
          <w:tcPr>
            <w:tcW w:type="dxa" w:w="2376"/>
            <w:vAlign w:val="center"/>
            <w:tcMar>
              <w:top w:w="80" w:type="dxa"/>
              <w:start w:w="120" w:type="dxa"/>
              <w:bottom w:w="80" w:type="dxa"/>
              <w:end w:w="120" w:type="dxa"/>
            </w:tcMar>
            <w:shd w:fill="F2F4F7"/>
          </w:tcPr>
          <w:p>
            <w:pPr>
              <w:spacing w:after="0" w:line="252" w:lineRule="auto"/>
            </w:pPr>
            <w:r/>
            <w:r>
              <w:rPr>
                <w:rFonts w:ascii="Arial" w:hAnsi="Arial"/>
                <w:b w:val="0"/>
                <w:i w:val="0"/>
                <w:sz w:val="16"/>
              </w:rPr>
              <w:t>Repository</w:t>
            </w:r>
          </w:p>
        </w:tc>
        <w:tc>
          <w:tcPr>
            <w:tcW w:type="dxa" w:w="6840"/>
            <w:vAlign w:val="center"/>
            <w:tcMar>
              <w:top w:w="80" w:type="dxa"/>
              <w:start w:w="120" w:type="dxa"/>
              <w:bottom w:w="80" w:type="dxa"/>
              <w:end w:w="120" w:type="dxa"/>
            </w:tcMar>
            <w:shd w:fill="F2F4F7"/>
          </w:tcPr>
          <w:p>
            <w:pPr>
              <w:spacing w:after="0" w:line="252" w:lineRule="auto"/>
            </w:pPr>
            <w:r/>
            <w:r>
              <w:rPr>
                <w:rFonts w:ascii="Arial" w:hAnsi="Arial"/>
                <w:b w:val="0"/>
                <w:i w:val="0"/>
                <w:sz w:val="16"/>
              </w:rPr>
              <w:t>github.com/MicrosoftDocs/mcp</w:t>
            </w:r>
          </w:p>
        </w:tc>
      </w:tr>
      <w:tr>
        <w:trPr>
          <w:cantSplit/>
        </w:trPr>
        <w:tc>
          <w:tcPr>
            <w:tcW w:type="dxa" w:w="2376"/>
            <w:vAlign w:val="center"/>
            <w:tcMar>
              <w:top w:w="80" w:type="dxa"/>
              <w:start w:w="120" w:type="dxa"/>
              <w:bottom w:w="80" w:type="dxa"/>
              <w:end w:w="120" w:type="dxa"/>
            </w:tcMar>
            <w:shd w:fill="FFFFFF"/>
          </w:tcPr>
          <w:p>
            <w:pPr>
              <w:spacing w:after="0" w:line="252" w:lineRule="auto"/>
            </w:pPr>
            <w:r/>
            <w:r>
              <w:rPr>
                <w:rFonts w:ascii="Arial" w:hAnsi="Arial"/>
                <w:b w:val="0"/>
                <w:i w:val="0"/>
                <w:sz w:val="16"/>
              </w:rPr>
              <w:t>Licence surface</w:t>
            </w:r>
          </w:p>
        </w:tc>
        <w:tc>
          <w:tcPr>
            <w:tcW w:type="dxa" w:w="6840"/>
            <w:vAlign w:val="center"/>
            <w:tcMar>
              <w:top w:w="80" w:type="dxa"/>
              <w:start w:w="120" w:type="dxa"/>
              <w:bottom w:w="80" w:type="dxa"/>
              <w:end w:w="120" w:type="dxa"/>
            </w:tcMar>
            <w:shd w:fill="FFFFFF"/>
          </w:tcPr>
          <w:p>
            <w:pPr>
              <w:spacing w:after="0" w:line="252" w:lineRule="auto"/>
            </w:pPr>
            <w:r/>
            <w:r>
              <w:rPr>
                <w:rFonts w:ascii="Arial" w:hAnsi="Arial"/>
                <w:b w:val="0"/>
                <w:i w:val="0"/>
                <w:sz w:val="16"/>
              </w:rPr>
              <w:t>MIT and CC-BY-4.0 identified in repository</w:t>
            </w:r>
          </w:p>
        </w:tc>
      </w:tr>
      <w:tr>
        <w:trPr>
          <w:cantSplit/>
        </w:trPr>
        <w:tc>
          <w:tcPr>
            <w:tcW w:type="dxa" w:w="2376"/>
            <w:vAlign w:val="center"/>
            <w:tcMar>
              <w:top w:w="80" w:type="dxa"/>
              <w:start w:w="120" w:type="dxa"/>
              <w:bottom w:w="80" w:type="dxa"/>
              <w:end w:w="120" w:type="dxa"/>
            </w:tcMar>
            <w:shd w:fill="F2F4F7"/>
          </w:tcPr>
          <w:p>
            <w:pPr>
              <w:spacing w:after="0" w:line="252" w:lineRule="auto"/>
            </w:pPr>
            <w:r/>
            <w:r>
              <w:rPr>
                <w:rFonts w:ascii="Arial" w:hAnsi="Arial"/>
                <w:b w:val="0"/>
                <w:i w:val="0"/>
                <w:sz w:val="16"/>
              </w:rPr>
              <w:t>Support/security</w:t>
            </w:r>
          </w:p>
        </w:tc>
        <w:tc>
          <w:tcPr>
            <w:tcW w:type="dxa" w:w="6840"/>
            <w:vAlign w:val="center"/>
            <w:tcMar>
              <w:top w:w="80" w:type="dxa"/>
              <w:start w:w="120" w:type="dxa"/>
              <w:bottom w:w="80" w:type="dxa"/>
              <w:end w:w="120" w:type="dxa"/>
            </w:tcMar>
            <w:shd w:fill="F2F4F7"/>
          </w:tcPr>
          <w:p>
            <w:pPr>
              <w:spacing w:after="0" w:line="252" w:lineRule="auto"/>
            </w:pPr>
            <w:r/>
            <w:r>
              <w:rPr>
                <w:rFonts w:ascii="Arial" w:hAnsi="Arial"/>
                <w:b w:val="0"/>
                <w:i w:val="0"/>
                <w:sz w:val="16"/>
              </w:rPr>
              <w:t>Repository support route; private vulnerability reporting to MSRC</w:t>
            </w:r>
          </w:p>
        </w:tc>
      </w:tr>
    </w:tbl>
    <w:p>
      <w:pPr>
        <w:spacing w:after="20"/>
      </w:pPr>
    </w:p>
    <w:p>
      <w:r>
        <w:rPr>
          <w:rFonts w:ascii="Arial" w:hAnsi="Arial"/>
          <w:b w:val="0"/>
          <w:i w:val="0"/>
          <w:sz w:val="21"/>
        </w:rPr>
        <w:t>Version scope is therefore “current hosted service state as at 25 July 2026,” not a semantic package version. Microsoft states the available tools and schemas may change and clients should discover tools dynamically.</w:t>
      </w:r>
      <w:r>
        <w:t xml:space="preserve"> </w:t>
      </w:r>
      <w:hyperlink w:anchor="REF_004" w:history="1">
        <w:r>
          <w:rPr>
            <w:color w:val="2E74B5"/>
            <w:u w:val="single"/>
          </w:rPr>
          <w:t>[REF-004]</w:t>
        </w:r>
      </w:hyperlink>
      <w:r>
        <w:t xml:space="preserve"> </w:t>
      </w:r>
      <w:hyperlink w:anchor="REF_006" w:history="1">
        <w:r>
          <w:rPr>
            <w:color w:val="2E74B5"/>
            <w:u w:val="single"/>
          </w:rPr>
          <w:t>[REF-006]</w:t>
        </w:r>
      </w:hyperlink>
      <w:r>
        <w:t xml:space="preserve"> </w:t>
      </w:r>
      <w:hyperlink w:anchor="REF_002" w:history="1">
        <w:r>
          <w:rPr>
            <w:color w:val="2E74B5"/>
            <w:u w:val="single"/>
          </w:rPr>
          <w:t>[REF-002]</w:t>
        </w:r>
      </w:hyperlink>
    </w:p>
    <w:p>
      <w:r>
        <w:br w:type="page"/>
      </w:r>
    </w:p>
    <w:p>
      <w:bookmarkStart w:id="1055" w:name="VSCODE"/>
      <w:pPr>
        <w:pStyle w:val="Heading1"/>
      </w:pPr>
      <w:r>
        <w:t>Part I - VS Code assessment</w:t>
      </w:r>
      <w:bookmarkEnd w:id="1055"/>
    </w:p>
    <w:p>
      <w:pPr>
        <w:pStyle w:val="Heading2"/>
      </w:pPr>
      <w:r>
        <w:t>VS Code executive decision</w:t>
      </w:r>
    </w:p>
    <w:p>
      <w:r>
        <w:rPr>
          <w:rFonts w:ascii="Arial" w:hAnsi="Arial"/>
          <w:b w:val="0"/>
          <w:i w:val="0"/>
          <w:sz w:val="21"/>
        </w:rPr>
        <w:t>Decision: Defer pending evidence for unrestricted confidential-code use in VS Code. Approve with conditions only for non-sensitive, minimised Microsoft-documentation queries on managed endpoints with the mandatory controls below. Residual risk is High unrestricted and Moderate constrained; confidence Medium.</w:t>
      </w:r>
    </w:p>
    <w:p>
      <w:pPr>
        <w:pStyle w:val="Heading2"/>
      </w:pPr>
      <w:r>
        <w:t>Purpose, compatibility and installation state</w:t>
      </w:r>
    </w:p>
    <w:p>
      <w:r>
        <w:rPr>
          <w:rFonts w:ascii="Arial" w:hAnsi="Arial"/>
          <w:b w:val="0"/>
          <w:i w:val="0"/>
          <w:sz w:val="21"/>
        </w:rPr>
        <w:t>Official guidance uses GitHub Copilot in VS Code and supports user-level or workspace-level MCP configuration. User scope affects all workspaces; .vscode/mcp.json may be repository content and must be security-reviewed.</w:t>
      </w:r>
      <w:r>
        <w:t xml:space="preserve"> </w:t>
      </w:r>
      <w:hyperlink w:anchor="REF_005" w:history="1">
        <w:r>
          <w:rPr>
            <w:color w:val="2E74B5"/>
            <w:u w:val="single"/>
          </w:rPr>
          <w:t>[REF-005]</w:t>
        </w:r>
      </w:hyperlink>
      <w:r>
        <w:t xml:space="preserve"> </w:t>
      </w:r>
      <w:hyperlink w:anchor="REF_006" w:history="1">
        <w:r>
          <w:rPr>
            <w:color w:val="2E74B5"/>
            <w:u w:val="single"/>
          </w:rPr>
          <w:t>[REF-006]</w:t>
        </w:r>
      </w:hyperlink>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165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Manifest item</w:t>
            </w:r>
          </w:p>
        </w:tc>
        <w:tc>
          <w:tcPr>
            <w:tcW w:type="dxa" w:w="338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Expected state</w:t>
            </w:r>
          </w:p>
        </w:tc>
        <w:tc>
          <w:tcPr>
            <w:tcW w:type="dxa" w:w="208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Privilege/persistence</w:t>
            </w:r>
          </w:p>
        </w:tc>
        <w:tc>
          <w:tcPr>
            <w:tcW w:type="dxa" w:w="208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Evidence state</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Remote endpoint configuration</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MCP server URL in client configuration or built-in catalogue</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User or workspace/solution scope; persists until removed</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 documentation</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VSIX/package</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No service-specific VSIX required for direct remote endpoint</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Not applicable to service</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Not applicable</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Local server process</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None expected for remote HTTP service</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No server child process expected</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Inferred; runtime not tested</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Network</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Outbound HTTPS to learn.microsoft.com/api/mcp</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User-context network access</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Verified design; not observed at runtime</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Tools</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Search, fetch, code-sample search</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Agent context only; client mediates invocation</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 documentation</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Secrets/tokens</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No service authentication required</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No MCP credential expected</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Verified documentation</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Logs/caches</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Client-dependent invocation/configuration records</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User/enterprise policy scope</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Unknown without host test</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Uninstall/removal</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Remove/disable config or built-in server and clear related trust state</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Client scope</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Host verification required</w:t>
            </w:r>
          </w:p>
        </w:tc>
      </w:tr>
    </w:tbl>
    <w:p>
      <w:pPr>
        <w:spacing w:after="20"/>
      </w:pPr>
    </w:p>
    <w:p>
      <w:pPr>
        <w:pStyle w:val="Heading2"/>
      </w:pPr>
      <w:r>
        <w:t>Architecture, trust boundaries and data flow</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86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Stage</w:t>
            </w:r>
          </w:p>
        </w:tc>
        <w:tc>
          <w:tcPr>
            <w:tcW w:type="dxa" w:w="360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Flow</w:t>
            </w:r>
          </w:p>
        </w:tc>
        <w:tc>
          <w:tcPr>
            <w:tcW w:type="dxa" w:w="475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Trust decision</w:t>
            </w:r>
          </w:p>
        </w:tc>
      </w:tr>
      <w:tr>
        <w:trPr>
          <w:cantSplit/>
        </w:trPr>
        <w:tc>
          <w:tcPr>
            <w:tcW w:type="dxa" w:w="864"/>
            <w:vAlign w:val="center"/>
            <w:tcMar>
              <w:top w:w="80" w:type="dxa"/>
              <w:start w:w="120" w:type="dxa"/>
              <w:bottom w:w="80" w:type="dxa"/>
              <w:end w:w="120" w:type="dxa"/>
            </w:tcMar>
            <w:shd w:fill="F2F4F7"/>
          </w:tcPr>
          <w:p>
            <w:pPr>
              <w:spacing w:after="0" w:line="252" w:lineRule="auto"/>
            </w:pPr>
            <w:r/>
            <w:r>
              <w:rPr>
                <w:rFonts w:ascii="Arial" w:hAnsi="Arial"/>
                <w:b w:val="0"/>
                <w:i w:val="0"/>
                <w:sz w:val="16"/>
              </w:rPr>
              <w:t>1</w:t>
            </w:r>
          </w:p>
        </w:tc>
        <w:tc>
          <w:tcPr>
            <w:tcW w:type="dxa" w:w="3600"/>
            <w:vAlign w:val="center"/>
            <w:tcMar>
              <w:top w:w="80" w:type="dxa"/>
              <w:start w:w="120" w:type="dxa"/>
              <w:bottom w:w="80" w:type="dxa"/>
              <w:end w:w="120" w:type="dxa"/>
            </w:tcMar>
            <w:shd w:fill="F2F4F7"/>
          </w:tcPr>
          <w:p>
            <w:pPr>
              <w:spacing w:after="0" w:line="252" w:lineRule="auto"/>
            </w:pPr>
            <w:r/>
            <w:r>
              <w:rPr>
                <w:rFonts w:ascii="Arial" w:hAnsi="Arial"/>
                <w:b w:val="0"/>
                <w:i w:val="0"/>
                <w:sz w:val="16"/>
              </w:rPr>
              <w:t>Developer/agent context -&gt; client tool planner</w:t>
            </w:r>
          </w:p>
        </w:tc>
        <w:tc>
          <w:tcPr>
            <w:tcW w:type="dxa" w:w="4752"/>
            <w:vAlign w:val="center"/>
            <w:tcMar>
              <w:top w:w="80" w:type="dxa"/>
              <w:start w:w="120" w:type="dxa"/>
              <w:bottom w:w="80" w:type="dxa"/>
              <w:end w:w="120" w:type="dxa"/>
            </w:tcMar>
            <w:shd w:fill="F2F4F7"/>
          </w:tcPr>
          <w:p>
            <w:pPr>
              <w:spacing w:after="0" w:line="252" w:lineRule="auto"/>
            </w:pPr>
            <w:r/>
            <w:r>
              <w:rPr>
                <w:rFonts w:ascii="Arial" w:hAnsi="Arial"/>
                <w:b w:val="0"/>
                <w:i w:val="0"/>
                <w:sz w:val="16"/>
              </w:rPr>
              <w:t>Prevent sensitive context selection; repository content is untrusted.</w:t>
            </w:r>
          </w:p>
        </w:tc>
      </w:tr>
      <w:tr>
        <w:trPr>
          <w:cantSplit/>
        </w:trPr>
        <w:tc>
          <w:tcPr>
            <w:tcW w:type="dxa" w:w="864"/>
            <w:vAlign w:val="center"/>
            <w:tcMar>
              <w:top w:w="80" w:type="dxa"/>
              <w:start w:w="120" w:type="dxa"/>
              <w:bottom w:w="80" w:type="dxa"/>
              <w:end w:w="120" w:type="dxa"/>
            </w:tcMar>
            <w:shd w:fill="FFFFFF"/>
          </w:tcPr>
          <w:p>
            <w:pPr>
              <w:spacing w:after="0" w:line="252" w:lineRule="auto"/>
            </w:pPr>
            <w:r/>
            <w:r>
              <w:rPr>
                <w:rFonts w:ascii="Arial" w:hAnsi="Arial"/>
                <w:b w:val="0"/>
                <w:i w:val="0"/>
                <w:sz w:val="16"/>
              </w:rPr>
              <w:t>2</w:t>
            </w:r>
          </w:p>
        </w:tc>
        <w:tc>
          <w:tcPr>
            <w:tcW w:type="dxa" w:w="3600"/>
            <w:vAlign w:val="center"/>
            <w:tcMar>
              <w:top w:w="80" w:type="dxa"/>
              <w:start w:w="120" w:type="dxa"/>
              <w:bottom w:w="80" w:type="dxa"/>
              <w:end w:w="120" w:type="dxa"/>
            </w:tcMar>
            <w:shd w:fill="FFFFFF"/>
          </w:tcPr>
          <w:p>
            <w:pPr>
              <w:spacing w:after="0" w:line="252" w:lineRule="auto"/>
            </w:pPr>
            <w:r/>
            <w:r>
              <w:rPr>
                <w:rFonts w:ascii="Arial" w:hAnsi="Arial"/>
                <w:b w:val="0"/>
                <w:i w:val="0"/>
                <w:sz w:val="16"/>
              </w:rPr>
              <w:t>Client -&gt; Microsoft Learn MCP over HTTPS</w:t>
            </w:r>
          </w:p>
        </w:tc>
        <w:tc>
          <w:tcPr>
            <w:tcW w:type="dxa" w:w="4752"/>
            <w:vAlign w:val="center"/>
            <w:tcMar>
              <w:top w:w="80" w:type="dxa"/>
              <w:start w:w="120" w:type="dxa"/>
              <w:bottom w:w="80" w:type="dxa"/>
              <w:end w:w="120" w:type="dxa"/>
            </w:tcMar>
            <w:shd w:fill="FFFFFF"/>
          </w:tcPr>
          <w:p>
            <w:pPr>
              <w:spacing w:after="0" w:line="252" w:lineRule="auto"/>
            </w:pPr>
            <w:r/>
            <w:r>
              <w:rPr>
                <w:rFonts w:ascii="Arial" w:hAnsi="Arial"/>
                <w:b w:val="0"/>
                <w:i w:val="0"/>
                <w:sz w:val="16"/>
              </w:rPr>
              <w:t>Allowlist endpoint; minimise/redact query; apply confirmation.</w:t>
            </w:r>
          </w:p>
        </w:tc>
      </w:tr>
      <w:tr>
        <w:trPr>
          <w:cantSplit/>
        </w:trPr>
        <w:tc>
          <w:tcPr>
            <w:tcW w:type="dxa" w:w="864"/>
            <w:vAlign w:val="center"/>
            <w:tcMar>
              <w:top w:w="80" w:type="dxa"/>
              <w:start w:w="120" w:type="dxa"/>
              <w:bottom w:w="80" w:type="dxa"/>
              <w:end w:w="120" w:type="dxa"/>
            </w:tcMar>
            <w:shd w:fill="F2F4F7"/>
          </w:tcPr>
          <w:p>
            <w:pPr>
              <w:spacing w:after="0" w:line="252" w:lineRule="auto"/>
            </w:pPr>
            <w:r/>
            <w:r>
              <w:rPr>
                <w:rFonts w:ascii="Arial" w:hAnsi="Arial"/>
                <w:b w:val="0"/>
                <w:i w:val="0"/>
                <w:sz w:val="16"/>
              </w:rPr>
              <w:t>3</w:t>
            </w:r>
          </w:p>
        </w:tc>
        <w:tc>
          <w:tcPr>
            <w:tcW w:type="dxa" w:w="3600"/>
            <w:vAlign w:val="center"/>
            <w:tcMar>
              <w:top w:w="80" w:type="dxa"/>
              <w:start w:w="120" w:type="dxa"/>
              <w:bottom w:w="80" w:type="dxa"/>
              <w:end w:w="120" w:type="dxa"/>
            </w:tcMar>
            <w:shd w:fill="F2F4F7"/>
          </w:tcPr>
          <w:p>
            <w:pPr>
              <w:spacing w:after="0" w:line="252" w:lineRule="auto"/>
            </w:pPr>
            <w:r/>
            <w:r>
              <w:rPr>
                <w:rFonts w:ascii="Arial" w:hAnsi="Arial"/>
                <w:b w:val="0"/>
                <w:i w:val="0"/>
                <w:sz w:val="16"/>
              </w:rPr>
              <w:t>Learn knowledge service -&gt; MCP response</w:t>
            </w:r>
          </w:p>
        </w:tc>
        <w:tc>
          <w:tcPr>
            <w:tcW w:type="dxa" w:w="4752"/>
            <w:vAlign w:val="center"/>
            <w:tcMar>
              <w:top w:w="80" w:type="dxa"/>
              <w:start w:w="120" w:type="dxa"/>
              <w:bottom w:w="80" w:type="dxa"/>
              <w:end w:w="120" w:type="dxa"/>
            </w:tcMar>
            <w:shd w:fill="F2F4F7"/>
          </w:tcPr>
          <w:p>
            <w:pPr>
              <w:spacing w:after="0" w:line="252" w:lineRule="auto"/>
            </w:pPr>
            <w:r/>
            <w:r>
              <w:rPr>
                <w:rFonts w:ascii="Arial" w:hAnsi="Arial"/>
                <w:b w:val="0"/>
                <w:i w:val="0"/>
                <w:sz w:val="16"/>
              </w:rPr>
              <w:t>Treat documentation, Markdown, URLs and code as untrusted data.</w:t>
            </w:r>
          </w:p>
        </w:tc>
      </w:tr>
      <w:tr>
        <w:trPr>
          <w:cantSplit/>
        </w:trPr>
        <w:tc>
          <w:tcPr>
            <w:tcW w:type="dxa" w:w="864"/>
            <w:vAlign w:val="center"/>
            <w:tcMar>
              <w:top w:w="80" w:type="dxa"/>
              <w:start w:w="120" w:type="dxa"/>
              <w:bottom w:w="80" w:type="dxa"/>
              <w:end w:w="120" w:type="dxa"/>
            </w:tcMar>
            <w:shd w:fill="FFFFFF"/>
          </w:tcPr>
          <w:p>
            <w:pPr>
              <w:spacing w:after="0" w:line="252" w:lineRule="auto"/>
            </w:pPr>
            <w:r/>
            <w:r>
              <w:rPr>
                <w:rFonts w:ascii="Arial" w:hAnsi="Arial"/>
                <w:b w:val="0"/>
                <w:i w:val="0"/>
                <w:sz w:val="16"/>
              </w:rPr>
              <w:t>4</w:t>
            </w:r>
          </w:p>
        </w:tc>
        <w:tc>
          <w:tcPr>
            <w:tcW w:type="dxa" w:w="3600"/>
            <w:vAlign w:val="center"/>
            <w:tcMar>
              <w:top w:w="80" w:type="dxa"/>
              <w:start w:w="120" w:type="dxa"/>
              <w:bottom w:w="80" w:type="dxa"/>
              <w:end w:w="120" w:type="dxa"/>
            </w:tcMar>
            <w:shd w:fill="FFFFFF"/>
          </w:tcPr>
          <w:p>
            <w:pPr>
              <w:spacing w:after="0" w:line="252" w:lineRule="auto"/>
            </w:pPr>
            <w:r/>
            <w:r>
              <w:rPr>
                <w:rFonts w:ascii="Arial" w:hAnsi="Arial"/>
                <w:b w:val="0"/>
                <w:i w:val="0"/>
                <w:sz w:val="16"/>
              </w:rPr>
              <w:t>MCP response -&gt; model/agent context</w:t>
            </w:r>
          </w:p>
        </w:tc>
        <w:tc>
          <w:tcPr>
            <w:tcW w:type="dxa" w:w="4752"/>
            <w:vAlign w:val="center"/>
            <w:tcMar>
              <w:top w:w="80" w:type="dxa"/>
              <w:start w:w="120" w:type="dxa"/>
              <w:bottom w:w="80" w:type="dxa"/>
              <w:end w:w="120" w:type="dxa"/>
            </w:tcMar>
            <w:shd w:fill="FFFFFF"/>
          </w:tcPr>
          <w:p>
            <w:pPr>
              <w:spacing w:after="0" w:line="252" w:lineRule="auto"/>
            </w:pPr>
            <w:r/>
            <w:r>
              <w:rPr>
                <w:rFonts w:ascii="Arial" w:hAnsi="Arial"/>
                <w:b w:val="0"/>
                <w:i w:val="0"/>
                <w:sz w:val="16"/>
              </w:rPr>
              <w:t>Prevent instruction following from retrieved content; cite and validate.</w:t>
            </w:r>
          </w:p>
        </w:tc>
      </w:tr>
      <w:tr>
        <w:trPr>
          <w:cantSplit/>
        </w:trPr>
        <w:tc>
          <w:tcPr>
            <w:tcW w:type="dxa" w:w="864"/>
            <w:vAlign w:val="center"/>
            <w:tcMar>
              <w:top w:w="80" w:type="dxa"/>
              <w:start w:w="120" w:type="dxa"/>
              <w:bottom w:w="80" w:type="dxa"/>
              <w:end w:w="120" w:type="dxa"/>
            </w:tcMar>
            <w:shd w:fill="F2F4F7"/>
          </w:tcPr>
          <w:p>
            <w:pPr>
              <w:spacing w:after="0" w:line="252" w:lineRule="auto"/>
            </w:pPr>
            <w:r/>
            <w:r>
              <w:rPr>
                <w:rFonts w:ascii="Arial" w:hAnsi="Arial"/>
                <w:b w:val="0"/>
                <w:i w:val="0"/>
                <w:sz w:val="16"/>
              </w:rPr>
              <w:t>5</w:t>
            </w:r>
          </w:p>
        </w:tc>
        <w:tc>
          <w:tcPr>
            <w:tcW w:type="dxa" w:w="3600"/>
            <w:vAlign w:val="center"/>
            <w:tcMar>
              <w:top w:w="80" w:type="dxa"/>
              <w:start w:w="120" w:type="dxa"/>
              <w:bottom w:w="80" w:type="dxa"/>
              <w:end w:w="120" w:type="dxa"/>
            </w:tcMar>
            <w:shd w:fill="F2F4F7"/>
          </w:tcPr>
          <w:p>
            <w:pPr>
              <w:spacing w:after="0" w:line="252" w:lineRule="auto"/>
            </w:pPr>
            <w:r/>
            <w:r>
              <w:rPr>
                <w:rFonts w:ascii="Arial" w:hAnsi="Arial"/>
                <w:b w:val="0"/>
                <w:i w:val="0"/>
                <w:sz w:val="16"/>
              </w:rPr>
              <w:t>Agent output -&gt; code/terminal/cloud tools</w:t>
            </w:r>
          </w:p>
        </w:tc>
        <w:tc>
          <w:tcPr>
            <w:tcW w:type="dxa" w:w="4752"/>
            <w:vAlign w:val="center"/>
            <w:tcMar>
              <w:top w:w="80" w:type="dxa"/>
              <w:start w:w="120" w:type="dxa"/>
              <w:bottom w:w="80" w:type="dxa"/>
              <w:end w:w="120" w:type="dxa"/>
            </w:tcMar>
            <w:shd w:fill="F2F4F7"/>
          </w:tcPr>
          <w:p>
            <w:pPr>
              <w:spacing w:after="0" w:line="252" w:lineRule="auto"/>
            </w:pPr>
            <w:r/>
            <w:r>
              <w:rPr>
                <w:rFonts w:ascii="Arial" w:hAnsi="Arial"/>
                <w:b w:val="0"/>
                <w:i w:val="0"/>
                <w:sz w:val="16"/>
              </w:rPr>
              <w:t>Human review and separate approval; never execute retrieved code automatically.</w:t>
            </w:r>
          </w:p>
        </w:tc>
      </w:tr>
    </w:tbl>
    <w:p>
      <w:pPr>
        <w:spacing w:after="20"/>
      </w:pPr>
    </w:p>
    <w:p>
      <w:pPr>
        <w:pStyle w:val="Heading2"/>
      </w:pPr>
      <w:r>
        <w:t>Network, authentication, telemetry and privacy</w:t>
      </w:r>
    </w:p>
    <w:p>
      <w:r>
        <w:rPr>
          <w:rFonts w:ascii="Arial" w:hAnsi="Arial"/>
          <w:b w:val="0"/>
          <w:i w:val="0"/>
          <w:sz w:val="21"/>
        </w:rPr>
        <w:t>Verified: the remote public endpoint requires no authentication and contains public documentation rather than user-profile/training data. Inferred: every tool query necessarily leaves the client boundary. Unknown: MCP-specific request logging, retention, deletion, residency, subprocessors, personnel access, training/product-improvement use, tenant isolation, incident commitments and enterprise service assurance.</w:t>
      </w:r>
      <w:r>
        <w:t xml:space="preserve"> </w:t>
      </w:r>
      <w:hyperlink w:anchor="REF_001" w:history="1">
        <w:r>
          <w:rPr>
            <w:color w:val="2E74B5"/>
            <w:u w:val="single"/>
          </w:rPr>
          <w:t>[REF-001]</w:t>
        </w:r>
      </w:hyperlink>
      <w:r>
        <w:t xml:space="preserve"> </w:t>
      </w:r>
      <w:hyperlink w:anchor="REF_007" w:history="1">
        <w:r>
          <w:rPr>
            <w:color w:val="2E74B5"/>
            <w:u w:val="single"/>
          </w:rPr>
          <w:t>[REF-007]</w:t>
        </w:r>
      </w:hyperlink>
      <w:r>
        <w:t xml:space="preserve"> </w:t>
      </w:r>
      <w:hyperlink w:anchor="REF_012" w:history="1">
        <w:r>
          <w:rPr>
            <w:color w:val="2E74B5"/>
            <w:u w:val="single"/>
          </w:rPr>
          <w:t>[REF-012]</w:t>
        </w:r>
      </w:hyperlink>
    </w:p>
    <w:p>
      <w:pPr>
        <w:pStyle w:val="ListBullet"/>
      </w:pPr>
      <w:r>
        <w:rPr>
          <w:rFonts w:ascii="Arial" w:hAnsi="Arial"/>
          <w:b w:val="0"/>
          <w:i w:val="0"/>
          <w:sz w:val="21"/>
        </w:rPr>
        <w:t>Data classification rule: no confidential source, proprietary identifiers, file paths, stack traces, credentials, personal/customer data, regulated records, vulnerability details or unreleased product information in tool arguments.</w:t>
      </w:r>
    </w:p>
    <w:p>
      <w:pPr>
        <w:pStyle w:val="ListBullet"/>
      </w:pPr>
      <w:r>
        <w:rPr>
          <w:rFonts w:ascii="Arial" w:hAnsi="Arial"/>
          <w:b w:val="0"/>
          <w:i w:val="0"/>
          <w:sz w:val="21"/>
        </w:rPr>
        <w:t>UK GDPR may apply where prompts, code, logs or records contain personal data; data minimisation, privacy by design, security and DPIA screening are required according to the actual data flow.</w:t>
      </w:r>
    </w:p>
    <w:p>
      <w:pPr>
        <w:pStyle w:val="Heading2"/>
      </w:pPr>
      <w:r>
        <w:t>Client controls</w:t>
      </w:r>
    </w:p>
    <w:p>
      <w:pPr>
        <w:pStyle w:val="ListBullet"/>
      </w:pPr>
      <w:r>
        <w:rPr>
          <w:rFonts w:ascii="Arial" w:hAnsi="Arial"/>
          <w:b w:val="0"/>
          <w:i w:val="0"/>
          <w:sz w:val="21"/>
        </w:rPr>
        <w:t>Use managed VS Code and Copilot Business/Enterprise policy; allowlist the exact endpoint and block non-approved servers.</w:t>
      </w:r>
    </w:p>
    <w:p>
      <w:pPr>
        <w:pStyle w:val="ListBullet"/>
      </w:pPr>
      <w:r>
        <w:rPr>
          <w:rFonts w:ascii="Arial" w:hAnsi="Arial"/>
          <w:b w:val="0"/>
          <w:i w:val="0"/>
          <w:sz w:val="21"/>
        </w:rPr>
        <w:t>Prefer workspace scope only where necessary; do not use a global user configuration across unrelated confidential repositories.</w:t>
      </w:r>
    </w:p>
    <w:p>
      <w:pPr>
        <w:pStyle w:val="ListBullet"/>
      </w:pPr>
      <w:r>
        <w:rPr>
          <w:rFonts w:ascii="Arial" w:hAnsi="Arial"/>
          <w:b w:val="0"/>
          <w:i w:val="0"/>
          <w:sz w:val="21"/>
        </w:rPr>
        <w:t>Require initial server trust and per-invocation confirmation; disable unused tools; prohibit auto-approval.</w:t>
      </w:r>
    </w:p>
    <w:p>
      <w:pPr>
        <w:pStyle w:val="ListBullet"/>
      </w:pPr>
      <w:r>
        <w:rPr>
          <w:rFonts w:ascii="Arial" w:hAnsi="Arial"/>
          <w:b w:val="0"/>
          <w:i w:val="0"/>
          <w:sz w:val="21"/>
        </w:rPr>
        <w:t>Protect .vscode/mcp.json with CODEOWNERS/review, schema validation and secret scanning.</w:t>
      </w:r>
    </w:p>
    <w:p>
      <w:pPr>
        <w:pStyle w:val="ListBullet"/>
      </w:pPr>
      <w:r>
        <w:rPr>
          <w:rFonts w:ascii="Arial" w:hAnsi="Arial"/>
          <w:b w:val="0"/>
          <w:i w:val="0"/>
          <w:sz w:val="21"/>
        </w:rPr>
        <w:t>Verify content exclusions and do not assume they cover every tool argument or client path.</w:t>
      </w:r>
    </w:p>
    <w:p>
      <w:pPr>
        <w:pStyle w:val="Heading2"/>
      </w:pPr>
      <w:r>
        <w:t>MCP and optional skill surface</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2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Component</w:t>
            </w:r>
          </w:p>
        </w:tc>
        <w:tc>
          <w:tcPr>
            <w:tcW w:type="dxa" w:w="295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Status</w:t>
            </w:r>
          </w:p>
        </w:tc>
        <w:tc>
          <w:tcPr>
            <w:tcW w:type="dxa" w:w="40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Decision</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microsoft_docs_search</w:t>
            </w:r>
          </w:p>
        </w:tc>
        <w:tc>
          <w:tcPr>
            <w:tcW w:type="dxa" w:w="2952"/>
            <w:vAlign w:val="center"/>
            <w:tcMar>
              <w:top w:w="80" w:type="dxa"/>
              <w:start w:w="120" w:type="dxa"/>
              <w:bottom w:w="80" w:type="dxa"/>
              <w:end w:w="120" w:type="dxa"/>
            </w:tcMar>
            <w:shd w:fill="F2F4F7"/>
          </w:tcPr>
          <w:p>
            <w:pPr>
              <w:spacing w:after="0" w:line="252" w:lineRule="auto"/>
            </w:pPr>
            <w:r/>
            <w:r>
              <w:rPr>
                <w:rFonts w:ascii="Arial" w:hAnsi="Arial"/>
                <w:b w:val="0"/>
                <w:i w:val="0"/>
                <w:sz w:val="16"/>
              </w:rPr>
              <w:t>Documented MCP tool</w:t>
            </w:r>
          </w:p>
        </w:tc>
        <w:tc>
          <w:tcPr>
            <w:tcW w:type="dxa" w:w="4032"/>
            <w:vAlign w:val="center"/>
            <w:tcMar>
              <w:top w:w="80" w:type="dxa"/>
              <w:start w:w="120" w:type="dxa"/>
              <w:bottom w:w="80" w:type="dxa"/>
              <w:end w:w="120" w:type="dxa"/>
            </w:tcMar>
            <w:shd w:fill="F2F4F7"/>
          </w:tcPr>
          <w:p>
            <w:pPr>
              <w:spacing w:after="0" w:line="252" w:lineRule="auto"/>
            </w:pPr>
            <w:r/>
            <w:r>
              <w:rPr>
                <w:rFonts w:ascii="Arial" w:hAnsi="Arial"/>
                <w:b w:val="0"/>
                <w:i w:val="0"/>
                <w:sz w:val="16"/>
              </w:rPr>
              <w:t>Conditionally approve for non-sensitive minimised queries only.</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microsoft_docs_fetch</w:t>
            </w:r>
          </w:p>
        </w:tc>
        <w:tc>
          <w:tcPr>
            <w:tcW w:type="dxa" w:w="2952"/>
            <w:vAlign w:val="center"/>
            <w:tcMar>
              <w:top w:w="80" w:type="dxa"/>
              <w:start w:w="120" w:type="dxa"/>
              <w:bottom w:w="80" w:type="dxa"/>
              <w:end w:w="120" w:type="dxa"/>
            </w:tcMar>
            <w:shd w:fill="FFFFFF"/>
          </w:tcPr>
          <w:p>
            <w:pPr>
              <w:spacing w:after="0" w:line="252" w:lineRule="auto"/>
            </w:pPr>
            <w:r/>
            <w:r>
              <w:rPr>
                <w:rFonts w:ascii="Arial" w:hAnsi="Arial"/>
                <w:b w:val="0"/>
                <w:i w:val="0"/>
                <w:sz w:val="16"/>
              </w:rPr>
              <w:t>Documented MCP tool</w:t>
            </w:r>
          </w:p>
        </w:tc>
        <w:tc>
          <w:tcPr>
            <w:tcW w:type="dxa" w:w="4032"/>
            <w:vAlign w:val="center"/>
            <w:tcMar>
              <w:top w:w="80" w:type="dxa"/>
              <w:start w:w="120" w:type="dxa"/>
              <w:bottom w:w="80" w:type="dxa"/>
              <w:end w:w="120" w:type="dxa"/>
            </w:tcMar>
            <w:shd w:fill="FFFFFF"/>
          </w:tcPr>
          <w:p>
            <w:pPr>
              <w:spacing w:after="0" w:line="252" w:lineRule="auto"/>
            </w:pPr>
            <w:r/>
            <w:r>
              <w:rPr>
                <w:rFonts w:ascii="Arial" w:hAnsi="Arial"/>
                <w:b w:val="0"/>
                <w:i w:val="0"/>
                <w:sz w:val="16"/>
              </w:rPr>
              <w:t>Conditionally approve for allowlisted Microsoft Learn URLs; validate redirects/content.</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microsoft_code_sample_search</w:t>
            </w:r>
          </w:p>
        </w:tc>
        <w:tc>
          <w:tcPr>
            <w:tcW w:type="dxa" w:w="2952"/>
            <w:vAlign w:val="center"/>
            <w:tcMar>
              <w:top w:w="80" w:type="dxa"/>
              <w:start w:w="120" w:type="dxa"/>
              <w:bottom w:w="80" w:type="dxa"/>
              <w:end w:w="120" w:type="dxa"/>
            </w:tcMar>
            <w:shd w:fill="F2F4F7"/>
          </w:tcPr>
          <w:p>
            <w:pPr>
              <w:spacing w:after="0" w:line="252" w:lineRule="auto"/>
            </w:pPr>
            <w:r/>
            <w:r>
              <w:rPr>
                <w:rFonts w:ascii="Arial" w:hAnsi="Arial"/>
                <w:b w:val="0"/>
                <w:i w:val="0"/>
                <w:sz w:val="16"/>
              </w:rPr>
              <w:t>Documented MCP tool</w:t>
            </w:r>
          </w:p>
        </w:tc>
        <w:tc>
          <w:tcPr>
            <w:tcW w:type="dxa" w:w="4032"/>
            <w:vAlign w:val="center"/>
            <w:tcMar>
              <w:top w:w="80" w:type="dxa"/>
              <w:start w:w="120" w:type="dxa"/>
              <w:bottom w:w="80" w:type="dxa"/>
              <w:end w:w="120" w:type="dxa"/>
            </w:tcMar>
            <w:shd w:fill="F2F4F7"/>
          </w:tcPr>
          <w:p>
            <w:pPr>
              <w:spacing w:after="0" w:line="252" w:lineRule="auto"/>
            </w:pPr>
            <w:r/>
            <w:r>
              <w:rPr>
                <w:rFonts w:ascii="Arial" w:hAnsi="Arial"/>
                <w:b w:val="0"/>
                <w:i w:val="0"/>
                <w:sz w:val="16"/>
              </w:rPr>
              <w:t>Conditionally approve; human security review before code adoption.</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microsoft-docs skill</w:t>
            </w:r>
          </w:p>
        </w:tc>
        <w:tc>
          <w:tcPr>
            <w:tcW w:type="dxa" w:w="2952"/>
            <w:vAlign w:val="center"/>
            <w:tcMar>
              <w:top w:w="80" w:type="dxa"/>
              <w:start w:w="120" w:type="dxa"/>
              <w:bottom w:w="80" w:type="dxa"/>
              <w:end w:w="120" w:type="dxa"/>
            </w:tcMar>
            <w:shd w:fill="FFFFFF"/>
          </w:tcPr>
          <w:p>
            <w:pPr>
              <w:spacing w:after="0" w:line="252" w:lineRule="auto"/>
            </w:pPr>
            <w:r/>
            <w:r>
              <w:rPr>
                <w:rFonts w:ascii="Arial" w:hAnsi="Arial"/>
                <w:b w:val="0"/>
                <w:i w:val="0"/>
                <w:sz w:val="16"/>
              </w:rPr>
              <w:t>Optional portable instructions</w:t>
            </w:r>
          </w:p>
        </w:tc>
        <w:tc>
          <w:tcPr>
            <w:tcW w:type="dxa" w:w="4032"/>
            <w:vAlign w:val="center"/>
            <w:tcMar>
              <w:top w:w="80" w:type="dxa"/>
              <w:start w:w="120" w:type="dxa"/>
              <w:bottom w:w="80" w:type="dxa"/>
              <w:end w:w="120" w:type="dxa"/>
            </w:tcMar>
            <w:shd w:fill="FFFFFF"/>
          </w:tcPr>
          <w:p>
            <w:pPr>
              <w:spacing w:after="0" w:line="252" w:lineRule="auto"/>
            </w:pPr>
            <w:r/>
            <w:r>
              <w:rPr>
                <w:rFonts w:ascii="Arial" w:hAnsi="Arial"/>
                <w:b w:val="0"/>
                <w:i w:val="0"/>
                <w:sz w:val="16"/>
              </w:rPr>
              <w:t>Separate review/installation decision; not required for endpoint.</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microsoft-code-reference skill</w:t>
            </w:r>
          </w:p>
        </w:tc>
        <w:tc>
          <w:tcPr>
            <w:tcW w:type="dxa" w:w="2952"/>
            <w:vAlign w:val="center"/>
            <w:tcMar>
              <w:top w:w="80" w:type="dxa"/>
              <w:start w:w="120" w:type="dxa"/>
              <w:bottom w:w="80" w:type="dxa"/>
              <w:end w:w="120" w:type="dxa"/>
            </w:tcMar>
            <w:shd w:fill="F2F4F7"/>
          </w:tcPr>
          <w:p>
            <w:pPr>
              <w:spacing w:after="0" w:line="252" w:lineRule="auto"/>
            </w:pPr>
            <w:r/>
            <w:r>
              <w:rPr>
                <w:rFonts w:ascii="Arial" w:hAnsi="Arial"/>
                <w:b w:val="0"/>
                <w:i w:val="0"/>
                <w:sz w:val="16"/>
              </w:rPr>
              <w:t>Optional portable instructions</w:t>
            </w:r>
          </w:p>
        </w:tc>
        <w:tc>
          <w:tcPr>
            <w:tcW w:type="dxa" w:w="4032"/>
            <w:vAlign w:val="center"/>
            <w:tcMar>
              <w:top w:w="80" w:type="dxa"/>
              <w:start w:w="120" w:type="dxa"/>
              <w:bottom w:w="80" w:type="dxa"/>
              <w:end w:w="120" w:type="dxa"/>
            </w:tcMar>
            <w:shd w:fill="F2F4F7"/>
          </w:tcPr>
          <w:p>
            <w:pPr>
              <w:spacing w:after="0" w:line="252" w:lineRule="auto"/>
            </w:pPr>
            <w:r/>
            <w:r>
              <w:rPr>
                <w:rFonts w:ascii="Arial" w:hAnsi="Arial"/>
                <w:b w:val="0"/>
                <w:i w:val="0"/>
                <w:sz w:val="16"/>
              </w:rPr>
              <w:t>Separate review/installation decision; not required for endpoint.</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microsoft-skill-creator skill</w:t>
            </w:r>
          </w:p>
        </w:tc>
        <w:tc>
          <w:tcPr>
            <w:tcW w:type="dxa" w:w="2952"/>
            <w:vAlign w:val="center"/>
            <w:tcMar>
              <w:top w:w="80" w:type="dxa"/>
              <w:start w:w="120" w:type="dxa"/>
              <w:bottom w:w="80" w:type="dxa"/>
              <w:end w:w="120" w:type="dxa"/>
            </w:tcMar>
            <w:shd w:fill="FFFFFF"/>
          </w:tcPr>
          <w:p>
            <w:pPr>
              <w:spacing w:after="0" w:line="252" w:lineRule="auto"/>
            </w:pPr>
            <w:r/>
            <w:r>
              <w:rPr>
                <w:rFonts w:ascii="Arial" w:hAnsi="Arial"/>
                <w:b w:val="0"/>
                <w:i w:val="0"/>
                <w:sz w:val="16"/>
              </w:rPr>
              <w:t>Optional meta-skill</w:t>
            </w:r>
          </w:p>
        </w:tc>
        <w:tc>
          <w:tcPr>
            <w:tcW w:type="dxa" w:w="4032"/>
            <w:vAlign w:val="center"/>
            <w:tcMar>
              <w:top w:w="80" w:type="dxa"/>
              <w:start w:w="120" w:type="dxa"/>
              <w:bottom w:w="80" w:type="dxa"/>
              <w:end w:w="120" w:type="dxa"/>
            </w:tcMar>
            <w:shd w:fill="FFFFFF"/>
          </w:tcPr>
          <w:p>
            <w:pPr>
              <w:spacing w:after="0" w:line="252" w:lineRule="auto"/>
            </w:pPr>
            <w:r/>
            <w:r>
              <w:rPr>
                <w:rFonts w:ascii="Arial" w:hAnsi="Arial"/>
                <w:b w:val="0"/>
                <w:i w:val="0"/>
                <w:sz w:val="16"/>
              </w:rPr>
              <w:t>Do not approve by default in regulated repositories; generated skills require full review.</w:t>
            </w:r>
          </w:p>
        </w:tc>
      </w:tr>
    </w:tbl>
    <w:p>
      <w:pPr>
        <w:spacing w:after="20"/>
      </w:pPr>
    </w:p>
    <w:p>
      <w:pPr>
        <w:pStyle w:val="Heading2"/>
      </w:pPr>
      <w:r>
        <w:t>Supply chain and change risk</w:t>
      </w:r>
    </w:p>
    <w:p>
      <w:pPr>
        <w:pStyle w:val="ListBullet"/>
      </w:pPr>
      <w:r>
        <w:rPr>
          <w:rFonts w:ascii="Arial" w:hAnsi="Arial"/>
          <w:b w:val="0"/>
          <w:i w:val="0"/>
          <w:sz w:val="21"/>
        </w:rPr>
        <w:t>The hosted service, tool descriptions/schemas, Microsoft Learn corpus, client implementation and optional plugin/skills are separate change channels.</w:t>
      </w:r>
    </w:p>
    <w:p>
      <w:pPr>
        <w:pStyle w:val="ListBullet"/>
      </w:pPr>
      <w:r>
        <w:rPr>
          <w:rFonts w:ascii="Arial" w:hAnsi="Arial"/>
          <w:b w:val="0"/>
          <w:i w:val="0"/>
          <w:sz w:val="21"/>
        </w:rPr>
        <w:t>Dynamic discovery is required, but changed capabilities must be quarantined until schema/description review succeeds; automatic acceptance creates rug-pull risk.</w:t>
      </w:r>
    </w:p>
    <w:p>
      <w:pPr>
        <w:pStyle w:val="ListBullet"/>
      </w:pPr>
      <w:r>
        <w:rPr>
          <w:rFonts w:ascii="Arial" w:hAnsi="Arial"/>
          <w:b w:val="0"/>
          <w:i w:val="0"/>
          <w:sz w:val="21"/>
        </w:rPr>
        <w:t>Workspace/solution configuration and retrieved Markdown are untrusted inputs. Pin or record reviewed client versions and monitor endpoint/tool-schema changes.</w:t>
      </w:r>
    </w:p>
    <w:p>
      <w:pPr>
        <w:pStyle w:val="ListBullet"/>
      </w:pPr>
      <w:r>
        <w:rPr>
          <w:rFonts w:ascii="Arial" w:hAnsi="Arial"/>
          <w:b w:val="0"/>
          <w:i w:val="0"/>
          <w:sz w:val="21"/>
        </w:rPr>
        <w:t>Hosted build hash, production SBOM and source-to-deployment correspondence are Unknown.</w:t>
      </w:r>
    </w:p>
    <w:p>
      <w:pPr>
        <w:pStyle w:val="Heading2"/>
      </w:pPr>
      <w:r>
        <w:t>Threat scenarios and findings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244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Scenario</w:t>
            </w:r>
          </w:p>
        </w:tc>
        <w:tc>
          <w:tcPr>
            <w:tcW w:type="dxa" w:w="122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Inherent</w:t>
            </w:r>
          </w:p>
        </w:tc>
        <w:tc>
          <w:tcPr>
            <w:tcW w:type="dxa" w:w="302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Existing control</w:t>
            </w:r>
          </w:p>
        </w:tc>
        <w:tc>
          <w:tcPr>
            <w:tcW w:type="dxa" w:w="252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Residual constrained</w:t>
            </w:r>
          </w:p>
        </w:tc>
      </w:tr>
      <w:tr>
        <w:trPr>
          <w:cantSplit/>
        </w:trPr>
        <w:tc>
          <w:tcPr>
            <w:tcW w:type="dxa" w:w="2448"/>
            <w:vAlign w:val="center"/>
            <w:tcMar>
              <w:top w:w="80" w:type="dxa"/>
              <w:start w:w="120" w:type="dxa"/>
              <w:bottom w:w="80" w:type="dxa"/>
              <w:end w:w="120" w:type="dxa"/>
            </w:tcMar>
            <w:shd w:fill="F2F4F7"/>
          </w:tcPr>
          <w:p>
            <w:pPr>
              <w:spacing w:after="0" w:line="252" w:lineRule="auto"/>
            </w:pPr>
            <w:r/>
            <w:r>
              <w:rPr>
                <w:rFonts w:ascii="Arial" w:hAnsi="Arial"/>
                <w:b w:val="0"/>
                <w:i w:val="0"/>
                <w:sz w:val="16"/>
              </w:rPr>
              <w:t>Confidential context included in search query</w:t>
            </w:r>
          </w:p>
        </w:tc>
        <w:tc>
          <w:tcPr>
            <w:tcW w:type="dxa" w:w="1224"/>
            <w:vAlign w:val="center"/>
            <w:tcMar>
              <w:top w:w="80" w:type="dxa"/>
              <w:start w:w="120" w:type="dxa"/>
              <w:bottom w:w="80" w:type="dxa"/>
              <w:end w:w="120" w:type="dxa"/>
            </w:tcMar>
            <w:shd w:fill="F2F4F7"/>
          </w:tcPr>
          <w:p>
            <w:pPr>
              <w:spacing w:after="0" w:line="252" w:lineRule="auto"/>
            </w:pPr>
            <w:r/>
            <w:r>
              <w:rPr>
                <w:rFonts w:ascii="Arial" w:hAnsi="Arial"/>
                <w:b w:val="0"/>
                <w:i w:val="0"/>
                <w:sz w:val="16"/>
              </w:rPr>
              <w:t>4x5=20 Critical</w:t>
            </w:r>
          </w:p>
        </w:tc>
        <w:tc>
          <w:tcPr>
            <w:tcW w:type="dxa" w:w="3024"/>
            <w:vAlign w:val="center"/>
            <w:tcMar>
              <w:top w:w="80" w:type="dxa"/>
              <w:start w:w="120" w:type="dxa"/>
              <w:bottom w:w="80" w:type="dxa"/>
              <w:end w:w="120" w:type="dxa"/>
            </w:tcMar>
            <w:shd w:fill="F2F4F7"/>
          </w:tcPr>
          <w:p>
            <w:pPr>
              <w:spacing w:after="0" w:line="252" w:lineRule="auto"/>
            </w:pPr>
            <w:r/>
            <w:r>
              <w:rPr>
                <w:rFonts w:ascii="Arial" w:hAnsi="Arial"/>
                <w:b w:val="0"/>
                <w:i w:val="0"/>
                <w:sz w:val="16"/>
              </w:rPr>
              <w:t>Confirmation/content exclusions; effectiveness unverified</w:t>
            </w:r>
          </w:p>
        </w:tc>
        <w:tc>
          <w:tcPr>
            <w:tcW w:type="dxa" w:w="2520"/>
            <w:vAlign w:val="center"/>
            <w:tcMar>
              <w:top w:w="80" w:type="dxa"/>
              <w:start w:w="120" w:type="dxa"/>
              <w:bottom w:w="80" w:type="dxa"/>
              <w:end w:w="120" w:type="dxa"/>
            </w:tcMar>
            <w:shd w:fill="F2F4F7"/>
          </w:tcPr>
          <w:p>
            <w:pPr>
              <w:spacing w:after="0" w:line="252" w:lineRule="auto"/>
            </w:pPr>
            <w:r/>
            <w:r>
              <w:rPr>
                <w:rFonts w:ascii="Arial" w:hAnsi="Arial"/>
                <w:b w:val="0"/>
                <w:i w:val="0"/>
                <w:sz w:val="16"/>
              </w:rPr>
              <w:t>3x4=12 High until DLP/payload tests pass</w:t>
            </w:r>
          </w:p>
        </w:tc>
      </w:tr>
      <w:tr>
        <w:trPr>
          <w:cantSplit/>
        </w:trPr>
        <w:tc>
          <w:tcPr>
            <w:tcW w:type="dxa" w:w="2448"/>
            <w:vAlign w:val="center"/>
            <w:tcMar>
              <w:top w:w="80" w:type="dxa"/>
              <w:start w:w="120" w:type="dxa"/>
              <w:bottom w:w="80" w:type="dxa"/>
              <w:end w:w="120" w:type="dxa"/>
            </w:tcMar>
            <w:shd w:fill="FFFFFF"/>
          </w:tcPr>
          <w:p>
            <w:pPr>
              <w:spacing w:after="0" w:line="252" w:lineRule="auto"/>
            </w:pPr>
            <w:r/>
            <w:r>
              <w:rPr>
                <w:rFonts w:ascii="Arial" w:hAnsi="Arial"/>
                <w:b w:val="0"/>
                <w:i w:val="0"/>
                <w:sz w:val="16"/>
              </w:rPr>
              <w:t>Retrieved-content prompt injection</w:t>
            </w:r>
          </w:p>
        </w:tc>
        <w:tc>
          <w:tcPr>
            <w:tcW w:type="dxa" w:w="1224"/>
            <w:vAlign w:val="center"/>
            <w:tcMar>
              <w:top w:w="80" w:type="dxa"/>
              <w:start w:w="120" w:type="dxa"/>
              <w:bottom w:w="80" w:type="dxa"/>
              <w:end w:w="120" w:type="dxa"/>
            </w:tcMar>
            <w:shd w:fill="FFFFFF"/>
          </w:tcPr>
          <w:p>
            <w:pPr>
              <w:spacing w:after="0" w:line="252" w:lineRule="auto"/>
            </w:pPr>
            <w:r/>
            <w:r>
              <w:rPr>
                <w:rFonts w:ascii="Arial" w:hAnsi="Arial"/>
                <w:b w:val="0"/>
                <w:i w:val="0"/>
                <w:sz w:val="16"/>
              </w:rPr>
              <w:t>4x4=16 High</w:t>
            </w:r>
          </w:p>
        </w:tc>
        <w:tc>
          <w:tcPr>
            <w:tcW w:type="dxa" w:w="3024"/>
            <w:vAlign w:val="center"/>
            <w:tcMar>
              <w:top w:w="80" w:type="dxa"/>
              <w:start w:w="120" w:type="dxa"/>
              <w:bottom w:w="80" w:type="dxa"/>
              <w:end w:w="120" w:type="dxa"/>
            </w:tcMar>
            <w:shd w:fill="FFFFFF"/>
          </w:tcPr>
          <w:p>
            <w:pPr>
              <w:spacing w:after="0" w:line="252" w:lineRule="auto"/>
            </w:pPr>
            <w:r/>
            <w:r>
              <w:rPr>
                <w:rFonts w:ascii="Arial" w:hAnsi="Arial"/>
                <w:b w:val="0"/>
                <w:i w:val="0"/>
                <w:sz w:val="16"/>
              </w:rPr>
              <w:t>Read-oriented tools; client trust prompts</w:t>
            </w:r>
          </w:p>
        </w:tc>
        <w:tc>
          <w:tcPr>
            <w:tcW w:type="dxa" w:w="2520"/>
            <w:vAlign w:val="center"/>
            <w:tcMar>
              <w:top w:w="80" w:type="dxa"/>
              <w:start w:w="120" w:type="dxa"/>
              <w:bottom w:w="80" w:type="dxa"/>
              <w:end w:w="120" w:type="dxa"/>
            </w:tcMar>
            <w:shd w:fill="FFFFFF"/>
          </w:tcPr>
          <w:p>
            <w:pPr>
              <w:spacing w:after="0" w:line="252" w:lineRule="auto"/>
            </w:pPr>
            <w:r/>
            <w:r>
              <w:rPr>
                <w:rFonts w:ascii="Arial" w:hAnsi="Arial"/>
                <w:b w:val="0"/>
                <w:i w:val="0"/>
                <w:sz w:val="16"/>
              </w:rPr>
              <w:t>2x4=8 Moderate with isolation and output validation</w:t>
            </w:r>
          </w:p>
        </w:tc>
      </w:tr>
      <w:tr>
        <w:trPr>
          <w:cantSplit/>
        </w:trPr>
        <w:tc>
          <w:tcPr>
            <w:tcW w:type="dxa" w:w="2448"/>
            <w:vAlign w:val="center"/>
            <w:tcMar>
              <w:top w:w="80" w:type="dxa"/>
              <w:start w:w="120" w:type="dxa"/>
              <w:bottom w:w="80" w:type="dxa"/>
              <w:end w:w="120" w:type="dxa"/>
            </w:tcMar>
            <w:shd w:fill="F2F4F7"/>
          </w:tcPr>
          <w:p>
            <w:pPr>
              <w:spacing w:after="0" w:line="252" w:lineRule="auto"/>
            </w:pPr>
            <w:r/>
            <w:r>
              <w:rPr>
                <w:rFonts w:ascii="Arial" w:hAnsi="Arial"/>
                <w:b w:val="0"/>
                <w:i w:val="0"/>
                <w:sz w:val="16"/>
              </w:rPr>
              <w:t>Tool-schema/description rug pull</w:t>
            </w:r>
          </w:p>
        </w:tc>
        <w:tc>
          <w:tcPr>
            <w:tcW w:type="dxa" w:w="1224"/>
            <w:vAlign w:val="center"/>
            <w:tcMar>
              <w:top w:w="80" w:type="dxa"/>
              <w:start w:w="120" w:type="dxa"/>
              <w:bottom w:w="80" w:type="dxa"/>
              <w:end w:w="120" w:type="dxa"/>
            </w:tcMar>
            <w:shd w:fill="F2F4F7"/>
          </w:tcPr>
          <w:p>
            <w:pPr>
              <w:spacing w:after="0" w:line="252" w:lineRule="auto"/>
            </w:pPr>
            <w:r/>
            <w:r>
              <w:rPr>
                <w:rFonts w:ascii="Arial" w:hAnsi="Arial"/>
                <w:b w:val="0"/>
                <w:i w:val="0"/>
                <w:sz w:val="16"/>
              </w:rPr>
              <w:t>3x4=12 High</w:t>
            </w:r>
          </w:p>
        </w:tc>
        <w:tc>
          <w:tcPr>
            <w:tcW w:type="dxa" w:w="3024"/>
            <w:vAlign w:val="center"/>
            <w:tcMar>
              <w:top w:w="80" w:type="dxa"/>
              <w:start w:w="120" w:type="dxa"/>
              <w:bottom w:w="80" w:type="dxa"/>
              <w:end w:w="120" w:type="dxa"/>
            </w:tcMar>
            <w:shd w:fill="F2F4F7"/>
          </w:tcPr>
          <w:p>
            <w:pPr>
              <w:spacing w:after="0" w:line="252" w:lineRule="auto"/>
            </w:pPr>
            <w:r/>
            <w:r>
              <w:rPr>
                <w:rFonts w:ascii="Arial" w:hAnsi="Arial"/>
                <w:b w:val="0"/>
                <w:i w:val="0"/>
                <w:sz w:val="16"/>
              </w:rPr>
              <w:t>Dynamic discovery and client controls</w:t>
            </w:r>
          </w:p>
        </w:tc>
        <w:tc>
          <w:tcPr>
            <w:tcW w:type="dxa" w:w="2520"/>
            <w:vAlign w:val="center"/>
            <w:tcMar>
              <w:top w:w="80" w:type="dxa"/>
              <w:start w:w="120" w:type="dxa"/>
              <w:bottom w:w="80" w:type="dxa"/>
              <w:end w:w="120" w:type="dxa"/>
            </w:tcMar>
            <w:shd w:fill="F2F4F7"/>
          </w:tcPr>
          <w:p>
            <w:pPr>
              <w:spacing w:after="0" w:line="252" w:lineRule="auto"/>
            </w:pPr>
            <w:r/>
            <w:r>
              <w:rPr>
                <w:rFonts w:ascii="Arial" w:hAnsi="Arial"/>
                <w:b w:val="0"/>
                <w:i w:val="0"/>
                <w:sz w:val="16"/>
              </w:rPr>
              <w:t>2x3=6 Moderate after change quarantine</w:t>
            </w:r>
          </w:p>
        </w:tc>
      </w:tr>
      <w:tr>
        <w:trPr>
          <w:cantSplit/>
        </w:trPr>
        <w:tc>
          <w:tcPr>
            <w:tcW w:type="dxa" w:w="2448"/>
            <w:vAlign w:val="center"/>
            <w:tcMar>
              <w:top w:w="80" w:type="dxa"/>
              <w:start w:w="120" w:type="dxa"/>
              <w:bottom w:w="80" w:type="dxa"/>
              <w:end w:w="120" w:type="dxa"/>
            </w:tcMar>
            <w:shd w:fill="FFFFFF"/>
          </w:tcPr>
          <w:p>
            <w:pPr>
              <w:spacing w:after="0" w:line="252" w:lineRule="auto"/>
            </w:pPr>
            <w:r/>
            <w:r>
              <w:rPr>
                <w:rFonts w:ascii="Arial" w:hAnsi="Arial"/>
                <w:b w:val="0"/>
                <w:i w:val="0"/>
                <w:sz w:val="16"/>
              </w:rPr>
              <w:t>Unsafe code sample adopted/executed</w:t>
            </w:r>
          </w:p>
        </w:tc>
        <w:tc>
          <w:tcPr>
            <w:tcW w:type="dxa" w:w="1224"/>
            <w:vAlign w:val="center"/>
            <w:tcMar>
              <w:top w:w="80" w:type="dxa"/>
              <w:start w:w="120" w:type="dxa"/>
              <w:bottom w:w="80" w:type="dxa"/>
              <w:end w:w="120" w:type="dxa"/>
            </w:tcMar>
            <w:shd w:fill="FFFFFF"/>
          </w:tcPr>
          <w:p>
            <w:pPr>
              <w:spacing w:after="0" w:line="252" w:lineRule="auto"/>
            </w:pPr>
            <w:r/>
            <w:r>
              <w:rPr>
                <w:rFonts w:ascii="Arial" w:hAnsi="Arial"/>
                <w:b w:val="0"/>
                <w:i w:val="0"/>
                <w:sz w:val="16"/>
              </w:rPr>
              <w:t>3x4=12 High</w:t>
            </w:r>
          </w:p>
        </w:tc>
        <w:tc>
          <w:tcPr>
            <w:tcW w:type="dxa" w:w="3024"/>
            <w:vAlign w:val="center"/>
            <w:tcMar>
              <w:top w:w="80" w:type="dxa"/>
              <w:start w:w="120" w:type="dxa"/>
              <w:bottom w:w="80" w:type="dxa"/>
              <w:end w:w="120" w:type="dxa"/>
            </w:tcMar>
            <w:shd w:fill="FFFFFF"/>
          </w:tcPr>
          <w:p>
            <w:pPr>
              <w:spacing w:after="0" w:line="252" w:lineRule="auto"/>
            </w:pPr>
            <w:r/>
            <w:r>
              <w:rPr>
                <w:rFonts w:ascii="Arial" w:hAnsi="Arial"/>
                <w:b w:val="0"/>
                <w:i w:val="0"/>
                <w:sz w:val="16"/>
              </w:rPr>
              <w:t>Human review and normal SDLC controls</w:t>
            </w:r>
          </w:p>
        </w:tc>
        <w:tc>
          <w:tcPr>
            <w:tcW w:type="dxa" w:w="2520"/>
            <w:vAlign w:val="center"/>
            <w:tcMar>
              <w:top w:w="80" w:type="dxa"/>
              <w:start w:w="120" w:type="dxa"/>
              <w:bottom w:w="80" w:type="dxa"/>
              <w:end w:w="120" w:type="dxa"/>
            </w:tcMar>
            <w:shd w:fill="FFFFFF"/>
          </w:tcPr>
          <w:p>
            <w:pPr>
              <w:spacing w:after="0" w:line="252" w:lineRule="auto"/>
            </w:pPr>
            <w:r/>
            <w:r>
              <w:rPr>
                <w:rFonts w:ascii="Arial" w:hAnsi="Arial"/>
                <w:b w:val="0"/>
                <w:i w:val="0"/>
                <w:sz w:val="16"/>
              </w:rPr>
              <w:t>2x3=6 Moderate</w:t>
            </w:r>
          </w:p>
        </w:tc>
      </w:tr>
      <w:tr>
        <w:trPr>
          <w:cantSplit/>
        </w:trPr>
        <w:tc>
          <w:tcPr>
            <w:tcW w:type="dxa" w:w="2448"/>
            <w:vAlign w:val="center"/>
            <w:tcMar>
              <w:top w:w="80" w:type="dxa"/>
              <w:start w:w="120" w:type="dxa"/>
              <w:bottom w:w="80" w:type="dxa"/>
              <w:end w:w="120" w:type="dxa"/>
            </w:tcMar>
            <w:shd w:fill="F2F4F7"/>
          </w:tcPr>
          <w:p>
            <w:pPr>
              <w:spacing w:after="0" w:line="252" w:lineRule="auto"/>
            </w:pPr>
            <w:r/>
            <w:r>
              <w:rPr>
                <w:rFonts w:ascii="Arial" w:hAnsi="Arial"/>
                <w:b w:val="0"/>
                <w:i w:val="0"/>
                <w:sz w:val="16"/>
              </w:rPr>
              <w:t>Shadow/unapproved MCP configuration</w:t>
            </w:r>
          </w:p>
        </w:tc>
        <w:tc>
          <w:tcPr>
            <w:tcW w:type="dxa" w:w="1224"/>
            <w:vAlign w:val="center"/>
            <w:tcMar>
              <w:top w:w="80" w:type="dxa"/>
              <w:start w:w="120" w:type="dxa"/>
              <w:bottom w:w="80" w:type="dxa"/>
              <w:end w:w="120" w:type="dxa"/>
            </w:tcMar>
            <w:shd w:fill="F2F4F7"/>
          </w:tcPr>
          <w:p>
            <w:pPr>
              <w:spacing w:after="0" w:line="252" w:lineRule="auto"/>
            </w:pPr>
            <w:r/>
            <w:r>
              <w:rPr>
                <w:rFonts w:ascii="Arial" w:hAnsi="Arial"/>
                <w:b w:val="0"/>
                <w:i w:val="0"/>
                <w:sz w:val="16"/>
              </w:rPr>
              <w:t>3x4=12 High</w:t>
            </w:r>
          </w:p>
        </w:tc>
        <w:tc>
          <w:tcPr>
            <w:tcW w:type="dxa" w:w="3024"/>
            <w:vAlign w:val="center"/>
            <w:tcMar>
              <w:top w:w="80" w:type="dxa"/>
              <w:start w:w="120" w:type="dxa"/>
              <w:bottom w:w="80" w:type="dxa"/>
              <w:end w:w="120" w:type="dxa"/>
            </w:tcMar>
            <w:shd w:fill="F2F4F7"/>
          </w:tcPr>
          <w:p>
            <w:pPr>
              <w:spacing w:after="0" w:line="252" w:lineRule="auto"/>
            </w:pPr>
            <w:r/>
            <w:r>
              <w:rPr>
                <w:rFonts w:ascii="Arial" w:hAnsi="Arial"/>
                <w:b w:val="0"/>
                <w:i w:val="0"/>
                <w:sz w:val="16"/>
              </w:rPr>
              <w:t>Enterprise allowlist/config review</w:t>
            </w:r>
          </w:p>
        </w:tc>
        <w:tc>
          <w:tcPr>
            <w:tcW w:type="dxa" w:w="2520"/>
            <w:vAlign w:val="center"/>
            <w:tcMar>
              <w:top w:w="80" w:type="dxa"/>
              <w:start w:w="120" w:type="dxa"/>
              <w:bottom w:w="80" w:type="dxa"/>
              <w:end w:w="120" w:type="dxa"/>
            </w:tcMar>
            <w:shd w:fill="F2F4F7"/>
          </w:tcPr>
          <w:p>
            <w:pPr>
              <w:spacing w:after="0" w:line="252" w:lineRule="auto"/>
            </w:pPr>
            <w:r/>
            <w:r>
              <w:rPr>
                <w:rFonts w:ascii="Arial" w:hAnsi="Arial"/>
                <w:b w:val="0"/>
                <w:i w:val="0"/>
                <w:sz w:val="16"/>
              </w:rPr>
              <w:t>2x3=6 Moderate</w:t>
            </w:r>
          </w:p>
        </w:tc>
      </w:tr>
      <w:tr>
        <w:trPr>
          <w:cantSplit/>
        </w:trPr>
        <w:tc>
          <w:tcPr>
            <w:tcW w:type="dxa" w:w="2448"/>
            <w:vAlign w:val="center"/>
            <w:tcMar>
              <w:top w:w="80" w:type="dxa"/>
              <w:start w:w="120" w:type="dxa"/>
              <w:bottom w:w="80" w:type="dxa"/>
              <w:end w:w="120" w:type="dxa"/>
            </w:tcMar>
            <w:shd w:fill="FFFFFF"/>
          </w:tcPr>
          <w:p>
            <w:pPr>
              <w:spacing w:after="0" w:line="252" w:lineRule="auto"/>
            </w:pPr>
            <w:r/>
            <w:r>
              <w:rPr>
                <w:rFonts w:ascii="Arial" w:hAnsi="Arial"/>
                <w:b w:val="0"/>
                <w:i w:val="0"/>
                <w:sz w:val="16"/>
              </w:rPr>
              <w:t>Service outage or undocumented change</w:t>
            </w:r>
          </w:p>
        </w:tc>
        <w:tc>
          <w:tcPr>
            <w:tcW w:type="dxa" w:w="1224"/>
            <w:vAlign w:val="center"/>
            <w:tcMar>
              <w:top w:w="80" w:type="dxa"/>
              <w:start w:w="120" w:type="dxa"/>
              <w:bottom w:w="80" w:type="dxa"/>
              <w:end w:w="120" w:type="dxa"/>
            </w:tcMar>
            <w:shd w:fill="FFFFFF"/>
          </w:tcPr>
          <w:p>
            <w:pPr>
              <w:spacing w:after="0" w:line="252" w:lineRule="auto"/>
            </w:pPr>
            <w:r/>
            <w:r>
              <w:rPr>
                <w:rFonts w:ascii="Arial" w:hAnsi="Arial"/>
                <w:b w:val="0"/>
                <w:i w:val="0"/>
                <w:sz w:val="16"/>
              </w:rPr>
              <w:t>3x3=9 Moderate</w:t>
            </w:r>
          </w:p>
        </w:tc>
        <w:tc>
          <w:tcPr>
            <w:tcW w:type="dxa" w:w="3024"/>
            <w:vAlign w:val="center"/>
            <w:tcMar>
              <w:top w:w="80" w:type="dxa"/>
              <w:start w:w="120" w:type="dxa"/>
              <w:bottom w:w="80" w:type="dxa"/>
              <w:end w:w="120" w:type="dxa"/>
            </w:tcMar>
            <w:shd w:fill="FFFFFF"/>
          </w:tcPr>
          <w:p>
            <w:pPr>
              <w:spacing w:after="0" w:line="252" w:lineRule="auto"/>
            </w:pPr>
            <w:r/>
            <w:r>
              <w:rPr>
                <w:rFonts w:ascii="Arial" w:hAnsi="Arial"/>
                <w:b w:val="0"/>
                <w:i w:val="0"/>
                <w:sz w:val="16"/>
              </w:rPr>
              <w:t>Public docs fallback/exit plan</w:t>
            </w:r>
          </w:p>
        </w:tc>
        <w:tc>
          <w:tcPr>
            <w:tcW w:type="dxa" w:w="2520"/>
            <w:vAlign w:val="center"/>
            <w:tcMar>
              <w:top w:w="80" w:type="dxa"/>
              <w:start w:w="120" w:type="dxa"/>
              <w:bottom w:w="80" w:type="dxa"/>
              <w:end w:w="120" w:type="dxa"/>
            </w:tcMar>
            <w:shd w:fill="FFFFFF"/>
          </w:tcPr>
          <w:p>
            <w:pPr>
              <w:spacing w:after="0" w:line="252" w:lineRule="auto"/>
            </w:pPr>
            <w:r/>
            <w:r>
              <w:rPr>
                <w:rFonts w:ascii="Arial" w:hAnsi="Arial"/>
                <w:b w:val="0"/>
                <w:i w:val="0"/>
                <w:sz w:val="16"/>
              </w:rPr>
              <w:t>2x3=6 Moderate</w:t>
            </w:r>
          </w:p>
        </w:tc>
      </w:tr>
    </w:tbl>
    <w:p>
      <w:pPr>
        <w:spacing w:after="20"/>
      </w:pPr>
    </w:p>
    <w:p>
      <w:pPr>
        <w:pStyle w:val="Heading2"/>
      </w:pPr>
      <w:r>
        <w:t>Framework and UK-sector mapping</w:t>
      </w:r>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22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Framework/requirement</w:t>
            </w:r>
          </w:p>
        </w:tc>
        <w:tc>
          <w:tcPr>
            <w:tcW w:type="dxa" w:w="698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Application to this IDE</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OWASP LLM 2025</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LLM01 injection; LLM02 disclosure; LLM03 supply chain; LLM05 output handling; LLM06 agency; LLM09 misinformation; LLM10 consumption.</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OWASP MCP beta v0.1</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MCP03 tool poisoning; MCP04 supply chain; MCP06 intent-flow subversion; MCP07 auth; MCP08 audit; MCP09 shadow servers; MCP10 over-sharing.</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OWASP Agentic 2026</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ASI01 goal hijack; ASI02 tool misuse; ASI04 supply chain; ASI05 code execution; ASI06 context poisoning; ASI09 human trust.</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NIST AI RMF / AI 600-1</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GOVERN owner/policy; MAP data flow; MEASURE leakage/injection/logging; MANAGE allowlist, review, incident and re-evaluation.</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MITRE ATLAS</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Prompt/context/tool poisoning, supply-chain rug pull, data from AI services, leakage and response rendering.</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CIS v8.1 / ISO 27001:2022</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Asset/service inventory, data protection, secure config, access, logging, network monitoring, supplier management, incident and exit controls.</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FCA/PRA</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Determine outsourcing/materiality; manage third-party capability, data security, audit, resilience, concentration and exit where applicable.</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UK GDPR / ICO</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Apply lawfulness, transparency, minimisation, privacy by design, security and DPIA screening when personal data is processed.</w:t>
            </w:r>
          </w:p>
        </w:tc>
      </w:tr>
    </w:tbl>
    <w:p>
      <w:pPr>
        <w:spacing w:after="20"/>
      </w:pPr>
    </w:p>
    <w:p>
      <w:pPr>
        <w:pStyle w:val="Heading2"/>
      </w:pPr>
      <w:r>
        <w:t>Enterprise controls, residual risk and verification</w:t>
      </w:r>
    </w:p>
    <w:p>
      <w:pPr>
        <w:pStyle w:val="ListBullet"/>
      </w:pPr>
      <w:r>
        <w:rPr>
          <w:rFonts w:ascii="Arial" w:hAnsi="Arial"/>
          <w:b w:val="0"/>
          <w:i w:val="0"/>
          <w:sz w:val="21"/>
        </w:rPr>
        <w:t>Owner: Engineering Security. Enforce endpoint and client allowlist, deny unmanaged MCPs, require change review of configuration.</w:t>
      </w:r>
    </w:p>
    <w:p>
      <w:pPr>
        <w:pStyle w:val="ListBullet"/>
      </w:pPr>
      <w:r>
        <w:rPr>
          <w:rFonts w:ascii="Arial" w:hAnsi="Arial"/>
          <w:b w:val="0"/>
          <w:i w:val="0"/>
          <w:sz w:val="21"/>
        </w:rPr>
        <w:t>Owner: Data Protection/Legal. Resolve terms, data-flow, retention, residency, subprocessors, training use, DPA and transfer questions.</w:t>
      </w:r>
    </w:p>
    <w:p>
      <w:pPr>
        <w:pStyle w:val="ListBullet"/>
      </w:pPr>
      <w:r>
        <w:rPr>
          <w:rFonts w:ascii="Arial" w:hAnsi="Arial"/>
          <w:b w:val="0"/>
          <w:i w:val="0"/>
          <w:sz w:val="21"/>
        </w:rPr>
        <w:t>Owner: Developer Platform. Disable auto-approval, enforce per-tool confirmation, context minimisation and payload-DLP policy.</w:t>
      </w:r>
    </w:p>
    <w:p>
      <w:pPr>
        <w:pStyle w:val="ListBullet"/>
      </w:pPr>
      <w:r>
        <w:rPr>
          <w:rFonts w:ascii="Arial" w:hAnsi="Arial"/>
          <w:b w:val="0"/>
          <w:i w:val="0"/>
          <w:sz w:val="21"/>
        </w:rPr>
        <w:t>Owner: SOC. Monitor server identity/tool-schema change and anomalous invocation counts without collecting sensitive payloads.</w:t>
      </w:r>
    </w:p>
    <w:p>
      <w:pPr>
        <w:pStyle w:val="ListBullet"/>
      </w:pPr>
      <w:r>
        <w:rPr>
          <w:rFonts w:ascii="Arial" w:hAnsi="Arial"/>
          <w:b w:val="0"/>
          <w:i w:val="0"/>
          <w:sz w:val="21"/>
        </w:rPr>
        <w:t>Owner: Application teams. Treat responses as untrusted, verify citations/version and perform secure code review before adoption.</w:t>
      </w:r>
    </w:p>
    <w:p>
      <w:pPr>
        <w:pStyle w:val="ListBullet"/>
      </w:pPr>
      <w:r>
        <w:rPr>
          <w:rFonts w:ascii="Arial" w:hAnsi="Arial"/>
          <w:b w:val="0"/>
          <w:i w:val="0"/>
          <w:sz w:val="21"/>
        </w:rPr>
        <w:t>Unknown/host test: exact client version and enterprise policy enforcement; configuration/trust-store paths; content-exclusion coverage; invocation-log location/retention; removal residue; actual outbound payload and destination (runtime approval required).</w:t>
      </w:r>
    </w:p>
    <w:p>
      <w:r>
        <w:rPr>
          <w:rFonts w:ascii="Arial" w:hAnsi="Arial"/>
          <w:b w:val="0"/>
          <w:i w:val="0"/>
          <w:sz w:val="21"/>
        </w:rPr>
        <w:t>Approval expires 13 January 2027 or earlier on a tool/schema, terms/privacy, client-policy, incident, material-use or regulatory change. Unresolved blockers must remain open; scanner output alone is not approval.</w:t>
      </w:r>
    </w:p>
    <w:p>
      <w:r>
        <w:br w:type="page"/>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Blocked: no disposable representative Windows 11/macOS VS Code or Windows 11 Visual Studio host was available; this limitation is not treated as a passed control. No bundled Agent Skill was found in the assessed installation surface unless the product-specific section states otherwise.</w:t>
      </w:r>
    </w:p>
    <w:p>
      <w:bookmarkStart w:id="1093" w:name="VISUAL_STUDIO"/>
      <w:pPr>
        <w:pStyle w:val="Heading1"/>
      </w:pPr>
      <w:r>
        <w:t>Part II - Visual Studio assessment</w:t>
      </w:r>
      <w:bookmarkEnd w:id="1093"/>
    </w:p>
    <w:p>
      <w:pPr>
        <w:pStyle w:val="Heading2"/>
      </w:pPr>
      <w:r>
        <w:t>Visual Studio executive decision</w:t>
      </w:r>
    </w:p>
    <w:p>
      <w:r>
        <w:rPr>
          <w:rFonts w:ascii="Arial" w:hAnsi="Arial"/>
          <w:b w:val="0"/>
          <w:i w:val="0"/>
          <w:sz w:val="21"/>
        </w:rPr>
        <w:t>Decision: Defer pending evidence for unrestricted confidential-code use in Visual Studio. Approve with conditions only for non-sensitive, minimised Microsoft-documentation queries on managed endpoints with the mandatory controls below. Residual risk is High unrestricted and Moderate constrained; confidence Medium.</w:t>
      </w:r>
    </w:p>
    <w:p>
      <w:pPr>
        <w:pStyle w:val="Heading2"/>
      </w:pPr>
      <w:r>
        <w:t>Purpose, compatibility and installation state</w:t>
      </w:r>
    </w:p>
    <w:p>
      <w:r>
        <w:rPr>
          <w:rFonts w:ascii="Arial" w:hAnsi="Arial"/>
          <w:b w:val="0"/>
          <w:i w:val="0"/>
          <w:sz w:val="21"/>
        </w:rPr>
        <w:t>Visual Studio 2022 version 17.14 (latest servicing recommended) and Visual Studio 2026 support MCP. Official repository guidance states Microsoft Learn MCP is built in to current Visual Studio versions; solution-level and user-level configuration are also supported.</w:t>
      </w:r>
      <w:r>
        <w:t xml:space="preserve"> </w:t>
      </w:r>
      <w:hyperlink w:anchor="REF_010" w:history="1">
        <w:r>
          <w:rPr>
            <w:color w:val="2E74B5"/>
            <w:u w:val="single"/>
          </w:rPr>
          <w:t>[REF-010]</w:t>
        </w:r>
      </w:hyperlink>
      <w:r>
        <w:t xml:space="preserve"> </w:t>
      </w:r>
      <w:hyperlink w:anchor="REF_006" w:history="1">
        <w:r>
          <w:rPr>
            <w:color w:val="2E74B5"/>
            <w:u w:val="single"/>
          </w:rPr>
          <w:t>[REF-006]</w:t>
        </w:r>
      </w:hyperlink>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165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Manifest item</w:t>
            </w:r>
          </w:p>
        </w:tc>
        <w:tc>
          <w:tcPr>
            <w:tcW w:type="dxa" w:w="338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Expected state</w:t>
            </w:r>
          </w:p>
        </w:tc>
        <w:tc>
          <w:tcPr>
            <w:tcW w:type="dxa" w:w="208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Privilege/persistence</w:t>
            </w:r>
          </w:p>
        </w:tc>
        <w:tc>
          <w:tcPr>
            <w:tcW w:type="dxa" w:w="208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Evidence state</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Remote endpoint configuration</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MCP server URL in client configuration or built-in catalogue</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User or workspace/solution scope; persists until removed</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 documentation</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VSIX/package</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No service-specific VSIX required for direct remote endpoint</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Not applicable to service</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Not applicable</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Local server process</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None expected for remote HTTP service</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No server child process expected</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Inferred; runtime not tested</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Network</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Outbound HTTPS to learn.microsoft.com/api/mcp</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User-context network access</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Verified design; not observed at runtime</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Tools</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Search, fetch, code-sample search</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Agent context only; client mediates invocation</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 documentation</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Secrets/tokens</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No service authentication required</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No MCP credential expected</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Verified documentation</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Logs/caches</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Client-dependent invocation/configuration records</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User/enterprise policy scope</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Unknown without host test</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Uninstall/removal</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Remove/disable config or built-in server and clear related trust state</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Client scope</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Host verification required</w:t>
            </w:r>
          </w:p>
        </w:tc>
      </w:tr>
    </w:tbl>
    <w:p>
      <w:pPr>
        <w:spacing w:after="20"/>
      </w:pPr>
    </w:p>
    <w:p>
      <w:pPr>
        <w:pStyle w:val="Heading2"/>
      </w:pPr>
      <w:r>
        <w:t>Architecture, trust boundaries and data flow</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86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Stage</w:t>
            </w:r>
          </w:p>
        </w:tc>
        <w:tc>
          <w:tcPr>
            <w:tcW w:type="dxa" w:w="360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Flow</w:t>
            </w:r>
          </w:p>
        </w:tc>
        <w:tc>
          <w:tcPr>
            <w:tcW w:type="dxa" w:w="475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Trust decision</w:t>
            </w:r>
          </w:p>
        </w:tc>
      </w:tr>
      <w:tr>
        <w:trPr>
          <w:cantSplit/>
        </w:trPr>
        <w:tc>
          <w:tcPr>
            <w:tcW w:type="dxa" w:w="864"/>
            <w:vAlign w:val="center"/>
            <w:tcMar>
              <w:top w:w="80" w:type="dxa"/>
              <w:start w:w="120" w:type="dxa"/>
              <w:bottom w:w="80" w:type="dxa"/>
              <w:end w:w="120" w:type="dxa"/>
            </w:tcMar>
            <w:shd w:fill="F2F4F7"/>
          </w:tcPr>
          <w:p>
            <w:pPr>
              <w:spacing w:after="0" w:line="252" w:lineRule="auto"/>
            </w:pPr>
            <w:r/>
            <w:r>
              <w:rPr>
                <w:rFonts w:ascii="Arial" w:hAnsi="Arial"/>
                <w:b w:val="0"/>
                <w:i w:val="0"/>
                <w:sz w:val="16"/>
              </w:rPr>
              <w:t>1</w:t>
            </w:r>
          </w:p>
        </w:tc>
        <w:tc>
          <w:tcPr>
            <w:tcW w:type="dxa" w:w="3600"/>
            <w:vAlign w:val="center"/>
            <w:tcMar>
              <w:top w:w="80" w:type="dxa"/>
              <w:start w:w="120" w:type="dxa"/>
              <w:bottom w:w="80" w:type="dxa"/>
              <w:end w:w="120" w:type="dxa"/>
            </w:tcMar>
            <w:shd w:fill="F2F4F7"/>
          </w:tcPr>
          <w:p>
            <w:pPr>
              <w:spacing w:after="0" w:line="252" w:lineRule="auto"/>
            </w:pPr>
            <w:r/>
            <w:r>
              <w:rPr>
                <w:rFonts w:ascii="Arial" w:hAnsi="Arial"/>
                <w:b w:val="0"/>
                <w:i w:val="0"/>
                <w:sz w:val="16"/>
              </w:rPr>
              <w:t>Developer/agent context -&gt; client tool planner</w:t>
            </w:r>
          </w:p>
        </w:tc>
        <w:tc>
          <w:tcPr>
            <w:tcW w:type="dxa" w:w="4752"/>
            <w:vAlign w:val="center"/>
            <w:tcMar>
              <w:top w:w="80" w:type="dxa"/>
              <w:start w:w="120" w:type="dxa"/>
              <w:bottom w:w="80" w:type="dxa"/>
              <w:end w:w="120" w:type="dxa"/>
            </w:tcMar>
            <w:shd w:fill="F2F4F7"/>
          </w:tcPr>
          <w:p>
            <w:pPr>
              <w:spacing w:after="0" w:line="252" w:lineRule="auto"/>
            </w:pPr>
            <w:r/>
            <w:r>
              <w:rPr>
                <w:rFonts w:ascii="Arial" w:hAnsi="Arial"/>
                <w:b w:val="0"/>
                <w:i w:val="0"/>
                <w:sz w:val="16"/>
              </w:rPr>
              <w:t>Prevent sensitive context selection; repository content is untrusted.</w:t>
            </w:r>
          </w:p>
        </w:tc>
      </w:tr>
      <w:tr>
        <w:trPr>
          <w:cantSplit/>
        </w:trPr>
        <w:tc>
          <w:tcPr>
            <w:tcW w:type="dxa" w:w="864"/>
            <w:vAlign w:val="center"/>
            <w:tcMar>
              <w:top w:w="80" w:type="dxa"/>
              <w:start w:w="120" w:type="dxa"/>
              <w:bottom w:w="80" w:type="dxa"/>
              <w:end w:w="120" w:type="dxa"/>
            </w:tcMar>
            <w:shd w:fill="FFFFFF"/>
          </w:tcPr>
          <w:p>
            <w:pPr>
              <w:spacing w:after="0" w:line="252" w:lineRule="auto"/>
            </w:pPr>
            <w:r/>
            <w:r>
              <w:rPr>
                <w:rFonts w:ascii="Arial" w:hAnsi="Arial"/>
                <w:b w:val="0"/>
                <w:i w:val="0"/>
                <w:sz w:val="16"/>
              </w:rPr>
              <w:t>2</w:t>
            </w:r>
          </w:p>
        </w:tc>
        <w:tc>
          <w:tcPr>
            <w:tcW w:type="dxa" w:w="3600"/>
            <w:vAlign w:val="center"/>
            <w:tcMar>
              <w:top w:w="80" w:type="dxa"/>
              <w:start w:w="120" w:type="dxa"/>
              <w:bottom w:w="80" w:type="dxa"/>
              <w:end w:w="120" w:type="dxa"/>
            </w:tcMar>
            <w:shd w:fill="FFFFFF"/>
          </w:tcPr>
          <w:p>
            <w:pPr>
              <w:spacing w:after="0" w:line="252" w:lineRule="auto"/>
            </w:pPr>
            <w:r/>
            <w:r>
              <w:rPr>
                <w:rFonts w:ascii="Arial" w:hAnsi="Arial"/>
                <w:b w:val="0"/>
                <w:i w:val="0"/>
                <w:sz w:val="16"/>
              </w:rPr>
              <w:t>Client -&gt; Microsoft Learn MCP over HTTPS</w:t>
            </w:r>
          </w:p>
        </w:tc>
        <w:tc>
          <w:tcPr>
            <w:tcW w:type="dxa" w:w="4752"/>
            <w:vAlign w:val="center"/>
            <w:tcMar>
              <w:top w:w="80" w:type="dxa"/>
              <w:start w:w="120" w:type="dxa"/>
              <w:bottom w:w="80" w:type="dxa"/>
              <w:end w:w="120" w:type="dxa"/>
            </w:tcMar>
            <w:shd w:fill="FFFFFF"/>
          </w:tcPr>
          <w:p>
            <w:pPr>
              <w:spacing w:after="0" w:line="252" w:lineRule="auto"/>
            </w:pPr>
            <w:r/>
            <w:r>
              <w:rPr>
                <w:rFonts w:ascii="Arial" w:hAnsi="Arial"/>
                <w:b w:val="0"/>
                <w:i w:val="0"/>
                <w:sz w:val="16"/>
              </w:rPr>
              <w:t>Allowlist endpoint; minimise/redact query; apply confirmation.</w:t>
            </w:r>
          </w:p>
        </w:tc>
      </w:tr>
      <w:tr>
        <w:trPr>
          <w:cantSplit/>
        </w:trPr>
        <w:tc>
          <w:tcPr>
            <w:tcW w:type="dxa" w:w="864"/>
            <w:vAlign w:val="center"/>
            <w:tcMar>
              <w:top w:w="80" w:type="dxa"/>
              <w:start w:w="120" w:type="dxa"/>
              <w:bottom w:w="80" w:type="dxa"/>
              <w:end w:w="120" w:type="dxa"/>
            </w:tcMar>
            <w:shd w:fill="F2F4F7"/>
          </w:tcPr>
          <w:p>
            <w:pPr>
              <w:spacing w:after="0" w:line="252" w:lineRule="auto"/>
            </w:pPr>
            <w:r/>
            <w:r>
              <w:rPr>
                <w:rFonts w:ascii="Arial" w:hAnsi="Arial"/>
                <w:b w:val="0"/>
                <w:i w:val="0"/>
                <w:sz w:val="16"/>
              </w:rPr>
              <w:t>3</w:t>
            </w:r>
          </w:p>
        </w:tc>
        <w:tc>
          <w:tcPr>
            <w:tcW w:type="dxa" w:w="3600"/>
            <w:vAlign w:val="center"/>
            <w:tcMar>
              <w:top w:w="80" w:type="dxa"/>
              <w:start w:w="120" w:type="dxa"/>
              <w:bottom w:w="80" w:type="dxa"/>
              <w:end w:w="120" w:type="dxa"/>
            </w:tcMar>
            <w:shd w:fill="F2F4F7"/>
          </w:tcPr>
          <w:p>
            <w:pPr>
              <w:spacing w:after="0" w:line="252" w:lineRule="auto"/>
            </w:pPr>
            <w:r/>
            <w:r>
              <w:rPr>
                <w:rFonts w:ascii="Arial" w:hAnsi="Arial"/>
                <w:b w:val="0"/>
                <w:i w:val="0"/>
                <w:sz w:val="16"/>
              </w:rPr>
              <w:t>Learn knowledge service -&gt; MCP response</w:t>
            </w:r>
          </w:p>
        </w:tc>
        <w:tc>
          <w:tcPr>
            <w:tcW w:type="dxa" w:w="4752"/>
            <w:vAlign w:val="center"/>
            <w:tcMar>
              <w:top w:w="80" w:type="dxa"/>
              <w:start w:w="120" w:type="dxa"/>
              <w:bottom w:w="80" w:type="dxa"/>
              <w:end w:w="120" w:type="dxa"/>
            </w:tcMar>
            <w:shd w:fill="F2F4F7"/>
          </w:tcPr>
          <w:p>
            <w:pPr>
              <w:spacing w:after="0" w:line="252" w:lineRule="auto"/>
            </w:pPr>
            <w:r/>
            <w:r>
              <w:rPr>
                <w:rFonts w:ascii="Arial" w:hAnsi="Arial"/>
                <w:b w:val="0"/>
                <w:i w:val="0"/>
                <w:sz w:val="16"/>
              </w:rPr>
              <w:t>Treat documentation, Markdown, URLs and code as untrusted data.</w:t>
            </w:r>
          </w:p>
        </w:tc>
      </w:tr>
      <w:tr>
        <w:trPr>
          <w:cantSplit/>
        </w:trPr>
        <w:tc>
          <w:tcPr>
            <w:tcW w:type="dxa" w:w="864"/>
            <w:vAlign w:val="center"/>
            <w:tcMar>
              <w:top w:w="80" w:type="dxa"/>
              <w:start w:w="120" w:type="dxa"/>
              <w:bottom w:w="80" w:type="dxa"/>
              <w:end w:w="120" w:type="dxa"/>
            </w:tcMar>
            <w:shd w:fill="FFFFFF"/>
          </w:tcPr>
          <w:p>
            <w:pPr>
              <w:spacing w:after="0" w:line="252" w:lineRule="auto"/>
            </w:pPr>
            <w:r/>
            <w:r>
              <w:rPr>
                <w:rFonts w:ascii="Arial" w:hAnsi="Arial"/>
                <w:b w:val="0"/>
                <w:i w:val="0"/>
                <w:sz w:val="16"/>
              </w:rPr>
              <w:t>4</w:t>
            </w:r>
          </w:p>
        </w:tc>
        <w:tc>
          <w:tcPr>
            <w:tcW w:type="dxa" w:w="3600"/>
            <w:vAlign w:val="center"/>
            <w:tcMar>
              <w:top w:w="80" w:type="dxa"/>
              <w:start w:w="120" w:type="dxa"/>
              <w:bottom w:w="80" w:type="dxa"/>
              <w:end w:w="120" w:type="dxa"/>
            </w:tcMar>
            <w:shd w:fill="FFFFFF"/>
          </w:tcPr>
          <w:p>
            <w:pPr>
              <w:spacing w:after="0" w:line="252" w:lineRule="auto"/>
            </w:pPr>
            <w:r/>
            <w:r>
              <w:rPr>
                <w:rFonts w:ascii="Arial" w:hAnsi="Arial"/>
                <w:b w:val="0"/>
                <w:i w:val="0"/>
                <w:sz w:val="16"/>
              </w:rPr>
              <w:t>MCP response -&gt; model/agent context</w:t>
            </w:r>
          </w:p>
        </w:tc>
        <w:tc>
          <w:tcPr>
            <w:tcW w:type="dxa" w:w="4752"/>
            <w:vAlign w:val="center"/>
            <w:tcMar>
              <w:top w:w="80" w:type="dxa"/>
              <w:start w:w="120" w:type="dxa"/>
              <w:bottom w:w="80" w:type="dxa"/>
              <w:end w:w="120" w:type="dxa"/>
            </w:tcMar>
            <w:shd w:fill="FFFFFF"/>
          </w:tcPr>
          <w:p>
            <w:pPr>
              <w:spacing w:after="0" w:line="252" w:lineRule="auto"/>
            </w:pPr>
            <w:r/>
            <w:r>
              <w:rPr>
                <w:rFonts w:ascii="Arial" w:hAnsi="Arial"/>
                <w:b w:val="0"/>
                <w:i w:val="0"/>
                <w:sz w:val="16"/>
              </w:rPr>
              <w:t>Prevent instruction following from retrieved content; cite and validate.</w:t>
            </w:r>
          </w:p>
        </w:tc>
      </w:tr>
      <w:tr>
        <w:trPr>
          <w:cantSplit/>
        </w:trPr>
        <w:tc>
          <w:tcPr>
            <w:tcW w:type="dxa" w:w="864"/>
            <w:vAlign w:val="center"/>
            <w:tcMar>
              <w:top w:w="80" w:type="dxa"/>
              <w:start w:w="120" w:type="dxa"/>
              <w:bottom w:w="80" w:type="dxa"/>
              <w:end w:w="120" w:type="dxa"/>
            </w:tcMar>
            <w:shd w:fill="F2F4F7"/>
          </w:tcPr>
          <w:p>
            <w:pPr>
              <w:spacing w:after="0" w:line="252" w:lineRule="auto"/>
            </w:pPr>
            <w:r/>
            <w:r>
              <w:rPr>
                <w:rFonts w:ascii="Arial" w:hAnsi="Arial"/>
                <w:b w:val="0"/>
                <w:i w:val="0"/>
                <w:sz w:val="16"/>
              </w:rPr>
              <w:t>5</w:t>
            </w:r>
          </w:p>
        </w:tc>
        <w:tc>
          <w:tcPr>
            <w:tcW w:type="dxa" w:w="3600"/>
            <w:vAlign w:val="center"/>
            <w:tcMar>
              <w:top w:w="80" w:type="dxa"/>
              <w:start w:w="120" w:type="dxa"/>
              <w:bottom w:w="80" w:type="dxa"/>
              <w:end w:w="120" w:type="dxa"/>
            </w:tcMar>
            <w:shd w:fill="F2F4F7"/>
          </w:tcPr>
          <w:p>
            <w:pPr>
              <w:spacing w:after="0" w:line="252" w:lineRule="auto"/>
            </w:pPr>
            <w:r/>
            <w:r>
              <w:rPr>
                <w:rFonts w:ascii="Arial" w:hAnsi="Arial"/>
                <w:b w:val="0"/>
                <w:i w:val="0"/>
                <w:sz w:val="16"/>
              </w:rPr>
              <w:t>Agent output -&gt; code/terminal/cloud tools</w:t>
            </w:r>
          </w:p>
        </w:tc>
        <w:tc>
          <w:tcPr>
            <w:tcW w:type="dxa" w:w="4752"/>
            <w:vAlign w:val="center"/>
            <w:tcMar>
              <w:top w:w="80" w:type="dxa"/>
              <w:start w:w="120" w:type="dxa"/>
              <w:bottom w:w="80" w:type="dxa"/>
              <w:end w:w="120" w:type="dxa"/>
            </w:tcMar>
            <w:shd w:fill="F2F4F7"/>
          </w:tcPr>
          <w:p>
            <w:pPr>
              <w:spacing w:after="0" w:line="252" w:lineRule="auto"/>
            </w:pPr>
            <w:r/>
            <w:r>
              <w:rPr>
                <w:rFonts w:ascii="Arial" w:hAnsi="Arial"/>
                <w:b w:val="0"/>
                <w:i w:val="0"/>
                <w:sz w:val="16"/>
              </w:rPr>
              <w:t>Human review and separate approval; never execute retrieved code automatically.</w:t>
            </w:r>
          </w:p>
        </w:tc>
      </w:tr>
    </w:tbl>
    <w:p>
      <w:pPr>
        <w:spacing w:after="20"/>
      </w:pPr>
    </w:p>
    <w:p>
      <w:pPr>
        <w:pStyle w:val="Heading2"/>
      </w:pPr>
      <w:r>
        <w:t>Network, authentication, telemetry and privacy</w:t>
      </w:r>
    </w:p>
    <w:p>
      <w:r>
        <w:rPr>
          <w:rFonts w:ascii="Arial" w:hAnsi="Arial"/>
          <w:b w:val="0"/>
          <w:i w:val="0"/>
          <w:sz w:val="21"/>
        </w:rPr>
        <w:t>Verified: the remote public endpoint requires no authentication and contains public documentation rather than user-profile/training data. Inferred: every tool query necessarily leaves the client boundary. Unknown: MCP-specific request logging, retention, deletion, residency, subprocessors, personnel access, training/product-improvement use, tenant isolation, incident commitments and enterprise service assurance.</w:t>
      </w:r>
      <w:r>
        <w:t xml:space="preserve"> </w:t>
      </w:r>
      <w:hyperlink w:anchor="REF_001" w:history="1">
        <w:r>
          <w:rPr>
            <w:color w:val="2E74B5"/>
            <w:u w:val="single"/>
          </w:rPr>
          <w:t>[REF-001]</w:t>
        </w:r>
      </w:hyperlink>
      <w:r>
        <w:t xml:space="preserve"> </w:t>
      </w:r>
      <w:hyperlink w:anchor="REF_007" w:history="1">
        <w:r>
          <w:rPr>
            <w:color w:val="2E74B5"/>
            <w:u w:val="single"/>
          </w:rPr>
          <w:t>[REF-007]</w:t>
        </w:r>
      </w:hyperlink>
      <w:r>
        <w:t xml:space="preserve"> </w:t>
      </w:r>
      <w:hyperlink w:anchor="REF_012" w:history="1">
        <w:r>
          <w:rPr>
            <w:color w:val="2E74B5"/>
            <w:u w:val="single"/>
          </w:rPr>
          <w:t>[REF-012]</w:t>
        </w:r>
      </w:hyperlink>
    </w:p>
    <w:p>
      <w:pPr>
        <w:pStyle w:val="ListBullet"/>
      </w:pPr>
      <w:r>
        <w:rPr>
          <w:rFonts w:ascii="Arial" w:hAnsi="Arial"/>
          <w:b w:val="0"/>
          <w:i w:val="0"/>
          <w:sz w:val="21"/>
        </w:rPr>
        <w:t>Data classification rule: no confidential source, proprietary identifiers, file paths, stack traces, credentials, personal/customer data, regulated records, vulnerability details or unreleased product information in tool arguments.</w:t>
      </w:r>
    </w:p>
    <w:p>
      <w:pPr>
        <w:pStyle w:val="ListBullet"/>
      </w:pPr>
      <w:r>
        <w:rPr>
          <w:rFonts w:ascii="Arial" w:hAnsi="Arial"/>
          <w:b w:val="0"/>
          <w:i w:val="0"/>
          <w:sz w:val="21"/>
        </w:rPr>
        <w:t>UK GDPR may apply where prompts, code, logs or records contain personal data; data minimisation, privacy by design, security and DPIA screening are required according to the actual data flow.</w:t>
      </w:r>
    </w:p>
    <w:p>
      <w:pPr>
        <w:pStyle w:val="Heading2"/>
      </w:pPr>
      <w:r>
        <w:t>Client controls</w:t>
      </w:r>
    </w:p>
    <w:p>
      <w:pPr>
        <w:pStyle w:val="ListBullet"/>
      </w:pPr>
      <w:r>
        <w:rPr>
          <w:rFonts w:ascii="Arial" w:hAnsi="Arial"/>
          <w:b w:val="0"/>
          <w:i w:val="0"/>
          <w:sz w:val="21"/>
        </w:rPr>
        <w:t>Use Visual Studio 2026 enterprise MCP allowlisting where available; for Visual Studio 2022 verify the exact supported administrative controls.</w:t>
      </w:r>
    </w:p>
    <w:p>
      <w:pPr>
        <w:pStyle w:val="ListBullet"/>
      </w:pPr>
      <w:r>
        <w:rPr>
          <w:rFonts w:ascii="Arial" w:hAnsi="Arial"/>
          <w:b w:val="0"/>
          <w:i w:val="0"/>
          <w:sz w:val="21"/>
        </w:rPr>
        <w:t>Keep discovered tools disabled until explicitly reviewed and accepted. Visual Studio documentation states acceptances are reset when the tool list changes.</w:t>
      </w:r>
    </w:p>
    <w:p>
      <w:pPr>
        <w:pStyle w:val="ListBullet"/>
      </w:pPr>
      <w:r>
        <w:rPr>
          <w:rFonts w:ascii="Arial" w:hAnsi="Arial"/>
          <w:b w:val="0"/>
          <w:i w:val="0"/>
          <w:sz w:val="21"/>
        </w:rPr>
        <w:t>Disable Agent Mode administratively where the constrained use case cannot be enforced; verify policy on every managed endpoint.</w:t>
      </w:r>
    </w:p>
    <w:p>
      <w:pPr>
        <w:pStyle w:val="ListBullet"/>
      </w:pPr>
      <w:r>
        <w:rPr>
          <w:rFonts w:ascii="Arial" w:hAnsi="Arial"/>
          <w:b w:val="0"/>
          <w:i w:val="0"/>
          <w:sz w:val="21"/>
        </w:rPr>
        <w:t>Protect solution-level .mcp.json as security-sensitive repository content; reject shadow endpoints and variables that can redirect the URL.</w:t>
      </w:r>
    </w:p>
    <w:p>
      <w:pPr>
        <w:pStyle w:val="ListBullet"/>
      </w:pPr>
      <w:r>
        <w:rPr>
          <w:rFonts w:ascii="Arial" w:hAnsi="Arial"/>
          <w:b w:val="0"/>
          <w:i w:val="0"/>
          <w:sz w:val="21"/>
        </w:rPr>
        <w:t>Validate content-exclusion scope, including documented limitations for submodules and files outside the root repository.</w:t>
      </w:r>
    </w:p>
    <w:p>
      <w:pPr>
        <w:pStyle w:val="Heading2"/>
      </w:pPr>
      <w:r>
        <w:t>MCP and optional skill surface</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2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Component</w:t>
            </w:r>
          </w:p>
        </w:tc>
        <w:tc>
          <w:tcPr>
            <w:tcW w:type="dxa" w:w="295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Status</w:t>
            </w:r>
          </w:p>
        </w:tc>
        <w:tc>
          <w:tcPr>
            <w:tcW w:type="dxa" w:w="40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Decision</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microsoft_docs_search</w:t>
            </w:r>
          </w:p>
        </w:tc>
        <w:tc>
          <w:tcPr>
            <w:tcW w:type="dxa" w:w="2952"/>
            <w:vAlign w:val="center"/>
            <w:tcMar>
              <w:top w:w="80" w:type="dxa"/>
              <w:start w:w="120" w:type="dxa"/>
              <w:bottom w:w="80" w:type="dxa"/>
              <w:end w:w="120" w:type="dxa"/>
            </w:tcMar>
            <w:shd w:fill="F2F4F7"/>
          </w:tcPr>
          <w:p>
            <w:pPr>
              <w:spacing w:after="0" w:line="252" w:lineRule="auto"/>
            </w:pPr>
            <w:r/>
            <w:r>
              <w:rPr>
                <w:rFonts w:ascii="Arial" w:hAnsi="Arial"/>
                <w:b w:val="0"/>
                <w:i w:val="0"/>
                <w:sz w:val="16"/>
              </w:rPr>
              <w:t>Documented MCP tool</w:t>
            </w:r>
          </w:p>
        </w:tc>
        <w:tc>
          <w:tcPr>
            <w:tcW w:type="dxa" w:w="4032"/>
            <w:vAlign w:val="center"/>
            <w:tcMar>
              <w:top w:w="80" w:type="dxa"/>
              <w:start w:w="120" w:type="dxa"/>
              <w:bottom w:w="80" w:type="dxa"/>
              <w:end w:w="120" w:type="dxa"/>
            </w:tcMar>
            <w:shd w:fill="F2F4F7"/>
          </w:tcPr>
          <w:p>
            <w:pPr>
              <w:spacing w:after="0" w:line="252" w:lineRule="auto"/>
            </w:pPr>
            <w:r/>
            <w:r>
              <w:rPr>
                <w:rFonts w:ascii="Arial" w:hAnsi="Arial"/>
                <w:b w:val="0"/>
                <w:i w:val="0"/>
                <w:sz w:val="16"/>
              </w:rPr>
              <w:t>Conditionally approve for non-sensitive minimised queries only.</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microsoft_docs_fetch</w:t>
            </w:r>
          </w:p>
        </w:tc>
        <w:tc>
          <w:tcPr>
            <w:tcW w:type="dxa" w:w="2952"/>
            <w:vAlign w:val="center"/>
            <w:tcMar>
              <w:top w:w="80" w:type="dxa"/>
              <w:start w:w="120" w:type="dxa"/>
              <w:bottom w:w="80" w:type="dxa"/>
              <w:end w:w="120" w:type="dxa"/>
            </w:tcMar>
            <w:shd w:fill="FFFFFF"/>
          </w:tcPr>
          <w:p>
            <w:pPr>
              <w:spacing w:after="0" w:line="252" w:lineRule="auto"/>
            </w:pPr>
            <w:r/>
            <w:r>
              <w:rPr>
                <w:rFonts w:ascii="Arial" w:hAnsi="Arial"/>
                <w:b w:val="0"/>
                <w:i w:val="0"/>
                <w:sz w:val="16"/>
              </w:rPr>
              <w:t>Documented MCP tool</w:t>
            </w:r>
          </w:p>
        </w:tc>
        <w:tc>
          <w:tcPr>
            <w:tcW w:type="dxa" w:w="4032"/>
            <w:vAlign w:val="center"/>
            <w:tcMar>
              <w:top w:w="80" w:type="dxa"/>
              <w:start w:w="120" w:type="dxa"/>
              <w:bottom w:w="80" w:type="dxa"/>
              <w:end w:w="120" w:type="dxa"/>
            </w:tcMar>
            <w:shd w:fill="FFFFFF"/>
          </w:tcPr>
          <w:p>
            <w:pPr>
              <w:spacing w:after="0" w:line="252" w:lineRule="auto"/>
            </w:pPr>
            <w:r/>
            <w:r>
              <w:rPr>
                <w:rFonts w:ascii="Arial" w:hAnsi="Arial"/>
                <w:b w:val="0"/>
                <w:i w:val="0"/>
                <w:sz w:val="16"/>
              </w:rPr>
              <w:t>Conditionally approve for allowlisted Microsoft Learn URLs; validate redirects/content.</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microsoft_code_sample_search</w:t>
            </w:r>
          </w:p>
        </w:tc>
        <w:tc>
          <w:tcPr>
            <w:tcW w:type="dxa" w:w="2952"/>
            <w:vAlign w:val="center"/>
            <w:tcMar>
              <w:top w:w="80" w:type="dxa"/>
              <w:start w:w="120" w:type="dxa"/>
              <w:bottom w:w="80" w:type="dxa"/>
              <w:end w:w="120" w:type="dxa"/>
            </w:tcMar>
            <w:shd w:fill="F2F4F7"/>
          </w:tcPr>
          <w:p>
            <w:pPr>
              <w:spacing w:after="0" w:line="252" w:lineRule="auto"/>
            </w:pPr>
            <w:r/>
            <w:r>
              <w:rPr>
                <w:rFonts w:ascii="Arial" w:hAnsi="Arial"/>
                <w:b w:val="0"/>
                <w:i w:val="0"/>
                <w:sz w:val="16"/>
              </w:rPr>
              <w:t>Documented MCP tool</w:t>
            </w:r>
          </w:p>
        </w:tc>
        <w:tc>
          <w:tcPr>
            <w:tcW w:type="dxa" w:w="4032"/>
            <w:vAlign w:val="center"/>
            <w:tcMar>
              <w:top w:w="80" w:type="dxa"/>
              <w:start w:w="120" w:type="dxa"/>
              <w:bottom w:w="80" w:type="dxa"/>
              <w:end w:w="120" w:type="dxa"/>
            </w:tcMar>
            <w:shd w:fill="F2F4F7"/>
          </w:tcPr>
          <w:p>
            <w:pPr>
              <w:spacing w:after="0" w:line="252" w:lineRule="auto"/>
            </w:pPr>
            <w:r/>
            <w:r>
              <w:rPr>
                <w:rFonts w:ascii="Arial" w:hAnsi="Arial"/>
                <w:b w:val="0"/>
                <w:i w:val="0"/>
                <w:sz w:val="16"/>
              </w:rPr>
              <w:t>Conditionally approve; human security review before code adoption.</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microsoft-docs skill</w:t>
            </w:r>
          </w:p>
        </w:tc>
        <w:tc>
          <w:tcPr>
            <w:tcW w:type="dxa" w:w="2952"/>
            <w:vAlign w:val="center"/>
            <w:tcMar>
              <w:top w:w="80" w:type="dxa"/>
              <w:start w:w="120" w:type="dxa"/>
              <w:bottom w:w="80" w:type="dxa"/>
              <w:end w:w="120" w:type="dxa"/>
            </w:tcMar>
            <w:shd w:fill="FFFFFF"/>
          </w:tcPr>
          <w:p>
            <w:pPr>
              <w:spacing w:after="0" w:line="252" w:lineRule="auto"/>
            </w:pPr>
            <w:r/>
            <w:r>
              <w:rPr>
                <w:rFonts w:ascii="Arial" w:hAnsi="Arial"/>
                <w:b w:val="0"/>
                <w:i w:val="0"/>
                <w:sz w:val="16"/>
              </w:rPr>
              <w:t>Optional portable instructions</w:t>
            </w:r>
          </w:p>
        </w:tc>
        <w:tc>
          <w:tcPr>
            <w:tcW w:type="dxa" w:w="4032"/>
            <w:vAlign w:val="center"/>
            <w:tcMar>
              <w:top w:w="80" w:type="dxa"/>
              <w:start w:w="120" w:type="dxa"/>
              <w:bottom w:w="80" w:type="dxa"/>
              <w:end w:w="120" w:type="dxa"/>
            </w:tcMar>
            <w:shd w:fill="FFFFFF"/>
          </w:tcPr>
          <w:p>
            <w:pPr>
              <w:spacing w:after="0" w:line="252" w:lineRule="auto"/>
            </w:pPr>
            <w:r/>
            <w:r>
              <w:rPr>
                <w:rFonts w:ascii="Arial" w:hAnsi="Arial"/>
                <w:b w:val="0"/>
                <w:i w:val="0"/>
                <w:sz w:val="16"/>
              </w:rPr>
              <w:t>Separate review/installation decision; not required for endpoint.</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microsoft-code-reference skill</w:t>
            </w:r>
          </w:p>
        </w:tc>
        <w:tc>
          <w:tcPr>
            <w:tcW w:type="dxa" w:w="2952"/>
            <w:vAlign w:val="center"/>
            <w:tcMar>
              <w:top w:w="80" w:type="dxa"/>
              <w:start w:w="120" w:type="dxa"/>
              <w:bottom w:w="80" w:type="dxa"/>
              <w:end w:w="120" w:type="dxa"/>
            </w:tcMar>
            <w:shd w:fill="F2F4F7"/>
          </w:tcPr>
          <w:p>
            <w:pPr>
              <w:spacing w:after="0" w:line="252" w:lineRule="auto"/>
            </w:pPr>
            <w:r/>
            <w:r>
              <w:rPr>
                <w:rFonts w:ascii="Arial" w:hAnsi="Arial"/>
                <w:b w:val="0"/>
                <w:i w:val="0"/>
                <w:sz w:val="16"/>
              </w:rPr>
              <w:t>Optional portable instructions</w:t>
            </w:r>
          </w:p>
        </w:tc>
        <w:tc>
          <w:tcPr>
            <w:tcW w:type="dxa" w:w="4032"/>
            <w:vAlign w:val="center"/>
            <w:tcMar>
              <w:top w:w="80" w:type="dxa"/>
              <w:start w:w="120" w:type="dxa"/>
              <w:bottom w:w="80" w:type="dxa"/>
              <w:end w:w="120" w:type="dxa"/>
            </w:tcMar>
            <w:shd w:fill="F2F4F7"/>
          </w:tcPr>
          <w:p>
            <w:pPr>
              <w:spacing w:after="0" w:line="252" w:lineRule="auto"/>
            </w:pPr>
            <w:r/>
            <w:r>
              <w:rPr>
                <w:rFonts w:ascii="Arial" w:hAnsi="Arial"/>
                <w:b w:val="0"/>
                <w:i w:val="0"/>
                <w:sz w:val="16"/>
              </w:rPr>
              <w:t>Separate review/installation decision; not required for endpoint.</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microsoft-skill-creator skill</w:t>
            </w:r>
          </w:p>
        </w:tc>
        <w:tc>
          <w:tcPr>
            <w:tcW w:type="dxa" w:w="2952"/>
            <w:vAlign w:val="center"/>
            <w:tcMar>
              <w:top w:w="80" w:type="dxa"/>
              <w:start w:w="120" w:type="dxa"/>
              <w:bottom w:w="80" w:type="dxa"/>
              <w:end w:w="120" w:type="dxa"/>
            </w:tcMar>
            <w:shd w:fill="FFFFFF"/>
          </w:tcPr>
          <w:p>
            <w:pPr>
              <w:spacing w:after="0" w:line="252" w:lineRule="auto"/>
            </w:pPr>
            <w:r/>
            <w:r>
              <w:rPr>
                <w:rFonts w:ascii="Arial" w:hAnsi="Arial"/>
                <w:b w:val="0"/>
                <w:i w:val="0"/>
                <w:sz w:val="16"/>
              </w:rPr>
              <w:t>Optional meta-skill</w:t>
            </w:r>
          </w:p>
        </w:tc>
        <w:tc>
          <w:tcPr>
            <w:tcW w:type="dxa" w:w="4032"/>
            <w:vAlign w:val="center"/>
            <w:tcMar>
              <w:top w:w="80" w:type="dxa"/>
              <w:start w:w="120" w:type="dxa"/>
              <w:bottom w:w="80" w:type="dxa"/>
              <w:end w:w="120" w:type="dxa"/>
            </w:tcMar>
            <w:shd w:fill="FFFFFF"/>
          </w:tcPr>
          <w:p>
            <w:pPr>
              <w:spacing w:after="0" w:line="252" w:lineRule="auto"/>
            </w:pPr>
            <w:r/>
            <w:r>
              <w:rPr>
                <w:rFonts w:ascii="Arial" w:hAnsi="Arial"/>
                <w:b w:val="0"/>
                <w:i w:val="0"/>
                <w:sz w:val="16"/>
              </w:rPr>
              <w:t>Do not approve by default in regulated repositories; generated skills require full review.</w:t>
            </w:r>
          </w:p>
        </w:tc>
      </w:tr>
    </w:tbl>
    <w:p>
      <w:pPr>
        <w:spacing w:after="20"/>
      </w:pPr>
    </w:p>
    <w:p>
      <w:pPr>
        <w:pStyle w:val="Heading2"/>
      </w:pPr>
      <w:r>
        <w:t>Supply chain and change risk</w:t>
      </w:r>
    </w:p>
    <w:p>
      <w:pPr>
        <w:pStyle w:val="ListBullet"/>
      </w:pPr>
      <w:r>
        <w:rPr>
          <w:rFonts w:ascii="Arial" w:hAnsi="Arial"/>
          <w:b w:val="0"/>
          <w:i w:val="0"/>
          <w:sz w:val="21"/>
        </w:rPr>
        <w:t>The hosted service, tool descriptions/schemas, Microsoft Learn corpus, client implementation and optional plugin/skills are separate change channels.</w:t>
      </w:r>
    </w:p>
    <w:p>
      <w:pPr>
        <w:pStyle w:val="ListBullet"/>
      </w:pPr>
      <w:r>
        <w:rPr>
          <w:rFonts w:ascii="Arial" w:hAnsi="Arial"/>
          <w:b w:val="0"/>
          <w:i w:val="0"/>
          <w:sz w:val="21"/>
        </w:rPr>
        <w:t>Dynamic discovery is required, but changed capabilities must be quarantined until schema/description review succeeds; automatic acceptance creates rug-pull risk.</w:t>
      </w:r>
    </w:p>
    <w:p>
      <w:pPr>
        <w:pStyle w:val="ListBullet"/>
      </w:pPr>
      <w:r>
        <w:rPr>
          <w:rFonts w:ascii="Arial" w:hAnsi="Arial"/>
          <w:b w:val="0"/>
          <w:i w:val="0"/>
          <w:sz w:val="21"/>
        </w:rPr>
        <w:t>Workspace/solution configuration and retrieved Markdown are untrusted inputs. Pin or record reviewed client versions and monitor endpoint/tool-schema changes.</w:t>
      </w:r>
    </w:p>
    <w:p>
      <w:pPr>
        <w:pStyle w:val="ListBullet"/>
      </w:pPr>
      <w:r>
        <w:rPr>
          <w:rFonts w:ascii="Arial" w:hAnsi="Arial"/>
          <w:b w:val="0"/>
          <w:i w:val="0"/>
          <w:sz w:val="21"/>
        </w:rPr>
        <w:t>Hosted build hash, production SBOM and source-to-deployment correspondence are Unknown.</w:t>
      </w:r>
    </w:p>
    <w:p>
      <w:pPr>
        <w:pStyle w:val="Heading2"/>
      </w:pPr>
      <w:r>
        <w:t>Threat scenarios and findings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244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Scenario</w:t>
            </w:r>
          </w:p>
        </w:tc>
        <w:tc>
          <w:tcPr>
            <w:tcW w:type="dxa" w:w="122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Inherent</w:t>
            </w:r>
          </w:p>
        </w:tc>
        <w:tc>
          <w:tcPr>
            <w:tcW w:type="dxa" w:w="302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Existing control</w:t>
            </w:r>
          </w:p>
        </w:tc>
        <w:tc>
          <w:tcPr>
            <w:tcW w:type="dxa" w:w="252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Residual constrained</w:t>
            </w:r>
          </w:p>
        </w:tc>
      </w:tr>
      <w:tr>
        <w:trPr>
          <w:cantSplit/>
        </w:trPr>
        <w:tc>
          <w:tcPr>
            <w:tcW w:type="dxa" w:w="2448"/>
            <w:vAlign w:val="center"/>
            <w:tcMar>
              <w:top w:w="80" w:type="dxa"/>
              <w:start w:w="120" w:type="dxa"/>
              <w:bottom w:w="80" w:type="dxa"/>
              <w:end w:w="120" w:type="dxa"/>
            </w:tcMar>
            <w:shd w:fill="F2F4F7"/>
          </w:tcPr>
          <w:p>
            <w:pPr>
              <w:spacing w:after="0" w:line="252" w:lineRule="auto"/>
            </w:pPr>
            <w:r/>
            <w:r>
              <w:rPr>
                <w:rFonts w:ascii="Arial" w:hAnsi="Arial"/>
                <w:b w:val="0"/>
                <w:i w:val="0"/>
                <w:sz w:val="16"/>
              </w:rPr>
              <w:t>Confidential context included in search query</w:t>
            </w:r>
          </w:p>
        </w:tc>
        <w:tc>
          <w:tcPr>
            <w:tcW w:type="dxa" w:w="1224"/>
            <w:vAlign w:val="center"/>
            <w:tcMar>
              <w:top w:w="80" w:type="dxa"/>
              <w:start w:w="120" w:type="dxa"/>
              <w:bottom w:w="80" w:type="dxa"/>
              <w:end w:w="120" w:type="dxa"/>
            </w:tcMar>
            <w:shd w:fill="F2F4F7"/>
          </w:tcPr>
          <w:p>
            <w:pPr>
              <w:spacing w:after="0" w:line="252" w:lineRule="auto"/>
            </w:pPr>
            <w:r/>
            <w:r>
              <w:rPr>
                <w:rFonts w:ascii="Arial" w:hAnsi="Arial"/>
                <w:b w:val="0"/>
                <w:i w:val="0"/>
                <w:sz w:val="16"/>
              </w:rPr>
              <w:t>4x5=20 Critical</w:t>
            </w:r>
          </w:p>
        </w:tc>
        <w:tc>
          <w:tcPr>
            <w:tcW w:type="dxa" w:w="3024"/>
            <w:vAlign w:val="center"/>
            <w:tcMar>
              <w:top w:w="80" w:type="dxa"/>
              <w:start w:w="120" w:type="dxa"/>
              <w:bottom w:w="80" w:type="dxa"/>
              <w:end w:w="120" w:type="dxa"/>
            </w:tcMar>
            <w:shd w:fill="F2F4F7"/>
          </w:tcPr>
          <w:p>
            <w:pPr>
              <w:spacing w:after="0" w:line="252" w:lineRule="auto"/>
            </w:pPr>
            <w:r/>
            <w:r>
              <w:rPr>
                <w:rFonts w:ascii="Arial" w:hAnsi="Arial"/>
                <w:b w:val="0"/>
                <w:i w:val="0"/>
                <w:sz w:val="16"/>
              </w:rPr>
              <w:t>Confirmation/content exclusions; effectiveness unverified</w:t>
            </w:r>
          </w:p>
        </w:tc>
        <w:tc>
          <w:tcPr>
            <w:tcW w:type="dxa" w:w="2520"/>
            <w:vAlign w:val="center"/>
            <w:tcMar>
              <w:top w:w="80" w:type="dxa"/>
              <w:start w:w="120" w:type="dxa"/>
              <w:bottom w:w="80" w:type="dxa"/>
              <w:end w:w="120" w:type="dxa"/>
            </w:tcMar>
            <w:shd w:fill="F2F4F7"/>
          </w:tcPr>
          <w:p>
            <w:pPr>
              <w:spacing w:after="0" w:line="252" w:lineRule="auto"/>
            </w:pPr>
            <w:r/>
            <w:r>
              <w:rPr>
                <w:rFonts w:ascii="Arial" w:hAnsi="Arial"/>
                <w:b w:val="0"/>
                <w:i w:val="0"/>
                <w:sz w:val="16"/>
              </w:rPr>
              <w:t>3x4=12 High until DLP/payload tests pass</w:t>
            </w:r>
          </w:p>
        </w:tc>
      </w:tr>
      <w:tr>
        <w:trPr>
          <w:cantSplit/>
        </w:trPr>
        <w:tc>
          <w:tcPr>
            <w:tcW w:type="dxa" w:w="2448"/>
            <w:vAlign w:val="center"/>
            <w:tcMar>
              <w:top w:w="80" w:type="dxa"/>
              <w:start w:w="120" w:type="dxa"/>
              <w:bottom w:w="80" w:type="dxa"/>
              <w:end w:w="120" w:type="dxa"/>
            </w:tcMar>
            <w:shd w:fill="FFFFFF"/>
          </w:tcPr>
          <w:p>
            <w:pPr>
              <w:spacing w:after="0" w:line="252" w:lineRule="auto"/>
            </w:pPr>
            <w:r/>
            <w:r>
              <w:rPr>
                <w:rFonts w:ascii="Arial" w:hAnsi="Arial"/>
                <w:b w:val="0"/>
                <w:i w:val="0"/>
                <w:sz w:val="16"/>
              </w:rPr>
              <w:t>Retrieved-content prompt injection</w:t>
            </w:r>
          </w:p>
        </w:tc>
        <w:tc>
          <w:tcPr>
            <w:tcW w:type="dxa" w:w="1224"/>
            <w:vAlign w:val="center"/>
            <w:tcMar>
              <w:top w:w="80" w:type="dxa"/>
              <w:start w:w="120" w:type="dxa"/>
              <w:bottom w:w="80" w:type="dxa"/>
              <w:end w:w="120" w:type="dxa"/>
            </w:tcMar>
            <w:shd w:fill="FFFFFF"/>
          </w:tcPr>
          <w:p>
            <w:pPr>
              <w:spacing w:after="0" w:line="252" w:lineRule="auto"/>
            </w:pPr>
            <w:r/>
            <w:r>
              <w:rPr>
                <w:rFonts w:ascii="Arial" w:hAnsi="Arial"/>
                <w:b w:val="0"/>
                <w:i w:val="0"/>
                <w:sz w:val="16"/>
              </w:rPr>
              <w:t>4x4=16 High</w:t>
            </w:r>
          </w:p>
        </w:tc>
        <w:tc>
          <w:tcPr>
            <w:tcW w:type="dxa" w:w="3024"/>
            <w:vAlign w:val="center"/>
            <w:tcMar>
              <w:top w:w="80" w:type="dxa"/>
              <w:start w:w="120" w:type="dxa"/>
              <w:bottom w:w="80" w:type="dxa"/>
              <w:end w:w="120" w:type="dxa"/>
            </w:tcMar>
            <w:shd w:fill="FFFFFF"/>
          </w:tcPr>
          <w:p>
            <w:pPr>
              <w:spacing w:after="0" w:line="252" w:lineRule="auto"/>
            </w:pPr>
            <w:r/>
            <w:r>
              <w:rPr>
                <w:rFonts w:ascii="Arial" w:hAnsi="Arial"/>
                <w:b w:val="0"/>
                <w:i w:val="0"/>
                <w:sz w:val="16"/>
              </w:rPr>
              <w:t>Read-oriented tools; client trust prompts</w:t>
            </w:r>
          </w:p>
        </w:tc>
        <w:tc>
          <w:tcPr>
            <w:tcW w:type="dxa" w:w="2520"/>
            <w:vAlign w:val="center"/>
            <w:tcMar>
              <w:top w:w="80" w:type="dxa"/>
              <w:start w:w="120" w:type="dxa"/>
              <w:bottom w:w="80" w:type="dxa"/>
              <w:end w:w="120" w:type="dxa"/>
            </w:tcMar>
            <w:shd w:fill="FFFFFF"/>
          </w:tcPr>
          <w:p>
            <w:pPr>
              <w:spacing w:after="0" w:line="252" w:lineRule="auto"/>
            </w:pPr>
            <w:r/>
            <w:r>
              <w:rPr>
                <w:rFonts w:ascii="Arial" w:hAnsi="Arial"/>
                <w:b w:val="0"/>
                <w:i w:val="0"/>
                <w:sz w:val="16"/>
              </w:rPr>
              <w:t>2x4=8 Moderate with isolation and output validation</w:t>
            </w:r>
          </w:p>
        </w:tc>
      </w:tr>
      <w:tr>
        <w:trPr>
          <w:cantSplit/>
        </w:trPr>
        <w:tc>
          <w:tcPr>
            <w:tcW w:type="dxa" w:w="2448"/>
            <w:vAlign w:val="center"/>
            <w:tcMar>
              <w:top w:w="80" w:type="dxa"/>
              <w:start w:w="120" w:type="dxa"/>
              <w:bottom w:w="80" w:type="dxa"/>
              <w:end w:w="120" w:type="dxa"/>
            </w:tcMar>
            <w:shd w:fill="F2F4F7"/>
          </w:tcPr>
          <w:p>
            <w:pPr>
              <w:spacing w:after="0" w:line="252" w:lineRule="auto"/>
            </w:pPr>
            <w:r/>
            <w:r>
              <w:rPr>
                <w:rFonts w:ascii="Arial" w:hAnsi="Arial"/>
                <w:b w:val="0"/>
                <w:i w:val="0"/>
                <w:sz w:val="16"/>
              </w:rPr>
              <w:t>Tool-schema/description rug pull</w:t>
            </w:r>
          </w:p>
        </w:tc>
        <w:tc>
          <w:tcPr>
            <w:tcW w:type="dxa" w:w="1224"/>
            <w:vAlign w:val="center"/>
            <w:tcMar>
              <w:top w:w="80" w:type="dxa"/>
              <w:start w:w="120" w:type="dxa"/>
              <w:bottom w:w="80" w:type="dxa"/>
              <w:end w:w="120" w:type="dxa"/>
            </w:tcMar>
            <w:shd w:fill="F2F4F7"/>
          </w:tcPr>
          <w:p>
            <w:pPr>
              <w:spacing w:after="0" w:line="252" w:lineRule="auto"/>
            </w:pPr>
            <w:r/>
            <w:r>
              <w:rPr>
                <w:rFonts w:ascii="Arial" w:hAnsi="Arial"/>
                <w:b w:val="0"/>
                <w:i w:val="0"/>
                <w:sz w:val="16"/>
              </w:rPr>
              <w:t>3x4=12 High</w:t>
            </w:r>
          </w:p>
        </w:tc>
        <w:tc>
          <w:tcPr>
            <w:tcW w:type="dxa" w:w="3024"/>
            <w:vAlign w:val="center"/>
            <w:tcMar>
              <w:top w:w="80" w:type="dxa"/>
              <w:start w:w="120" w:type="dxa"/>
              <w:bottom w:w="80" w:type="dxa"/>
              <w:end w:w="120" w:type="dxa"/>
            </w:tcMar>
            <w:shd w:fill="F2F4F7"/>
          </w:tcPr>
          <w:p>
            <w:pPr>
              <w:spacing w:after="0" w:line="252" w:lineRule="auto"/>
            </w:pPr>
            <w:r/>
            <w:r>
              <w:rPr>
                <w:rFonts w:ascii="Arial" w:hAnsi="Arial"/>
                <w:b w:val="0"/>
                <w:i w:val="0"/>
                <w:sz w:val="16"/>
              </w:rPr>
              <w:t>Dynamic discovery and client controls</w:t>
            </w:r>
          </w:p>
        </w:tc>
        <w:tc>
          <w:tcPr>
            <w:tcW w:type="dxa" w:w="2520"/>
            <w:vAlign w:val="center"/>
            <w:tcMar>
              <w:top w:w="80" w:type="dxa"/>
              <w:start w:w="120" w:type="dxa"/>
              <w:bottom w:w="80" w:type="dxa"/>
              <w:end w:w="120" w:type="dxa"/>
            </w:tcMar>
            <w:shd w:fill="F2F4F7"/>
          </w:tcPr>
          <w:p>
            <w:pPr>
              <w:spacing w:after="0" w:line="252" w:lineRule="auto"/>
            </w:pPr>
            <w:r/>
            <w:r>
              <w:rPr>
                <w:rFonts w:ascii="Arial" w:hAnsi="Arial"/>
                <w:b w:val="0"/>
                <w:i w:val="0"/>
                <w:sz w:val="16"/>
              </w:rPr>
              <w:t>2x3=6 Moderate after change quarantine</w:t>
            </w:r>
          </w:p>
        </w:tc>
      </w:tr>
      <w:tr>
        <w:trPr>
          <w:cantSplit/>
        </w:trPr>
        <w:tc>
          <w:tcPr>
            <w:tcW w:type="dxa" w:w="2448"/>
            <w:vAlign w:val="center"/>
            <w:tcMar>
              <w:top w:w="80" w:type="dxa"/>
              <w:start w:w="120" w:type="dxa"/>
              <w:bottom w:w="80" w:type="dxa"/>
              <w:end w:w="120" w:type="dxa"/>
            </w:tcMar>
            <w:shd w:fill="FFFFFF"/>
          </w:tcPr>
          <w:p>
            <w:pPr>
              <w:spacing w:after="0" w:line="252" w:lineRule="auto"/>
            </w:pPr>
            <w:r/>
            <w:r>
              <w:rPr>
                <w:rFonts w:ascii="Arial" w:hAnsi="Arial"/>
                <w:b w:val="0"/>
                <w:i w:val="0"/>
                <w:sz w:val="16"/>
              </w:rPr>
              <w:t>Unsafe code sample adopted/executed</w:t>
            </w:r>
          </w:p>
        </w:tc>
        <w:tc>
          <w:tcPr>
            <w:tcW w:type="dxa" w:w="1224"/>
            <w:vAlign w:val="center"/>
            <w:tcMar>
              <w:top w:w="80" w:type="dxa"/>
              <w:start w:w="120" w:type="dxa"/>
              <w:bottom w:w="80" w:type="dxa"/>
              <w:end w:w="120" w:type="dxa"/>
            </w:tcMar>
            <w:shd w:fill="FFFFFF"/>
          </w:tcPr>
          <w:p>
            <w:pPr>
              <w:spacing w:after="0" w:line="252" w:lineRule="auto"/>
            </w:pPr>
            <w:r/>
            <w:r>
              <w:rPr>
                <w:rFonts w:ascii="Arial" w:hAnsi="Arial"/>
                <w:b w:val="0"/>
                <w:i w:val="0"/>
                <w:sz w:val="16"/>
              </w:rPr>
              <w:t>3x4=12 High</w:t>
            </w:r>
          </w:p>
        </w:tc>
        <w:tc>
          <w:tcPr>
            <w:tcW w:type="dxa" w:w="3024"/>
            <w:vAlign w:val="center"/>
            <w:tcMar>
              <w:top w:w="80" w:type="dxa"/>
              <w:start w:w="120" w:type="dxa"/>
              <w:bottom w:w="80" w:type="dxa"/>
              <w:end w:w="120" w:type="dxa"/>
            </w:tcMar>
            <w:shd w:fill="FFFFFF"/>
          </w:tcPr>
          <w:p>
            <w:pPr>
              <w:spacing w:after="0" w:line="252" w:lineRule="auto"/>
            </w:pPr>
            <w:r/>
            <w:r>
              <w:rPr>
                <w:rFonts w:ascii="Arial" w:hAnsi="Arial"/>
                <w:b w:val="0"/>
                <w:i w:val="0"/>
                <w:sz w:val="16"/>
              </w:rPr>
              <w:t>Human review and normal SDLC controls</w:t>
            </w:r>
          </w:p>
        </w:tc>
        <w:tc>
          <w:tcPr>
            <w:tcW w:type="dxa" w:w="2520"/>
            <w:vAlign w:val="center"/>
            <w:tcMar>
              <w:top w:w="80" w:type="dxa"/>
              <w:start w:w="120" w:type="dxa"/>
              <w:bottom w:w="80" w:type="dxa"/>
              <w:end w:w="120" w:type="dxa"/>
            </w:tcMar>
            <w:shd w:fill="FFFFFF"/>
          </w:tcPr>
          <w:p>
            <w:pPr>
              <w:spacing w:after="0" w:line="252" w:lineRule="auto"/>
            </w:pPr>
            <w:r/>
            <w:r>
              <w:rPr>
                <w:rFonts w:ascii="Arial" w:hAnsi="Arial"/>
                <w:b w:val="0"/>
                <w:i w:val="0"/>
                <w:sz w:val="16"/>
              </w:rPr>
              <w:t>2x3=6 Moderate</w:t>
            </w:r>
          </w:p>
        </w:tc>
      </w:tr>
      <w:tr>
        <w:trPr>
          <w:cantSplit/>
        </w:trPr>
        <w:tc>
          <w:tcPr>
            <w:tcW w:type="dxa" w:w="2448"/>
            <w:vAlign w:val="center"/>
            <w:tcMar>
              <w:top w:w="80" w:type="dxa"/>
              <w:start w:w="120" w:type="dxa"/>
              <w:bottom w:w="80" w:type="dxa"/>
              <w:end w:w="120" w:type="dxa"/>
            </w:tcMar>
            <w:shd w:fill="F2F4F7"/>
          </w:tcPr>
          <w:p>
            <w:pPr>
              <w:spacing w:after="0" w:line="252" w:lineRule="auto"/>
            </w:pPr>
            <w:r/>
            <w:r>
              <w:rPr>
                <w:rFonts w:ascii="Arial" w:hAnsi="Arial"/>
                <w:b w:val="0"/>
                <w:i w:val="0"/>
                <w:sz w:val="16"/>
              </w:rPr>
              <w:t>Shadow/unapproved MCP configuration</w:t>
            </w:r>
          </w:p>
        </w:tc>
        <w:tc>
          <w:tcPr>
            <w:tcW w:type="dxa" w:w="1224"/>
            <w:vAlign w:val="center"/>
            <w:tcMar>
              <w:top w:w="80" w:type="dxa"/>
              <w:start w:w="120" w:type="dxa"/>
              <w:bottom w:w="80" w:type="dxa"/>
              <w:end w:w="120" w:type="dxa"/>
            </w:tcMar>
            <w:shd w:fill="F2F4F7"/>
          </w:tcPr>
          <w:p>
            <w:pPr>
              <w:spacing w:after="0" w:line="252" w:lineRule="auto"/>
            </w:pPr>
            <w:r/>
            <w:r>
              <w:rPr>
                <w:rFonts w:ascii="Arial" w:hAnsi="Arial"/>
                <w:b w:val="0"/>
                <w:i w:val="0"/>
                <w:sz w:val="16"/>
              </w:rPr>
              <w:t>3x4=12 High</w:t>
            </w:r>
          </w:p>
        </w:tc>
        <w:tc>
          <w:tcPr>
            <w:tcW w:type="dxa" w:w="3024"/>
            <w:vAlign w:val="center"/>
            <w:tcMar>
              <w:top w:w="80" w:type="dxa"/>
              <w:start w:w="120" w:type="dxa"/>
              <w:bottom w:w="80" w:type="dxa"/>
              <w:end w:w="120" w:type="dxa"/>
            </w:tcMar>
            <w:shd w:fill="F2F4F7"/>
          </w:tcPr>
          <w:p>
            <w:pPr>
              <w:spacing w:after="0" w:line="252" w:lineRule="auto"/>
            </w:pPr>
            <w:r/>
            <w:r>
              <w:rPr>
                <w:rFonts w:ascii="Arial" w:hAnsi="Arial"/>
                <w:b w:val="0"/>
                <w:i w:val="0"/>
                <w:sz w:val="16"/>
              </w:rPr>
              <w:t>Enterprise allowlist/config review</w:t>
            </w:r>
          </w:p>
        </w:tc>
        <w:tc>
          <w:tcPr>
            <w:tcW w:type="dxa" w:w="2520"/>
            <w:vAlign w:val="center"/>
            <w:tcMar>
              <w:top w:w="80" w:type="dxa"/>
              <w:start w:w="120" w:type="dxa"/>
              <w:bottom w:w="80" w:type="dxa"/>
              <w:end w:w="120" w:type="dxa"/>
            </w:tcMar>
            <w:shd w:fill="F2F4F7"/>
          </w:tcPr>
          <w:p>
            <w:pPr>
              <w:spacing w:after="0" w:line="252" w:lineRule="auto"/>
            </w:pPr>
            <w:r/>
            <w:r>
              <w:rPr>
                <w:rFonts w:ascii="Arial" w:hAnsi="Arial"/>
                <w:b w:val="0"/>
                <w:i w:val="0"/>
                <w:sz w:val="16"/>
              </w:rPr>
              <w:t>2x3=6 Moderate</w:t>
            </w:r>
          </w:p>
        </w:tc>
      </w:tr>
      <w:tr>
        <w:trPr>
          <w:cantSplit/>
        </w:trPr>
        <w:tc>
          <w:tcPr>
            <w:tcW w:type="dxa" w:w="2448"/>
            <w:vAlign w:val="center"/>
            <w:tcMar>
              <w:top w:w="80" w:type="dxa"/>
              <w:start w:w="120" w:type="dxa"/>
              <w:bottom w:w="80" w:type="dxa"/>
              <w:end w:w="120" w:type="dxa"/>
            </w:tcMar>
            <w:shd w:fill="FFFFFF"/>
          </w:tcPr>
          <w:p>
            <w:pPr>
              <w:spacing w:after="0" w:line="252" w:lineRule="auto"/>
            </w:pPr>
            <w:r/>
            <w:r>
              <w:rPr>
                <w:rFonts w:ascii="Arial" w:hAnsi="Arial"/>
                <w:b w:val="0"/>
                <w:i w:val="0"/>
                <w:sz w:val="16"/>
              </w:rPr>
              <w:t>Service outage or undocumented change</w:t>
            </w:r>
          </w:p>
        </w:tc>
        <w:tc>
          <w:tcPr>
            <w:tcW w:type="dxa" w:w="1224"/>
            <w:vAlign w:val="center"/>
            <w:tcMar>
              <w:top w:w="80" w:type="dxa"/>
              <w:start w:w="120" w:type="dxa"/>
              <w:bottom w:w="80" w:type="dxa"/>
              <w:end w:w="120" w:type="dxa"/>
            </w:tcMar>
            <w:shd w:fill="FFFFFF"/>
          </w:tcPr>
          <w:p>
            <w:pPr>
              <w:spacing w:after="0" w:line="252" w:lineRule="auto"/>
            </w:pPr>
            <w:r/>
            <w:r>
              <w:rPr>
                <w:rFonts w:ascii="Arial" w:hAnsi="Arial"/>
                <w:b w:val="0"/>
                <w:i w:val="0"/>
                <w:sz w:val="16"/>
              </w:rPr>
              <w:t>3x3=9 Moderate</w:t>
            </w:r>
          </w:p>
        </w:tc>
        <w:tc>
          <w:tcPr>
            <w:tcW w:type="dxa" w:w="3024"/>
            <w:vAlign w:val="center"/>
            <w:tcMar>
              <w:top w:w="80" w:type="dxa"/>
              <w:start w:w="120" w:type="dxa"/>
              <w:bottom w:w="80" w:type="dxa"/>
              <w:end w:w="120" w:type="dxa"/>
            </w:tcMar>
            <w:shd w:fill="FFFFFF"/>
          </w:tcPr>
          <w:p>
            <w:pPr>
              <w:spacing w:after="0" w:line="252" w:lineRule="auto"/>
            </w:pPr>
            <w:r/>
            <w:r>
              <w:rPr>
                <w:rFonts w:ascii="Arial" w:hAnsi="Arial"/>
                <w:b w:val="0"/>
                <w:i w:val="0"/>
                <w:sz w:val="16"/>
              </w:rPr>
              <w:t>Public docs fallback/exit plan</w:t>
            </w:r>
          </w:p>
        </w:tc>
        <w:tc>
          <w:tcPr>
            <w:tcW w:type="dxa" w:w="2520"/>
            <w:vAlign w:val="center"/>
            <w:tcMar>
              <w:top w:w="80" w:type="dxa"/>
              <w:start w:w="120" w:type="dxa"/>
              <w:bottom w:w="80" w:type="dxa"/>
              <w:end w:w="120" w:type="dxa"/>
            </w:tcMar>
            <w:shd w:fill="FFFFFF"/>
          </w:tcPr>
          <w:p>
            <w:pPr>
              <w:spacing w:after="0" w:line="252" w:lineRule="auto"/>
            </w:pPr>
            <w:r/>
            <w:r>
              <w:rPr>
                <w:rFonts w:ascii="Arial" w:hAnsi="Arial"/>
                <w:b w:val="0"/>
                <w:i w:val="0"/>
                <w:sz w:val="16"/>
              </w:rPr>
              <w:t>2x3=6 Moderate</w:t>
            </w:r>
          </w:p>
        </w:tc>
      </w:tr>
    </w:tbl>
    <w:p>
      <w:pPr>
        <w:spacing w:after="20"/>
      </w:pPr>
    </w:p>
    <w:p>
      <w:pPr>
        <w:pStyle w:val="Heading2"/>
      </w:pPr>
      <w:r>
        <w:t>Framework and UK-sector mapping</w:t>
      </w:r>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22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Framework/requirement</w:t>
            </w:r>
          </w:p>
        </w:tc>
        <w:tc>
          <w:tcPr>
            <w:tcW w:type="dxa" w:w="698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Application to this IDE</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OWASP LLM 2025</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LLM01 injection; LLM02 disclosure; LLM03 supply chain; LLM05 output handling; LLM06 agency; LLM09 misinformation; LLM10 consumption.</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OWASP MCP beta v0.1</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MCP03 tool poisoning; MCP04 supply chain; MCP06 intent-flow subversion; MCP07 auth; MCP08 audit; MCP09 shadow servers; MCP10 over-sharing.</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OWASP Agentic 2026</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ASI01 goal hijack; ASI02 tool misuse; ASI04 supply chain; ASI05 code execution; ASI06 context poisoning; ASI09 human trust.</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NIST AI RMF / AI 600-1</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GOVERN owner/policy; MAP data flow; MEASURE leakage/injection/logging; MANAGE allowlist, review, incident and re-evaluation.</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MITRE ATLAS</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Prompt/context/tool poisoning, supply-chain rug pull, data from AI services, leakage and response rendering.</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CIS v8.1 / ISO 27001:2022</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Asset/service inventory, data protection, secure config, access, logging, network monitoring, supplier management, incident and exit controls.</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FCA/PRA</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Determine outsourcing/materiality; manage third-party capability, data security, audit, resilience, concentration and exit where applicable.</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UK GDPR / ICO</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Apply lawfulness, transparency, minimisation, privacy by design, security and DPIA screening when personal data is processed.</w:t>
            </w:r>
          </w:p>
        </w:tc>
      </w:tr>
    </w:tbl>
    <w:p>
      <w:pPr>
        <w:spacing w:after="20"/>
      </w:pPr>
    </w:p>
    <w:p>
      <w:pPr>
        <w:pStyle w:val="Heading2"/>
      </w:pPr>
      <w:r>
        <w:t>Enterprise controls, residual risk and verification</w:t>
      </w:r>
    </w:p>
    <w:p>
      <w:pPr>
        <w:pStyle w:val="ListBullet"/>
      </w:pPr>
      <w:r>
        <w:rPr>
          <w:rFonts w:ascii="Arial" w:hAnsi="Arial"/>
          <w:b w:val="0"/>
          <w:i w:val="0"/>
          <w:sz w:val="21"/>
        </w:rPr>
        <w:t>Owner: Engineering Security. Enforce endpoint and client allowlist, deny unmanaged MCPs, require change review of configuration.</w:t>
      </w:r>
    </w:p>
    <w:p>
      <w:pPr>
        <w:pStyle w:val="ListBullet"/>
      </w:pPr>
      <w:r>
        <w:rPr>
          <w:rFonts w:ascii="Arial" w:hAnsi="Arial"/>
          <w:b w:val="0"/>
          <w:i w:val="0"/>
          <w:sz w:val="21"/>
        </w:rPr>
        <w:t>Owner: Data Protection/Legal. Resolve terms, data-flow, retention, residency, subprocessors, training use, DPA and transfer questions.</w:t>
      </w:r>
    </w:p>
    <w:p>
      <w:pPr>
        <w:pStyle w:val="ListBullet"/>
      </w:pPr>
      <w:r>
        <w:rPr>
          <w:rFonts w:ascii="Arial" w:hAnsi="Arial"/>
          <w:b w:val="0"/>
          <w:i w:val="0"/>
          <w:sz w:val="21"/>
        </w:rPr>
        <w:t>Owner: Developer Platform. Disable auto-approval, enforce per-tool confirmation, context minimisation and payload-DLP policy.</w:t>
      </w:r>
    </w:p>
    <w:p>
      <w:pPr>
        <w:pStyle w:val="ListBullet"/>
      </w:pPr>
      <w:r>
        <w:rPr>
          <w:rFonts w:ascii="Arial" w:hAnsi="Arial"/>
          <w:b w:val="0"/>
          <w:i w:val="0"/>
          <w:sz w:val="21"/>
        </w:rPr>
        <w:t>Owner: SOC. Monitor server identity/tool-schema change and anomalous invocation counts without collecting sensitive payloads.</w:t>
      </w:r>
    </w:p>
    <w:p>
      <w:pPr>
        <w:pStyle w:val="ListBullet"/>
      </w:pPr>
      <w:r>
        <w:rPr>
          <w:rFonts w:ascii="Arial" w:hAnsi="Arial"/>
          <w:b w:val="0"/>
          <w:i w:val="0"/>
          <w:sz w:val="21"/>
        </w:rPr>
        <w:t>Owner: Application teams. Treat responses as untrusted, verify citations/version and perform secure code review before adoption.</w:t>
      </w:r>
    </w:p>
    <w:p>
      <w:pPr>
        <w:pStyle w:val="ListBullet"/>
      </w:pPr>
      <w:r>
        <w:rPr>
          <w:rFonts w:ascii="Arial" w:hAnsi="Arial"/>
          <w:b w:val="0"/>
          <w:i w:val="0"/>
          <w:sz w:val="21"/>
        </w:rPr>
        <w:t>Unknown/host test: exact Visual Studio build and built-in MCP implementation; allowlist policy enforcement; Agent Mode policy; root/submodule exclusion behavior; invocation logging; configuration and trust-state removal; actual outbound payload and destination (runtime approval required).</w:t>
      </w:r>
    </w:p>
    <w:p>
      <w:r>
        <w:rPr>
          <w:rFonts w:ascii="Arial" w:hAnsi="Arial"/>
          <w:b w:val="0"/>
          <w:i w:val="0"/>
          <w:sz w:val="21"/>
        </w:rPr>
        <w:t>Approval expires 13 January 2027 or earlier on a tool/schema, terms/privacy, client-policy, incident, material-use or regulatory change. Unresolved blockers must remain open; scanner output alone is not approval.</w:t>
      </w:r>
    </w:p>
    <w:p>
      <w:r>
        <w:br w:type="page"/>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Blocked: no disposable representative Windows 11/macOS VS Code or Windows 11 Visual Studio host was available; this limitation is not treated as a passed control. No bundled Agent Skill was found in the assessed installation surface unless the product-specific section states otherwise.</w:t>
      </w:r>
    </w:p>
    <w:p>
      <w:bookmarkStart w:id="1131" w:name="SKILLS"/>
      <w:pPr>
        <w:pStyle w:val="Heading1"/>
      </w:pPr>
      <w:r>
        <w:t>Part III - Optional installed Agent Skills</w:t>
      </w:r>
      <w:bookmarkEnd w:id="1131"/>
    </w:p>
    <w:p>
      <w:r>
        <w:rPr>
          <w:rFonts w:ascii="Arial" w:hAnsi="Arial"/>
          <w:b w:val="0"/>
          <w:i w:val="0"/>
          <w:sz w:val="21"/>
        </w:rPr>
        <w:t>The repository documents three optional portable Agent Skills in a compatible-client plugin. They are not MCP tools and are not required for direct VS Code or Visual Studio endpoint use. VS Code Insiders support is documented; equivalent Visual Studio skill installation was not verified. No skill was installed or executed during this assessment.</w:t>
      </w:r>
      <w:r>
        <w:t xml:space="preserve"> </w:t>
      </w:r>
      <w:hyperlink w:anchor="REF_006" w:history="1">
        <w:r>
          <w:rPr>
            <w:color w:val="2E74B5"/>
            <w:u w:val="single"/>
          </w:rPr>
          <w:t>[REF-006]</w:t>
        </w:r>
      </w:hyperlink>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194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Skill</w:t>
            </w:r>
          </w:p>
        </w:tc>
        <w:tc>
          <w:tcPr>
            <w:tcW w:type="dxa" w:w="22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Purpose</w:t>
            </w:r>
          </w:p>
        </w:tc>
        <w:tc>
          <w:tcPr>
            <w:tcW w:type="dxa" w:w="352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Key risks</w:t>
            </w:r>
          </w:p>
        </w:tc>
        <w:tc>
          <w:tcPr>
            <w:tcW w:type="dxa" w:w="165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Disposition</w:t>
            </w:r>
          </w:p>
        </w:tc>
      </w:tr>
      <w:tr>
        <w:trPr>
          <w:cantSplit/>
        </w:trPr>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microsoft-docs</w:t>
            </w:r>
          </w:p>
        </w:tc>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Guidance for concepts/tutorials and use of docs tools</w:t>
            </w:r>
          </w:p>
        </w:tc>
        <w:tc>
          <w:tcPr>
            <w:tcW w:type="dxa" w:w="3528"/>
            <w:vAlign w:val="center"/>
            <w:tcMar>
              <w:top w:w="80" w:type="dxa"/>
              <w:start w:w="120" w:type="dxa"/>
              <w:bottom w:w="80" w:type="dxa"/>
              <w:end w:w="120" w:type="dxa"/>
            </w:tcMar>
            <w:shd w:fill="F2F4F7"/>
          </w:tcPr>
          <w:p>
            <w:pPr>
              <w:spacing w:after="0" w:line="252" w:lineRule="auto"/>
            </w:pPr>
            <w:r/>
            <w:r>
              <w:rPr>
                <w:rFonts w:ascii="Arial" w:hAnsi="Arial"/>
                <w:b w:val="0"/>
                <w:i w:val="0"/>
                <w:sz w:val="16"/>
              </w:rPr>
              <w:t>Broad triggers, retrieved-content injection, external references, disclosure through queries</w:t>
            </w:r>
          </w:p>
        </w:tc>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Approve with same endpoint/data controls after byte-level review of exact commit.</w:t>
            </w:r>
          </w:p>
        </w:tc>
      </w:tr>
      <w:tr>
        <w:trPr>
          <w:cantSplit/>
        </w:trPr>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microsoft-code-reference</w:t>
            </w:r>
          </w:p>
        </w:tc>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API/sample lookup and troubleshooting</w:t>
            </w:r>
          </w:p>
        </w:tc>
        <w:tc>
          <w:tcPr>
            <w:tcW w:type="dxa" w:w="3528"/>
            <w:vAlign w:val="center"/>
            <w:tcMar>
              <w:top w:w="80" w:type="dxa"/>
              <w:start w:w="120" w:type="dxa"/>
              <w:bottom w:w="80" w:type="dxa"/>
              <w:end w:w="120" w:type="dxa"/>
            </w:tcMar>
            <w:shd w:fill="FFFFFF"/>
          </w:tcPr>
          <w:p>
            <w:pPr>
              <w:spacing w:after="0" w:line="252" w:lineRule="auto"/>
            </w:pPr>
            <w:r/>
            <w:r>
              <w:rPr>
                <w:rFonts w:ascii="Arial" w:hAnsi="Arial"/>
                <w:b w:val="0"/>
                <w:i w:val="0"/>
                <w:sz w:val="16"/>
              </w:rPr>
              <w:t>Unsafe sample adoption, query leakage, prompt/context injection</w:t>
            </w:r>
          </w:p>
        </w:tc>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Approve with conditions; secure review and tests before code use.</w:t>
            </w:r>
          </w:p>
        </w:tc>
      </w:tr>
      <w:tr>
        <w:trPr>
          <w:cantSplit/>
        </w:trPr>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microsoft-skill-creator</w:t>
            </w:r>
          </w:p>
        </w:tc>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Generates custom skills</w:t>
            </w:r>
          </w:p>
        </w:tc>
        <w:tc>
          <w:tcPr>
            <w:tcW w:type="dxa" w:w="3528"/>
            <w:vAlign w:val="center"/>
            <w:tcMar>
              <w:top w:w="80" w:type="dxa"/>
              <w:start w:w="120" w:type="dxa"/>
              <w:bottom w:w="80" w:type="dxa"/>
              <w:end w:w="120" w:type="dxa"/>
            </w:tcMar>
            <w:shd w:fill="F2F4F7"/>
          </w:tcPr>
          <w:p>
            <w:pPr>
              <w:spacing w:after="0" w:line="252" w:lineRule="auto"/>
            </w:pPr>
            <w:r/>
            <w:r>
              <w:rPr>
                <w:rFonts w:ascii="Arial" w:hAnsi="Arial"/>
                <w:b w:val="0"/>
                <w:i w:val="0"/>
                <w:sz w:val="16"/>
              </w:rPr>
              <w:t>Excessive agency, generated hidden/unsafe instructions, mutable references, supply-chain propagation</w:t>
            </w:r>
          </w:p>
        </w:tc>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Do not approve by default; sandbox generation and fully vet each output.</w:t>
            </w:r>
          </w:p>
        </w:tc>
      </w:tr>
    </w:tbl>
    <w:p>
      <w:pPr>
        <w:spacing w:after="20"/>
      </w:pPr>
    </w:p>
    <w:p>
      <w:pPr>
        <w:pStyle w:val="Heading2"/>
      </w:pPr>
      <w:r>
        <w:t>Common skill controls</w:t>
      </w:r>
    </w:p>
    <w:p>
      <w:pPr>
        <w:pStyle w:val="ListBullet"/>
      </w:pPr>
      <w:r>
        <w:rPr>
          <w:rFonts w:ascii="Arial" w:hAnsi="Arial"/>
          <w:b w:val="0"/>
          <w:i w:val="0"/>
          <w:sz w:val="21"/>
        </w:rPr>
        <w:t>Pin the exact repository commit/archive hash; verify publisher, licence and all transitive SKILL.md, references, templates, scripts and external links.</w:t>
      </w:r>
    </w:p>
    <w:p>
      <w:pPr>
        <w:pStyle w:val="ListBullet"/>
      </w:pPr>
      <w:r>
        <w:rPr>
          <w:rFonts w:ascii="Arial" w:hAnsi="Arial"/>
          <w:b w:val="0"/>
          <w:i w:val="0"/>
          <w:sz w:val="21"/>
        </w:rPr>
        <w:t>Do not execute bundled scripts unless separately authorised in an isolated environment.</w:t>
      </w:r>
    </w:p>
    <w:p>
      <w:pPr>
        <w:pStyle w:val="ListBullet"/>
      </w:pPr>
      <w:r>
        <w:rPr>
          <w:rFonts w:ascii="Arial" w:hAnsi="Arial"/>
          <w:b w:val="0"/>
          <w:i w:val="0"/>
          <w:sz w:val="21"/>
        </w:rPr>
        <w:t>Review trigger breadth, instruction hierarchy, hidden/encoded content, approval bypass, destructive actions, privilege, telemetry, secrets and exfiltration.</w:t>
      </w:r>
    </w:p>
    <w:p>
      <w:pPr>
        <w:pStyle w:val="ListBullet"/>
      </w:pPr>
      <w:r>
        <w:rPr>
          <w:rFonts w:ascii="Arial" w:hAnsi="Arial"/>
          <w:b w:val="0"/>
          <w:i w:val="0"/>
          <w:sz w:val="21"/>
        </w:rPr>
        <w:t>Treat generated configuration and remote references as untrusted; fail closed on missing pins, hash mismatch or new tool scope.</w:t>
      </w:r>
    </w:p>
    <w:p>
      <w:pPr>
        <w:pStyle w:val="ListBullet"/>
      </w:pPr>
      <w:r>
        <w:rPr>
          <w:rFonts w:ascii="Arial" w:hAnsi="Arial"/>
          <w:b w:val="0"/>
          <w:i w:val="0"/>
          <w:sz w:val="21"/>
        </w:rPr>
        <w:t>Remove skill directories/configuration and verify no user-global or repository-local residue when approval is withdrawn.</w:t>
      </w:r>
    </w:p>
    <w:p>
      <w:bookmarkStart w:id="1140" w:name="CONSOLIDATED"/>
      <w:pPr>
        <w:pStyle w:val="Heading1"/>
      </w:pPr>
      <w:r>
        <w:t>Cross-IDE and consolidated assessment</w:t>
      </w:r>
      <w:bookmarkEnd w:id="1140"/>
    </w:p>
    <w:p>
      <w:pPr>
        <w:pStyle w:val="Heading2"/>
      </w:pPr>
      <w:r>
        <w:t>Cross-IDE comparison</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94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Area</w:t>
            </w:r>
          </w:p>
        </w:tc>
        <w:tc>
          <w:tcPr>
            <w:tcW w:type="dxa" w:w="367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VS Code</w:t>
            </w:r>
          </w:p>
        </w:tc>
        <w:tc>
          <w:tcPr>
            <w:tcW w:type="dxa" w:w="367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Visual Studio</w:t>
            </w:r>
          </w:p>
        </w:tc>
      </w:tr>
      <w:tr>
        <w:trPr>
          <w:cantSplit/>
        </w:trPr>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Service model</w:t>
            </w:r>
          </w:p>
        </w:tc>
        <w:tc>
          <w:tcPr>
            <w:tcW w:type="dxa" w:w="3672"/>
            <w:vAlign w:val="center"/>
            <w:tcMar>
              <w:top w:w="80" w:type="dxa"/>
              <w:start w:w="120" w:type="dxa"/>
              <w:bottom w:w="80" w:type="dxa"/>
              <w:end w:w="120" w:type="dxa"/>
            </w:tcMar>
            <w:shd w:fill="F2F4F7"/>
          </w:tcPr>
          <w:p>
            <w:pPr>
              <w:spacing w:after="0" w:line="252" w:lineRule="auto"/>
            </w:pPr>
            <w:r/>
            <w:r>
              <w:rPr>
                <w:rFonts w:ascii="Arial" w:hAnsi="Arial"/>
                <w:b w:val="0"/>
                <w:i w:val="0"/>
                <w:sz w:val="16"/>
              </w:rPr>
              <w:t>Remote endpoint; user/workspace config</w:t>
            </w:r>
          </w:p>
        </w:tc>
        <w:tc>
          <w:tcPr>
            <w:tcW w:type="dxa" w:w="3672"/>
            <w:vAlign w:val="center"/>
            <w:tcMar>
              <w:top w:w="80" w:type="dxa"/>
              <w:start w:w="120" w:type="dxa"/>
              <w:bottom w:w="80" w:type="dxa"/>
              <w:end w:w="120" w:type="dxa"/>
            </w:tcMar>
            <w:shd w:fill="F2F4F7"/>
          </w:tcPr>
          <w:p>
            <w:pPr>
              <w:spacing w:after="0" w:line="252" w:lineRule="auto"/>
            </w:pPr>
            <w:r/>
            <w:r>
              <w:rPr>
                <w:rFonts w:ascii="Arial" w:hAnsi="Arial"/>
                <w:b w:val="0"/>
                <w:i w:val="0"/>
                <w:sz w:val="16"/>
              </w:rPr>
              <w:t>Remote endpoint; built-in and user/solution config</w:t>
            </w:r>
          </w:p>
        </w:tc>
      </w:tr>
      <w:tr>
        <w:trPr>
          <w:cantSplit/>
        </w:trPr>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Primary config risk</w:t>
            </w:r>
          </w:p>
        </w:tc>
        <w:tc>
          <w:tcPr>
            <w:tcW w:type="dxa" w:w="3672"/>
            <w:vAlign w:val="center"/>
            <w:tcMar>
              <w:top w:w="80" w:type="dxa"/>
              <w:start w:w="120" w:type="dxa"/>
              <w:bottom w:w="80" w:type="dxa"/>
              <w:end w:w="120" w:type="dxa"/>
            </w:tcMar>
            <w:shd w:fill="FFFFFF"/>
          </w:tcPr>
          <w:p>
            <w:pPr>
              <w:spacing w:after="0" w:line="252" w:lineRule="auto"/>
            </w:pPr>
            <w:r/>
            <w:r>
              <w:rPr>
                <w:rFonts w:ascii="Arial" w:hAnsi="Arial"/>
                <w:b w:val="0"/>
                <w:i w:val="0"/>
                <w:sz w:val="16"/>
              </w:rPr>
              <w:t>.vscode/mcp.json can be repository supplied</w:t>
            </w:r>
          </w:p>
        </w:tc>
        <w:tc>
          <w:tcPr>
            <w:tcW w:type="dxa" w:w="3672"/>
            <w:vAlign w:val="center"/>
            <w:tcMar>
              <w:top w:w="80" w:type="dxa"/>
              <w:start w:w="120" w:type="dxa"/>
              <w:bottom w:w="80" w:type="dxa"/>
              <w:end w:w="120" w:type="dxa"/>
            </w:tcMar>
            <w:shd w:fill="FFFFFF"/>
          </w:tcPr>
          <w:p>
            <w:pPr>
              <w:spacing w:after="0" w:line="252" w:lineRule="auto"/>
            </w:pPr>
            <w:r/>
            <w:r>
              <w:rPr>
                <w:rFonts w:ascii="Arial" w:hAnsi="Arial"/>
                <w:b w:val="0"/>
                <w:i w:val="0"/>
                <w:sz w:val="16"/>
              </w:rPr>
              <w:t>.mcp.json can be solution supplied</w:t>
            </w:r>
          </w:p>
        </w:tc>
      </w:tr>
      <w:tr>
        <w:trPr>
          <w:cantSplit/>
        </w:trPr>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Tool control</w:t>
            </w:r>
          </w:p>
        </w:tc>
        <w:tc>
          <w:tcPr>
            <w:tcW w:type="dxa" w:w="3672"/>
            <w:vAlign w:val="center"/>
            <w:tcMar>
              <w:top w:w="80" w:type="dxa"/>
              <w:start w:w="120" w:type="dxa"/>
              <w:bottom w:w="80" w:type="dxa"/>
              <w:end w:w="120" w:type="dxa"/>
            </w:tcMar>
            <w:shd w:fill="F2F4F7"/>
          </w:tcPr>
          <w:p>
            <w:pPr>
              <w:spacing w:after="0" w:line="252" w:lineRule="auto"/>
            </w:pPr>
            <w:r/>
            <w:r>
              <w:rPr>
                <w:rFonts w:ascii="Arial" w:hAnsi="Arial"/>
                <w:b w:val="0"/>
                <w:i w:val="0"/>
                <w:sz w:val="16"/>
              </w:rPr>
              <w:t>Trust, disablement, confirmation and enterprise policy</w:t>
            </w:r>
          </w:p>
        </w:tc>
        <w:tc>
          <w:tcPr>
            <w:tcW w:type="dxa" w:w="3672"/>
            <w:vAlign w:val="center"/>
            <w:tcMar>
              <w:top w:w="80" w:type="dxa"/>
              <w:start w:w="120" w:type="dxa"/>
              <w:bottom w:w="80" w:type="dxa"/>
              <w:end w:w="120" w:type="dxa"/>
            </w:tcMar>
            <w:shd w:fill="F2F4F7"/>
          </w:tcPr>
          <w:p>
            <w:pPr>
              <w:spacing w:after="0" w:line="252" w:lineRule="auto"/>
            </w:pPr>
            <w:r/>
            <w:r>
              <w:rPr>
                <w:rFonts w:ascii="Arial" w:hAnsi="Arial"/>
                <w:b w:val="0"/>
                <w:i w:val="0"/>
                <w:sz w:val="16"/>
              </w:rPr>
              <w:t>Tools disabled by default; acceptance reset on list change</w:t>
            </w:r>
          </w:p>
        </w:tc>
      </w:tr>
      <w:tr>
        <w:trPr>
          <w:cantSplit/>
        </w:trPr>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Enterprise policy</w:t>
            </w:r>
          </w:p>
        </w:tc>
        <w:tc>
          <w:tcPr>
            <w:tcW w:type="dxa" w:w="3672"/>
            <w:vAlign w:val="center"/>
            <w:tcMar>
              <w:top w:w="80" w:type="dxa"/>
              <w:start w:w="120" w:type="dxa"/>
              <w:bottom w:w="80" w:type="dxa"/>
              <w:end w:w="120" w:type="dxa"/>
            </w:tcMar>
            <w:shd w:fill="FFFFFF"/>
          </w:tcPr>
          <w:p>
            <w:pPr>
              <w:spacing w:after="0" w:line="252" w:lineRule="auto"/>
            </w:pPr>
            <w:r/>
            <w:r>
              <w:rPr>
                <w:rFonts w:ascii="Arial" w:hAnsi="Arial"/>
                <w:b w:val="0"/>
                <w:i w:val="0"/>
                <w:sz w:val="16"/>
              </w:rPr>
              <w:t>MCP policy support; verify deployed plan/version</w:t>
            </w:r>
          </w:p>
        </w:tc>
        <w:tc>
          <w:tcPr>
            <w:tcW w:type="dxa" w:w="3672"/>
            <w:vAlign w:val="center"/>
            <w:tcMar>
              <w:top w:w="80" w:type="dxa"/>
              <w:start w:w="120" w:type="dxa"/>
              <w:bottom w:w="80" w:type="dxa"/>
              <w:end w:w="120" w:type="dxa"/>
            </w:tcMar>
            <w:shd w:fill="FFFFFF"/>
          </w:tcPr>
          <w:p>
            <w:pPr>
              <w:spacing w:after="0" w:line="252" w:lineRule="auto"/>
            </w:pPr>
            <w:r/>
            <w:r>
              <w:rPr>
                <w:rFonts w:ascii="Arial" w:hAnsi="Arial"/>
                <w:b w:val="0"/>
                <w:i w:val="0"/>
                <w:sz w:val="16"/>
              </w:rPr>
              <w:t>VS 2026 allowlist; VS 2022 Agent Mode administrative policy</w:t>
            </w:r>
          </w:p>
        </w:tc>
      </w:tr>
      <w:tr>
        <w:trPr>
          <w:cantSplit/>
        </w:trPr>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Content exclusions</w:t>
            </w:r>
          </w:p>
        </w:tc>
        <w:tc>
          <w:tcPr>
            <w:tcW w:type="dxa" w:w="3672"/>
            <w:vAlign w:val="center"/>
            <w:tcMar>
              <w:top w:w="80" w:type="dxa"/>
              <w:start w:w="120" w:type="dxa"/>
              <w:bottom w:w="80" w:type="dxa"/>
              <w:end w:w="120" w:type="dxa"/>
            </w:tcMar>
            <w:shd w:fill="F2F4F7"/>
          </w:tcPr>
          <w:p>
            <w:pPr>
              <w:spacing w:after="0" w:line="252" w:lineRule="auto"/>
            </w:pPr>
            <w:r/>
            <w:r>
              <w:rPr>
                <w:rFonts w:ascii="Arial" w:hAnsi="Arial"/>
                <w:b w:val="0"/>
                <w:i w:val="0"/>
                <w:sz w:val="16"/>
              </w:rPr>
              <w:t>Available; coverage must be tested</w:t>
            </w:r>
          </w:p>
        </w:tc>
        <w:tc>
          <w:tcPr>
            <w:tcW w:type="dxa" w:w="3672"/>
            <w:vAlign w:val="center"/>
            <w:tcMar>
              <w:top w:w="80" w:type="dxa"/>
              <w:start w:w="120" w:type="dxa"/>
              <w:bottom w:w="80" w:type="dxa"/>
              <w:end w:w="120" w:type="dxa"/>
            </w:tcMar>
            <w:shd w:fill="F2F4F7"/>
          </w:tcPr>
          <w:p>
            <w:pPr>
              <w:spacing w:after="0" w:line="252" w:lineRule="auto"/>
            </w:pPr>
            <w:r/>
            <w:r>
              <w:rPr>
                <w:rFonts w:ascii="Arial" w:hAnsi="Arial"/>
                <w:b w:val="0"/>
                <w:i w:val="0"/>
                <w:sz w:val="16"/>
              </w:rPr>
              <w:t>Available; documented root/submodule limitations in some versions</w:t>
            </w:r>
          </w:p>
        </w:tc>
      </w:tr>
      <w:tr>
        <w:trPr>
          <w:cantSplit/>
        </w:trPr>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Residual constrained risk</w:t>
            </w:r>
          </w:p>
        </w:tc>
        <w:tc>
          <w:tcPr>
            <w:tcW w:type="dxa" w:w="3672"/>
            <w:vAlign w:val="center"/>
            <w:tcMar>
              <w:top w:w="80" w:type="dxa"/>
              <w:start w:w="120" w:type="dxa"/>
              <w:bottom w:w="80" w:type="dxa"/>
              <w:end w:w="120" w:type="dxa"/>
            </w:tcMar>
            <w:shd w:fill="FFFFFF"/>
          </w:tcPr>
          <w:p>
            <w:pPr>
              <w:spacing w:after="0" w:line="252" w:lineRule="auto"/>
            </w:pPr>
            <w:r/>
            <w:r>
              <w:rPr>
                <w:rFonts w:ascii="Arial" w:hAnsi="Arial"/>
                <w:b w:val="0"/>
                <w:i w:val="0"/>
                <w:sz w:val="16"/>
              </w:rPr>
              <w:t>Moderate after technical verification</w:t>
            </w:r>
          </w:p>
        </w:tc>
        <w:tc>
          <w:tcPr>
            <w:tcW w:type="dxa" w:w="3672"/>
            <w:vAlign w:val="center"/>
            <w:tcMar>
              <w:top w:w="80" w:type="dxa"/>
              <w:start w:w="120" w:type="dxa"/>
              <w:bottom w:w="80" w:type="dxa"/>
              <w:end w:w="120" w:type="dxa"/>
            </w:tcMar>
            <w:shd w:fill="FFFFFF"/>
          </w:tcPr>
          <w:p>
            <w:pPr>
              <w:spacing w:after="0" w:line="252" w:lineRule="auto"/>
            </w:pPr>
            <w:r/>
            <w:r>
              <w:rPr>
                <w:rFonts w:ascii="Arial" w:hAnsi="Arial"/>
                <w:b w:val="0"/>
                <w:i w:val="0"/>
                <w:sz w:val="16"/>
              </w:rPr>
              <w:t>Moderate after technical verification</w:t>
            </w:r>
          </w:p>
        </w:tc>
      </w:tr>
    </w:tbl>
    <w:p>
      <w:pPr>
        <w:spacing w:after="20"/>
      </w:pPr>
    </w:p>
    <w:p>
      <w:pPr>
        <w:pStyle w:val="Heading2"/>
      </w:pPr>
      <w:r>
        <w:t>Systemic and composition risks</w:t>
      </w:r>
    </w:p>
    <w:p>
      <w:pPr>
        <w:pStyle w:val="ListBullet"/>
      </w:pPr>
      <w:r>
        <w:rPr>
          <w:rFonts w:ascii="Arial" w:hAnsi="Arial"/>
          <w:b w:val="0"/>
          <w:i w:val="0"/>
          <w:sz w:val="21"/>
        </w:rPr>
        <w:t>A read-only retrieval server can still cause high-impact harm when its output influences terminal, code-edit, cloud, database or deployment tools. Tool boundaries must remain independent.</w:t>
      </w:r>
    </w:p>
    <w:p>
      <w:pPr>
        <w:pStyle w:val="ListBullet"/>
      </w:pPr>
      <w:r>
        <w:rPr>
          <w:rFonts w:ascii="Arial" w:hAnsi="Arial"/>
          <w:b w:val="0"/>
          <w:i w:val="0"/>
          <w:sz w:val="21"/>
        </w:rPr>
        <w:t>Multiple MCP servers can combine data and privileges. Prevent data returned from one server or repository from silently becoming another server’s arguments.</w:t>
      </w:r>
    </w:p>
    <w:p>
      <w:pPr>
        <w:pStyle w:val="ListBullet"/>
      </w:pPr>
      <w:r>
        <w:rPr>
          <w:rFonts w:ascii="Arial" w:hAnsi="Arial"/>
          <w:b w:val="0"/>
          <w:i w:val="0"/>
          <w:sz w:val="21"/>
        </w:rPr>
        <w:t>Retrieved official documentation is more authoritative than generic search but is not automatically safe, current for the local version or free of prompt-like text.</w:t>
      </w:r>
    </w:p>
    <w:p>
      <w:pPr>
        <w:pStyle w:val="ListBullet"/>
      </w:pPr>
      <w:r>
        <w:rPr>
          <w:rFonts w:ascii="Arial" w:hAnsi="Arial"/>
          <w:b w:val="0"/>
          <w:i w:val="0"/>
          <w:sz w:val="21"/>
        </w:rPr>
        <w:t>The public unauthenticated endpoint provides no documented organisation-specific identity boundary; client-side controls carry most of the enforceable confidentiality burden.</w:t>
      </w:r>
    </w:p>
    <w:p>
      <w:pPr>
        <w:pStyle w:val="ListBullet"/>
      </w:pPr>
      <w:r>
        <w:rPr>
          <w:rFonts w:ascii="Arial" w:hAnsi="Arial"/>
          <w:b w:val="0"/>
          <w:i w:val="0"/>
          <w:sz w:val="21"/>
        </w:rPr>
        <w:t>Concentration and availability risk is limited for ordinary documentation use if browser documentation is an approved fallback, but may increase if workflows become operationally dependent on the service.</w:t>
      </w:r>
    </w:p>
    <w:p>
      <w:pPr>
        <w:pStyle w:val="Heading2"/>
      </w:pPr>
      <w:r>
        <w:t>Static repository, CLI and malware-triage results</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08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Artefact</w:t>
            </w:r>
          </w:p>
        </w:tc>
        <w:tc>
          <w:tcPr>
            <w:tcW w:type="dxa" w:w="352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Observed identity/hash</w:t>
            </w:r>
          </w:p>
        </w:tc>
        <w:tc>
          <w:tcPr>
            <w:tcW w:type="dxa" w:w="338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Static result</w:t>
            </w:r>
          </w:p>
        </w:tc>
      </w:tr>
      <w:tr>
        <w:trPr>
          <w:cantSplit/>
        </w:trPr>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MicrosoftDocs/mcp repository</w:t>
            </w:r>
          </w:p>
        </w:tc>
        <w:tc>
          <w:tcPr>
            <w:tcW w:type="dxa" w:w="3528"/>
            <w:vAlign w:val="center"/>
            <w:tcMar>
              <w:top w:w="80" w:type="dxa"/>
              <w:start w:w="120" w:type="dxa"/>
              <w:bottom w:w="80" w:type="dxa"/>
              <w:end w:w="120" w:type="dxa"/>
            </w:tcMar>
            <w:shd w:fill="F2F4F7"/>
          </w:tcPr>
          <w:p>
            <w:pPr>
              <w:spacing w:after="0" w:line="252" w:lineRule="auto"/>
            </w:pPr>
            <w:r/>
            <w:r>
              <w:rPr>
                <w:rFonts w:ascii="Arial" w:hAnsi="Arial"/>
                <w:b w:val="0"/>
                <w:i w:val="0"/>
                <w:sz w:val="16"/>
              </w:rPr>
              <w:t>Commit caa3d670bf2814171dba4f7346ece5080964021e; review archive SHA-256 1fd79ba4c797c0470d0dbb154fe9f85ff3f878e4b266afc8fcf60c3289abfbf4</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Official repository identity; no releases/tags; hosted-service correspondence unknown.</w:t>
            </w:r>
          </w:p>
        </w:tc>
      </w:tr>
      <w:tr>
        <w:trPr>
          <w:cantSplit/>
        </w:trPr>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@microsoft/learn-cli 0.1.0</w:t>
            </w:r>
          </w:p>
        </w:tc>
        <w:tc>
          <w:tcPr>
            <w:tcW w:type="dxa" w:w="3528"/>
            <w:vAlign w:val="center"/>
            <w:tcMar>
              <w:top w:w="80" w:type="dxa"/>
              <w:start w:w="120" w:type="dxa"/>
              <w:bottom w:w="80" w:type="dxa"/>
              <w:end w:w="120" w:type="dxa"/>
            </w:tcMar>
            <w:shd w:fill="FFFFFF"/>
          </w:tcPr>
          <w:p>
            <w:pPr>
              <w:spacing w:after="0" w:line="252" w:lineRule="auto"/>
            </w:pPr>
            <w:r/>
            <w:r>
              <w:rPr>
                <w:rFonts w:ascii="Arial" w:hAnsi="Arial"/>
                <w:b w:val="0"/>
                <w:i w:val="0"/>
                <w:sz w:val="16"/>
              </w:rPr>
              <w:t>Tarball SHA-256 01a5782e023f0fb1cbaf6dca8b7bf384acf0c0f529d9bb44dc4a280d758f9966; npm integrity/signature observed</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17 regular files; no traversal, symlinks, native binaries, embedded archives or install hooks observed.</w:t>
            </w:r>
          </w:p>
        </w:tc>
      </w:tr>
      <w:tr>
        <w:trPr>
          <w:cantSplit/>
        </w:trPr>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Static secret/malware indicators</w:t>
            </w:r>
          </w:p>
        </w:tc>
        <w:tc>
          <w:tcPr>
            <w:tcW w:type="dxa" w:w="3528"/>
            <w:vAlign w:val="center"/>
            <w:tcMar>
              <w:top w:w="80" w:type="dxa"/>
              <w:start w:w="120" w:type="dxa"/>
              <w:bottom w:w="80" w:type="dxa"/>
              <w:end w:w="120" w:type="dxa"/>
            </w:tcMar>
            <w:shd w:fill="F2F4F7"/>
          </w:tcPr>
          <w:p>
            <w:pPr>
              <w:spacing w:after="0" w:line="252" w:lineRule="auto"/>
            </w:pPr>
            <w:r/>
            <w:r>
              <w:rPr>
                <w:rFonts w:ascii="Arial" w:hAnsi="Arial"/>
                <w:b w:val="0"/>
                <w:i w:val="0"/>
                <w:sz w:val="16"/>
              </w:rPr>
              <w:t>Repository scan approx. 161 KB; zero gitleaks findings</w:t>
            </w:r>
          </w:p>
        </w:tc>
        <w:tc>
          <w:tcPr>
            <w:tcW w:type="dxa" w:w="3384"/>
            <w:vAlign w:val="center"/>
            <w:tcMar>
              <w:top w:w="80" w:type="dxa"/>
              <w:start w:w="120" w:type="dxa"/>
              <w:bottom w:w="80" w:type="dxa"/>
              <w:end w:w="120" w:type="dxa"/>
            </w:tcMar>
            <w:shd w:fill="F2F4F7"/>
          </w:tcPr>
          <w:p>
            <w:pPr>
              <w:spacing w:after="0" w:line="252" w:lineRule="auto"/>
            </w:pPr>
            <w:r/>
            <w:r>
              <w:rPr>
                <w:rFonts w:ascii="Arial" w:hAnsi="Arial"/>
                <w:b w:val="0"/>
                <w:i w:val="0"/>
                <w:sz w:val="16"/>
              </w:rPr>
              <w:t>No obvious keys, secrets, obfuscation, encoded payloads, persistence or child-process/eval loading observed; clean scan is not proof.</w:t>
            </w:r>
          </w:p>
        </w:tc>
      </w:tr>
      <w:tr>
        <w:trPr>
          <w:cantSplit/>
        </w:trPr>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Optional plugin</w:t>
            </w:r>
          </w:p>
        </w:tc>
        <w:tc>
          <w:tcPr>
            <w:tcW w:type="dxa" w:w="3528"/>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microsoft-docs v0.3.1</w:t>
            </w:r>
          </w:p>
        </w:tc>
        <w:tc>
          <w:tcPr>
            <w:tcW w:type="dxa" w:w="3384"/>
            <w:vAlign w:val="center"/>
            <w:tcMar>
              <w:top w:w="80" w:type="dxa"/>
              <w:start w:w="120" w:type="dxa"/>
              <w:bottom w:w="80" w:type="dxa"/>
              <w:end w:w="120" w:type="dxa"/>
            </w:tcMar>
            <w:shd w:fill="FFFFFF"/>
          </w:tcPr>
          <w:p>
            <w:pPr>
              <w:spacing w:after="0" w:line="252" w:lineRule="auto"/>
            </w:pPr>
            <w:r/>
            <w:r>
              <w:rPr>
                <w:rFonts w:ascii="Arial" w:hAnsi="Arial"/>
                <w:b w:val="0"/>
                <w:i w:val="0"/>
                <w:sz w:val="16"/>
              </w:rPr>
              <w:t>Contains MCP config and three portable Agent Skills; separate approval required.</w:t>
            </w:r>
          </w:p>
        </w:tc>
      </w:tr>
    </w:tbl>
    <w:p>
      <w:pPr>
        <w:spacing w:after="20"/>
      </w:pPr>
    </w:p>
    <w:p>
      <w:pPr>
        <w:pStyle w:val="ListBullet"/>
      </w:pPr>
      <w:r>
        <w:rPr>
          <w:rFonts w:ascii="Arial" w:hAnsi="Arial"/>
          <w:b w:val="0"/>
          <w:i w:val="0"/>
          <w:sz w:val="21"/>
        </w:rPr>
        <w:t>Optional CLI dependency risk: current advisory metadata identified high-severity production transitive hono and moderate qs advisories; dev/test dependencies included critical/high findings. Applicability needs call-path validation. Exclude the CLI from approval until updated and verified.</w:t>
      </w:r>
    </w:p>
    <w:p>
      <w:pPr>
        <w:pStyle w:val="ListBullet"/>
      </w:pPr>
      <w:r>
        <w:rPr>
          <w:rFonts w:ascii="Arial" w:hAnsi="Arial"/>
          <w:b w:val="0"/>
          <w:i w:val="0"/>
          <w:sz w:val="21"/>
        </w:rPr>
        <w:t>CLI endpoint trust: --endpoint / MSLEARN_ENDPOINT accepts arbitrary syntactically valid URLs, including plain HTTP. Enterprise controls must lock the HTTPS learn.microsoft.com endpoint and prevent environment/config redirection.</w:t>
      </w:r>
    </w:p>
    <w:p>
      <w:pPr>
        <w:pStyle w:val="ListBullet"/>
      </w:pPr>
      <w:r>
        <w:rPr>
          <w:rFonts w:ascii="Arial" w:hAnsi="Arial"/>
          <w:b w:val="0"/>
          <w:i w:val="0"/>
          <w:sz w:val="21"/>
        </w:rPr>
        <w:t>CLI cache: endpoint, MCP session ID and server tool definitions are cached in plaintext for 24 hours without explicit 0600, atomic-write or locking controls observed. Treat the session ID as sensitive and verify filesystem permissions and secure removal.</w:t>
      </w:r>
    </w:p>
    <w:p>
      <w:pPr>
        <w:pStyle w:val="ListBullet"/>
      </w:pPr>
      <w:r>
        <w:rPr>
          <w:rFonts w:ascii="Arial" w:hAnsi="Arial"/>
          <w:b w:val="0"/>
          <w:i w:val="0"/>
          <w:sz w:val="21"/>
        </w:rPr>
        <w:t>Repository workflow hardening: actions/checkout@v4 and actions/setup-node@v4 were not pinned to immutable SHAs, and no explicit workflow/job permissions were observed. This is a repository supply-chain gap, not evidence the hosted service is compromised.</w:t>
      </w:r>
    </w:p>
    <w:p>
      <w:pPr>
        <w:pStyle w:val="ListBullet"/>
      </w:pPr>
      <w:r>
        <w:rPr>
          <w:rFonts w:ascii="Arial" w:hAnsi="Arial"/>
          <w:b w:val="0"/>
          <w:i w:val="0"/>
          <w:sz w:val="21"/>
        </w:rPr>
        <w:t>The README claim “100% Trusted &amp; Safe” is an unverified marketing assertion. Official provenance does not establish absolute safety, backend source equivalence or runtime content enforcement.</w:t>
      </w:r>
    </w:p>
    <w:p>
      <w:pPr>
        <w:pStyle w:val="Heading2"/>
      </w:pPr>
      <w:r>
        <w:t>Privacy and data protection</w:t>
      </w:r>
    </w:p>
    <w:p>
      <w:r>
        <w:rPr>
          <w:rFonts w:ascii="Arial" w:hAnsi="Arial"/>
          <w:b w:val="0"/>
          <w:i w:val="0"/>
          <w:sz w:val="21"/>
        </w:rPr>
        <w:t>Confidential source code is not automatically personal data, but code, commit history, paths, logs, tickets, identifiers, customer records and credentials can contain or reveal personal data. The firm must document purposes, lawful basis, controller/processor roles, recipients, transfers, retention and data-subject impacts where applicable. Data minimisation and privacy by design require preventing unnecessary context from being sent.</w:t>
      </w:r>
      <w:r>
        <w:t xml:space="preserve"> </w:t>
      </w:r>
      <w:hyperlink w:anchor="REF_017" w:history="1">
        <w:r>
          <w:rPr>
            <w:color w:val="2E74B5"/>
            <w:u w:val="single"/>
          </w:rPr>
          <w:t>[REF-017]</w:t>
        </w:r>
      </w:hyperlink>
      <w:r>
        <w:t xml:space="preserve"> </w:t>
      </w:r>
      <w:hyperlink w:anchor="REF_012" w:history="1">
        <w:r>
          <w:rPr>
            <w:color w:val="2E74B5"/>
            <w:u w:val="single"/>
          </w:rPr>
          <w:t>[REF-012]</w:t>
        </w:r>
      </w:hyperlink>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165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Evidence state</w:t>
            </w:r>
          </w:p>
        </w:tc>
        <w:tc>
          <w:tcPr>
            <w:tcW w:type="dxa" w:w="756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Privacy conclusion</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w:t>
            </w:r>
          </w:p>
        </w:tc>
        <w:tc>
          <w:tcPr>
            <w:tcW w:type="dxa" w:w="7560"/>
            <w:vAlign w:val="center"/>
            <w:tcMar>
              <w:top w:w="80" w:type="dxa"/>
              <w:start w:w="120" w:type="dxa"/>
              <w:bottom w:w="80" w:type="dxa"/>
              <w:end w:w="120" w:type="dxa"/>
            </w:tcMar>
            <w:shd w:fill="F2F4F7"/>
          </w:tcPr>
          <w:p>
            <w:pPr>
              <w:spacing w:after="0" w:line="252" w:lineRule="auto"/>
            </w:pPr>
            <w:r/>
            <w:r>
              <w:rPr>
                <w:rFonts w:ascii="Arial" w:hAnsi="Arial"/>
                <w:b w:val="0"/>
                <w:i w:val="0"/>
                <w:sz w:val="16"/>
              </w:rPr>
              <w:t>The endpoint is public and unauthenticated; Microsoft Learn terms/privacy materials apply generally.</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Inferred</w:t>
            </w:r>
          </w:p>
        </w:tc>
        <w:tc>
          <w:tcPr>
            <w:tcW w:type="dxa" w:w="7560"/>
            <w:vAlign w:val="center"/>
            <w:tcMar>
              <w:top w:w="80" w:type="dxa"/>
              <w:start w:w="120" w:type="dxa"/>
              <w:bottom w:w="80" w:type="dxa"/>
              <w:end w:w="120" w:type="dxa"/>
            </w:tcMar>
            <w:shd w:fill="FFFFFF"/>
          </w:tcPr>
          <w:p>
            <w:pPr>
              <w:spacing w:after="0" w:line="252" w:lineRule="auto"/>
            </w:pPr>
            <w:r/>
            <w:r>
              <w:rPr>
                <w:rFonts w:ascii="Arial" w:hAnsi="Arial"/>
                <w:b w:val="0"/>
                <w:i w:val="0"/>
                <w:sz w:val="16"/>
              </w:rPr>
              <w:t>Tool arguments are transmitted to Microsoft and could expose sensitive context selected by the agent.</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Unknown</w:t>
            </w:r>
          </w:p>
        </w:tc>
        <w:tc>
          <w:tcPr>
            <w:tcW w:type="dxa" w:w="7560"/>
            <w:vAlign w:val="center"/>
            <w:tcMar>
              <w:top w:w="80" w:type="dxa"/>
              <w:start w:w="120" w:type="dxa"/>
              <w:bottom w:w="80" w:type="dxa"/>
              <w:end w:w="120" w:type="dxa"/>
            </w:tcMar>
            <w:shd w:fill="F2F4F7"/>
          </w:tcPr>
          <w:p>
            <w:pPr>
              <w:spacing w:after="0" w:line="252" w:lineRule="auto"/>
            </w:pPr>
            <w:r/>
            <w:r>
              <w:rPr>
                <w:rFonts w:ascii="Arial" w:hAnsi="Arial"/>
                <w:b w:val="0"/>
                <w:i w:val="0"/>
                <w:sz w:val="16"/>
              </w:rPr>
              <w:t>MCP-specific logging, retention, deletion, residency, subprocessors, personnel access, training use, contractual coverage and incident notice.</w:t>
            </w:r>
          </w:p>
        </w:tc>
      </w:tr>
      <w:tr>
        <w:trPr>
          <w:cantSplit/>
        </w:trPr>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Not observed</w:t>
            </w:r>
          </w:p>
        </w:tc>
        <w:tc>
          <w:tcPr>
            <w:tcW w:type="dxa" w:w="7560"/>
            <w:vAlign w:val="center"/>
            <w:tcMar>
              <w:top w:w="80" w:type="dxa"/>
              <w:start w:w="120" w:type="dxa"/>
              <w:bottom w:w="80" w:type="dxa"/>
              <w:end w:w="120" w:type="dxa"/>
            </w:tcMar>
            <w:shd w:fill="FFFFFF"/>
          </w:tcPr>
          <w:p>
            <w:pPr>
              <w:spacing w:after="0" w:line="252" w:lineRule="auto"/>
            </w:pPr>
            <w:r/>
            <w:r>
              <w:rPr>
                <w:rFonts w:ascii="Arial" w:hAnsi="Arial"/>
                <w:b w:val="0"/>
                <w:i w:val="0"/>
                <w:sz w:val="16"/>
              </w:rPr>
              <w:t>No product-specific DPIA, data-flow diagram, DPA, SOC report scope or service-specific privacy FAQ found in the reviewed public set.</w:t>
            </w:r>
          </w:p>
        </w:tc>
      </w:tr>
      <w:tr>
        <w:trPr>
          <w:cantSplit/>
        </w:trPr>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Required</w:t>
            </w:r>
          </w:p>
        </w:tc>
        <w:tc>
          <w:tcPr>
            <w:tcW w:type="dxa" w:w="7560"/>
            <w:vAlign w:val="center"/>
            <w:tcMar>
              <w:top w:w="80" w:type="dxa"/>
              <w:start w:w="120" w:type="dxa"/>
              <w:bottom w:w="80" w:type="dxa"/>
              <w:end w:w="120" w:type="dxa"/>
            </w:tcMar>
            <w:shd w:fill="F2F4F7"/>
          </w:tcPr>
          <w:p>
            <w:pPr>
              <w:spacing w:after="0" w:line="252" w:lineRule="auto"/>
            </w:pPr>
            <w:r/>
            <w:r>
              <w:rPr>
                <w:rFonts w:ascii="Arial" w:hAnsi="Arial"/>
                <w:b w:val="0"/>
                <w:i w:val="0"/>
                <w:sz w:val="16"/>
              </w:rPr>
              <w:t>Firm DPIA screening, supplier assessment and technical payload-minimisation evidence before confidential use.</w:t>
            </w:r>
          </w:p>
        </w:tc>
      </w:tr>
    </w:tbl>
    <w:p>
      <w:pPr>
        <w:spacing w:after="20"/>
      </w:pPr>
    </w:p>
    <w:p>
      <w:pPr>
        <w:pStyle w:val="Heading2"/>
      </w:pPr>
      <w:r>
        <w:t>UK financial-sector applicability</w:t>
      </w:r>
    </w:p>
    <w:p>
      <w:r>
        <w:rPr>
          <w:rFonts w:ascii="Arial" w:hAnsi="Arial"/>
          <w:b w:val="0"/>
          <w:i w:val="0"/>
          <w:sz w:val="21"/>
        </w:rPr>
        <w:t>Whether this integration is outsourcing, material or supports an important business service depends on the firm, entity, use case and dependency. Even where it is not outsourcing, governance, risk-control, resilience and third-party management expectations remain relevant. This assessment maps control objectives but does not certify organisational compliance.</w:t>
      </w:r>
      <w:r>
        <w:t xml:space="preserve"> </w:t>
      </w:r>
      <w:hyperlink w:anchor="REF_014" w:history="1">
        <w:r>
          <w:rPr>
            <w:color w:val="2E74B5"/>
            <w:u w:val="single"/>
          </w:rPr>
          <w:t>[REF-014]</w:t>
        </w:r>
      </w:hyperlink>
      <w:r>
        <w:t xml:space="preserve"> </w:t>
      </w:r>
      <w:hyperlink w:anchor="REF_015" w:history="1">
        <w:r>
          <w:rPr>
            <w:color w:val="2E74B5"/>
            <w:u w:val="single"/>
          </w:rPr>
          <w:t>[REF-015]</w:t>
        </w:r>
      </w:hyperlink>
      <w:r>
        <w:t xml:space="preserve"> </w:t>
      </w:r>
      <w:hyperlink w:anchor="REF_016" w:history="1">
        <w:r>
          <w:rPr>
            <w:color w:val="2E74B5"/>
            <w:u w:val="single"/>
          </w:rPr>
          <w:t>[REF-016]</w:t>
        </w:r>
      </w:hyperlink>
    </w:p>
    <w:p>
      <w:bookmarkStart w:id="1161" w:name="RISKS"/>
      <w:pPr>
        <w:pStyle w:val="Heading1"/>
      </w:pPr>
      <w:r>
        <w:t>Consolidated Risk Register</w:t>
      </w:r>
      <w:bookmarkEnd w:id="1161"/>
    </w:p>
    <w:tbl>
      <w:tblPr>
        <w:tblW w:type="auto" w:w="0"/>
        <w:jc w:val="center"/>
        <w:tblLayout w:type="fixed"/>
        <w:tblLook w:firstColumn="1" w:firstRow="1" w:lastColumn="0" w:lastRow="0" w:noHBand="0" w:noVBand="1" w:val="04A0"/>
      </w:tblPr>
      <w:tblGrid>
        <w:gridCol w:w="898"/>
        <w:gridCol w:w="898"/>
        <w:gridCol w:w="898"/>
        <w:gridCol w:w="898"/>
        <w:gridCol w:w="898"/>
        <w:gridCol w:w="898"/>
        <w:gridCol w:w="898"/>
        <w:gridCol w:w="898"/>
        <w:gridCol w:w="898"/>
        <w:gridCol w:w="898"/>
        <w:gridCol w:w="898"/>
      </w:tblGrid>
      <w:tr>
        <w:trPr>
          <w:cantSplit/>
          <w:tblHeader/>
        </w:trPr>
        <w:tc>
          <w:tcPr>
            <w:tcW w:type="dxa" w:w="605"/>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ID</w:t>
            </w:r>
          </w:p>
        </w:tc>
        <w:tc>
          <w:tcPr>
            <w:tcW w:type="dxa" w:w="194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Risk</w:t>
            </w:r>
          </w:p>
        </w:tc>
        <w:tc>
          <w:tcPr>
            <w:tcW w:type="dxa" w:w="79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Scope</w:t>
            </w:r>
          </w:p>
        </w:tc>
        <w:tc>
          <w:tcPr>
            <w:tcW w:type="dxa" w:w="403"/>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L</w:t>
            </w:r>
          </w:p>
        </w:tc>
        <w:tc>
          <w:tcPr>
            <w:tcW w:type="dxa" w:w="403"/>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I</w:t>
            </w:r>
          </w:p>
        </w:tc>
        <w:tc>
          <w:tcPr>
            <w:tcW w:type="dxa" w:w="93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Inherent</w:t>
            </w:r>
          </w:p>
        </w:tc>
        <w:tc>
          <w:tcPr>
            <w:tcW w:type="dxa" w:w="4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rL</w:t>
            </w:r>
          </w:p>
        </w:tc>
        <w:tc>
          <w:tcPr>
            <w:tcW w:type="dxa" w:w="4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rI</w:t>
            </w:r>
          </w:p>
        </w:tc>
        <w:tc>
          <w:tcPr>
            <w:tcW w:type="dxa" w:w="93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Residual</w:t>
            </w:r>
          </w:p>
        </w:tc>
        <w:tc>
          <w:tcPr>
            <w:tcW w:type="dxa" w:w="194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Treatment</w:t>
            </w:r>
          </w:p>
        </w:tc>
        <w:tc>
          <w:tcPr>
            <w:tcW w:type="dxa" w:w="108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Owner</w:t>
            </w:r>
          </w:p>
        </w:tc>
      </w:tr>
      <w:tr>
        <w:trPr>
          <w:cantSplit/>
        </w:trPr>
        <w:tc>
          <w:tcPr>
            <w:tcW w:type="dxa" w:w="605"/>
            <w:vAlign w:val="center"/>
            <w:tcMar>
              <w:top w:w="80" w:type="dxa"/>
              <w:start w:w="120" w:type="dxa"/>
              <w:bottom w:w="80" w:type="dxa"/>
              <w:end w:w="120" w:type="dxa"/>
            </w:tcMar>
            <w:shd w:fill="F2F4F7"/>
          </w:tcPr>
          <w:p>
            <w:pPr>
              <w:spacing w:after="0" w:line="252" w:lineRule="auto"/>
            </w:pPr>
            <w:r/>
            <w:r>
              <w:rPr>
                <w:rFonts w:ascii="Arial" w:hAnsi="Arial"/>
                <w:b w:val="0"/>
                <w:i w:val="0"/>
                <w:sz w:val="16"/>
              </w:rPr>
              <w:t>R-01</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Confidential data disclosure in tool arguments</w:t>
            </w:r>
          </w:p>
        </w:tc>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Both</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5</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20 Critical</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3</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12 High</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Block confidential scope; DLP/minimise; payload test</w:t>
            </w:r>
          </w:p>
        </w:tc>
        <w:tc>
          <w:tcPr>
            <w:tcW w:type="dxa" w:w="1080"/>
            <w:vAlign w:val="center"/>
            <w:tcMar>
              <w:top w:w="80" w:type="dxa"/>
              <w:start w:w="120" w:type="dxa"/>
              <w:bottom w:w="80" w:type="dxa"/>
              <w:end w:w="120" w:type="dxa"/>
            </w:tcMar>
            <w:shd w:fill="F2F4F7"/>
          </w:tcPr>
          <w:p>
            <w:pPr>
              <w:spacing w:after="0" w:line="252" w:lineRule="auto"/>
            </w:pPr>
            <w:r/>
            <w:r>
              <w:rPr>
                <w:rFonts w:ascii="Arial" w:hAnsi="Arial"/>
                <w:b w:val="0"/>
                <w:i w:val="0"/>
                <w:sz w:val="16"/>
              </w:rPr>
              <w:t>Developer Platform + DPO</w:t>
            </w:r>
          </w:p>
        </w:tc>
      </w:tr>
      <w:tr>
        <w:trPr>
          <w:cantSplit/>
        </w:trPr>
        <w:tc>
          <w:tcPr>
            <w:tcW w:type="dxa" w:w="605"/>
            <w:vAlign w:val="center"/>
            <w:tcMar>
              <w:top w:w="80" w:type="dxa"/>
              <w:start w:w="120" w:type="dxa"/>
              <w:bottom w:w="80" w:type="dxa"/>
              <w:end w:w="120" w:type="dxa"/>
            </w:tcMar>
            <w:shd w:fill="FFFFFF"/>
          </w:tcPr>
          <w:p>
            <w:pPr>
              <w:spacing w:after="0" w:line="252" w:lineRule="auto"/>
            </w:pPr>
            <w:r/>
            <w:r>
              <w:rPr>
                <w:rFonts w:ascii="Arial" w:hAnsi="Arial"/>
                <w:b w:val="0"/>
                <w:i w:val="0"/>
                <w:sz w:val="16"/>
              </w:rPr>
              <w:t>R-02</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MCP-specific privacy/contract assurance gap</w:t>
            </w:r>
          </w:p>
        </w:tc>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Both</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4</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5</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20 Critical</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12 High</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Obtain written retention/residency/DPA/incident evidence</w:t>
            </w:r>
          </w:p>
        </w:tc>
        <w:tc>
          <w:tcPr>
            <w:tcW w:type="dxa" w:w="1080"/>
            <w:vAlign w:val="center"/>
            <w:tcMar>
              <w:top w:w="80" w:type="dxa"/>
              <w:start w:w="120" w:type="dxa"/>
              <w:bottom w:w="80" w:type="dxa"/>
              <w:end w:w="120" w:type="dxa"/>
            </w:tcMar>
            <w:shd w:fill="FFFFFF"/>
          </w:tcPr>
          <w:p>
            <w:pPr>
              <w:spacing w:after="0" w:line="252" w:lineRule="auto"/>
            </w:pPr>
            <w:r/>
            <w:r>
              <w:rPr>
                <w:rFonts w:ascii="Arial" w:hAnsi="Arial"/>
                <w:b w:val="0"/>
                <w:i w:val="0"/>
                <w:sz w:val="16"/>
              </w:rPr>
              <w:t>Procurement + Legal</w:t>
            </w:r>
          </w:p>
        </w:tc>
      </w:tr>
      <w:tr>
        <w:trPr>
          <w:cantSplit/>
        </w:trPr>
        <w:tc>
          <w:tcPr>
            <w:tcW w:type="dxa" w:w="605"/>
            <w:vAlign w:val="center"/>
            <w:tcMar>
              <w:top w:w="80" w:type="dxa"/>
              <w:start w:w="120" w:type="dxa"/>
              <w:bottom w:w="80" w:type="dxa"/>
              <w:end w:w="120" w:type="dxa"/>
            </w:tcMar>
            <w:shd w:fill="F2F4F7"/>
          </w:tcPr>
          <w:p>
            <w:pPr>
              <w:spacing w:after="0" w:line="252" w:lineRule="auto"/>
            </w:pPr>
            <w:r/>
            <w:r>
              <w:rPr>
                <w:rFonts w:ascii="Arial" w:hAnsi="Arial"/>
                <w:b w:val="0"/>
                <w:i w:val="0"/>
                <w:sz w:val="16"/>
              </w:rPr>
              <w:t>R-03</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Retrieved-content prompt/context injection</w:t>
            </w:r>
          </w:p>
        </w:tc>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Both</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16 High</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8 Moderate</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Data-only handling; instruction isolation; adversarial test</w:t>
            </w:r>
          </w:p>
        </w:tc>
        <w:tc>
          <w:tcPr>
            <w:tcW w:type="dxa" w:w="1080"/>
            <w:vAlign w:val="center"/>
            <w:tcMar>
              <w:top w:w="80" w:type="dxa"/>
              <w:start w:w="120" w:type="dxa"/>
              <w:bottom w:w="80" w:type="dxa"/>
              <w:end w:w="120" w:type="dxa"/>
            </w:tcMar>
            <w:shd w:fill="F2F4F7"/>
          </w:tcPr>
          <w:p>
            <w:pPr>
              <w:spacing w:after="0" w:line="252" w:lineRule="auto"/>
            </w:pPr>
            <w:r/>
            <w:r>
              <w:rPr>
                <w:rFonts w:ascii="Arial" w:hAnsi="Arial"/>
                <w:b w:val="0"/>
                <w:i w:val="0"/>
                <w:sz w:val="16"/>
              </w:rPr>
              <w:t>AI Security</w:t>
            </w:r>
          </w:p>
        </w:tc>
      </w:tr>
      <w:tr>
        <w:trPr>
          <w:cantSplit/>
        </w:trPr>
        <w:tc>
          <w:tcPr>
            <w:tcW w:type="dxa" w:w="605"/>
            <w:vAlign w:val="center"/>
            <w:tcMar>
              <w:top w:w="80" w:type="dxa"/>
              <w:start w:w="120" w:type="dxa"/>
              <w:bottom w:w="80" w:type="dxa"/>
              <w:end w:w="120" w:type="dxa"/>
            </w:tcMar>
            <w:shd w:fill="FFFFFF"/>
          </w:tcPr>
          <w:p>
            <w:pPr>
              <w:spacing w:after="0" w:line="252" w:lineRule="auto"/>
            </w:pPr>
            <w:r/>
            <w:r>
              <w:rPr>
                <w:rFonts w:ascii="Arial" w:hAnsi="Arial"/>
                <w:b w:val="0"/>
                <w:i w:val="0"/>
                <w:sz w:val="16"/>
              </w:rPr>
              <w:t>R-04</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Dynamic tool-schema rug pull</w:t>
            </w:r>
          </w:p>
        </w:tc>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Both</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12 High</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6 Moderate</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Hash schema; quarantine changes; reapprove</w:t>
            </w:r>
          </w:p>
        </w:tc>
        <w:tc>
          <w:tcPr>
            <w:tcW w:type="dxa" w:w="1080"/>
            <w:vAlign w:val="center"/>
            <w:tcMar>
              <w:top w:w="80" w:type="dxa"/>
              <w:start w:w="120" w:type="dxa"/>
              <w:bottom w:w="80" w:type="dxa"/>
              <w:end w:w="120" w:type="dxa"/>
            </w:tcMar>
            <w:shd w:fill="FFFFFF"/>
          </w:tcPr>
          <w:p>
            <w:pPr>
              <w:spacing w:after="0" w:line="252" w:lineRule="auto"/>
            </w:pPr>
            <w:r/>
            <w:r>
              <w:rPr>
                <w:rFonts w:ascii="Arial" w:hAnsi="Arial"/>
                <w:b w:val="0"/>
                <w:i w:val="0"/>
                <w:sz w:val="16"/>
              </w:rPr>
              <w:t>Developer Platform</w:t>
            </w:r>
          </w:p>
        </w:tc>
      </w:tr>
      <w:tr>
        <w:trPr>
          <w:cantSplit/>
        </w:trPr>
        <w:tc>
          <w:tcPr>
            <w:tcW w:type="dxa" w:w="605"/>
            <w:vAlign w:val="center"/>
            <w:tcMar>
              <w:top w:w="80" w:type="dxa"/>
              <w:start w:w="120" w:type="dxa"/>
              <w:bottom w:w="80" w:type="dxa"/>
              <w:end w:w="120" w:type="dxa"/>
            </w:tcMar>
            <w:shd w:fill="F2F4F7"/>
          </w:tcPr>
          <w:p>
            <w:pPr>
              <w:spacing w:after="0" w:line="252" w:lineRule="auto"/>
            </w:pPr>
            <w:r/>
            <w:r>
              <w:rPr>
                <w:rFonts w:ascii="Arial" w:hAnsi="Arial"/>
                <w:b w:val="0"/>
                <w:i w:val="0"/>
                <w:sz w:val="16"/>
              </w:rPr>
              <w:t>R-05</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Shadow/workspace MCP configuration</w:t>
            </w:r>
          </w:p>
        </w:tc>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Both</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3</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12 High</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3</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6 Moderate</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Endpoint allowlist; protected config review</w:t>
            </w:r>
          </w:p>
        </w:tc>
        <w:tc>
          <w:tcPr>
            <w:tcW w:type="dxa" w:w="1080"/>
            <w:vAlign w:val="center"/>
            <w:tcMar>
              <w:top w:w="80" w:type="dxa"/>
              <w:start w:w="120" w:type="dxa"/>
              <w:bottom w:w="80" w:type="dxa"/>
              <w:end w:w="120" w:type="dxa"/>
            </w:tcMar>
            <w:shd w:fill="F2F4F7"/>
          </w:tcPr>
          <w:p>
            <w:pPr>
              <w:spacing w:after="0" w:line="252" w:lineRule="auto"/>
            </w:pPr>
            <w:r/>
            <w:r>
              <w:rPr>
                <w:rFonts w:ascii="Arial" w:hAnsi="Arial"/>
                <w:b w:val="0"/>
                <w:i w:val="0"/>
                <w:sz w:val="16"/>
              </w:rPr>
              <w:t>Endpoint Security</w:t>
            </w:r>
          </w:p>
        </w:tc>
      </w:tr>
      <w:tr>
        <w:trPr>
          <w:cantSplit/>
        </w:trPr>
        <w:tc>
          <w:tcPr>
            <w:tcW w:type="dxa" w:w="605"/>
            <w:vAlign w:val="center"/>
            <w:tcMar>
              <w:top w:w="80" w:type="dxa"/>
              <w:start w:w="120" w:type="dxa"/>
              <w:bottom w:w="80" w:type="dxa"/>
              <w:end w:w="120" w:type="dxa"/>
            </w:tcMar>
            <w:shd w:fill="FFFFFF"/>
          </w:tcPr>
          <w:p>
            <w:pPr>
              <w:spacing w:after="0" w:line="252" w:lineRule="auto"/>
            </w:pPr>
            <w:r/>
            <w:r>
              <w:rPr>
                <w:rFonts w:ascii="Arial" w:hAnsi="Arial"/>
                <w:b w:val="0"/>
                <w:i w:val="0"/>
                <w:sz w:val="16"/>
              </w:rPr>
              <w:t>R-06</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Unsafe/misleading code sample adoption</w:t>
            </w:r>
          </w:p>
        </w:tc>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Both</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12 High</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6 Moderate</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Secure code review, tests, version/source verification</w:t>
            </w:r>
          </w:p>
        </w:tc>
        <w:tc>
          <w:tcPr>
            <w:tcW w:type="dxa" w:w="1080"/>
            <w:vAlign w:val="center"/>
            <w:tcMar>
              <w:top w:w="80" w:type="dxa"/>
              <w:start w:w="120" w:type="dxa"/>
              <w:bottom w:w="80" w:type="dxa"/>
              <w:end w:w="120" w:type="dxa"/>
            </w:tcMar>
            <w:shd w:fill="FFFFFF"/>
          </w:tcPr>
          <w:p>
            <w:pPr>
              <w:spacing w:after="0" w:line="252" w:lineRule="auto"/>
            </w:pPr>
            <w:r/>
            <w:r>
              <w:rPr>
                <w:rFonts w:ascii="Arial" w:hAnsi="Arial"/>
                <w:b w:val="0"/>
                <w:i w:val="0"/>
                <w:sz w:val="16"/>
              </w:rPr>
              <w:t>Application Owner</w:t>
            </w:r>
          </w:p>
        </w:tc>
      </w:tr>
      <w:tr>
        <w:trPr>
          <w:cantSplit/>
        </w:trPr>
        <w:tc>
          <w:tcPr>
            <w:tcW w:type="dxa" w:w="605"/>
            <w:vAlign w:val="center"/>
            <w:tcMar>
              <w:top w:w="80" w:type="dxa"/>
              <w:start w:w="120" w:type="dxa"/>
              <w:bottom w:w="80" w:type="dxa"/>
              <w:end w:w="120" w:type="dxa"/>
            </w:tcMar>
            <w:shd w:fill="F2F4F7"/>
          </w:tcPr>
          <w:p>
            <w:pPr>
              <w:spacing w:after="0" w:line="252" w:lineRule="auto"/>
            </w:pPr>
            <w:r/>
            <w:r>
              <w:rPr>
                <w:rFonts w:ascii="Arial" w:hAnsi="Arial"/>
                <w:b w:val="0"/>
                <w:i w:val="0"/>
                <w:sz w:val="16"/>
              </w:rPr>
              <w:t>R-07</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Insufficient audit telemetry</w:t>
            </w:r>
          </w:p>
        </w:tc>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Both</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3</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12 High</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3</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6 Moderate</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Metadata-only audit trail and alerting</w:t>
            </w:r>
          </w:p>
        </w:tc>
        <w:tc>
          <w:tcPr>
            <w:tcW w:type="dxa" w:w="1080"/>
            <w:vAlign w:val="center"/>
            <w:tcMar>
              <w:top w:w="80" w:type="dxa"/>
              <w:start w:w="120" w:type="dxa"/>
              <w:bottom w:w="80" w:type="dxa"/>
              <w:end w:w="120" w:type="dxa"/>
            </w:tcMar>
            <w:shd w:fill="F2F4F7"/>
          </w:tcPr>
          <w:p>
            <w:pPr>
              <w:spacing w:after="0" w:line="252" w:lineRule="auto"/>
            </w:pPr>
            <w:r/>
            <w:r>
              <w:rPr>
                <w:rFonts w:ascii="Arial" w:hAnsi="Arial"/>
                <w:b w:val="0"/>
                <w:i w:val="0"/>
                <w:sz w:val="16"/>
              </w:rPr>
              <w:t>SOC</w:t>
            </w:r>
          </w:p>
        </w:tc>
      </w:tr>
      <w:tr>
        <w:trPr>
          <w:cantSplit/>
        </w:trPr>
        <w:tc>
          <w:tcPr>
            <w:tcW w:type="dxa" w:w="605"/>
            <w:vAlign w:val="center"/>
            <w:tcMar>
              <w:top w:w="80" w:type="dxa"/>
              <w:start w:w="120" w:type="dxa"/>
              <w:bottom w:w="80" w:type="dxa"/>
              <w:end w:w="120" w:type="dxa"/>
            </w:tcMar>
            <w:shd w:fill="FFFFFF"/>
          </w:tcPr>
          <w:p>
            <w:pPr>
              <w:spacing w:after="0" w:line="252" w:lineRule="auto"/>
            </w:pPr>
            <w:r/>
            <w:r>
              <w:rPr>
                <w:rFonts w:ascii="Arial" w:hAnsi="Arial"/>
                <w:b w:val="0"/>
                <w:i w:val="0"/>
                <w:sz w:val="16"/>
              </w:rPr>
              <w:t>R-08</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Service outage/change dependency</w:t>
            </w:r>
          </w:p>
        </w:tc>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Both</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9 Moderate</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6 Moderate</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Browser fallback; exit plan; resilience test</w:t>
            </w:r>
          </w:p>
        </w:tc>
        <w:tc>
          <w:tcPr>
            <w:tcW w:type="dxa" w:w="1080"/>
            <w:vAlign w:val="center"/>
            <w:tcMar>
              <w:top w:w="80" w:type="dxa"/>
              <w:start w:w="120" w:type="dxa"/>
              <w:bottom w:w="80" w:type="dxa"/>
              <w:end w:w="120" w:type="dxa"/>
            </w:tcMar>
            <w:shd w:fill="FFFFFF"/>
          </w:tcPr>
          <w:p>
            <w:pPr>
              <w:spacing w:after="0" w:line="252" w:lineRule="auto"/>
            </w:pPr>
            <w:r/>
            <w:r>
              <w:rPr>
                <w:rFonts w:ascii="Arial" w:hAnsi="Arial"/>
                <w:b w:val="0"/>
                <w:i w:val="0"/>
                <w:sz w:val="16"/>
              </w:rPr>
              <w:t>Service Owner</w:t>
            </w:r>
          </w:p>
        </w:tc>
      </w:tr>
      <w:tr>
        <w:trPr>
          <w:cantSplit/>
        </w:trPr>
        <w:tc>
          <w:tcPr>
            <w:tcW w:type="dxa" w:w="605"/>
            <w:vAlign w:val="center"/>
            <w:tcMar>
              <w:top w:w="80" w:type="dxa"/>
              <w:start w:w="120" w:type="dxa"/>
              <w:bottom w:w="80" w:type="dxa"/>
              <w:end w:w="120" w:type="dxa"/>
            </w:tcMar>
            <w:shd w:fill="F2F4F7"/>
          </w:tcPr>
          <w:p>
            <w:pPr>
              <w:spacing w:after="0" w:line="252" w:lineRule="auto"/>
            </w:pPr>
            <w:r/>
            <w:r>
              <w:rPr>
                <w:rFonts w:ascii="Arial" w:hAnsi="Arial"/>
                <w:b w:val="0"/>
                <w:i w:val="0"/>
                <w:sz w:val="16"/>
              </w:rPr>
              <w:t>R-09</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Optional skill/generator supply chain</w:t>
            </w:r>
          </w:p>
        </w:tc>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VS Code/other</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3</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12 High</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8 Moderate</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Pin/hash/full transitive review; deny generator by default</w:t>
            </w:r>
          </w:p>
        </w:tc>
        <w:tc>
          <w:tcPr>
            <w:tcW w:type="dxa" w:w="1080"/>
            <w:vAlign w:val="center"/>
            <w:tcMar>
              <w:top w:w="80" w:type="dxa"/>
              <w:start w:w="120" w:type="dxa"/>
              <w:bottom w:w="80" w:type="dxa"/>
              <w:end w:w="120" w:type="dxa"/>
            </w:tcMar>
            <w:shd w:fill="F2F4F7"/>
          </w:tcPr>
          <w:p>
            <w:pPr>
              <w:spacing w:after="0" w:line="252" w:lineRule="auto"/>
            </w:pPr>
            <w:r/>
            <w:r>
              <w:rPr>
                <w:rFonts w:ascii="Arial" w:hAnsi="Arial"/>
                <w:b w:val="0"/>
                <w:i w:val="0"/>
                <w:sz w:val="16"/>
              </w:rPr>
              <w:t>AI Security</w:t>
            </w:r>
          </w:p>
        </w:tc>
      </w:tr>
      <w:tr>
        <w:trPr>
          <w:cantSplit/>
        </w:trPr>
        <w:tc>
          <w:tcPr>
            <w:tcW w:type="dxa" w:w="605"/>
            <w:vAlign w:val="center"/>
            <w:tcMar>
              <w:top w:w="80" w:type="dxa"/>
              <w:start w:w="120" w:type="dxa"/>
              <w:bottom w:w="80" w:type="dxa"/>
              <w:end w:w="120" w:type="dxa"/>
            </w:tcMar>
            <w:shd w:fill="FFFFFF"/>
          </w:tcPr>
          <w:p>
            <w:pPr>
              <w:spacing w:after="0" w:line="252" w:lineRule="auto"/>
            </w:pPr>
            <w:r/>
            <w:r>
              <w:rPr>
                <w:rFonts w:ascii="Arial" w:hAnsi="Arial"/>
                <w:b w:val="0"/>
                <w:i w:val="0"/>
                <w:sz w:val="16"/>
              </w:rPr>
              <w:t>R-10</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Optional CLI vulnerable dependencies</w:t>
            </w:r>
          </w:p>
        </w:tc>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CLI only</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12 High</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8 Moderate</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Exclude; update and validate call paths/audit</w:t>
            </w:r>
          </w:p>
        </w:tc>
        <w:tc>
          <w:tcPr>
            <w:tcW w:type="dxa" w:w="1080"/>
            <w:vAlign w:val="center"/>
            <w:tcMar>
              <w:top w:w="80" w:type="dxa"/>
              <w:start w:w="120" w:type="dxa"/>
              <w:bottom w:w="80" w:type="dxa"/>
              <w:end w:w="120" w:type="dxa"/>
            </w:tcMar>
            <w:shd w:fill="FFFFFF"/>
          </w:tcPr>
          <w:p>
            <w:pPr>
              <w:spacing w:after="0" w:line="252" w:lineRule="auto"/>
            </w:pPr>
            <w:r/>
            <w:r>
              <w:rPr>
                <w:rFonts w:ascii="Arial" w:hAnsi="Arial"/>
                <w:b w:val="0"/>
                <w:i w:val="0"/>
                <w:sz w:val="16"/>
              </w:rPr>
              <w:t>AppSec</w:t>
            </w:r>
          </w:p>
        </w:tc>
      </w:tr>
      <w:tr>
        <w:trPr>
          <w:cantSplit/>
        </w:trPr>
        <w:tc>
          <w:tcPr>
            <w:tcW w:type="dxa" w:w="605"/>
            <w:vAlign w:val="center"/>
            <w:tcMar>
              <w:top w:w="80" w:type="dxa"/>
              <w:start w:w="120" w:type="dxa"/>
              <w:bottom w:w="80" w:type="dxa"/>
              <w:end w:w="120" w:type="dxa"/>
            </w:tcMar>
            <w:shd w:fill="F2F4F7"/>
          </w:tcPr>
          <w:p>
            <w:pPr>
              <w:spacing w:after="0" w:line="252" w:lineRule="auto"/>
            </w:pPr>
            <w:r/>
            <w:r>
              <w:rPr>
                <w:rFonts w:ascii="Arial" w:hAnsi="Arial"/>
                <w:b w:val="0"/>
                <w:i w:val="0"/>
                <w:sz w:val="16"/>
              </w:rPr>
              <w:t>R-11</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CLI endpoint redirect/plain HTTP</w:t>
            </w:r>
          </w:p>
        </w:tc>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CLI only</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3</w:t>
            </w:r>
          </w:p>
        </w:tc>
        <w:tc>
          <w:tcPr>
            <w:tcW w:type="dxa" w:w="403"/>
            <w:vAlign w:val="center"/>
            <w:tcMar>
              <w:top w:w="80" w:type="dxa"/>
              <w:start w:w="120" w:type="dxa"/>
              <w:bottom w:w="80" w:type="dxa"/>
              <w:end w:w="120" w:type="dxa"/>
            </w:tcMar>
            <w:shd w:fill="F2F4F7"/>
          </w:tcPr>
          <w:p>
            <w:pPr>
              <w:spacing w:after="0" w:line="252" w:lineRule="auto"/>
            </w:pPr>
            <w:r/>
            <w:r>
              <w:rPr>
                <w:rFonts w:ascii="Arial" w:hAnsi="Arial"/>
                <w:b w:val="0"/>
                <w:i w:val="0"/>
                <w:sz w:val="16"/>
              </w:rPr>
              <w:t>5</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15 High</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2F4F7"/>
          </w:tcPr>
          <w:p>
            <w:pPr>
              <w:spacing w:after="0" w:line="252" w:lineRule="auto"/>
            </w:pPr>
            <w:r/>
            <w:r>
              <w:rPr>
                <w:rFonts w:ascii="Arial" w:hAnsi="Arial"/>
                <w:b w:val="0"/>
                <w:i w:val="0"/>
                <w:sz w:val="16"/>
              </w:rPr>
              <w:t>4</w:t>
            </w:r>
          </w:p>
        </w:tc>
        <w:tc>
          <w:tcPr>
            <w:tcW w:type="dxa" w:w="936"/>
            <w:vAlign w:val="center"/>
            <w:tcMar>
              <w:top w:w="80" w:type="dxa"/>
              <w:start w:w="120" w:type="dxa"/>
              <w:bottom w:w="80" w:type="dxa"/>
              <w:end w:w="120" w:type="dxa"/>
            </w:tcMar>
            <w:shd w:fill="F2F4F7"/>
          </w:tcPr>
          <w:p>
            <w:pPr>
              <w:spacing w:after="0" w:line="252" w:lineRule="auto"/>
            </w:pPr>
            <w:r/>
            <w:r>
              <w:rPr>
                <w:rFonts w:ascii="Arial" w:hAnsi="Arial"/>
                <w:b w:val="0"/>
                <w:i w:val="0"/>
                <w:sz w:val="16"/>
              </w:rPr>
              <w:t>8 Moderate</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Lock HTTPS endpoint; egress/config policy</w:t>
            </w:r>
          </w:p>
        </w:tc>
        <w:tc>
          <w:tcPr>
            <w:tcW w:type="dxa" w:w="1080"/>
            <w:vAlign w:val="center"/>
            <w:tcMar>
              <w:top w:w="80" w:type="dxa"/>
              <w:start w:w="120" w:type="dxa"/>
              <w:bottom w:w="80" w:type="dxa"/>
              <w:end w:w="120" w:type="dxa"/>
            </w:tcMar>
            <w:shd w:fill="F2F4F7"/>
          </w:tcPr>
          <w:p>
            <w:pPr>
              <w:spacing w:after="0" w:line="252" w:lineRule="auto"/>
            </w:pPr>
            <w:r/>
            <w:r>
              <w:rPr>
                <w:rFonts w:ascii="Arial" w:hAnsi="Arial"/>
                <w:b w:val="0"/>
                <w:i w:val="0"/>
                <w:sz w:val="16"/>
              </w:rPr>
              <w:t>Endpoint Security</w:t>
            </w:r>
          </w:p>
        </w:tc>
      </w:tr>
      <w:tr>
        <w:trPr>
          <w:cantSplit/>
        </w:trPr>
        <w:tc>
          <w:tcPr>
            <w:tcW w:type="dxa" w:w="605"/>
            <w:vAlign w:val="center"/>
            <w:tcMar>
              <w:top w:w="80" w:type="dxa"/>
              <w:start w:w="120" w:type="dxa"/>
              <w:bottom w:w="80" w:type="dxa"/>
              <w:end w:w="120" w:type="dxa"/>
            </w:tcMar>
            <w:shd w:fill="FFFFFF"/>
          </w:tcPr>
          <w:p>
            <w:pPr>
              <w:spacing w:after="0" w:line="252" w:lineRule="auto"/>
            </w:pPr>
            <w:r/>
            <w:r>
              <w:rPr>
                <w:rFonts w:ascii="Arial" w:hAnsi="Arial"/>
                <w:b w:val="0"/>
                <w:i w:val="0"/>
                <w:sz w:val="16"/>
              </w:rPr>
              <w:t>R-12</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Plaintext CLI session cache</w:t>
            </w:r>
          </w:p>
        </w:tc>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CLI only</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403"/>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9 Moderate</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2</w:t>
            </w:r>
          </w:p>
        </w:tc>
        <w:tc>
          <w:tcPr>
            <w:tcW w:type="dxa" w:w="432"/>
            <w:vAlign w:val="center"/>
            <w:tcMar>
              <w:top w:w="80" w:type="dxa"/>
              <w:start w:w="120" w:type="dxa"/>
              <w:bottom w:w="80" w:type="dxa"/>
              <w:end w:w="120" w:type="dxa"/>
            </w:tcMar>
            <w:shd w:fill="FFFFFF"/>
          </w:tcPr>
          <w:p>
            <w:pPr>
              <w:spacing w:after="0" w:line="252" w:lineRule="auto"/>
            </w:pPr>
            <w:r/>
            <w:r>
              <w:rPr>
                <w:rFonts w:ascii="Arial" w:hAnsi="Arial"/>
                <w:b w:val="0"/>
                <w:i w:val="0"/>
                <w:sz w:val="16"/>
              </w:rPr>
              <w:t>3</w:t>
            </w:r>
          </w:p>
        </w:tc>
        <w:tc>
          <w:tcPr>
            <w:tcW w:type="dxa" w:w="936"/>
            <w:vAlign w:val="center"/>
            <w:tcMar>
              <w:top w:w="80" w:type="dxa"/>
              <w:start w:w="120" w:type="dxa"/>
              <w:bottom w:w="80" w:type="dxa"/>
              <w:end w:w="120" w:type="dxa"/>
            </w:tcMar>
            <w:shd w:fill="FFFFFF"/>
          </w:tcPr>
          <w:p>
            <w:pPr>
              <w:spacing w:after="0" w:line="252" w:lineRule="auto"/>
            </w:pPr>
            <w:r/>
            <w:r>
              <w:rPr>
                <w:rFonts w:ascii="Arial" w:hAnsi="Arial"/>
                <w:b w:val="0"/>
                <w:i w:val="0"/>
                <w:sz w:val="16"/>
              </w:rPr>
              <w:t>6 Moderate</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0600/atomic cache; secure deletion; verify</w:t>
            </w:r>
          </w:p>
        </w:tc>
        <w:tc>
          <w:tcPr>
            <w:tcW w:type="dxa" w:w="1080"/>
            <w:vAlign w:val="center"/>
            <w:tcMar>
              <w:top w:w="80" w:type="dxa"/>
              <w:start w:w="120" w:type="dxa"/>
              <w:bottom w:w="80" w:type="dxa"/>
              <w:end w:w="120" w:type="dxa"/>
            </w:tcMar>
            <w:shd w:fill="FFFFFF"/>
          </w:tcPr>
          <w:p>
            <w:pPr>
              <w:spacing w:after="0" w:line="252" w:lineRule="auto"/>
            </w:pPr>
            <w:r/>
            <w:r>
              <w:rPr>
                <w:rFonts w:ascii="Arial" w:hAnsi="Arial"/>
                <w:b w:val="0"/>
                <w:i w:val="0"/>
                <w:sz w:val="16"/>
              </w:rPr>
              <w:t>Developer Platform</w:t>
            </w:r>
          </w:p>
        </w:tc>
      </w:tr>
    </w:tbl>
    <w:p>
      <w:pPr>
        <w:spacing w:after="20"/>
      </w:pPr>
    </w:p>
    <w:p>
      <w:r>
        <w:rPr>
          <w:rFonts w:ascii="Arial" w:hAnsi="Arial"/>
          <w:b w:val="0"/>
          <w:i w:val="0"/>
          <w:sz w:val="21"/>
        </w:rPr>
        <w:t>Control strength is Moderate (2/3) for the constrained design because relevant client controls are documented but firm-specific enforcement and payload behavior were not tested. R-01 and R-02 remain High until technical and contractual verification is complete. Confidence: Medium except R-02 Low-to-Medium due to absent product-specific evidence.</w:t>
      </w:r>
    </w:p>
    <w:p>
      <w:bookmarkStart w:id="1164" w:name="CONTROLS"/>
      <w:pPr>
        <w:pStyle w:val="Heading1"/>
      </w:pPr>
      <w:r>
        <w:t>Controls Roadmap and Host Verification</w:t>
      </w:r>
      <w:bookmarkEnd w:id="1164"/>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79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Priority</w:t>
            </w:r>
          </w:p>
        </w:tc>
        <w:tc>
          <w:tcPr>
            <w:tcW w:type="dxa" w:w="381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Control/action</w:t>
            </w:r>
          </w:p>
        </w:tc>
        <w:tc>
          <w:tcPr>
            <w:tcW w:type="dxa" w:w="172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Owner</w:t>
            </w:r>
          </w:p>
        </w:tc>
        <w:tc>
          <w:tcPr>
            <w:tcW w:type="dxa" w:w="288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Acceptance evidence</w:t>
            </w:r>
          </w:p>
        </w:tc>
      </w:tr>
      <w:tr>
        <w:trPr>
          <w:cantSplit/>
        </w:trPr>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P0</w:t>
            </w:r>
          </w:p>
        </w:tc>
        <w:tc>
          <w:tcPr>
            <w:tcW w:type="dxa" w:w="3816"/>
            <w:vAlign w:val="center"/>
            <w:tcMar>
              <w:top w:w="80" w:type="dxa"/>
              <w:start w:w="120" w:type="dxa"/>
              <w:bottom w:w="80" w:type="dxa"/>
              <w:end w:w="120" w:type="dxa"/>
            </w:tcMar>
            <w:shd w:fill="F2F4F7"/>
          </w:tcPr>
          <w:p>
            <w:pPr>
              <w:spacing w:after="0" w:line="252" w:lineRule="auto"/>
            </w:pPr>
            <w:r/>
            <w:r>
              <w:rPr>
                <w:rFonts w:ascii="Arial" w:hAnsi="Arial"/>
                <w:b w:val="0"/>
                <w:i w:val="0"/>
                <w:sz w:val="16"/>
              </w:rPr>
              <w:t>Prohibit confidential/personal/regulated data in MCP requests; disable use where enforcement is unavailable</w:t>
            </w:r>
          </w:p>
        </w:tc>
        <w:tc>
          <w:tcPr>
            <w:tcW w:type="dxa" w:w="1728"/>
            <w:vAlign w:val="center"/>
            <w:tcMar>
              <w:top w:w="80" w:type="dxa"/>
              <w:start w:w="120" w:type="dxa"/>
              <w:bottom w:w="80" w:type="dxa"/>
              <w:end w:w="120" w:type="dxa"/>
            </w:tcMar>
            <w:shd w:fill="F2F4F7"/>
          </w:tcPr>
          <w:p>
            <w:pPr>
              <w:spacing w:after="0" w:line="252" w:lineRule="auto"/>
            </w:pPr>
            <w:r/>
            <w:r>
              <w:rPr>
                <w:rFonts w:ascii="Arial" w:hAnsi="Arial"/>
                <w:b w:val="0"/>
                <w:i w:val="0"/>
                <w:sz w:val="16"/>
              </w:rPr>
              <w:t>CISO / Developer Platform</w:t>
            </w:r>
          </w:p>
        </w:tc>
        <w:tc>
          <w:tcPr>
            <w:tcW w:type="dxa" w:w="2880"/>
            <w:vAlign w:val="center"/>
            <w:tcMar>
              <w:top w:w="80" w:type="dxa"/>
              <w:start w:w="120" w:type="dxa"/>
              <w:bottom w:w="80" w:type="dxa"/>
              <w:end w:w="120" w:type="dxa"/>
            </w:tcMar>
            <w:shd w:fill="F2F4F7"/>
          </w:tcPr>
          <w:p>
            <w:pPr>
              <w:spacing w:after="0" w:line="252" w:lineRule="auto"/>
            </w:pPr>
            <w:r/>
            <w:r>
              <w:rPr>
                <w:rFonts w:ascii="Arial" w:hAnsi="Arial"/>
                <w:b w:val="0"/>
                <w:i w:val="0"/>
                <w:sz w:val="16"/>
              </w:rPr>
              <w:t>Policy, managed configuration, negative DLP tests and sampled audit evidence</w:t>
            </w:r>
          </w:p>
        </w:tc>
      </w:tr>
      <w:tr>
        <w:trPr>
          <w:cantSplit/>
        </w:trPr>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P0</w:t>
            </w:r>
          </w:p>
        </w:tc>
        <w:tc>
          <w:tcPr>
            <w:tcW w:type="dxa" w:w="3816"/>
            <w:vAlign w:val="center"/>
            <w:tcMar>
              <w:top w:w="80" w:type="dxa"/>
              <w:start w:w="120" w:type="dxa"/>
              <w:bottom w:w="80" w:type="dxa"/>
              <w:end w:w="120" w:type="dxa"/>
            </w:tcMar>
            <w:shd w:fill="FFFFFF"/>
          </w:tcPr>
          <w:p>
            <w:pPr>
              <w:spacing w:after="0" w:line="252" w:lineRule="auto"/>
            </w:pPr>
            <w:r/>
            <w:r>
              <w:rPr>
                <w:rFonts w:ascii="Arial" w:hAnsi="Arial"/>
                <w:b w:val="0"/>
                <w:i w:val="0"/>
                <w:sz w:val="16"/>
              </w:rPr>
              <w:t>Resolve Microsoft service-specific privacy, contract, retention, residency, subprocessors, training and incident terms</w:t>
            </w:r>
          </w:p>
        </w:tc>
        <w:tc>
          <w:tcPr>
            <w:tcW w:type="dxa" w:w="1728"/>
            <w:vAlign w:val="center"/>
            <w:tcMar>
              <w:top w:w="80" w:type="dxa"/>
              <w:start w:w="120" w:type="dxa"/>
              <w:bottom w:w="80" w:type="dxa"/>
              <w:end w:w="120" w:type="dxa"/>
            </w:tcMar>
            <w:shd w:fill="FFFFFF"/>
          </w:tcPr>
          <w:p>
            <w:pPr>
              <w:spacing w:after="0" w:line="252" w:lineRule="auto"/>
            </w:pPr>
            <w:r/>
            <w:r>
              <w:rPr>
                <w:rFonts w:ascii="Arial" w:hAnsi="Arial"/>
                <w:b w:val="0"/>
                <w:i w:val="0"/>
                <w:sz w:val="16"/>
              </w:rPr>
              <w:t>Legal / DPO / Procurement</w:t>
            </w:r>
          </w:p>
        </w:tc>
        <w:tc>
          <w:tcPr>
            <w:tcW w:type="dxa" w:w="2880"/>
            <w:vAlign w:val="center"/>
            <w:tcMar>
              <w:top w:w="80" w:type="dxa"/>
              <w:start w:w="120" w:type="dxa"/>
              <w:bottom w:w="80" w:type="dxa"/>
              <w:end w:w="120" w:type="dxa"/>
            </w:tcMar>
            <w:shd w:fill="FFFFFF"/>
          </w:tcPr>
          <w:p>
            <w:pPr>
              <w:spacing w:after="0" w:line="252" w:lineRule="auto"/>
            </w:pPr>
            <w:r/>
            <w:r>
              <w:rPr>
                <w:rFonts w:ascii="Arial" w:hAnsi="Arial"/>
                <w:b w:val="0"/>
                <w:i w:val="0"/>
                <w:sz w:val="16"/>
              </w:rPr>
              <w:t>Written vendor evidence and signed risk/contract decision</w:t>
            </w:r>
          </w:p>
        </w:tc>
      </w:tr>
      <w:tr>
        <w:trPr>
          <w:cantSplit/>
        </w:trPr>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P0</w:t>
            </w:r>
          </w:p>
        </w:tc>
        <w:tc>
          <w:tcPr>
            <w:tcW w:type="dxa" w:w="3816"/>
            <w:vAlign w:val="center"/>
            <w:tcMar>
              <w:top w:w="80" w:type="dxa"/>
              <w:start w:w="120" w:type="dxa"/>
              <w:bottom w:w="80" w:type="dxa"/>
              <w:end w:w="120" w:type="dxa"/>
            </w:tcMar>
            <w:shd w:fill="F2F4F7"/>
          </w:tcPr>
          <w:p>
            <w:pPr>
              <w:spacing w:after="0" w:line="252" w:lineRule="auto"/>
            </w:pPr>
            <w:r/>
            <w:r>
              <w:rPr>
                <w:rFonts w:ascii="Arial" w:hAnsi="Arial"/>
                <w:b w:val="0"/>
                <w:i w:val="0"/>
                <w:sz w:val="16"/>
              </w:rPr>
              <w:t>Allowlist exact endpoint and deny shadow MCP servers/config redirection</w:t>
            </w:r>
          </w:p>
        </w:tc>
        <w:tc>
          <w:tcPr>
            <w:tcW w:type="dxa" w:w="1728"/>
            <w:vAlign w:val="center"/>
            <w:tcMar>
              <w:top w:w="80" w:type="dxa"/>
              <w:start w:w="120" w:type="dxa"/>
              <w:bottom w:w="80" w:type="dxa"/>
              <w:end w:w="120" w:type="dxa"/>
            </w:tcMar>
            <w:shd w:fill="F2F4F7"/>
          </w:tcPr>
          <w:p>
            <w:pPr>
              <w:spacing w:after="0" w:line="252" w:lineRule="auto"/>
            </w:pPr>
            <w:r/>
            <w:r>
              <w:rPr>
                <w:rFonts w:ascii="Arial" w:hAnsi="Arial"/>
                <w:b w:val="0"/>
                <w:i w:val="0"/>
                <w:sz w:val="16"/>
              </w:rPr>
              <w:t>Endpoint Security</w:t>
            </w:r>
          </w:p>
        </w:tc>
        <w:tc>
          <w:tcPr>
            <w:tcW w:type="dxa" w:w="2880"/>
            <w:vAlign w:val="center"/>
            <w:tcMar>
              <w:top w:w="80" w:type="dxa"/>
              <w:start w:w="120" w:type="dxa"/>
              <w:bottom w:w="80" w:type="dxa"/>
              <w:end w:w="120" w:type="dxa"/>
            </w:tcMar>
            <w:shd w:fill="F2F4F7"/>
          </w:tcPr>
          <w:p>
            <w:pPr>
              <w:spacing w:after="0" w:line="252" w:lineRule="auto"/>
            </w:pPr>
            <w:r/>
            <w:r>
              <w:rPr>
                <w:rFonts w:ascii="Arial" w:hAnsi="Arial"/>
                <w:b w:val="0"/>
                <w:i w:val="0"/>
                <w:sz w:val="16"/>
              </w:rPr>
              <w:t>Policy export plus controlled bypass-negative test</w:t>
            </w:r>
          </w:p>
        </w:tc>
      </w:tr>
      <w:tr>
        <w:trPr>
          <w:cantSplit/>
        </w:trPr>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P1</w:t>
            </w:r>
          </w:p>
        </w:tc>
        <w:tc>
          <w:tcPr>
            <w:tcW w:type="dxa" w:w="3816"/>
            <w:vAlign w:val="center"/>
            <w:tcMar>
              <w:top w:w="80" w:type="dxa"/>
              <w:start w:w="120" w:type="dxa"/>
              <w:bottom w:w="80" w:type="dxa"/>
              <w:end w:w="120" w:type="dxa"/>
            </w:tcMar>
            <w:shd w:fill="FFFFFF"/>
          </w:tcPr>
          <w:p>
            <w:pPr>
              <w:spacing w:after="0" w:line="252" w:lineRule="auto"/>
            </w:pPr>
            <w:r/>
            <w:r>
              <w:rPr>
                <w:rFonts w:ascii="Arial" w:hAnsi="Arial"/>
                <w:b w:val="0"/>
                <w:i w:val="0"/>
                <w:sz w:val="16"/>
              </w:rPr>
              <w:t>Require per-tool confirmation; disable unused tools and auto-approval</w:t>
            </w:r>
          </w:p>
        </w:tc>
        <w:tc>
          <w:tcPr>
            <w:tcW w:type="dxa" w:w="1728"/>
            <w:vAlign w:val="center"/>
            <w:tcMar>
              <w:top w:w="80" w:type="dxa"/>
              <w:start w:w="120" w:type="dxa"/>
              <w:bottom w:w="80" w:type="dxa"/>
              <w:end w:w="120" w:type="dxa"/>
            </w:tcMar>
            <w:shd w:fill="FFFFFF"/>
          </w:tcPr>
          <w:p>
            <w:pPr>
              <w:spacing w:after="0" w:line="252" w:lineRule="auto"/>
            </w:pPr>
            <w:r/>
            <w:r>
              <w:rPr>
                <w:rFonts w:ascii="Arial" w:hAnsi="Arial"/>
                <w:b w:val="0"/>
                <w:i w:val="0"/>
                <w:sz w:val="16"/>
              </w:rPr>
              <w:t>Developer Platform</w:t>
            </w:r>
          </w:p>
        </w:tc>
        <w:tc>
          <w:tcPr>
            <w:tcW w:type="dxa" w:w="2880"/>
            <w:vAlign w:val="center"/>
            <w:tcMar>
              <w:top w:w="80" w:type="dxa"/>
              <w:start w:w="120" w:type="dxa"/>
              <w:bottom w:w="80" w:type="dxa"/>
              <w:end w:w="120" w:type="dxa"/>
            </w:tcMar>
            <w:shd w:fill="FFFFFF"/>
          </w:tcPr>
          <w:p>
            <w:pPr>
              <w:spacing w:after="0" w:line="252" w:lineRule="auto"/>
            </w:pPr>
            <w:r/>
            <w:r>
              <w:rPr>
                <w:rFonts w:ascii="Arial" w:hAnsi="Arial"/>
                <w:b w:val="0"/>
                <w:i w:val="0"/>
                <w:sz w:val="16"/>
              </w:rPr>
              <w:t>Managed policy and screenshots/log extracts from both IDEs</w:t>
            </w:r>
          </w:p>
        </w:tc>
      </w:tr>
      <w:tr>
        <w:trPr>
          <w:cantSplit/>
        </w:trPr>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P1</w:t>
            </w:r>
          </w:p>
        </w:tc>
        <w:tc>
          <w:tcPr>
            <w:tcW w:type="dxa" w:w="3816"/>
            <w:vAlign w:val="center"/>
            <w:tcMar>
              <w:top w:w="80" w:type="dxa"/>
              <w:start w:w="120" w:type="dxa"/>
              <w:bottom w:w="80" w:type="dxa"/>
              <w:end w:w="120" w:type="dxa"/>
            </w:tcMar>
            <w:shd w:fill="F2F4F7"/>
          </w:tcPr>
          <w:p>
            <w:pPr>
              <w:spacing w:after="0" w:line="252" w:lineRule="auto"/>
            </w:pPr>
            <w:r/>
            <w:r>
              <w:rPr>
                <w:rFonts w:ascii="Arial" w:hAnsi="Arial"/>
                <w:b w:val="0"/>
                <w:i w:val="0"/>
                <w:sz w:val="16"/>
              </w:rPr>
              <w:t>Schema/description change monitoring and reapproval</w:t>
            </w:r>
          </w:p>
        </w:tc>
        <w:tc>
          <w:tcPr>
            <w:tcW w:type="dxa" w:w="1728"/>
            <w:vAlign w:val="center"/>
            <w:tcMar>
              <w:top w:w="80" w:type="dxa"/>
              <w:start w:w="120" w:type="dxa"/>
              <w:bottom w:w="80" w:type="dxa"/>
              <w:end w:w="120" w:type="dxa"/>
            </w:tcMar>
            <w:shd w:fill="F2F4F7"/>
          </w:tcPr>
          <w:p>
            <w:pPr>
              <w:spacing w:after="0" w:line="252" w:lineRule="auto"/>
            </w:pPr>
            <w:r/>
            <w:r>
              <w:rPr>
                <w:rFonts w:ascii="Arial" w:hAnsi="Arial"/>
                <w:b w:val="0"/>
                <w:i w:val="0"/>
                <w:sz w:val="16"/>
              </w:rPr>
              <w:t>AI Security</w:t>
            </w:r>
          </w:p>
        </w:tc>
        <w:tc>
          <w:tcPr>
            <w:tcW w:type="dxa" w:w="2880"/>
            <w:vAlign w:val="center"/>
            <w:tcMar>
              <w:top w:w="80" w:type="dxa"/>
              <w:start w:w="120" w:type="dxa"/>
              <w:bottom w:w="80" w:type="dxa"/>
              <w:end w:w="120" w:type="dxa"/>
            </w:tcMar>
            <w:shd w:fill="F2F4F7"/>
          </w:tcPr>
          <w:p>
            <w:pPr>
              <w:spacing w:after="0" w:line="252" w:lineRule="auto"/>
            </w:pPr>
            <w:r/>
            <w:r>
              <w:rPr>
                <w:rFonts w:ascii="Arial" w:hAnsi="Arial"/>
                <w:b w:val="0"/>
                <w:i w:val="0"/>
                <w:sz w:val="16"/>
              </w:rPr>
              <w:t>Baseline hash, alert, quarantine and change-review runbook</w:t>
            </w:r>
          </w:p>
        </w:tc>
      </w:tr>
      <w:tr>
        <w:trPr>
          <w:cantSplit/>
        </w:trPr>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P1</w:t>
            </w:r>
          </w:p>
        </w:tc>
        <w:tc>
          <w:tcPr>
            <w:tcW w:type="dxa" w:w="3816"/>
            <w:vAlign w:val="center"/>
            <w:tcMar>
              <w:top w:w="80" w:type="dxa"/>
              <w:start w:w="120" w:type="dxa"/>
              <w:bottom w:w="80" w:type="dxa"/>
              <w:end w:w="120" w:type="dxa"/>
            </w:tcMar>
            <w:shd w:fill="FFFFFF"/>
          </w:tcPr>
          <w:p>
            <w:pPr>
              <w:spacing w:after="0" w:line="252" w:lineRule="auto"/>
            </w:pPr>
            <w:r/>
            <w:r>
              <w:rPr>
                <w:rFonts w:ascii="Arial" w:hAnsi="Arial"/>
                <w:b w:val="0"/>
                <w:i w:val="0"/>
                <w:sz w:val="16"/>
              </w:rPr>
              <w:t>Metadata audit without payload logging</w:t>
            </w:r>
          </w:p>
        </w:tc>
        <w:tc>
          <w:tcPr>
            <w:tcW w:type="dxa" w:w="1728"/>
            <w:vAlign w:val="center"/>
            <w:tcMar>
              <w:top w:w="80" w:type="dxa"/>
              <w:start w:w="120" w:type="dxa"/>
              <w:bottom w:w="80" w:type="dxa"/>
              <w:end w:w="120" w:type="dxa"/>
            </w:tcMar>
            <w:shd w:fill="FFFFFF"/>
          </w:tcPr>
          <w:p>
            <w:pPr>
              <w:spacing w:after="0" w:line="252" w:lineRule="auto"/>
            </w:pPr>
            <w:r/>
            <w:r>
              <w:rPr>
                <w:rFonts w:ascii="Arial" w:hAnsi="Arial"/>
                <w:b w:val="0"/>
                <w:i w:val="0"/>
                <w:sz w:val="16"/>
              </w:rPr>
              <w:t>SOC</w:t>
            </w:r>
          </w:p>
        </w:tc>
        <w:tc>
          <w:tcPr>
            <w:tcW w:type="dxa" w:w="2880"/>
            <w:vAlign w:val="center"/>
            <w:tcMar>
              <w:top w:w="80" w:type="dxa"/>
              <w:start w:w="120" w:type="dxa"/>
              <w:bottom w:w="80" w:type="dxa"/>
              <w:end w:w="120" w:type="dxa"/>
            </w:tcMar>
            <w:shd w:fill="FFFFFF"/>
          </w:tcPr>
          <w:p>
            <w:pPr>
              <w:spacing w:after="0" w:line="252" w:lineRule="auto"/>
            </w:pPr>
            <w:r/>
            <w:r>
              <w:rPr>
                <w:rFonts w:ascii="Arial" w:hAnsi="Arial"/>
                <w:b w:val="0"/>
                <w:i w:val="0"/>
                <w:sz w:val="16"/>
              </w:rPr>
              <w:t>Events for client/server/tool/schema/decision/classification; retention and access controls</w:t>
            </w:r>
          </w:p>
        </w:tc>
      </w:tr>
      <w:tr>
        <w:trPr>
          <w:cantSplit/>
        </w:trPr>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P1</w:t>
            </w:r>
          </w:p>
        </w:tc>
        <w:tc>
          <w:tcPr>
            <w:tcW w:type="dxa" w:w="3816"/>
            <w:vAlign w:val="center"/>
            <w:tcMar>
              <w:top w:w="80" w:type="dxa"/>
              <w:start w:w="120" w:type="dxa"/>
              <w:bottom w:w="80" w:type="dxa"/>
              <w:end w:w="120" w:type="dxa"/>
            </w:tcMar>
            <w:shd w:fill="F2F4F7"/>
          </w:tcPr>
          <w:p>
            <w:pPr>
              <w:spacing w:after="0" w:line="252" w:lineRule="auto"/>
            </w:pPr>
            <w:r/>
            <w:r>
              <w:rPr>
                <w:rFonts w:ascii="Arial" w:hAnsi="Arial"/>
                <w:b w:val="0"/>
                <w:i w:val="0"/>
                <w:sz w:val="16"/>
              </w:rPr>
              <w:t>Secure-output handling and sample review</w:t>
            </w:r>
          </w:p>
        </w:tc>
        <w:tc>
          <w:tcPr>
            <w:tcW w:type="dxa" w:w="1728"/>
            <w:vAlign w:val="center"/>
            <w:tcMar>
              <w:top w:w="80" w:type="dxa"/>
              <w:start w:w="120" w:type="dxa"/>
              <w:bottom w:w="80" w:type="dxa"/>
              <w:end w:w="120" w:type="dxa"/>
            </w:tcMar>
            <w:shd w:fill="F2F4F7"/>
          </w:tcPr>
          <w:p>
            <w:pPr>
              <w:spacing w:after="0" w:line="252" w:lineRule="auto"/>
            </w:pPr>
            <w:r/>
            <w:r>
              <w:rPr>
                <w:rFonts w:ascii="Arial" w:hAnsi="Arial"/>
                <w:b w:val="0"/>
                <w:i w:val="0"/>
                <w:sz w:val="16"/>
              </w:rPr>
              <w:t>Application Security</w:t>
            </w:r>
          </w:p>
        </w:tc>
        <w:tc>
          <w:tcPr>
            <w:tcW w:type="dxa" w:w="2880"/>
            <w:vAlign w:val="center"/>
            <w:tcMar>
              <w:top w:w="80" w:type="dxa"/>
              <w:start w:w="120" w:type="dxa"/>
              <w:bottom w:w="80" w:type="dxa"/>
              <w:end w:w="120" w:type="dxa"/>
            </w:tcMar>
            <w:shd w:fill="F2F4F7"/>
          </w:tcPr>
          <w:p>
            <w:pPr>
              <w:spacing w:after="0" w:line="252" w:lineRule="auto"/>
            </w:pPr>
            <w:r/>
            <w:r>
              <w:rPr>
                <w:rFonts w:ascii="Arial" w:hAnsi="Arial"/>
                <w:b w:val="0"/>
                <w:i w:val="0"/>
                <w:sz w:val="16"/>
              </w:rPr>
              <w:t>Code-review checklist, SAST/tests, source/version validation</w:t>
            </w:r>
          </w:p>
        </w:tc>
      </w:tr>
      <w:tr>
        <w:trPr>
          <w:cantSplit/>
        </w:trPr>
        <w:tc>
          <w:tcPr>
            <w:tcW w:type="dxa" w:w="792"/>
            <w:vAlign w:val="center"/>
            <w:tcMar>
              <w:top w:w="80" w:type="dxa"/>
              <w:start w:w="120" w:type="dxa"/>
              <w:bottom w:w="80" w:type="dxa"/>
              <w:end w:w="120" w:type="dxa"/>
            </w:tcMar>
            <w:shd w:fill="FFFFFF"/>
          </w:tcPr>
          <w:p>
            <w:pPr>
              <w:spacing w:after="0" w:line="252" w:lineRule="auto"/>
            </w:pPr>
            <w:r/>
            <w:r>
              <w:rPr>
                <w:rFonts w:ascii="Arial" w:hAnsi="Arial"/>
                <w:b w:val="0"/>
                <w:i w:val="0"/>
                <w:sz w:val="16"/>
              </w:rPr>
              <w:t>P2</w:t>
            </w:r>
          </w:p>
        </w:tc>
        <w:tc>
          <w:tcPr>
            <w:tcW w:type="dxa" w:w="3816"/>
            <w:vAlign w:val="center"/>
            <w:tcMar>
              <w:top w:w="80" w:type="dxa"/>
              <w:start w:w="120" w:type="dxa"/>
              <w:bottom w:w="80" w:type="dxa"/>
              <w:end w:w="120" w:type="dxa"/>
            </w:tcMar>
            <w:shd w:fill="FFFFFF"/>
          </w:tcPr>
          <w:p>
            <w:pPr>
              <w:spacing w:after="0" w:line="252" w:lineRule="auto"/>
            </w:pPr>
            <w:r/>
            <w:r>
              <w:rPr>
                <w:rFonts w:ascii="Arial" w:hAnsi="Arial"/>
                <w:b w:val="0"/>
                <w:i w:val="0"/>
                <w:sz w:val="16"/>
              </w:rPr>
              <w:t>Resilience and exit/removal test</w:t>
            </w:r>
          </w:p>
        </w:tc>
        <w:tc>
          <w:tcPr>
            <w:tcW w:type="dxa" w:w="1728"/>
            <w:vAlign w:val="center"/>
            <w:tcMar>
              <w:top w:w="80" w:type="dxa"/>
              <w:start w:w="120" w:type="dxa"/>
              <w:bottom w:w="80" w:type="dxa"/>
              <w:end w:w="120" w:type="dxa"/>
            </w:tcMar>
            <w:shd w:fill="FFFFFF"/>
          </w:tcPr>
          <w:p>
            <w:pPr>
              <w:spacing w:after="0" w:line="252" w:lineRule="auto"/>
            </w:pPr>
            <w:r/>
            <w:r>
              <w:rPr>
                <w:rFonts w:ascii="Arial" w:hAnsi="Arial"/>
                <w:b w:val="0"/>
                <w:i w:val="0"/>
                <w:sz w:val="16"/>
              </w:rPr>
              <w:t>Service Owner</w:t>
            </w:r>
          </w:p>
        </w:tc>
        <w:tc>
          <w:tcPr>
            <w:tcW w:type="dxa" w:w="2880"/>
            <w:vAlign w:val="center"/>
            <w:tcMar>
              <w:top w:w="80" w:type="dxa"/>
              <w:start w:w="120" w:type="dxa"/>
              <w:bottom w:w="80" w:type="dxa"/>
              <w:end w:w="120" w:type="dxa"/>
            </w:tcMar>
            <w:shd w:fill="FFFFFF"/>
          </w:tcPr>
          <w:p>
            <w:pPr>
              <w:spacing w:after="0" w:line="252" w:lineRule="auto"/>
            </w:pPr>
            <w:r/>
            <w:r>
              <w:rPr>
                <w:rFonts w:ascii="Arial" w:hAnsi="Arial"/>
                <w:b w:val="0"/>
                <w:i w:val="0"/>
                <w:sz w:val="16"/>
              </w:rPr>
              <w:t>Fallback exercise and verified config/trust/cache removal</w:t>
            </w:r>
          </w:p>
        </w:tc>
      </w:tr>
      <w:tr>
        <w:trPr>
          <w:cantSplit/>
        </w:trPr>
        <w:tc>
          <w:tcPr>
            <w:tcW w:type="dxa" w:w="792"/>
            <w:vAlign w:val="center"/>
            <w:tcMar>
              <w:top w:w="80" w:type="dxa"/>
              <w:start w:w="120" w:type="dxa"/>
              <w:bottom w:w="80" w:type="dxa"/>
              <w:end w:w="120" w:type="dxa"/>
            </w:tcMar>
            <w:shd w:fill="F2F4F7"/>
          </w:tcPr>
          <w:p>
            <w:pPr>
              <w:spacing w:after="0" w:line="252" w:lineRule="auto"/>
            </w:pPr>
            <w:r/>
            <w:r>
              <w:rPr>
                <w:rFonts w:ascii="Arial" w:hAnsi="Arial"/>
                <w:b w:val="0"/>
                <w:i w:val="0"/>
                <w:sz w:val="16"/>
              </w:rPr>
              <w:t>P2</w:t>
            </w:r>
          </w:p>
        </w:tc>
        <w:tc>
          <w:tcPr>
            <w:tcW w:type="dxa" w:w="3816"/>
            <w:vAlign w:val="center"/>
            <w:tcMar>
              <w:top w:w="80" w:type="dxa"/>
              <w:start w:w="120" w:type="dxa"/>
              <w:bottom w:w="80" w:type="dxa"/>
              <w:end w:w="120" w:type="dxa"/>
            </w:tcMar>
            <w:shd w:fill="F2F4F7"/>
          </w:tcPr>
          <w:p>
            <w:pPr>
              <w:spacing w:after="0" w:line="252" w:lineRule="auto"/>
            </w:pPr>
            <w:r/>
            <w:r>
              <w:rPr>
                <w:rFonts w:ascii="Arial" w:hAnsi="Arial"/>
                <w:b w:val="0"/>
                <w:i w:val="0"/>
                <w:sz w:val="16"/>
              </w:rPr>
              <w:t>DPIA/materiality/outsourcing and important-business-service decision</w:t>
            </w:r>
          </w:p>
        </w:tc>
        <w:tc>
          <w:tcPr>
            <w:tcW w:type="dxa" w:w="1728"/>
            <w:vAlign w:val="center"/>
            <w:tcMar>
              <w:top w:w="80" w:type="dxa"/>
              <w:start w:w="120" w:type="dxa"/>
              <w:bottom w:w="80" w:type="dxa"/>
              <w:end w:w="120" w:type="dxa"/>
            </w:tcMar>
            <w:shd w:fill="F2F4F7"/>
          </w:tcPr>
          <w:p>
            <w:pPr>
              <w:spacing w:after="0" w:line="252" w:lineRule="auto"/>
            </w:pPr>
            <w:r/>
            <w:r>
              <w:rPr>
                <w:rFonts w:ascii="Arial" w:hAnsi="Arial"/>
                <w:b w:val="0"/>
                <w:i w:val="0"/>
                <w:sz w:val="16"/>
              </w:rPr>
              <w:t>DPO / Compliance</w:t>
            </w:r>
          </w:p>
        </w:tc>
        <w:tc>
          <w:tcPr>
            <w:tcW w:type="dxa" w:w="2880"/>
            <w:vAlign w:val="center"/>
            <w:tcMar>
              <w:top w:w="80" w:type="dxa"/>
              <w:start w:w="120" w:type="dxa"/>
              <w:bottom w:w="80" w:type="dxa"/>
              <w:end w:w="120" w:type="dxa"/>
            </w:tcMar>
            <w:shd w:fill="F2F4F7"/>
          </w:tcPr>
          <w:p>
            <w:pPr>
              <w:spacing w:after="0" w:line="252" w:lineRule="auto"/>
            </w:pPr>
            <w:r/>
            <w:r>
              <w:rPr>
                <w:rFonts w:ascii="Arial" w:hAnsi="Arial"/>
                <w:b w:val="0"/>
                <w:i w:val="0"/>
                <w:sz w:val="16"/>
              </w:rPr>
              <w:t>Documented applicability and accountable approval</w:t>
            </w:r>
          </w:p>
        </w:tc>
      </w:tr>
    </w:tbl>
    <w:p>
      <w:pPr>
        <w:spacing w:after="20"/>
      </w:pPr>
    </w:p>
    <w:p>
      <w:pPr>
        <w:pStyle w:val="Heading2"/>
      </w:pPr>
      <w:r>
        <w:t>Static host verification plan (execution requires separate runtime authorisation)</w:t>
      </w:r>
    </w:p>
    <w:p>
      <w:pPr>
        <w:pStyle w:val="ListBullet"/>
      </w:pPr>
      <w:r>
        <w:rPr>
          <w:rFonts w:ascii="Arial" w:hAnsi="Arial"/>
          <w:b w:val="0"/>
          <w:i w:val="0"/>
          <w:sz w:val="21"/>
        </w:rPr>
        <w:t>Baseline managed IDE version, extensions, MCP configs, policy, trust state, processes, services, network/proxy controls, logs and caches.</w:t>
      </w:r>
    </w:p>
    <w:p>
      <w:pPr>
        <w:pStyle w:val="ListBullet"/>
      </w:pPr>
      <w:r>
        <w:rPr>
          <w:rFonts w:ascii="Arial" w:hAnsi="Arial"/>
          <w:b w:val="0"/>
          <w:i w:val="0"/>
          <w:sz w:val="21"/>
        </w:rPr>
        <w:t>Use a synthetic repository containing seeded non-secret canary strings and prohibited-data patterns; never use production code or credentials.</w:t>
      </w:r>
    </w:p>
    <w:p>
      <w:pPr>
        <w:pStyle w:val="ListBullet"/>
      </w:pPr>
      <w:r>
        <w:rPr>
          <w:rFonts w:ascii="Arial" w:hAnsi="Arial"/>
          <w:b w:val="0"/>
          <w:i w:val="0"/>
          <w:sz w:val="21"/>
        </w:rPr>
        <w:t>Attempt allowed public query and blocked confidential query; capture the exact client-generated tool arguments, destination, headers, TLS identity and confirmation behavior.</w:t>
      </w:r>
    </w:p>
    <w:p>
      <w:pPr>
        <w:pStyle w:val="ListBullet"/>
      </w:pPr>
      <w:r>
        <w:rPr>
          <w:rFonts w:ascii="Arial" w:hAnsi="Arial"/>
          <w:b w:val="0"/>
          <w:i w:val="0"/>
          <w:sz w:val="21"/>
        </w:rPr>
        <w:t>Change advertised tool description/schema in an isolated mock server to verify reset/quarantine behavior; do not target Microsoft’s service for security testing.</w:t>
      </w:r>
    </w:p>
    <w:p>
      <w:pPr>
        <w:pStyle w:val="ListBullet"/>
      </w:pPr>
      <w:r>
        <w:rPr>
          <w:rFonts w:ascii="Arial" w:hAnsi="Arial"/>
          <w:b w:val="0"/>
          <w:i w:val="0"/>
          <w:sz w:val="21"/>
        </w:rPr>
        <w:t>Verify prompt-injection resistance with inert retrieved text that requests unrelated tool use; confirm it cannot cross into terminal/file/cloud tools.</w:t>
      </w:r>
    </w:p>
    <w:p>
      <w:pPr>
        <w:pStyle w:val="ListBullet"/>
      </w:pPr>
      <w:r>
        <w:rPr>
          <w:rFonts w:ascii="Arial" w:hAnsi="Arial"/>
          <w:b w:val="0"/>
          <w:i w:val="0"/>
          <w:sz w:val="21"/>
        </w:rPr>
        <w:t>Verify metadata audit events, rate/size bounds, timeout handling, content exclusions and alerting without storing tool payloads.</w:t>
      </w:r>
    </w:p>
    <w:p>
      <w:pPr>
        <w:pStyle w:val="ListBullet"/>
      </w:pPr>
      <w:r>
        <w:rPr>
          <w:rFonts w:ascii="Arial" w:hAnsi="Arial"/>
          <w:b w:val="0"/>
          <w:i w:val="0"/>
          <w:sz w:val="21"/>
        </w:rPr>
        <w:t>Remove/disable the server and optional skills; confirm configuration, trust, caches, logs, user-global state and solution/workspace residue meet policy.</w:t>
      </w:r>
    </w:p>
    <w:p>
      <w:pPr>
        <w:pStyle w:val="Heading2"/>
      </w:pPr>
      <w:r>
        <w:t>Detection and Monitoring Plan</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80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Signal</w:t>
            </w:r>
          </w:p>
        </w:tc>
        <w:tc>
          <w:tcPr>
            <w:tcW w:type="dxa" w:w="381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Detection</w:t>
            </w:r>
          </w:p>
        </w:tc>
        <w:tc>
          <w:tcPr>
            <w:tcW w:type="dxa" w:w="367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Response</w:t>
            </w:r>
          </w:p>
        </w:tc>
      </w:tr>
      <w:tr>
        <w:trPr>
          <w:cantSplit/>
        </w:trPr>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New/changed MCP endpoint</w:t>
            </w:r>
          </w:p>
        </w:tc>
        <w:tc>
          <w:tcPr>
            <w:tcW w:type="dxa" w:w="3816"/>
            <w:vAlign w:val="center"/>
            <w:tcMar>
              <w:top w:w="80" w:type="dxa"/>
              <w:start w:w="120" w:type="dxa"/>
              <w:bottom w:w="80" w:type="dxa"/>
              <w:end w:w="120" w:type="dxa"/>
            </w:tcMar>
            <w:shd w:fill="F2F4F7"/>
          </w:tcPr>
          <w:p>
            <w:pPr>
              <w:spacing w:after="0" w:line="252" w:lineRule="auto"/>
            </w:pPr>
            <w:r/>
            <w:r>
              <w:rPr>
                <w:rFonts w:ascii="Arial" w:hAnsi="Arial"/>
                <w:b w:val="0"/>
                <w:i w:val="0"/>
                <w:sz w:val="16"/>
              </w:rPr>
              <w:t>Config inventory and allowlist drift</w:t>
            </w:r>
          </w:p>
        </w:tc>
        <w:tc>
          <w:tcPr>
            <w:tcW w:type="dxa" w:w="3672"/>
            <w:vAlign w:val="center"/>
            <w:tcMar>
              <w:top w:w="80" w:type="dxa"/>
              <w:start w:w="120" w:type="dxa"/>
              <w:bottom w:w="80" w:type="dxa"/>
              <w:end w:w="120" w:type="dxa"/>
            </w:tcMar>
            <w:shd w:fill="F2F4F7"/>
          </w:tcPr>
          <w:p>
            <w:pPr>
              <w:spacing w:after="0" w:line="252" w:lineRule="auto"/>
            </w:pPr>
            <w:r/>
            <w:r>
              <w:rPr>
                <w:rFonts w:ascii="Arial" w:hAnsi="Arial"/>
                <w:b w:val="0"/>
                <w:i w:val="0"/>
                <w:sz w:val="16"/>
              </w:rPr>
              <w:t>Block, quarantine workspace/solution, security review</w:t>
            </w:r>
          </w:p>
        </w:tc>
      </w:tr>
      <w:tr>
        <w:trPr>
          <w:cantSplit/>
        </w:trPr>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Tool schema/description change</w:t>
            </w:r>
          </w:p>
        </w:tc>
        <w:tc>
          <w:tcPr>
            <w:tcW w:type="dxa" w:w="3816"/>
            <w:vAlign w:val="center"/>
            <w:tcMar>
              <w:top w:w="80" w:type="dxa"/>
              <w:start w:w="120" w:type="dxa"/>
              <w:bottom w:w="80" w:type="dxa"/>
              <w:end w:w="120" w:type="dxa"/>
            </w:tcMar>
            <w:shd w:fill="FFFFFF"/>
          </w:tcPr>
          <w:p>
            <w:pPr>
              <w:spacing w:after="0" w:line="252" w:lineRule="auto"/>
            </w:pPr>
            <w:r/>
            <w:r>
              <w:rPr>
                <w:rFonts w:ascii="Arial" w:hAnsi="Arial"/>
                <w:b w:val="0"/>
                <w:i w:val="0"/>
                <w:sz w:val="16"/>
              </w:rPr>
              <w:t>Canonicalised schema hash and list-changed event</w:t>
            </w:r>
          </w:p>
        </w:tc>
        <w:tc>
          <w:tcPr>
            <w:tcW w:type="dxa" w:w="3672"/>
            <w:vAlign w:val="center"/>
            <w:tcMar>
              <w:top w:w="80" w:type="dxa"/>
              <w:start w:w="120" w:type="dxa"/>
              <w:bottom w:w="80" w:type="dxa"/>
              <w:end w:w="120" w:type="dxa"/>
            </w:tcMar>
            <w:shd w:fill="FFFFFF"/>
          </w:tcPr>
          <w:p>
            <w:pPr>
              <w:spacing w:after="0" w:line="252" w:lineRule="auto"/>
            </w:pPr>
            <w:r/>
            <w:r>
              <w:rPr>
                <w:rFonts w:ascii="Arial" w:hAnsi="Arial"/>
                <w:b w:val="0"/>
                <w:i w:val="0"/>
                <w:sz w:val="16"/>
              </w:rPr>
              <w:t>Reset acceptance, disable changed tool, reapprove</w:t>
            </w:r>
          </w:p>
        </w:tc>
      </w:tr>
      <w:tr>
        <w:trPr>
          <w:cantSplit/>
        </w:trPr>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Sensitive-query indicator</w:t>
            </w:r>
          </w:p>
        </w:tc>
        <w:tc>
          <w:tcPr>
            <w:tcW w:type="dxa" w:w="3816"/>
            <w:vAlign w:val="center"/>
            <w:tcMar>
              <w:top w:w="80" w:type="dxa"/>
              <w:start w:w="120" w:type="dxa"/>
              <w:bottom w:w="80" w:type="dxa"/>
              <w:end w:w="120" w:type="dxa"/>
            </w:tcMar>
            <w:shd w:fill="F2F4F7"/>
          </w:tcPr>
          <w:p>
            <w:pPr>
              <w:spacing w:after="0" w:line="252" w:lineRule="auto"/>
            </w:pPr>
            <w:r/>
            <w:r>
              <w:rPr>
                <w:rFonts w:ascii="Arial" w:hAnsi="Arial"/>
                <w:b w:val="0"/>
                <w:i w:val="0"/>
                <w:sz w:val="16"/>
              </w:rPr>
              <w:t>Local DLP/classifier before send</w:t>
            </w:r>
          </w:p>
        </w:tc>
        <w:tc>
          <w:tcPr>
            <w:tcW w:type="dxa" w:w="3672"/>
            <w:vAlign w:val="center"/>
            <w:tcMar>
              <w:top w:w="80" w:type="dxa"/>
              <w:start w:w="120" w:type="dxa"/>
              <w:bottom w:w="80" w:type="dxa"/>
              <w:end w:w="120" w:type="dxa"/>
            </w:tcMar>
            <w:shd w:fill="F2F4F7"/>
          </w:tcPr>
          <w:p>
            <w:pPr>
              <w:spacing w:after="0" w:line="252" w:lineRule="auto"/>
            </w:pPr>
            <w:r/>
            <w:r>
              <w:rPr>
                <w:rFonts w:ascii="Arial" w:hAnsi="Arial"/>
                <w:b w:val="0"/>
                <w:i w:val="0"/>
                <w:sz w:val="16"/>
              </w:rPr>
              <w:t>Deny invocation; user guidance; incident triage if transmitted</w:t>
            </w:r>
          </w:p>
        </w:tc>
      </w:tr>
      <w:tr>
        <w:trPr>
          <w:cantSplit/>
        </w:trPr>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Unusual rate/size</w:t>
            </w:r>
          </w:p>
        </w:tc>
        <w:tc>
          <w:tcPr>
            <w:tcW w:type="dxa" w:w="3816"/>
            <w:vAlign w:val="center"/>
            <w:tcMar>
              <w:top w:w="80" w:type="dxa"/>
              <w:start w:w="120" w:type="dxa"/>
              <w:bottom w:w="80" w:type="dxa"/>
              <w:end w:w="120" w:type="dxa"/>
            </w:tcMar>
            <w:shd w:fill="FFFFFF"/>
          </w:tcPr>
          <w:p>
            <w:pPr>
              <w:spacing w:after="0" w:line="252" w:lineRule="auto"/>
            </w:pPr>
            <w:r/>
            <w:r>
              <w:rPr>
                <w:rFonts w:ascii="Arial" w:hAnsi="Arial"/>
                <w:b w:val="0"/>
                <w:i w:val="0"/>
                <w:sz w:val="16"/>
              </w:rPr>
              <w:t>Invocation metadata thresholds</w:t>
            </w:r>
          </w:p>
        </w:tc>
        <w:tc>
          <w:tcPr>
            <w:tcW w:type="dxa" w:w="3672"/>
            <w:vAlign w:val="center"/>
            <w:tcMar>
              <w:top w:w="80" w:type="dxa"/>
              <w:start w:w="120" w:type="dxa"/>
              <w:bottom w:w="80" w:type="dxa"/>
              <w:end w:w="120" w:type="dxa"/>
            </w:tcMar>
            <w:shd w:fill="FFFFFF"/>
          </w:tcPr>
          <w:p>
            <w:pPr>
              <w:spacing w:after="0" w:line="252" w:lineRule="auto"/>
            </w:pPr>
            <w:r/>
            <w:r>
              <w:rPr>
                <w:rFonts w:ascii="Arial" w:hAnsi="Arial"/>
                <w:b w:val="0"/>
                <w:i w:val="0"/>
                <w:sz w:val="16"/>
              </w:rPr>
              <w:t>Throttle/disable; investigate loops or abuse</w:t>
            </w:r>
          </w:p>
        </w:tc>
      </w:tr>
      <w:tr>
        <w:trPr>
          <w:cantSplit/>
        </w:trPr>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Cross-tool sequence</w:t>
            </w:r>
          </w:p>
        </w:tc>
        <w:tc>
          <w:tcPr>
            <w:tcW w:type="dxa" w:w="3816"/>
            <w:vAlign w:val="center"/>
            <w:tcMar>
              <w:top w:w="80" w:type="dxa"/>
              <w:start w:w="120" w:type="dxa"/>
              <w:bottom w:w="80" w:type="dxa"/>
              <w:end w:w="120" w:type="dxa"/>
            </w:tcMar>
            <w:shd w:fill="F2F4F7"/>
          </w:tcPr>
          <w:p>
            <w:pPr>
              <w:spacing w:after="0" w:line="252" w:lineRule="auto"/>
            </w:pPr>
            <w:r/>
            <w:r>
              <w:rPr>
                <w:rFonts w:ascii="Arial" w:hAnsi="Arial"/>
                <w:b w:val="0"/>
                <w:i w:val="0"/>
                <w:sz w:val="16"/>
              </w:rPr>
              <w:t>MCP retrieval followed by privileged tool request</w:t>
            </w:r>
          </w:p>
        </w:tc>
        <w:tc>
          <w:tcPr>
            <w:tcW w:type="dxa" w:w="3672"/>
            <w:vAlign w:val="center"/>
            <w:tcMar>
              <w:top w:w="80" w:type="dxa"/>
              <w:start w:w="120" w:type="dxa"/>
              <w:bottom w:w="80" w:type="dxa"/>
              <w:end w:w="120" w:type="dxa"/>
            </w:tcMar>
            <w:shd w:fill="F2F4F7"/>
          </w:tcPr>
          <w:p>
            <w:pPr>
              <w:spacing w:after="0" w:line="252" w:lineRule="auto"/>
            </w:pPr>
            <w:r/>
            <w:r>
              <w:rPr>
                <w:rFonts w:ascii="Arial" w:hAnsi="Arial"/>
                <w:b w:val="0"/>
                <w:i w:val="0"/>
                <w:sz w:val="16"/>
              </w:rPr>
              <w:t>Require fresh human approval and isolate context</w:t>
            </w:r>
          </w:p>
        </w:tc>
      </w:tr>
      <w:tr>
        <w:trPr>
          <w:cantSplit/>
        </w:trPr>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Service/privacy terms change</w:t>
            </w:r>
          </w:p>
        </w:tc>
        <w:tc>
          <w:tcPr>
            <w:tcW w:type="dxa" w:w="3816"/>
            <w:vAlign w:val="center"/>
            <w:tcMar>
              <w:top w:w="80" w:type="dxa"/>
              <w:start w:w="120" w:type="dxa"/>
              <w:bottom w:w="80" w:type="dxa"/>
              <w:end w:w="120" w:type="dxa"/>
            </w:tcMar>
            <w:shd w:fill="FFFFFF"/>
          </w:tcPr>
          <w:p>
            <w:pPr>
              <w:spacing w:after="0" w:line="252" w:lineRule="auto"/>
            </w:pPr>
            <w:r/>
            <w:r>
              <w:rPr>
                <w:rFonts w:ascii="Arial" w:hAnsi="Arial"/>
                <w:b w:val="0"/>
                <w:i w:val="0"/>
                <w:sz w:val="16"/>
              </w:rPr>
              <w:t>Scheduled source monitoring</w:t>
            </w:r>
          </w:p>
        </w:tc>
        <w:tc>
          <w:tcPr>
            <w:tcW w:type="dxa" w:w="3672"/>
            <w:vAlign w:val="center"/>
            <w:tcMar>
              <w:top w:w="80" w:type="dxa"/>
              <w:start w:w="120" w:type="dxa"/>
              <w:bottom w:w="80" w:type="dxa"/>
              <w:end w:w="120" w:type="dxa"/>
            </w:tcMar>
            <w:shd w:fill="FFFFFF"/>
          </w:tcPr>
          <w:p>
            <w:pPr>
              <w:spacing w:after="0" w:line="252" w:lineRule="auto"/>
            </w:pPr>
            <w:r/>
            <w:r>
              <w:rPr>
                <w:rFonts w:ascii="Arial" w:hAnsi="Arial"/>
                <w:b w:val="0"/>
                <w:i w:val="0"/>
                <w:sz w:val="16"/>
              </w:rPr>
              <w:t>Reassess approval and contractual position</w:t>
            </w:r>
          </w:p>
        </w:tc>
      </w:tr>
    </w:tbl>
    <w:p>
      <w:pPr>
        <w:spacing w:after="20"/>
      </w:pPr>
    </w:p>
    <w:p>
      <w:bookmarkStart w:id="1183" w:name="EVIDENCE"/>
      <w:pPr>
        <w:pStyle w:val="Heading1"/>
      </w:pPr>
      <w:r>
        <w:t>Evidence Register</w:t>
      </w:r>
      <w:bookmarkEnd w:id="1183"/>
    </w:p>
    <w:tbl>
      <w:tblPr>
        <w:tblW w:type="auto" w:w="0"/>
        <w:jc w:val="center"/>
        <w:tblLayout w:type="fixed"/>
        <w:tblLook w:firstColumn="1" w:firstRow="1" w:lastColumn="0" w:lastRow="0" w:noHBand="0" w:noVBand="1" w:val="04A0"/>
      </w:tblPr>
      <w:tblGrid>
        <w:gridCol w:w="1976"/>
        <w:gridCol w:w="1976"/>
        <w:gridCol w:w="1976"/>
        <w:gridCol w:w="1976"/>
        <w:gridCol w:w="1976"/>
      </w:tblGrid>
      <w:tr>
        <w:trPr>
          <w:cantSplit/>
          <w:tblHeader/>
        </w:trPr>
        <w:tc>
          <w:tcPr>
            <w:tcW w:type="dxa" w:w="1037"/>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ID</w:t>
            </w:r>
          </w:p>
        </w:tc>
        <w:tc>
          <w:tcPr>
            <w:tcW w:type="dxa" w:w="331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Evidence</w:t>
            </w:r>
          </w:p>
        </w:tc>
        <w:tc>
          <w:tcPr>
            <w:tcW w:type="dxa" w:w="144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State</w:t>
            </w:r>
          </w:p>
        </w:tc>
        <w:tc>
          <w:tcPr>
            <w:tcW w:type="dxa" w:w="180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Date/version</w:t>
            </w:r>
          </w:p>
        </w:tc>
        <w:tc>
          <w:tcPr>
            <w:tcW w:type="dxa" w:w="1656"/>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Limitation</w:t>
            </w:r>
          </w:p>
        </w:tc>
      </w:tr>
      <w:tr>
        <w:trPr>
          <w:cantSplit/>
        </w:trPr>
        <w:tc>
          <w:tcPr>
            <w:tcW w:type="dxa" w:w="1037"/>
            <w:vAlign w:val="center"/>
            <w:tcMar>
              <w:top w:w="80" w:type="dxa"/>
              <w:start w:w="120" w:type="dxa"/>
              <w:bottom w:w="80" w:type="dxa"/>
              <w:end w:w="120" w:type="dxa"/>
            </w:tcMar>
            <w:shd w:fill="F2F4F7"/>
          </w:tcPr>
          <w:p>
            <w:pPr>
              <w:spacing w:after="0" w:line="252" w:lineRule="auto"/>
            </w:pPr>
            <w:r/>
            <w:r>
              <w:rPr>
                <w:rFonts w:ascii="Arial" w:hAnsi="Arial"/>
                <w:b w:val="0"/>
                <w:i w:val="0"/>
                <w:sz w:val="16"/>
              </w:rPr>
              <w:t>EVD-001</w:t>
            </w:r>
          </w:p>
        </w:tc>
        <w:tc>
          <w:tcPr>
            <w:tcW w:type="dxa" w:w="3312"/>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 product overview and endpoint</w:t>
            </w:r>
          </w:p>
        </w:tc>
        <w:tc>
          <w:tcPr>
            <w:tcW w:type="dxa" w:w="1440"/>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w:t>
            </w:r>
          </w:p>
        </w:tc>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22 May 2026 / accessed 13 Jul</w:t>
            </w:r>
          </w:p>
        </w:tc>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Vendor description; not runtime observed</w:t>
            </w:r>
          </w:p>
        </w:tc>
      </w:tr>
      <w:tr>
        <w:trPr>
          <w:cantSplit/>
        </w:trPr>
        <w:tc>
          <w:tcPr>
            <w:tcW w:type="dxa" w:w="1037"/>
            <w:vAlign w:val="center"/>
            <w:tcMar>
              <w:top w:w="80" w:type="dxa"/>
              <w:start w:w="120" w:type="dxa"/>
              <w:bottom w:w="80" w:type="dxa"/>
              <w:end w:w="120" w:type="dxa"/>
            </w:tcMar>
            <w:shd w:fill="FFFFFF"/>
          </w:tcPr>
          <w:p>
            <w:pPr>
              <w:spacing w:after="0" w:line="252" w:lineRule="auto"/>
            </w:pPr>
            <w:r/>
            <w:r>
              <w:rPr>
                <w:rFonts w:ascii="Arial" w:hAnsi="Arial"/>
                <w:b w:val="0"/>
                <w:i w:val="0"/>
                <w:sz w:val="16"/>
              </w:rPr>
              <w:t>EVD-002</w:t>
            </w:r>
          </w:p>
        </w:tc>
        <w:tc>
          <w:tcPr>
            <w:tcW w:type="dxa" w:w="3312"/>
            <w:vAlign w:val="center"/>
            <w:tcMar>
              <w:top w:w="80" w:type="dxa"/>
              <w:start w:w="120" w:type="dxa"/>
              <w:bottom w:w="80" w:type="dxa"/>
              <w:end w:w="120" w:type="dxa"/>
            </w:tcMar>
            <w:shd w:fill="FFFFFF"/>
          </w:tcPr>
          <w:p>
            <w:pPr>
              <w:spacing w:after="0" w:line="252" w:lineRule="auto"/>
            </w:pPr>
            <w:r/>
            <w:r>
              <w:rPr>
                <w:rFonts w:ascii="Arial" w:hAnsi="Arial"/>
                <w:b w:val="0"/>
                <w:i w:val="0"/>
                <w:sz w:val="16"/>
              </w:rPr>
              <w:t>Developer tool list and dynamic discovery</w:t>
            </w:r>
          </w:p>
        </w:tc>
        <w:tc>
          <w:tcPr>
            <w:tcW w:type="dxa" w:w="1440"/>
            <w:vAlign w:val="center"/>
            <w:tcMar>
              <w:top w:w="80" w:type="dxa"/>
              <w:start w:w="120" w:type="dxa"/>
              <w:bottom w:w="80" w:type="dxa"/>
              <w:end w:w="120" w:type="dxa"/>
            </w:tcMar>
            <w:shd w:fill="FFFFFF"/>
          </w:tcPr>
          <w:p>
            <w:pPr>
              <w:spacing w:after="0" w:line="252" w:lineRule="auto"/>
            </w:pPr>
            <w:r/>
            <w:r>
              <w:rPr>
                <w:rFonts w:ascii="Arial" w:hAnsi="Arial"/>
                <w:b w:val="0"/>
                <w:i w:val="0"/>
                <w:sz w:val="16"/>
              </w:rPr>
              <w:t>Verified</w:t>
            </w:r>
          </w:p>
        </w:tc>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accessed 13 Jul 2026</w:t>
            </w:r>
          </w:p>
        </w:tc>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Schemas may change</w:t>
            </w:r>
          </w:p>
        </w:tc>
      </w:tr>
      <w:tr>
        <w:trPr>
          <w:cantSplit/>
        </w:trPr>
        <w:tc>
          <w:tcPr>
            <w:tcW w:type="dxa" w:w="1037"/>
            <w:vAlign w:val="center"/>
            <w:tcMar>
              <w:top w:w="80" w:type="dxa"/>
              <w:start w:w="120" w:type="dxa"/>
              <w:bottom w:w="80" w:type="dxa"/>
              <w:end w:w="120" w:type="dxa"/>
            </w:tcMar>
            <w:shd w:fill="F2F4F7"/>
          </w:tcPr>
          <w:p>
            <w:pPr>
              <w:spacing w:after="0" w:line="252" w:lineRule="auto"/>
            </w:pPr>
            <w:r/>
            <w:r>
              <w:rPr>
                <w:rFonts w:ascii="Arial" w:hAnsi="Arial"/>
                <w:b w:val="0"/>
                <w:i w:val="0"/>
                <w:sz w:val="16"/>
              </w:rPr>
              <w:t>EVD-003</w:t>
            </w:r>
          </w:p>
        </w:tc>
        <w:tc>
          <w:tcPr>
            <w:tcW w:type="dxa" w:w="3312"/>
            <w:vAlign w:val="center"/>
            <w:tcMar>
              <w:top w:w="80" w:type="dxa"/>
              <w:start w:w="120" w:type="dxa"/>
              <w:bottom w:w="80" w:type="dxa"/>
              <w:end w:w="120" w:type="dxa"/>
            </w:tcMar>
            <w:shd w:fill="F2F4F7"/>
          </w:tcPr>
          <w:p>
            <w:pPr>
              <w:spacing w:after="0" w:line="252" w:lineRule="auto"/>
            </w:pPr>
            <w:r/>
            <w:r>
              <w:rPr>
                <w:rFonts w:ascii="Arial" w:hAnsi="Arial"/>
                <w:b w:val="0"/>
                <w:i w:val="0"/>
                <w:sz w:val="16"/>
              </w:rPr>
              <w:t>Release notes and repository state</w:t>
            </w:r>
          </w:p>
        </w:tc>
        <w:tc>
          <w:tcPr>
            <w:tcW w:type="dxa" w:w="1440"/>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w:t>
            </w:r>
          </w:p>
        </w:tc>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current to 13 Jul 2026</w:t>
            </w:r>
          </w:p>
        </w:tc>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No semantic deployed version</w:t>
            </w:r>
          </w:p>
        </w:tc>
      </w:tr>
      <w:tr>
        <w:trPr>
          <w:cantSplit/>
        </w:trPr>
        <w:tc>
          <w:tcPr>
            <w:tcW w:type="dxa" w:w="1037"/>
            <w:vAlign w:val="center"/>
            <w:tcMar>
              <w:top w:w="80" w:type="dxa"/>
              <w:start w:w="120" w:type="dxa"/>
              <w:bottom w:w="80" w:type="dxa"/>
              <w:end w:w="120" w:type="dxa"/>
            </w:tcMar>
            <w:shd w:fill="FFFFFF"/>
          </w:tcPr>
          <w:p>
            <w:pPr>
              <w:spacing w:after="0" w:line="252" w:lineRule="auto"/>
            </w:pPr>
            <w:r/>
            <w:r>
              <w:rPr>
                <w:rFonts w:ascii="Arial" w:hAnsi="Arial"/>
                <w:b w:val="0"/>
                <w:i w:val="0"/>
                <w:sz w:val="16"/>
              </w:rPr>
              <w:t>EVD-004</w:t>
            </w:r>
          </w:p>
        </w:tc>
        <w:tc>
          <w:tcPr>
            <w:tcW w:type="dxa" w:w="3312"/>
            <w:vAlign w:val="center"/>
            <w:tcMar>
              <w:top w:w="80" w:type="dxa"/>
              <w:start w:w="120" w:type="dxa"/>
              <w:bottom w:w="80" w:type="dxa"/>
              <w:end w:w="120" w:type="dxa"/>
            </w:tcMar>
            <w:shd w:fill="FFFFFF"/>
          </w:tcPr>
          <w:p>
            <w:pPr>
              <w:spacing w:after="0" w:line="252" w:lineRule="auto"/>
            </w:pPr>
            <w:r/>
            <w:r>
              <w:rPr>
                <w:rFonts w:ascii="Arial" w:hAnsi="Arial"/>
                <w:b w:val="0"/>
                <w:i w:val="0"/>
                <w:sz w:val="16"/>
              </w:rPr>
              <w:t>VS Code configuration/control docs</w:t>
            </w:r>
          </w:p>
        </w:tc>
        <w:tc>
          <w:tcPr>
            <w:tcW w:type="dxa" w:w="1440"/>
            <w:vAlign w:val="center"/>
            <w:tcMar>
              <w:top w:w="80" w:type="dxa"/>
              <w:start w:w="120" w:type="dxa"/>
              <w:bottom w:w="80" w:type="dxa"/>
              <w:end w:w="120" w:type="dxa"/>
            </w:tcMar>
            <w:shd w:fill="FFFFFF"/>
          </w:tcPr>
          <w:p>
            <w:pPr>
              <w:spacing w:after="0" w:line="252" w:lineRule="auto"/>
            </w:pPr>
            <w:r/>
            <w:r>
              <w:rPr>
                <w:rFonts w:ascii="Arial" w:hAnsi="Arial"/>
                <w:b w:val="0"/>
                <w:i w:val="0"/>
                <w:sz w:val="16"/>
              </w:rPr>
              <w:t>Verified</w:t>
            </w:r>
          </w:p>
        </w:tc>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accessed 13 Jul 2026</w:t>
            </w:r>
          </w:p>
        </w:tc>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Firm policy not tested</w:t>
            </w:r>
          </w:p>
        </w:tc>
      </w:tr>
      <w:tr>
        <w:trPr>
          <w:cantSplit/>
        </w:trPr>
        <w:tc>
          <w:tcPr>
            <w:tcW w:type="dxa" w:w="1037"/>
            <w:vAlign w:val="center"/>
            <w:tcMar>
              <w:top w:w="80" w:type="dxa"/>
              <w:start w:w="120" w:type="dxa"/>
              <w:bottom w:w="80" w:type="dxa"/>
              <w:end w:w="120" w:type="dxa"/>
            </w:tcMar>
            <w:shd w:fill="F2F4F7"/>
          </w:tcPr>
          <w:p>
            <w:pPr>
              <w:spacing w:after="0" w:line="252" w:lineRule="auto"/>
            </w:pPr>
            <w:r/>
            <w:r>
              <w:rPr>
                <w:rFonts w:ascii="Arial" w:hAnsi="Arial"/>
                <w:b w:val="0"/>
                <w:i w:val="0"/>
                <w:sz w:val="16"/>
              </w:rPr>
              <w:t>EVD-005</w:t>
            </w:r>
          </w:p>
        </w:tc>
        <w:tc>
          <w:tcPr>
            <w:tcW w:type="dxa" w:w="3312"/>
            <w:vAlign w:val="center"/>
            <w:tcMar>
              <w:top w:w="80" w:type="dxa"/>
              <w:start w:w="120" w:type="dxa"/>
              <w:bottom w:w="80" w:type="dxa"/>
              <w:end w:w="120" w:type="dxa"/>
            </w:tcMar>
            <w:shd w:fill="F2F4F7"/>
          </w:tcPr>
          <w:p>
            <w:pPr>
              <w:spacing w:after="0" w:line="252" w:lineRule="auto"/>
            </w:pPr>
            <w:r/>
            <w:r>
              <w:rPr>
                <w:rFonts w:ascii="Arial" w:hAnsi="Arial"/>
                <w:b w:val="0"/>
                <w:i w:val="0"/>
                <w:sz w:val="16"/>
              </w:rPr>
              <w:t>Visual Studio MCP/admin docs</w:t>
            </w:r>
          </w:p>
        </w:tc>
        <w:tc>
          <w:tcPr>
            <w:tcW w:type="dxa" w:w="1440"/>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w:t>
            </w:r>
          </w:p>
        </w:tc>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accessed 13 Jul 2026</w:t>
            </w:r>
          </w:p>
        </w:tc>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Exact deployed build unknown</w:t>
            </w:r>
          </w:p>
        </w:tc>
      </w:tr>
      <w:tr>
        <w:trPr>
          <w:cantSplit/>
        </w:trPr>
        <w:tc>
          <w:tcPr>
            <w:tcW w:type="dxa" w:w="1037"/>
            <w:vAlign w:val="center"/>
            <w:tcMar>
              <w:top w:w="80" w:type="dxa"/>
              <w:start w:w="120" w:type="dxa"/>
              <w:bottom w:w="80" w:type="dxa"/>
              <w:end w:w="120" w:type="dxa"/>
            </w:tcMar>
            <w:shd w:fill="FFFFFF"/>
          </w:tcPr>
          <w:p>
            <w:pPr>
              <w:spacing w:after="0" w:line="252" w:lineRule="auto"/>
            </w:pPr>
            <w:r/>
            <w:r>
              <w:rPr>
                <w:rFonts w:ascii="Arial" w:hAnsi="Arial"/>
                <w:b w:val="0"/>
                <w:i w:val="0"/>
                <w:sz w:val="16"/>
              </w:rPr>
              <w:t>EVD-006</w:t>
            </w:r>
          </w:p>
        </w:tc>
        <w:tc>
          <w:tcPr>
            <w:tcW w:type="dxa" w:w="3312"/>
            <w:vAlign w:val="center"/>
            <w:tcMar>
              <w:top w:w="80" w:type="dxa"/>
              <w:start w:w="120" w:type="dxa"/>
              <w:bottom w:w="80" w:type="dxa"/>
              <w:end w:w="120" w:type="dxa"/>
            </w:tcMar>
            <w:shd w:fill="FFFFFF"/>
          </w:tcPr>
          <w:p>
            <w:pPr>
              <w:spacing w:after="0" w:line="252" w:lineRule="auto"/>
            </w:pPr>
            <w:r/>
            <w:r>
              <w:rPr>
                <w:rFonts w:ascii="Arial" w:hAnsi="Arial"/>
                <w:b w:val="0"/>
                <w:i w:val="0"/>
                <w:sz w:val="16"/>
              </w:rPr>
              <w:t>Official repository/provenance/licences</w:t>
            </w:r>
          </w:p>
        </w:tc>
        <w:tc>
          <w:tcPr>
            <w:tcW w:type="dxa" w:w="1440"/>
            <w:vAlign w:val="center"/>
            <w:tcMar>
              <w:top w:w="80" w:type="dxa"/>
              <w:start w:w="120" w:type="dxa"/>
              <w:bottom w:w="80" w:type="dxa"/>
              <w:end w:w="120" w:type="dxa"/>
            </w:tcMar>
            <w:shd w:fill="FFFFFF"/>
          </w:tcPr>
          <w:p>
            <w:pPr>
              <w:spacing w:after="0" w:line="252" w:lineRule="auto"/>
            </w:pPr>
            <w:r/>
            <w:r>
              <w:rPr>
                <w:rFonts w:ascii="Arial" w:hAnsi="Arial"/>
                <w:b w:val="0"/>
                <w:i w:val="0"/>
                <w:sz w:val="16"/>
              </w:rPr>
              <w:t>Verified / observed</w:t>
            </w:r>
          </w:p>
        </w:tc>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repository state 13 Jul 2026</w:t>
            </w:r>
          </w:p>
        </w:tc>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Not proof of hosted deployment</w:t>
            </w:r>
          </w:p>
        </w:tc>
      </w:tr>
      <w:tr>
        <w:trPr>
          <w:cantSplit/>
        </w:trPr>
        <w:tc>
          <w:tcPr>
            <w:tcW w:type="dxa" w:w="1037"/>
            <w:vAlign w:val="center"/>
            <w:tcMar>
              <w:top w:w="80" w:type="dxa"/>
              <w:start w:w="120" w:type="dxa"/>
              <w:bottom w:w="80" w:type="dxa"/>
              <w:end w:w="120" w:type="dxa"/>
            </w:tcMar>
            <w:shd w:fill="F2F4F7"/>
          </w:tcPr>
          <w:p>
            <w:pPr>
              <w:spacing w:after="0" w:line="252" w:lineRule="auto"/>
            </w:pPr>
            <w:r/>
            <w:r>
              <w:rPr>
                <w:rFonts w:ascii="Arial" w:hAnsi="Arial"/>
                <w:b w:val="0"/>
                <w:i w:val="0"/>
                <w:sz w:val="16"/>
              </w:rPr>
              <w:t>EVD-007</w:t>
            </w:r>
          </w:p>
        </w:tc>
        <w:tc>
          <w:tcPr>
            <w:tcW w:type="dxa" w:w="3312"/>
            <w:vAlign w:val="center"/>
            <w:tcMar>
              <w:top w:w="80" w:type="dxa"/>
              <w:start w:w="120" w:type="dxa"/>
              <w:bottom w:w="80" w:type="dxa"/>
              <w:end w:w="120" w:type="dxa"/>
            </w:tcMar>
            <w:shd w:fill="F2F4F7"/>
          </w:tcPr>
          <w:p>
            <w:pPr>
              <w:spacing w:after="0" w:line="252" w:lineRule="auto"/>
            </w:pPr>
            <w:r/>
            <w:r>
              <w:rPr>
                <w:rFonts w:ascii="Arial" w:hAnsi="Arial"/>
                <w:b w:val="0"/>
                <w:i w:val="0"/>
                <w:sz w:val="16"/>
              </w:rPr>
              <w:t>Privacy statement and product-page search</w:t>
            </w:r>
          </w:p>
        </w:tc>
        <w:tc>
          <w:tcPr>
            <w:tcW w:type="dxa" w:w="1440"/>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 / not observed</w:t>
            </w:r>
          </w:p>
        </w:tc>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June-Jul 2026</w:t>
            </w:r>
          </w:p>
        </w:tc>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General terms do not establish MCP-specific behavior</w:t>
            </w:r>
          </w:p>
        </w:tc>
      </w:tr>
      <w:tr>
        <w:trPr>
          <w:cantSplit/>
        </w:trPr>
        <w:tc>
          <w:tcPr>
            <w:tcW w:type="dxa" w:w="1037"/>
            <w:vAlign w:val="center"/>
            <w:tcMar>
              <w:top w:w="80" w:type="dxa"/>
              <w:start w:w="120" w:type="dxa"/>
              <w:bottom w:w="80" w:type="dxa"/>
              <w:end w:w="120" w:type="dxa"/>
            </w:tcMar>
            <w:shd w:fill="FFFFFF"/>
          </w:tcPr>
          <w:p>
            <w:pPr>
              <w:spacing w:after="0" w:line="252" w:lineRule="auto"/>
            </w:pPr>
            <w:r/>
            <w:r>
              <w:rPr>
                <w:rFonts w:ascii="Arial" w:hAnsi="Arial"/>
                <w:b w:val="0"/>
                <w:i w:val="0"/>
                <w:sz w:val="16"/>
              </w:rPr>
              <w:t>EVD-008</w:t>
            </w:r>
          </w:p>
        </w:tc>
        <w:tc>
          <w:tcPr>
            <w:tcW w:type="dxa" w:w="3312"/>
            <w:vAlign w:val="center"/>
            <w:tcMar>
              <w:top w:w="80" w:type="dxa"/>
              <w:start w:w="120" w:type="dxa"/>
              <w:bottom w:w="80" w:type="dxa"/>
              <w:end w:w="120" w:type="dxa"/>
            </w:tcMar>
            <w:shd w:fill="FFFFFF"/>
          </w:tcPr>
          <w:p>
            <w:pPr>
              <w:spacing w:after="0" w:line="252" w:lineRule="auto"/>
            </w:pPr>
            <w:r/>
            <w:r>
              <w:rPr>
                <w:rFonts w:ascii="Arial" w:hAnsi="Arial"/>
                <w:b w:val="0"/>
                <w:i w:val="0"/>
                <w:sz w:val="16"/>
              </w:rPr>
              <w:t>FCA/PRA/ICO sources</w:t>
            </w:r>
          </w:p>
        </w:tc>
        <w:tc>
          <w:tcPr>
            <w:tcW w:type="dxa" w:w="1440"/>
            <w:vAlign w:val="center"/>
            <w:tcMar>
              <w:top w:w="80" w:type="dxa"/>
              <w:start w:w="120" w:type="dxa"/>
              <w:bottom w:w="80" w:type="dxa"/>
              <w:end w:w="120" w:type="dxa"/>
            </w:tcMar>
            <w:shd w:fill="FFFFFF"/>
          </w:tcPr>
          <w:p>
            <w:pPr>
              <w:spacing w:after="0" w:line="252" w:lineRule="auto"/>
            </w:pPr>
            <w:r/>
            <w:r>
              <w:rPr>
                <w:rFonts w:ascii="Arial" w:hAnsi="Arial"/>
                <w:b w:val="0"/>
                <w:i w:val="0"/>
                <w:sz w:val="16"/>
              </w:rPr>
              <w:t>Verified</w:t>
            </w:r>
          </w:p>
        </w:tc>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accessed 13 Jul 2026</w:t>
            </w:r>
          </w:p>
        </w:tc>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Applicability depends on firm/use</w:t>
            </w:r>
          </w:p>
        </w:tc>
      </w:tr>
      <w:tr>
        <w:trPr>
          <w:cantSplit/>
        </w:trPr>
        <w:tc>
          <w:tcPr>
            <w:tcW w:type="dxa" w:w="1037"/>
            <w:vAlign w:val="center"/>
            <w:tcMar>
              <w:top w:w="80" w:type="dxa"/>
              <w:start w:w="120" w:type="dxa"/>
              <w:bottom w:w="80" w:type="dxa"/>
              <w:end w:w="120" w:type="dxa"/>
            </w:tcMar>
            <w:shd w:fill="F2F4F7"/>
          </w:tcPr>
          <w:p>
            <w:pPr>
              <w:spacing w:after="0" w:line="252" w:lineRule="auto"/>
            </w:pPr>
            <w:r/>
            <w:r>
              <w:rPr>
                <w:rFonts w:ascii="Arial" w:hAnsi="Arial"/>
                <w:b w:val="0"/>
                <w:i w:val="0"/>
                <w:sz w:val="16"/>
              </w:rPr>
              <w:t>EVD-009</w:t>
            </w:r>
          </w:p>
        </w:tc>
        <w:tc>
          <w:tcPr>
            <w:tcW w:type="dxa" w:w="3312"/>
            <w:vAlign w:val="center"/>
            <w:tcMar>
              <w:top w:w="80" w:type="dxa"/>
              <w:start w:w="120" w:type="dxa"/>
              <w:bottom w:w="80" w:type="dxa"/>
              <w:end w:w="120" w:type="dxa"/>
            </w:tcMar>
            <w:shd w:fill="F2F4F7"/>
          </w:tcPr>
          <w:p>
            <w:pPr>
              <w:spacing w:after="0" w:line="252" w:lineRule="auto"/>
            </w:pPr>
            <w:r/>
            <w:r>
              <w:rPr>
                <w:rFonts w:ascii="Arial" w:hAnsi="Arial"/>
                <w:b w:val="0"/>
                <w:i w:val="0"/>
                <w:sz w:val="16"/>
              </w:rPr>
              <w:t>OWASP/NCSC/NIST/MITRE/CIS/ISO sources</w:t>
            </w:r>
          </w:p>
        </w:tc>
        <w:tc>
          <w:tcPr>
            <w:tcW w:type="dxa" w:w="1440"/>
            <w:vAlign w:val="center"/>
            <w:tcMar>
              <w:top w:w="80" w:type="dxa"/>
              <w:start w:w="120" w:type="dxa"/>
              <w:bottom w:w="80" w:type="dxa"/>
              <w:end w:w="120" w:type="dxa"/>
            </w:tcMar>
            <w:shd w:fill="F2F4F7"/>
          </w:tcPr>
          <w:p>
            <w:pPr>
              <w:spacing w:after="0" w:line="252" w:lineRule="auto"/>
            </w:pPr>
            <w:r/>
            <w:r>
              <w:rPr>
                <w:rFonts w:ascii="Arial" w:hAnsi="Arial"/>
                <w:b w:val="0"/>
                <w:i w:val="0"/>
                <w:sz w:val="16"/>
              </w:rPr>
              <w:t>Verified</w:t>
            </w:r>
          </w:p>
        </w:tc>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versions stated in references</w:t>
            </w:r>
          </w:p>
        </w:tc>
        <w:tc>
          <w:tcPr>
            <w:tcW w:type="dxa" w:w="1656"/>
            <w:vAlign w:val="center"/>
            <w:tcMar>
              <w:top w:w="80" w:type="dxa"/>
              <w:start w:w="120" w:type="dxa"/>
              <w:bottom w:w="80" w:type="dxa"/>
              <w:end w:w="120" w:type="dxa"/>
            </w:tcMar>
            <w:shd w:fill="F2F4F7"/>
          </w:tcPr>
          <w:p>
            <w:pPr>
              <w:spacing w:after="0" w:line="252" w:lineRule="auto"/>
            </w:pPr>
            <w:r/>
            <w:r>
              <w:rPr>
                <w:rFonts w:ascii="Arial" w:hAnsi="Arial"/>
                <w:b w:val="0"/>
                <w:i w:val="0"/>
                <w:sz w:val="16"/>
              </w:rPr>
              <w:t>Guidance, not certification</w:t>
            </w:r>
          </w:p>
        </w:tc>
      </w:tr>
      <w:tr>
        <w:trPr>
          <w:cantSplit/>
        </w:trPr>
        <w:tc>
          <w:tcPr>
            <w:tcW w:type="dxa" w:w="1037"/>
            <w:vAlign w:val="center"/>
            <w:tcMar>
              <w:top w:w="80" w:type="dxa"/>
              <w:start w:w="120" w:type="dxa"/>
              <w:bottom w:w="80" w:type="dxa"/>
              <w:end w:w="120" w:type="dxa"/>
            </w:tcMar>
            <w:shd w:fill="FFFFFF"/>
          </w:tcPr>
          <w:p>
            <w:pPr>
              <w:spacing w:after="0" w:line="252" w:lineRule="auto"/>
            </w:pPr>
            <w:r/>
            <w:r>
              <w:rPr>
                <w:rFonts w:ascii="Arial" w:hAnsi="Arial"/>
                <w:b w:val="0"/>
                <w:i w:val="0"/>
                <w:sz w:val="16"/>
              </w:rPr>
              <w:t>EVD-010</w:t>
            </w:r>
          </w:p>
        </w:tc>
        <w:tc>
          <w:tcPr>
            <w:tcW w:type="dxa" w:w="3312"/>
            <w:vAlign w:val="center"/>
            <w:tcMar>
              <w:top w:w="80" w:type="dxa"/>
              <w:start w:w="120" w:type="dxa"/>
              <w:bottom w:w="80" w:type="dxa"/>
              <w:end w:w="120" w:type="dxa"/>
            </w:tcMar>
            <w:shd w:fill="FFFFFF"/>
          </w:tcPr>
          <w:p>
            <w:pPr>
              <w:spacing w:after="0" w:line="252" w:lineRule="auto"/>
            </w:pPr>
            <w:r/>
            <w:r>
              <w:rPr>
                <w:rFonts w:ascii="Arial" w:hAnsi="Arial"/>
                <w:b w:val="0"/>
                <w:i w:val="0"/>
                <w:sz w:val="16"/>
              </w:rPr>
              <w:t>Runtime behavior, host effects, uninstall residue</w:t>
            </w:r>
          </w:p>
        </w:tc>
        <w:tc>
          <w:tcPr>
            <w:tcW w:type="dxa" w:w="1440"/>
            <w:vAlign w:val="center"/>
            <w:tcMar>
              <w:top w:w="80" w:type="dxa"/>
              <w:start w:w="120" w:type="dxa"/>
              <w:bottom w:w="80" w:type="dxa"/>
              <w:end w:w="120" w:type="dxa"/>
            </w:tcMar>
            <w:shd w:fill="FFFFFF"/>
          </w:tcPr>
          <w:p>
            <w:pPr>
              <w:spacing w:after="0" w:line="252" w:lineRule="auto"/>
            </w:pPr>
            <w:r/>
            <w:r>
              <w:rPr>
                <w:rFonts w:ascii="Arial" w:hAnsi="Arial"/>
                <w:b w:val="0"/>
                <w:i w:val="0"/>
                <w:sz w:val="16"/>
              </w:rPr>
              <w:t>Unknown</w:t>
            </w:r>
          </w:p>
        </w:tc>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not authorised</w:t>
            </w:r>
          </w:p>
        </w:tc>
        <w:tc>
          <w:tcPr>
            <w:tcW w:type="dxa" w:w="1656"/>
            <w:vAlign w:val="center"/>
            <w:tcMar>
              <w:top w:w="80" w:type="dxa"/>
              <w:start w:w="120" w:type="dxa"/>
              <w:bottom w:w="80" w:type="dxa"/>
              <w:end w:w="120" w:type="dxa"/>
            </w:tcMar>
            <w:shd w:fill="FFFFFF"/>
          </w:tcPr>
          <w:p>
            <w:pPr>
              <w:spacing w:after="0" w:line="252" w:lineRule="auto"/>
            </w:pPr>
            <w:r/>
            <w:r>
              <w:rPr>
                <w:rFonts w:ascii="Arial" w:hAnsi="Arial"/>
                <w:b w:val="0"/>
                <w:i w:val="0"/>
                <w:sz w:val="16"/>
              </w:rPr>
              <w:t>Requires isolated runtime plan</w:t>
            </w:r>
          </w:p>
        </w:tc>
      </w:tr>
    </w:tbl>
    <w:p>
      <w:pPr>
        <w:spacing w:after="20"/>
      </w:pPr>
    </w:p>
    <w:p>
      <w:bookmarkStart w:id="1185" w:name="REFERENCES"/>
      <w:pPr>
        <w:pStyle w:val="Heading1"/>
      </w:pPr>
      <w:r>
        <w:t>References</w:t>
      </w:r>
      <w:bookmarkEnd w:id="1185"/>
    </w:p>
    <w:p>
      <w:bookmarkStart w:id="2001" w:name="REF_001"/>
      <w:bookmarkEnd w:id="2001"/>
      <w:r>
        <w:rPr>
          <w:rFonts w:ascii="Arial" w:hAnsi="Arial"/>
          <w:b/>
          <w:i w:val="0"/>
          <w:color w:val="17365D"/>
          <w:sz w:val="18"/>
        </w:rPr>
        <w:t xml:space="preserve">REF-001  </w:t>
      </w:r>
      <w:hyperlink r:id="rId11">
        <w:r>
          <w:rPr>
            <w:color w:val="2E74B5"/>
            <w:u w:val="single"/>
          </w:rPr>
          <w:t>Microsoft Learn MCP Server overview</w:t>
        </w:r>
      </w:hyperlink>
      <w:r>
        <w:rPr>
          <w:rFonts w:ascii="Arial" w:hAnsi="Arial"/>
          <w:b w:val="0"/>
          <w:i w:val="0"/>
          <w:sz w:val="18"/>
        </w:rPr>
        <w:t xml:space="preserve"> — Microsoft. Updated 22 May 2026; accessed 25 July 2026.</w:t>
      </w:r>
    </w:p>
    <w:p>
      <w:bookmarkStart w:id="2002" w:name="REF_002"/>
      <w:bookmarkEnd w:id="2002"/>
      <w:r>
        <w:rPr>
          <w:rFonts w:ascii="Arial" w:hAnsi="Arial"/>
          <w:b/>
          <w:i w:val="0"/>
          <w:color w:val="17365D"/>
          <w:sz w:val="18"/>
        </w:rPr>
        <w:t xml:space="preserve">REF-002  </w:t>
      </w:r>
      <w:hyperlink r:id="rId12">
        <w:r>
          <w:rPr>
            <w:color w:val="2E74B5"/>
            <w:u w:val="single"/>
          </w:rPr>
          <w:t>Microsoft Learn MCP Server developer reference</w:t>
        </w:r>
      </w:hyperlink>
      <w:r>
        <w:rPr>
          <w:rFonts w:ascii="Arial" w:hAnsi="Arial"/>
          <w:b w:val="0"/>
          <w:i w:val="0"/>
          <w:sz w:val="18"/>
        </w:rPr>
        <w:t xml:space="preserve"> — Microsoft. Accessed 25 July 2026.</w:t>
      </w:r>
    </w:p>
    <w:p>
      <w:bookmarkStart w:id="2003" w:name="REF_003"/>
      <w:bookmarkEnd w:id="2003"/>
      <w:r>
        <w:rPr>
          <w:rFonts w:ascii="Arial" w:hAnsi="Arial"/>
          <w:b/>
          <w:i w:val="0"/>
          <w:color w:val="17365D"/>
          <w:sz w:val="18"/>
        </w:rPr>
        <w:t xml:space="preserve">REF-003  </w:t>
      </w:r>
      <w:hyperlink r:id="rId13">
        <w:r>
          <w:rPr>
            <w:color w:val="2E74B5"/>
            <w:u w:val="single"/>
          </w:rPr>
          <w:t>Microsoft Learn MCP Server best practices</w:t>
        </w:r>
      </w:hyperlink>
      <w:r>
        <w:rPr>
          <w:rFonts w:ascii="Arial" w:hAnsi="Arial"/>
          <w:b w:val="0"/>
          <w:i w:val="0"/>
          <w:sz w:val="18"/>
        </w:rPr>
        <w:t xml:space="preserve"> — Microsoft. Accessed 25 July 2026.</w:t>
      </w:r>
    </w:p>
    <w:p>
      <w:bookmarkStart w:id="2004" w:name="REF_004"/>
      <w:bookmarkEnd w:id="2004"/>
      <w:r>
        <w:rPr>
          <w:rFonts w:ascii="Arial" w:hAnsi="Arial"/>
          <w:b/>
          <w:i w:val="0"/>
          <w:color w:val="17365D"/>
          <w:sz w:val="18"/>
        </w:rPr>
        <w:t xml:space="preserve">REF-004  </w:t>
      </w:r>
      <w:hyperlink r:id="rId14">
        <w:r>
          <w:rPr>
            <w:color w:val="2E74B5"/>
            <w:u w:val="single"/>
          </w:rPr>
          <w:t>Microsoft Learn MCP Server release notes</w:t>
        </w:r>
      </w:hyperlink>
      <w:r>
        <w:rPr>
          <w:rFonts w:ascii="Arial" w:hAnsi="Arial"/>
          <w:b w:val="0"/>
          <w:i w:val="0"/>
          <w:sz w:val="18"/>
        </w:rPr>
        <w:t xml:space="preserve"> — Microsoft. Accessed 25 July 2026.</w:t>
      </w:r>
    </w:p>
    <w:p>
      <w:bookmarkStart w:id="2005" w:name="REF_005"/>
      <w:bookmarkEnd w:id="2005"/>
      <w:r>
        <w:rPr>
          <w:rFonts w:ascii="Arial" w:hAnsi="Arial"/>
          <w:b/>
          <w:i w:val="0"/>
          <w:color w:val="17365D"/>
          <w:sz w:val="18"/>
        </w:rPr>
        <w:t xml:space="preserve">REF-005  </w:t>
      </w:r>
      <w:hyperlink r:id="rId15">
        <w:r>
          <w:rPr>
            <w:color w:val="2E74B5"/>
            <w:u w:val="single"/>
          </w:rPr>
          <w:t>Get started with Microsoft Learn MCP Server</w:t>
        </w:r>
      </w:hyperlink>
      <w:r>
        <w:rPr>
          <w:rFonts w:ascii="Arial" w:hAnsi="Arial"/>
          <w:b w:val="0"/>
          <w:i w:val="0"/>
          <w:sz w:val="18"/>
        </w:rPr>
        <w:t xml:space="preserve"> — Microsoft. Updated 12 February 2026; accessed 25 July 2026.</w:t>
      </w:r>
    </w:p>
    <w:p>
      <w:bookmarkStart w:id="2006" w:name="REF_006"/>
      <w:bookmarkEnd w:id="2006"/>
      <w:r>
        <w:rPr>
          <w:rFonts w:ascii="Arial" w:hAnsi="Arial"/>
          <w:b/>
          <w:i w:val="0"/>
          <w:color w:val="17365D"/>
          <w:sz w:val="18"/>
        </w:rPr>
        <w:t xml:space="preserve">REF-006  </w:t>
      </w:r>
      <w:hyperlink r:id="rId16">
        <w:r>
          <w:rPr>
            <w:color w:val="2E74B5"/>
            <w:u w:val="single"/>
          </w:rPr>
          <w:t>Official Microsoft Learn MCP repository</w:t>
        </w:r>
      </w:hyperlink>
      <w:r>
        <w:rPr>
          <w:rFonts w:ascii="Arial" w:hAnsi="Arial"/>
          <w:b w:val="0"/>
          <w:i w:val="0"/>
          <w:sz w:val="18"/>
        </w:rPr>
        <w:t xml:space="preserve"> — MicrosoftDocs. Repository state inspected 25 July 2026.</w:t>
      </w:r>
    </w:p>
    <w:p>
      <w:bookmarkStart w:id="2007" w:name="REF_007"/>
      <w:bookmarkEnd w:id="2007"/>
      <w:r>
        <w:rPr>
          <w:rFonts w:ascii="Arial" w:hAnsi="Arial"/>
          <w:b/>
          <w:i w:val="0"/>
          <w:color w:val="17365D"/>
          <w:sz w:val="18"/>
        </w:rPr>
        <w:t xml:space="preserve">REF-007  </w:t>
      </w:r>
      <w:hyperlink r:id="rId17">
        <w:r>
          <w:rPr>
            <w:color w:val="2E74B5"/>
            <w:u w:val="single"/>
          </w:rPr>
          <w:t>Microsoft Learn MCP FAQ</w:t>
        </w:r>
      </w:hyperlink>
      <w:r>
        <w:rPr>
          <w:rFonts w:ascii="Arial" w:hAnsi="Arial"/>
          <w:b w:val="0"/>
          <w:i w:val="0"/>
          <w:sz w:val="18"/>
        </w:rPr>
        <w:t xml:space="preserve"> — Microsoft. Updated 11 February 2026; accessed 25 July 2026.</w:t>
      </w:r>
    </w:p>
    <w:p>
      <w:bookmarkStart w:id="2008" w:name="REF_008"/>
      <w:bookmarkEnd w:id="2008"/>
      <w:r>
        <w:rPr>
          <w:rFonts w:ascii="Arial" w:hAnsi="Arial"/>
          <w:b/>
          <w:i w:val="0"/>
          <w:color w:val="17365D"/>
          <w:sz w:val="18"/>
        </w:rPr>
        <w:t xml:space="preserve">REF-008  </w:t>
      </w:r>
      <w:hyperlink r:id="rId18">
        <w:r>
          <w:rPr>
            <w:color w:val="2E74B5"/>
            <w:u w:val="single"/>
          </w:rPr>
          <w:t>VS Code MCP servers</w:t>
        </w:r>
      </w:hyperlink>
      <w:r>
        <w:rPr>
          <w:rFonts w:ascii="Arial" w:hAnsi="Arial"/>
          <w:b w:val="0"/>
          <w:i w:val="0"/>
          <w:sz w:val="18"/>
        </w:rPr>
        <w:t xml:space="preserve"> — Microsoft. Accessed 25 July 2026.</w:t>
      </w:r>
    </w:p>
    <w:p>
      <w:bookmarkStart w:id="2009" w:name="REF_009"/>
      <w:bookmarkEnd w:id="2009"/>
      <w:r>
        <w:rPr>
          <w:rFonts w:ascii="Arial" w:hAnsi="Arial"/>
          <w:b/>
          <w:i w:val="0"/>
          <w:color w:val="17365D"/>
          <w:sz w:val="18"/>
        </w:rPr>
        <w:t xml:space="preserve">REF-009  </w:t>
      </w:r>
      <w:hyperlink r:id="rId19">
        <w:r>
          <w:rPr>
            <w:color w:val="2E74B5"/>
            <w:u w:val="single"/>
          </w:rPr>
          <w:t>VS Code MCP configuration reference</w:t>
        </w:r>
      </w:hyperlink>
      <w:r>
        <w:rPr>
          <w:rFonts w:ascii="Arial" w:hAnsi="Arial"/>
          <w:b w:val="0"/>
          <w:i w:val="0"/>
          <w:sz w:val="18"/>
        </w:rPr>
        <w:t xml:space="preserve"> — Microsoft. Accessed 25 July 2026.</w:t>
      </w:r>
    </w:p>
    <w:p>
      <w:bookmarkStart w:id="2010" w:name="REF_010"/>
      <w:bookmarkEnd w:id="2010"/>
      <w:r>
        <w:rPr>
          <w:rFonts w:ascii="Arial" w:hAnsi="Arial"/>
          <w:b/>
          <w:i w:val="0"/>
          <w:color w:val="17365D"/>
          <w:sz w:val="18"/>
        </w:rPr>
        <w:t xml:space="preserve">REF-010  </w:t>
      </w:r>
      <w:hyperlink r:id="rId20">
        <w:r>
          <w:rPr>
            <w:color w:val="2E74B5"/>
            <w:u w:val="single"/>
          </w:rPr>
          <w:t>Use MCP servers in Visual Studio</w:t>
        </w:r>
      </w:hyperlink>
      <w:r>
        <w:rPr>
          <w:rFonts w:ascii="Arial" w:hAnsi="Arial"/>
          <w:b w:val="0"/>
          <w:i w:val="0"/>
          <w:sz w:val="18"/>
        </w:rPr>
        <w:t xml:space="preserve"> — Microsoft. Accessed 25 July 2026.</w:t>
      </w:r>
    </w:p>
    <w:p>
      <w:bookmarkStart w:id="2011" w:name="REF_011"/>
      <w:bookmarkEnd w:id="2011"/>
      <w:r>
        <w:rPr>
          <w:rFonts w:ascii="Arial" w:hAnsi="Arial"/>
          <w:b/>
          <w:i w:val="0"/>
          <w:color w:val="17365D"/>
          <w:sz w:val="18"/>
        </w:rPr>
        <w:t xml:space="preserve">REF-011  </w:t>
      </w:r>
      <w:hyperlink r:id="rId21">
        <w:r>
          <w:rPr>
            <w:color w:val="2E74B5"/>
            <w:u w:val="single"/>
          </w:rPr>
          <w:t>Visual Studio GitHub Copilot administration</w:t>
        </w:r>
      </w:hyperlink>
      <w:r>
        <w:rPr>
          <w:rFonts w:ascii="Arial" w:hAnsi="Arial"/>
          <w:b w:val="0"/>
          <w:i w:val="0"/>
          <w:sz w:val="18"/>
        </w:rPr>
        <w:t xml:space="preserve"> — Microsoft. Accessed 25 July 2026.</w:t>
      </w:r>
    </w:p>
    <w:p>
      <w:bookmarkStart w:id="2012" w:name="REF_012"/>
      <w:bookmarkEnd w:id="2012"/>
      <w:r>
        <w:rPr>
          <w:rFonts w:ascii="Arial" w:hAnsi="Arial"/>
          <w:b/>
          <w:i w:val="0"/>
          <w:color w:val="17365D"/>
          <w:sz w:val="18"/>
        </w:rPr>
        <w:t xml:space="preserve">REF-012  </w:t>
      </w:r>
      <w:hyperlink r:id="rId22">
        <w:r>
          <w:rPr>
            <w:color w:val="2E74B5"/>
            <w:u w:val="single"/>
          </w:rPr>
          <w:t>Microsoft Privacy Statement</w:t>
        </w:r>
      </w:hyperlink>
      <w:r>
        <w:rPr>
          <w:rFonts w:ascii="Arial" w:hAnsi="Arial"/>
          <w:b w:val="0"/>
          <w:i w:val="0"/>
          <w:sz w:val="18"/>
        </w:rPr>
        <w:t xml:space="preserve"> — Microsoft. Updated June 2026; accessed 25 July 2026.</w:t>
      </w:r>
    </w:p>
    <w:p>
      <w:bookmarkStart w:id="2013" w:name="REF_013"/>
      <w:bookmarkEnd w:id="2013"/>
      <w:r>
        <w:rPr>
          <w:rFonts w:ascii="Arial" w:hAnsi="Arial"/>
          <w:b/>
          <w:i w:val="0"/>
          <w:color w:val="17365D"/>
          <w:sz w:val="18"/>
        </w:rPr>
        <w:t xml:space="preserve">REF-013  </w:t>
      </w:r>
      <w:hyperlink r:id="rId23">
        <w:r>
          <w:rPr>
            <w:color w:val="2E74B5"/>
            <w:u w:val="single"/>
          </w:rPr>
          <w:t>Microsoft APIs Terms of Use</w:t>
        </w:r>
      </w:hyperlink>
      <w:r>
        <w:rPr>
          <w:rFonts w:ascii="Arial" w:hAnsi="Arial"/>
          <w:b w:val="0"/>
          <w:i w:val="0"/>
          <w:sz w:val="18"/>
        </w:rPr>
        <w:t xml:space="preserve"> — Microsoft. Updated October 2025; accessed 25 July 2026.</w:t>
      </w:r>
    </w:p>
    <w:p>
      <w:bookmarkStart w:id="2014" w:name="REF_014"/>
      <w:bookmarkEnd w:id="2014"/>
      <w:r>
        <w:rPr>
          <w:rFonts w:ascii="Arial" w:hAnsi="Arial"/>
          <w:b/>
          <w:i w:val="0"/>
          <w:color w:val="17365D"/>
          <w:sz w:val="18"/>
        </w:rPr>
        <w:t xml:space="preserve">REF-014  </w:t>
      </w:r>
      <w:hyperlink r:id="rId24">
        <w:r>
          <w:rPr>
            <w:color w:val="2E74B5"/>
            <w:u w:val="single"/>
          </w:rPr>
          <w:t>FCA Handbook SYSC 8</w:t>
        </w:r>
      </w:hyperlink>
      <w:r>
        <w:rPr>
          <w:rFonts w:ascii="Arial" w:hAnsi="Arial"/>
          <w:b w:val="0"/>
          <w:i w:val="0"/>
          <w:sz w:val="18"/>
        </w:rPr>
        <w:t xml:space="preserve"> — Financial Conduct Authority. Current page accessed 25 July 2026.</w:t>
      </w:r>
    </w:p>
    <w:p>
      <w:bookmarkStart w:id="2015" w:name="REF_015"/>
      <w:bookmarkEnd w:id="2015"/>
      <w:r>
        <w:rPr>
          <w:rFonts w:ascii="Arial" w:hAnsi="Arial"/>
          <w:b/>
          <w:i w:val="0"/>
          <w:color w:val="17365D"/>
          <w:sz w:val="18"/>
        </w:rPr>
        <w:t xml:space="preserve">REF-015  </w:t>
      </w:r>
      <w:hyperlink r:id="rId25">
        <w:r>
          <w:rPr>
            <w:color w:val="2E74B5"/>
            <w:u w:val="single"/>
          </w:rPr>
          <w:t>FCA operational resilience</w:t>
        </w:r>
      </w:hyperlink>
      <w:r>
        <w:rPr>
          <w:rFonts w:ascii="Arial" w:hAnsi="Arial"/>
          <w:b w:val="0"/>
          <w:i w:val="0"/>
          <w:sz w:val="18"/>
        </w:rPr>
        <w:t xml:space="preserve"> — Financial Conduct Authority. Updated 30 June 2026; accessed 25 July 2026.</w:t>
      </w:r>
    </w:p>
    <w:p>
      <w:bookmarkStart w:id="2016" w:name="REF_016"/>
      <w:bookmarkEnd w:id="2016"/>
      <w:r>
        <w:rPr>
          <w:rFonts w:ascii="Arial" w:hAnsi="Arial"/>
          <w:b/>
          <w:i w:val="0"/>
          <w:color w:val="17365D"/>
          <w:sz w:val="18"/>
        </w:rPr>
        <w:t xml:space="preserve">REF-016  </w:t>
      </w:r>
      <w:hyperlink r:id="rId26">
        <w:r>
          <w:rPr>
            <w:color w:val="2E74B5"/>
            <w:u w:val="single"/>
          </w:rPr>
          <w:t>PRA SS2/21 outsourcing and third-party risk management</w:t>
        </w:r>
      </w:hyperlink>
      <w:r>
        <w:rPr>
          <w:rFonts w:ascii="Arial" w:hAnsi="Arial"/>
          <w:b w:val="0"/>
          <w:i w:val="0"/>
          <w:sz w:val="18"/>
        </w:rPr>
        <w:t xml:space="preserve"> — Bank of England. Current version effective 31 December 2024; accessed 25 July 2026.</w:t>
      </w:r>
    </w:p>
    <w:p>
      <w:bookmarkStart w:id="2017" w:name="REF_017"/>
      <w:bookmarkEnd w:id="2017"/>
      <w:r>
        <w:rPr>
          <w:rFonts w:ascii="Arial" w:hAnsi="Arial"/>
          <w:b/>
          <w:i w:val="0"/>
          <w:color w:val="17365D"/>
          <w:sz w:val="18"/>
        </w:rPr>
        <w:t xml:space="preserve">REF-017  </w:t>
      </w:r>
      <w:hyperlink r:id="rId27">
        <w:r>
          <w:rPr>
            <w:color w:val="2E74B5"/>
            <w:u w:val="single"/>
          </w:rPr>
          <w:t>ICO guidance: security and data minimisation in AI</w:t>
        </w:r>
      </w:hyperlink>
      <w:r>
        <w:rPr>
          <w:rFonts w:ascii="Arial" w:hAnsi="Arial"/>
          <w:b w:val="0"/>
          <w:i w:val="0"/>
          <w:sz w:val="18"/>
        </w:rPr>
        <w:t xml:space="preserve"> — Information Commissioner’s Office. Accessed 25 July 2026.</w:t>
      </w:r>
    </w:p>
    <w:p>
      <w:bookmarkStart w:id="2018" w:name="REF_018"/>
      <w:bookmarkEnd w:id="2018"/>
      <w:r>
        <w:rPr>
          <w:rFonts w:ascii="Arial" w:hAnsi="Arial"/>
          <w:b/>
          <w:i w:val="0"/>
          <w:color w:val="17365D"/>
          <w:sz w:val="18"/>
        </w:rPr>
        <w:t xml:space="preserve">REF-018  </w:t>
      </w:r>
      <w:hyperlink r:id="rId28">
        <w:r>
          <w:rPr>
            <w:color w:val="2E74B5"/>
            <w:u w:val="single"/>
          </w:rPr>
          <w:t>NCSC Guidelines for Secure AI System Development</w:t>
        </w:r>
      </w:hyperlink>
      <w:r>
        <w:rPr>
          <w:rFonts w:ascii="Arial" w:hAnsi="Arial"/>
          <w:b w:val="0"/>
          <w:i w:val="0"/>
          <w:sz w:val="18"/>
        </w:rPr>
        <w:t xml:space="preserve"> — UK NCSC. Version 1.1; accessed 25 July 2026.</w:t>
      </w:r>
    </w:p>
    <w:p>
      <w:bookmarkStart w:id="2019" w:name="REF_019"/>
      <w:bookmarkEnd w:id="2019"/>
      <w:r>
        <w:rPr>
          <w:rFonts w:ascii="Arial" w:hAnsi="Arial"/>
          <w:b/>
          <w:i w:val="0"/>
          <w:color w:val="17365D"/>
          <w:sz w:val="18"/>
        </w:rPr>
        <w:t xml:space="preserve">REF-019  </w:t>
      </w:r>
      <w:hyperlink r:id="rId29">
        <w:r>
          <w:rPr>
            <w:color w:val="2E74B5"/>
            <w:u w:val="single"/>
          </w:rPr>
          <w:t>OWASP Top 10 for LLM Applications 2025</w:t>
        </w:r>
      </w:hyperlink>
      <w:r>
        <w:rPr>
          <w:rFonts w:ascii="Arial" w:hAnsi="Arial"/>
          <w:b w:val="0"/>
          <w:i w:val="0"/>
          <w:sz w:val="18"/>
        </w:rPr>
        <w:t xml:space="preserve"> — OWASP. Accessed 25 July 2026.</w:t>
      </w:r>
    </w:p>
    <w:p>
      <w:bookmarkStart w:id="2020" w:name="REF_020"/>
      <w:bookmarkEnd w:id="2020"/>
      <w:r>
        <w:rPr>
          <w:rFonts w:ascii="Arial" w:hAnsi="Arial"/>
          <w:b/>
          <w:i w:val="0"/>
          <w:color w:val="17365D"/>
          <w:sz w:val="18"/>
        </w:rPr>
        <w:t xml:space="preserve">REF-020  </w:t>
      </w:r>
      <w:hyperlink r:id="rId30">
        <w:r>
          <w:rPr>
            <w:color w:val="2E74B5"/>
            <w:u w:val="single"/>
          </w:rPr>
          <w:t>OWASP MCP Top 10</w:t>
        </w:r>
      </w:hyperlink>
      <w:r>
        <w:rPr>
          <w:rFonts w:ascii="Arial" w:hAnsi="Arial"/>
          <w:b w:val="0"/>
          <w:i w:val="0"/>
          <w:sz w:val="18"/>
        </w:rPr>
        <w:t xml:space="preserve"> — OWASP. Beta v0.1; accessed 25 July 2026.</w:t>
      </w:r>
    </w:p>
    <w:p>
      <w:bookmarkStart w:id="2021" w:name="REF_021"/>
      <w:bookmarkEnd w:id="2021"/>
      <w:r>
        <w:rPr>
          <w:rFonts w:ascii="Arial" w:hAnsi="Arial"/>
          <w:b/>
          <w:i w:val="0"/>
          <w:color w:val="17365D"/>
          <w:sz w:val="18"/>
        </w:rPr>
        <w:t xml:space="preserve">REF-021  </w:t>
      </w:r>
      <w:hyperlink r:id="rId31">
        <w:r>
          <w:rPr>
            <w:color w:val="2E74B5"/>
            <w:u w:val="single"/>
          </w:rPr>
          <w:t>OWASP Top 10 for Agentic Applications 2026</w:t>
        </w:r>
      </w:hyperlink>
      <w:r>
        <w:rPr>
          <w:rFonts w:ascii="Arial" w:hAnsi="Arial"/>
          <w:b w:val="0"/>
          <w:i w:val="0"/>
          <w:sz w:val="18"/>
        </w:rPr>
        <w:t xml:space="preserve"> — OWASP. Released 9 December 2025; accessed 25 July 2026.</w:t>
      </w:r>
    </w:p>
    <w:p>
      <w:bookmarkStart w:id="2022" w:name="REF_022"/>
      <w:bookmarkEnd w:id="2022"/>
      <w:r>
        <w:rPr>
          <w:rFonts w:ascii="Arial" w:hAnsi="Arial"/>
          <w:b/>
          <w:i w:val="0"/>
          <w:color w:val="17365D"/>
          <w:sz w:val="18"/>
        </w:rPr>
        <w:t xml:space="preserve">REF-022  </w:t>
      </w:r>
      <w:hyperlink r:id="rId32">
        <w:r>
          <w:rPr>
            <w:color w:val="2E74B5"/>
            <w:u w:val="single"/>
          </w:rPr>
          <w:t>NIST AI Risk Management Framework</w:t>
        </w:r>
      </w:hyperlink>
      <w:r>
        <w:rPr>
          <w:rFonts w:ascii="Arial" w:hAnsi="Arial"/>
          <w:b w:val="0"/>
          <w:i w:val="0"/>
          <w:sz w:val="18"/>
        </w:rPr>
        <w:t xml:space="preserve"> — NIST. AI RMF 1.0 under revision; accessed 25 July 2026.</w:t>
      </w:r>
    </w:p>
    <w:p>
      <w:bookmarkStart w:id="2023" w:name="REF_023"/>
      <w:bookmarkEnd w:id="2023"/>
      <w:r>
        <w:rPr>
          <w:rFonts w:ascii="Arial" w:hAnsi="Arial"/>
          <w:b/>
          <w:i w:val="0"/>
          <w:color w:val="17365D"/>
          <w:sz w:val="18"/>
        </w:rPr>
        <w:t xml:space="preserve">REF-023  </w:t>
      </w:r>
      <w:hyperlink r:id="rId33">
        <w:r>
          <w:rPr>
            <w:color w:val="2E74B5"/>
            <w:u w:val="single"/>
          </w:rPr>
          <w:t>NIST AI 600-1 Generative AI Profile</w:t>
        </w:r>
      </w:hyperlink>
      <w:r>
        <w:rPr>
          <w:rFonts w:ascii="Arial" w:hAnsi="Arial"/>
          <w:b w:val="0"/>
          <w:i w:val="0"/>
          <w:sz w:val="18"/>
        </w:rPr>
        <w:t xml:space="preserve"> — NIST. Updated 8 April 2026; accessed 25 July 2026.</w:t>
      </w:r>
    </w:p>
    <w:p>
      <w:bookmarkStart w:id="2024" w:name="REF_024"/>
      <w:bookmarkEnd w:id="2024"/>
      <w:r>
        <w:rPr>
          <w:rFonts w:ascii="Arial" w:hAnsi="Arial"/>
          <w:b/>
          <w:i w:val="0"/>
          <w:color w:val="17365D"/>
          <w:sz w:val="18"/>
        </w:rPr>
        <w:t xml:space="preserve">REF-024  </w:t>
      </w:r>
      <w:hyperlink r:id="rId34">
        <w:r>
          <w:rPr>
            <w:color w:val="2E74B5"/>
            <w:u w:val="single"/>
          </w:rPr>
          <w:t>MITRE ATLAS</w:t>
        </w:r>
      </w:hyperlink>
      <w:r>
        <w:rPr>
          <w:rFonts w:ascii="Arial" w:hAnsi="Arial"/>
          <w:b w:val="0"/>
          <w:i w:val="0"/>
          <w:sz w:val="18"/>
        </w:rPr>
        <w:t xml:space="preserve"> — MITRE. Living knowledge base; accessed 25 July 2026.</w:t>
      </w:r>
    </w:p>
    <w:p>
      <w:bookmarkStart w:id="2025" w:name="REF_025"/>
      <w:bookmarkEnd w:id="2025"/>
      <w:r>
        <w:rPr>
          <w:rFonts w:ascii="Arial" w:hAnsi="Arial"/>
          <w:b/>
          <w:i w:val="0"/>
          <w:color w:val="17365D"/>
          <w:sz w:val="18"/>
        </w:rPr>
        <w:t xml:space="preserve">REF-025  </w:t>
      </w:r>
      <w:hyperlink r:id="rId35">
        <w:r>
          <w:rPr>
            <w:color w:val="2E74B5"/>
            <w:u w:val="single"/>
          </w:rPr>
          <w:t>CIS Critical Security Controls v8.1</w:t>
        </w:r>
      </w:hyperlink>
      <w:r>
        <w:rPr>
          <w:rFonts w:ascii="Arial" w:hAnsi="Arial"/>
          <w:b w:val="0"/>
          <w:i w:val="0"/>
          <w:sz w:val="18"/>
        </w:rPr>
        <w:t xml:space="preserve"> — Center for Internet Security. Published 24 June 2024; accessed 25 July 2026.</w:t>
      </w:r>
    </w:p>
    <w:p>
      <w:bookmarkStart w:id="2026" w:name="REF_026"/>
      <w:bookmarkEnd w:id="2026"/>
      <w:r>
        <w:rPr>
          <w:rFonts w:ascii="Arial" w:hAnsi="Arial"/>
          <w:b/>
          <w:i w:val="0"/>
          <w:color w:val="17365D"/>
          <w:sz w:val="18"/>
        </w:rPr>
        <w:t xml:space="preserve">REF-026  </w:t>
      </w:r>
      <w:hyperlink r:id="rId36">
        <w:r>
          <w:rPr>
            <w:color w:val="2E74B5"/>
            <w:u w:val="single"/>
          </w:rPr>
          <w:t>ISO/IEC 27000 family</w:t>
        </w:r>
      </w:hyperlink>
      <w:r>
        <w:rPr>
          <w:rFonts w:ascii="Arial" w:hAnsi="Arial"/>
          <w:b w:val="0"/>
          <w:i w:val="0"/>
          <w:sz w:val="18"/>
        </w:rPr>
        <w:t xml:space="preserve"> — ISO. Confirms ISO/IEC 27001:2022 and 27002:2022; accessed 25 July 2026.</w:t>
      </w:r>
    </w:p>
    <w:p>
      <w:pPr>
        <w:pStyle w:val="Heading1"/>
      </w:pPr>
      <w:r>
        <w:t>Appendix A - SBOM-style and installation inventory</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cantSplit/>
          <w:tblHeader/>
        </w:trPr>
        <w:tc>
          <w:tcPr>
            <w:tcW w:type="dxa" w:w="194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Component</w:t>
            </w:r>
          </w:p>
        </w:tc>
        <w:tc>
          <w:tcPr>
            <w:tcW w:type="dxa" w:w="2088"/>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Type/source</w:t>
            </w:r>
          </w:p>
        </w:tc>
        <w:tc>
          <w:tcPr>
            <w:tcW w:type="dxa" w:w="180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Version/hash</w:t>
            </w:r>
          </w:p>
        </w:tc>
        <w:tc>
          <w:tcPr>
            <w:tcW w:type="dxa" w:w="194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Install/persistence</w:t>
            </w:r>
          </w:p>
        </w:tc>
        <w:tc>
          <w:tcPr>
            <w:tcW w:type="dxa" w:w="1440"/>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Assessment</w:t>
            </w:r>
          </w:p>
        </w:tc>
      </w:tr>
      <w:tr>
        <w:trPr>
          <w:cantSplit/>
        </w:trPr>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 Learn MCP hosted service</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Remote Microsoft service</w:t>
            </w:r>
          </w:p>
        </w:tc>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No public semantic version/build hash</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No local service install</w:t>
            </w:r>
          </w:p>
        </w:tc>
        <w:tc>
          <w:tcPr>
            <w:tcW w:type="dxa" w:w="1440"/>
            <w:vAlign w:val="center"/>
            <w:tcMar>
              <w:top w:w="80" w:type="dxa"/>
              <w:start w:w="120" w:type="dxa"/>
              <w:bottom w:w="80" w:type="dxa"/>
              <w:end w:w="120" w:type="dxa"/>
            </w:tcMar>
            <w:shd w:fill="F2F4F7"/>
          </w:tcPr>
          <w:p>
            <w:pPr>
              <w:spacing w:after="0" w:line="252" w:lineRule="auto"/>
            </w:pPr>
            <w:r/>
            <w:r>
              <w:rPr>
                <w:rFonts w:ascii="Arial" w:hAnsi="Arial"/>
                <w:b w:val="0"/>
                <w:i w:val="0"/>
                <w:sz w:val="16"/>
              </w:rPr>
              <w:t>Hosted implementation/SBOM unknown</w:t>
            </w:r>
          </w:p>
        </w:tc>
      </w:tr>
      <w:tr>
        <w:trPr>
          <w:cantSplit/>
        </w:trPr>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MCP endpoint configuration</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JSON or built-in client catalogue</w:t>
            </w:r>
          </w:p>
        </w:tc>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URL reviewed as at 13 Jul 2026</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User or workspace/solution scope</w:t>
            </w:r>
          </w:p>
        </w:tc>
        <w:tc>
          <w:tcPr>
            <w:tcW w:type="dxa" w:w="1440"/>
            <w:vAlign w:val="center"/>
            <w:tcMar>
              <w:top w:w="80" w:type="dxa"/>
              <w:start w:w="120" w:type="dxa"/>
              <w:bottom w:w="80" w:type="dxa"/>
              <w:end w:w="120" w:type="dxa"/>
            </w:tcMar>
            <w:shd w:fill="FFFFFF"/>
          </w:tcPr>
          <w:p>
            <w:pPr>
              <w:spacing w:after="0" w:line="252" w:lineRule="auto"/>
            </w:pPr>
            <w:r/>
            <w:r>
              <w:rPr>
                <w:rFonts w:ascii="Arial" w:hAnsi="Arial"/>
                <w:b w:val="0"/>
                <w:i w:val="0"/>
                <w:sz w:val="16"/>
              </w:rPr>
              <w:t>Security-sensitive configuration</w:t>
            </w:r>
          </w:p>
        </w:tc>
      </w:tr>
      <w:tr>
        <w:trPr>
          <w:cantSplit/>
        </w:trPr>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VS Code MCP client</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IDE capability</w:t>
            </w:r>
          </w:p>
        </w:tc>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Exact enterprise build not supplied</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Managed application state</w:t>
            </w:r>
          </w:p>
        </w:tc>
        <w:tc>
          <w:tcPr>
            <w:tcW w:type="dxa" w:w="1440"/>
            <w:vAlign w:val="center"/>
            <w:tcMar>
              <w:top w:w="80" w:type="dxa"/>
              <w:start w:w="120" w:type="dxa"/>
              <w:bottom w:w="80" w:type="dxa"/>
              <w:end w:w="120" w:type="dxa"/>
            </w:tcMar>
            <w:shd w:fill="F2F4F7"/>
          </w:tcPr>
          <w:p>
            <w:pPr>
              <w:spacing w:after="0" w:line="252" w:lineRule="auto"/>
            </w:pPr>
            <w:r/>
            <w:r>
              <w:rPr>
                <w:rFonts w:ascii="Arial" w:hAnsi="Arial"/>
                <w:b w:val="0"/>
                <w:i w:val="0"/>
                <w:sz w:val="16"/>
              </w:rPr>
              <w:t>Host verification required</w:t>
            </w:r>
          </w:p>
        </w:tc>
      </w:tr>
      <w:tr>
        <w:trPr>
          <w:cantSplit/>
        </w:trPr>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Visual Studio MCP client</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IDE capability</w:t>
            </w:r>
          </w:p>
        </w:tc>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VS 2022 17.14 latest service or VS 2026</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Managed application/built-in state</w:t>
            </w:r>
          </w:p>
        </w:tc>
        <w:tc>
          <w:tcPr>
            <w:tcW w:type="dxa" w:w="1440"/>
            <w:vAlign w:val="center"/>
            <w:tcMar>
              <w:top w:w="80" w:type="dxa"/>
              <w:start w:w="120" w:type="dxa"/>
              <w:bottom w:w="80" w:type="dxa"/>
              <w:end w:w="120" w:type="dxa"/>
            </w:tcMar>
            <w:shd w:fill="FFFFFF"/>
          </w:tcPr>
          <w:p>
            <w:pPr>
              <w:spacing w:after="0" w:line="252" w:lineRule="auto"/>
            </w:pPr>
            <w:r/>
            <w:r>
              <w:rPr>
                <w:rFonts w:ascii="Arial" w:hAnsi="Arial"/>
                <w:b w:val="0"/>
                <w:i w:val="0"/>
                <w:sz w:val="16"/>
              </w:rPr>
              <w:t>Host verification required</w:t>
            </w:r>
          </w:p>
        </w:tc>
      </w:tr>
      <w:tr>
        <w:trPr>
          <w:cantSplit/>
        </w:trPr>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MicrosoftDocs/mcp repository</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Source/docs/CLI/plugin/skills</w:t>
            </w:r>
          </w:p>
        </w:tc>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Current repository state; exact commit in static notes</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Not installed during review</w:t>
            </w:r>
          </w:p>
        </w:tc>
        <w:tc>
          <w:tcPr>
            <w:tcW w:type="dxa" w:w="1440"/>
            <w:vAlign w:val="center"/>
            <w:tcMar>
              <w:top w:w="80" w:type="dxa"/>
              <w:start w:w="120" w:type="dxa"/>
              <w:bottom w:w="80" w:type="dxa"/>
              <w:end w:w="120" w:type="dxa"/>
            </w:tcMar>
            <w:shd w:fill="F2F4F7"/>
          </w:tcPr>
          <w:p>
            <w:pPr>
              <w:spacing w:after="0" w:line="252" w:lineRule="auto"/>
            </w:pPr>
            <w:r/>
            <w:r>
              <w:rPr>
                <w:rFonts w:ascii="Arial" w:hAnsi="Arial"/>
                <w:b w:val="0"/>
                <w:i w:val="0"/>
                <w:sz w:val="16"/>
              </w:rPr>
              <w:t>Not proof of deployed server</w:t>
            </w:r>
          </w:p>
        </w:tc>
      </w:tr>
      <w:tr>
        <w:trPr>
          <w:cantSplit/>
        </w:trPr>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microsoft-docs skill</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Optional instructions</w:t>
            </w:r>
          </w:p>
        </w:tc>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Exact installed bytes not supplied</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Plugin/repository/user scope</w:t>
            </w:r>
          </w:p>
        </w:tc>
        <w:tc>
          <w:tcPr>
            <w:tcW w:type="dxa" w:w="1440"/>
            <w:vAlign w:val="center"/>
            <w:tcMar>
              <w:top w:w="80" w:type="dxa"/>
              <w:start w:w="120" w:type="dxa"/>
              <w:bottom w:w="80" w:type="dxa"/>
              <w:end w:w="120" w:type="dxa"/>
            </w:tcMar>
            <w:shd w:fill="FFFFFF"/>
          </w:tcPr>
          <w:p>
            <w:pPr>
              <w:spacing w:after="0" w:line="252" w:lineRule="auto"/>
            </w:pPr>
            <w:r/>
            <w:r>
              <w:rPr>
                <w:rFonts w:ascii="Arial" w:hAnsi="Arial"/>
                <w:b w:val="0"/>
                <w:i w:val="0"/>
                <w:sz w:val="16"/>
              </w:rPr>
              <w:t>Not installed; separate approval</w:t>
            </w:r>
          </w:p>
        </w:tc>
      </w:tr>
      <w:tr>
        <w:trPr>
          <w:cantSplit/>
        </w:trPr>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microsoft-code-reference skill</w:t>
            </w:r>
          </w:p>
        </w:tc>
        <w:tc>
          <w:tcPr>
            <w:tcW w:type="dxa" w:w="2088"/>
            <w:vAlign w:val="center"/>
            <w:tcMar>
              <w:top w:w="80" w:type="dxa"/>
              <w:start w:w="120" w:type="dxa"/>
              <w:bottom w:w="80" w:type="dxa"/>
              <w:end w:w="120" w:type="dxa"/>
            </w:tcMar>
            <w:shd w:fill="F2F4F7"/>
          </w:tcPr>
          <w:p>
            <w:pPr>
              <w:spacing w:after="0" w:line="252" w:lineRule="auto"/>
            </w:pPr>
            <w:r/>
            <w:r>
              <w:rPr>
                <w:rFonts w:ascii="Arial" w:hAnsi="Arial"/>
                <w:b w:val="0"/>
                <w:i w:val="0"/>
                <w:sz w:val="16"/>
              </w:rPr>
              <w:t>Optional instructions</w:t>
            </w:r>
          </w:p>
        </w:tc>
        <w:tc>
          <w:tcPr>
            <w:tcW w:type="dxa" w:w="1800"/>
            <w:vAlign w:val="center"/>
            <w:tcMar>
              <w:top w:w="80" w:type="dxa"/>
              <w:start w:w="120" w:type="dxa"/>
              <w:bottom w:w="80" w:type="dxa"/>
              <w:end w:w="120" w:type="dxa"/>
            </w:tcMar>
            <w:shd w:fill="F2F4F7"/>
          </w:tcPr>
          <w:p>
            <w:pPr>
              <w:spacing w:after="0" w:line="252" w:lineRule="auto"/>
            </w:pPr>
            <w:r/>
            <w:r>
              <w:rPr>
                <w:rFonts w:ascii="Arial" w:hAnsi="Arial"/>
                <w:b w:val="0"/>
                <w:i w:val="0"/>
                <w:sz w:val="16"/>
              </w:rPr>
              <w:t>Exact installed bytes not supplied</w:t>
            </w:r>
          </w:p>
        </w:tc>
        <w:tc>
          <w:tcPr>
            <w:tcW w:type="dxa" w:w="1944"/>
            <w:vAlign w:val="center"/>
            <w:tcMar>
              <w:top w:w="80" w:type="dxa"/>
              <w:start w:w="120" w:type="dxa"/>
              <w:bottom w:w="80" w:type="dxa"/>
              <w:end w:w="120" w:type="dxa"/>
            </w:tcMar>
            <w:shd w:fill="F2F4F7"/>
          </w:tcPr>
          <w:p>
            <w:pPr>
              <w:spacing w:after="0" w:line="252" w:lineRule="auto"/>
            </w:pPr>
            <w:r/>
            <w:r>
              <w:rPr>
                <w:rFonts w:ascii="Arial" w:hAnsi="Arial"/>
                <w:b w:val="0"/>
                <w:i w:val="0"/>
                <w:sz w:val="16"/>
              </w:rPr>
              <w:t>Plugin/repository/user scope</w:t>
            </w:r>
          </w:p>
        </w:tc>
        <w:tc>
          <w:tcPr>
            <w:tcW w:type="dxa" w:w="1440"/>
            <w:vAlign w:val="center"/>
            <w:tcMar>
              <w:top w:w="80" w:type="dxa"/>
              <w:start w:w="120" w:type="dxa"/>
              <w:bottom w:w="80" w:type="dxa"/>
              <w:end w:w="120" w:type="dxa"/>
            </w:tcMar>
            <w:shd w:fill="F2F4F7"/>
          </w:tcPr>
          <w:p>
            <w:pPr>
              <w:spacing w:after="0" w:line="252" w:lineRule="auto"/>
            </w:pPr>
            <w:r/>
            <w:r>
              <w:rPr>
                <w:rFonts w:ascii="Arial" w:hAnsi="Arial"/>
                <w:b w:val="0"/>
                <w:i w:val="0"/>
                <w:sz w:val="16"/>
              </w:rPr>
              <w:t>Not installed; separate approval</w:t>
            </w:r>
          </w:p>
        </w:tc>
      </w:tr>
      <w:tr>
        <w:trPr>
          <w:cantSplit/>
        </w:trPr>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microsoft-skill-creator skill</w:t>
            </w:r>
          </w:p>
        </w:tc>
        <w:tc>
          <w:tcPr>
            <w:tcW w:type="dxa" w:w="2088"/>
            <w:vAlign w:val="center"/>
            <w:tcMar>
              <w:top w:w="80" w:type="dxa"/>
              <w:start w:w="120" w:type="dxa"/>
              <w:bottom w:w="80" w:type="dxa"/>
              <w:end w:w="120" w:type="dxa"/>
            </w:tcMar>
            <w:shd w:fill="FFFFFF"/>
          </w:tcPr>
          <w:p>
            <w:pPr>
              <w:spacing w:after="0" w:line="252" w:lineRule="auto"/>
            </w:pPr>
            <w:r/>
            <w:r>
              <w:rPr>
                <w:rFonts w:ascii="Arial" w:hAnsi="Arial"/>
                <w:b w:val="0"/>
                <w:i w:val="0"/>
                <w:sz w:val="16"/>
              </w:rPr>
              <w:t>Optional meta-skill</w:t>
            </w:r>
          </w:p>
        </w:tc>
        <w:tc>
          <w:tcPr>
            <w:tcW w:type="dxa" w:w="1800"/>
            <w:vAlign w:val="center"/>
            <w:tcMar>
              <w:top w:w="80" w:type="dxa"/>
              <w:start w:w="120" w:type="dxa"/>
              <w:bottom w:w="80" w:type="dxa"/>
              <w:end w:w="120" w:type="dxa"/>
            </w:tcMar>
            <w:shd w:fill="FFFFFF"/>
          </w:tcPr>
          <w:p>
            <w:pPr>
              <w:spacing w:after="0" w:line="252" w:lineRule="auto"/>
            </w:pPr>
            <w:r/>
            <w:r>
              <w:rPr>
                <w:rFonts w:ascii="Arial" w:hAnsi="Arial"/>
                <w:b w:val="0"/>
                <w:i w:val="0"/>
                <w:sz w:val="16"/>
              </w:rPr>
              <w:t>Exact installed bytes not supplied</w:t>
            </w:r>
          </w:p>
        </w:tc>
        <w:tc>
          <w:tcPr>
            <w:tcW w:type="dxa" w:w="1944"/>
            <w:vAlign w:val="center"/>
            <w:tcMar>
              <w:top w:w="80" w:type="dxa"/>
              <w:start w:w="120" w:type="dxa"/>
              <w:bottom w:w="80" w:type="dxa"/>
              <w:end w:w="120" w:type="dxa"/>
            </w:tcMar>
            <w:shd w:fill="FFFFFF"/>
          </w:tcPr>
          <w:p>
            <w:pPr>
              <w:spacing w:after="0" w:line="252" w:lineRule="auto"/>
            </w:pPr>
            <w:r/>
            <w:r>
              <w:rPr>
                <w:rFonts w:ascii="Arial" w:hAnsi="Arial"/>
                <w:b w:val="0"/>
                <w:i w:val="0"/>
                <w:sz w:val="16"/>
              </w:rPr>
              <w:t>Plugin/repository/user scope</w:t>
            </w:r>
          </w:p>
        </w:tc>
        <w:tc>
          <w:tcPr>
            <w:tcW w:type="dxa" w:w="1440"/>
            <w:vAlign w:val="center"/>
            <w:tcMar>
              <w:top w:w="80" w:type="dxa"/>
              <w:start w:w="120" w:type="dxa"/>
              <w:bottom w:w="80" w:type="dxa"/>
              <w:end w:w="120" w:type="dxa"/>
            </w:tcMar>
            <w:shd w:fill="FFFFFF"/>
          </w:tcPr>
          <w:p>
            <w:pPr>
              <w:spacing w:after="0" w:line="252" w:lineRule="auto"/>
            </w:pPr>
            <w:r/>
            <w:r>
              <w:rPr>
                <w:rFonts w:ascii="Arial" w:hAnsi="Arial"/>
                <w:b w:val="0"/>
                <w:i w:val="0"/>
                <w:sz w:val="16"/>
              </w:rPr>
              <w:t>Do not approve by default</w:t>
            </w:r>
          </w:p>
        </w:tc>
      </w:tr>
    </w:tbl>
    <w:p>
      <w:pPr>
        <w:spacing w:after="20"/>
      </w:pPr>
    </w:p>
    <w:p>
      <w:pPr>
        <w:pStyle w:val="Heading1"/>
      </w:pPr>
      <w:r>
        <w:t>Appendix B - Decision record</w:t>
      </w:r>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2232"/>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Decision element</w:t>
            </w:r>
          </w:p>
        </w:tc>
        <w:tc>
          <w:tcPr>
            <w:tcW w:type="dxa" w:w="6984"/>
            <w:vAlign w:val="center"/>
            <w:tcMar>
              <w:top w:w="80" w:type="dxa"/>
              <w:start w:w="120" w:type="dxa"/>
              <w:bottom w:w="80" w:type="dxa"/>
              <w:end w:w="120" w:type="dxa"/>
            </w:tcMar>
            <w:shd w:fill="17365D"/>
          </w:tcPr>
          <w:p>
            <w:pPr>
              <w:keepNext/>
              <w:spacing w:after="0" w:line="252" w:lineRule="auto"/>
            </w:pPr>
            <w:r/>
            <w:r>
              <w:rPr>
                <w:rFonts w:ascii="Arial" w:hAnsi="Arial"/>
                <w:b/>
                <w:i w:val="0"/>
                <w:color w:val="FFFFFF"/>
                <w:sz w:val="16"/>
              </w:rPr>
              <w:t>Record</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Approval</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Defer pending evidence for unrestricted confidential-code use.</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Conditional approval</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Non-sensitive, minimised Microsoft documentation queries only, after P0 controls pass.</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Affected scope</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Current hosted service as at 25 July 2026; VS Code and Visual Studio managed enterprise clients.</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Accountable owner</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CISO/Engineering Security with DPO/Legal/Procurement and relevant FCA/PRA accountable owner.</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Review trigger</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13 January 2027 or earlier service/tool/schema, terms/privacy, client-policy, incident, use-case or regulatory change.</w:t>
            </w:r>
          </w:p>
        </w:tc>
      </w:tr>
      <w:tr>
        <w:trPr>
          <w:cantSplit/>
        </w:trPr>
        <w:tc>
          <w:tcPr>
            <w:tcW w:type="dxa" w:w="2232"/>
            <w:vAlign w:val="center"/>
            <w:tcMar>
              <w:top w:w="80" w:type="dxa"/>
              <w:start w:w="120" w:type="dxa"/>
              <w:bottom w:w="80" w:type="dxa"/>
              <w:end w:w="120" w:type="dxa"/>
            </w:tcMar>
            <w:shd w:fill="FFFFFF"/>
          </w:tcPr>
          <w:p>
            <w:pPr>
              <w:spacing w:after="0" w:line="252" w:lineRule="auto"/>
            </w:pPr>
            <w:r/>
            <w:r>
              <w:rPr>
                <w:rFonts w:ascii="Arial" w:hAnsi="Arial"/>
                <w:b w:val="0"/>
                <w:i w:val="0"/>
                <w:sz w:val="16"/>
              </w:rPr>
              <w:t>Risk acceptance</w:t>
            </w:r>
          </w:p>
        </w:tc>
        <w:tc>
          <w:tcPr>
            <w:tcW w:type="dxa" w:w="6984"/>
            <w:vAlign w:val="center"/>
            <w:tcMar>
              <w:top w:w="80" w:type="dxa"/>
              <w:start w:w="120" w:type="dxa"/>
              <w:bottom w:w="80" w:type="dxa"/>
              <w:end w:w="120" w:type="dxa"/>
            </w:tcMar>
            <w:shd w:fill="FFFFFF"/>
          </w:tcPr>
          <w:p>
            <w:pPr>
              <w:spacing w:after="0" w:line="252" w:lineRule="auto"/>
            </w:pPr>
            <w:r/>
            <w:r>
              <w:rPr>
                <w:rFonts w:ascii="Arial" w:hAnsi="Arial"/>
                <w:b w:val="0"/>
                <w:i w:val="0"/>
                <w:sz w:val="16"/>
              </w:rPr>
              <w:t>No acceptance recorded. High residual findings R-01 and R-02 remain open.</w:t>
            </w:r>
          </w:p>
        </w:tc>
      </w:tr>
      <w:tr>
        <w:trPr>
          <w:cantSplit/>
        </w:trPr>
        <w:tc>
          <w:tcPr>
            <w:tcW w:type="dxa" w:w="2232"/>
            <w:vAlign w:val="center"/>
            <w:tcMar>
              <w:top w:w="80" w:type="dxa"/>
              <w:start w:w="120" w:type="dxa"/>
              <w:bottom w:w="80" w:type="dxa"/>
              <w:end w:w="120" w:type="dxa"/>
            </w:tcMar>
            <w:shd w:fill="F2F4F7"/>
          </w:tcPr>
          <w:p>
            <w:pPr>
              <w:spacing w:after="0" w:line="252" w:lineRule="auto"/>
            </w:pPr>
            <w:r/>
            <w:r>
              <w:rPr>
                <w:rFonts w:ascii="Arial" w:hAnsi="Arial"/>
                <w:b w:val="0"/>
                <w:i w:val="0"/>
                <w:sz w:val="16"/>
              </w:rPr>
              <w:t>Runtime status</w:t>
            </w:r>
          </w:p>
        </w:tc>
        <w:tc>
          <w:tcPr>
            <w:tcW w:type="dxa" w:w="6984"/>
            <w:vAlign w:val="center"/>
            <w:tcMar>
              <w:top w:w="80" w:type="dxa"/>
              <w:start w:w="120" w:type="dxa"/>
              <w:bottom w:w="80" w:type="dxa"/>
              <w:end w:w="120" w:type="dxa"/>
            </w:tcMar>
            <w:shd w:fill="F2F4F7"/>
          </w:tcPr>
          <w:p>
            <w:pPr>
              <w:spacing w:after="0" w:line="252" w:lineRule="auto"/>
            </w:pPr>
            <w:r/>
            <w:r>
              <w:rPr>
                <w:rFonts w:ascii="Arial" w:hAnsi="Arial"/>
                <w:b w:val="0"/>
                <w:i w:val="0"/>
                <w:sz w:val="16"/>
              </w:rPr>
              <w:t>No runtime analysis; host plan provided for separately authorised testing.</w:t>
            </w:r>
          </w:p>
        </w:tc>
      </w:tr>
    </w:tbl>
    <w:p>
      <w:pPr>
        <w:spacing w:after="20"/>
      </w:pPr>
    </w:p>
    <w:p>
      <w:pPr>
        <w:pStyle w:val="Heading1"/>
      </w:pPr>
      <w:r>
        <w:t>Regenerated Trust-Boundary Diagram</w:t>
      </w:r>
    </w:p>
    <w:p>
      <w:pPr>
        <w:jc w:val="center"/>
      </w:pPr>
      <w:r>
        <w:drawing>
          <wp:inline xmlns:a="http://schemas.openxmlformats.org/drawingml/2006/main" xmlns:pic="http://schemas.openxmlformats.org/drawingml/2006/picture">
            <wp:extent cx="6583680" cy="3127248"/>
            <wp:docPr id="1" name="Picture 1" descr="Trust-boundary diagram for Microsoft Learn MCP showing untrusted inputs crossing the IDE and MCP transport into local or remote authority." title="Microsoft Learn MCP trust boundaries"/>
            <wp:cNvGraphicFramePr>
              <a:graphicFrameLocks noChangeAspect="1"/>
            </wp:cNvGraphicFramePr>
            <a:graphic>
              <a:graphicData uri="http://schemas.openxmlformats.org/drawingml/2006/picture">
                <pic:pic>
                  <pic:nvPicPr>
                    <pic:cNvPr id="0" name="regeneration-trust-boundaries.png"/>
                    <pic:cNvPicPr/>
                  </pic:nvPicPr>
                  <pic:blipFill>
                    <a:blip r:embed="rId39"/>
                    <a:stretch>
                      <a:fillRect/>
                    </a:stretch>
                  </pic:blipFill>
                  <pic:spPr>
                    <a:xfrm>
                      <a:off x="0" y="0"/>
                      <a:ext cx="6583680" cy="3127248"/>
                    </a:xfrm>
                    <a:prstGeom prst="rect"/>
                  </pic:spPr>
                </pic:pic>
              </a:graphicData>
            </a:graphic>
          </wp:inline>
        </w:drawing>
      </w:r>
    </w:p>
    <w:p>
      <w:r>
        <w:br w:type="page"/>
      </w:r>
    </w:p>
    <w:p>
      <w:pPr>
        <w:pStyle w:val="Heading1"/>
      </w:pPr>
      <w:r>
        <w:t>Regeneration Addendum and Current Evidence</w:t>
      </w:r>
    </w:p>
    <w:p>
      <w:r>
        <w:t>This version 1.1 report preserves the previously delivered assessment as comparison evidence and regenerates the authoritative record under the current repository quality gates. Claims from the historical report were reclassified where necessary as historical verified evidence, current verified evidence, inference, not observed, not applicable, or unknown. The preserved baseline was not silently overwritten. The current source and package records were acquired directly from the publisher or official registry, cryptographically hashed, archive-safety checked, statically inspected, malware scanned, and correlated with current advisory data. Scanner output is evidence, not approval.</w:t>
      </w:r>
    </w:p>
    <w:p>
      <w:pPr>
        <w:pStyle w:val="Heading1"/>
      </w:pPr>
      <w:r>
        <w:t>Scope, Assumptions, Methodology</w:t>
      </w:r>
    </w:p>
    <w:p>
      <w:r>
        <w:t>Scope covers the official hosted Microsoft Learn MCP service as current on 25 July 2026, VS Code on Windows 11 and macOS, Visual Studio on Windows 11, the exact adjacent @microsoft/learn-cli 0.1.0 archive, and the three Agent Skills in the reacquired official repository. Methods were evidence-led source and package inspection, archive validation, hashing, dependency and advisory correlation, static code and malware scanning, manual threat and control analysis, and Word-report quality assurance. No package, skill, endpoint or IDE runtime was executed.</w:t>
      </w:r>
    </w:p>
    <w:p>
      <w:r>
        <w:t>The official MicrosoftDocs/mcp repository was reacquired at commit caa3d670bf2814171dba4f7346ece5080964021e. The public hosted endpoint remains https://learn.microsoft.com/api/mcp and its dynamically discoverable tool surface can change independently of this report. The exact adjacent @microsoft/learn-cli 0.1.0 archive was retained with npm integrity and signature metadata. Current repository drift includes three bundled Agent Skills: microsoft-docs, microsoft-code-reference, and microsoft-skill-creator. Those skills are not assumed to be installed by merely configuring the hosted MCP endpoint; they are assessed as optional repository/plugin surfaces.</w:t>
      </w:r>
    </w:p>
    <w:tbl>
      <w:tblPr>
        <w:tblStyle w:val="TableGrid"/>
        <w:tblW w:type="auto" w:w="0"/>
        <w:jc w:val="center"/>
        <w:tblLook w:firstColumn="1" w:firstRow="1" w:lastColumn="0" w:lastRow="0" w:noHBand="0" w:noVBand="1" w:val="04A0"/>
      </w:tblPr>
      <w:tblGrid>
        <w:gridCol w:w="2469"/>
        <w:gridCol w:w="2469"/>
        <w:gridCol w:w="2469"/>
        <w:gridCol w:w="2469"/>
      </w:tblGrid>
      <w:tr>
        <w:trPr>
          <w:tblHeader/>
          <w:cantSplit/>
        </w:trPr>
        <w:tc>
          <w:tcPr>
            <w:tcW w:type="dxa" w:w="2469"/>
            <w:shd w:fill="17365D"/>
          </w:tcPr>
          <w:p>
            <w:r>
              <w:rPr>
                <w:b/>
                <w:color w:val="FFFFFF"/>
                <w:sz w:val="16"/>
              </w:rPr>
              <w:t>Evidence item</w:t>
            </w:r>
          </w:p>
        </w:tc>
        <w:tc>
          <w:tcPr>
            <w:tcW w:type="dxa" w:w="2469"/>
            <w:shd w:fill="17365D"/>
          </w:tcPr>
          <w:p>
            <w:r>
              <w:rPr>
                <w:b/>
                <w:color w:val="FFFFFF"/>
                <w:sz w:val="16"/>
              </w:rPr>
              <w:t>Current state</w:t>
            </w:r>
          </w:p>
        </w:tc>
        <w:tc>
          <w:tcPr>
            <w:tcW w:type="dxa" w:w="2469"/>
            <w:shd w:fill="17365D"/>
          </w:tcPr>
          <w:p>
            <w:r>
              <w:rPr>
                <w:b/>
                <w:color w:val="FFFFFF"/>
                <w:sz w:val="16"/>
              </w:rPr>
              <w:t>SHA-256 / result</w:t>
            </w:r>
          </w:p>
        </w:tc>
        <w:tc>
          <w:tcPr>
            <w:tcW w:type="dxa" w:w="2469"/>
            <w:shd w:fill="17365D"/>
          </w:tcPr>
          <w:p>
            <w:r>
              <w:rPr>
                <w:b/>
                <w:color w:val="FFFFFF"/>
                <w:sz w:val="16"/>
              </w:rPr>
              <w:t>Claim status</w:t>
            </w:r>
          </w:p>
        </w:tc>
      </w:tr>
      <w:tr>
        <w:trPr>
          <w:cantSplit/>
        </w:trPr>
        <w:tc>
          <w:tcPr>
            <w:tcW w:type="dxa" w:w="2469"/>
            <w:vAlign w:val="top"/>
          </w:tcPr>
          <w:p>
            <w:pPr>
              <w:spacing w:after="20"/>
            </w:pPr>
            <w:r>
              <w:rPr>
                <w:sz w:val="15"/>
              </w:rPr>
              <w:t>Historical baseline v1.0</w:t>
            </w:r>
          </w:p>
        </w:tc>
        <w:tc>
          <w:tcPr>
            <w:tcW w:type="dxa" w:w="2469"/>
            <w:vAlign w:val="top"/>
          </w:tcPr>
          <w:p>
            <w:pPr>
              <w:spacing w:after="20"/>
            </w:pPr>
            <w:r>
              <w:rPr>
                <w:sz w:val="15"/>
              </w:rPr>
              <w:t>Preserved byte-for-byte</w:t>
            </w:r>
          </w:p>
        </w:tc>
        <w:tc>
          <w:tcPr>
            <w:tcW w:type="dxa" w:w="2469"/>
            <w:vAlign w:val="top"/>
          </w:tcPr>
          <w:p>
            <w:pPr>
              <w:spacing w:after="20"/>
            </w:pPr>
            <w:r>
              <w:rPr>
                <w:sz w:val="15"/>
              </w:rPr>
              <w:t>90c68a1b005a238606a022c7628dce783b0b0389128b399c8b201062ae805c45</w:t>
            </w:r>
          </w:p>
        </w:tc>
        <w:tc>
          <w:tcPr>
            <w:tcW w:type="dxa" w:w="2469"/>
            <w:vAlign w:val="top"/>
          </w:tcPr>
          <w:p>
            <w:pPr>
              <w:spacing w:after="20"/>
            </w:pPr>
            <w:r>
              <w:rPr>
                <w:sz w:val="15"/>
              </w:rPr>
              <w:t>Historical verified</w:t>
            </w:r>
          </w:p>
        </w:tc>
      </w:tr>
      <w:tr>
        <w:trPr>
          <w:cantSplit/>
        </w:trPr>
        <w:tc>
          <w:tcPr>
            <w:tcW w:type="dxa" w:w="2469"/>
            <w:vAlign w:val="top"/>
            <w:shd w:fill="EEF4F7"/>
          </w:tcPr>
          <w:p>
            <w:pPr>
              <w:spacing w:after="20"/>
            </w:pPr>
            <w:r>
              <w:rPr>
                <w:sz w:val="15"/>
              </w:rPr>
              <w:t>Official repository</w:t>
            </w:r>
          </w:p>
        </w:tc>
        <w:tc>
          <w:tcPr>
            <w:tcW w:type="dxa" w:w="2469"/>
            <w:vAlign w:val="top"/>
            <w:shd w:fill="EEF4F7"/>
          </w:tcPr>
          <w:p>
            <w:pPr>
              <w:spacing w:after="20"/>
            </w:pPr>
            <w:r>
              <w:rPr>
                <w:sz w:val="15"/>
              </w:rPr>
              <w:t>MicrosoftDocs/mcp main</w:t>
            </w:r>
          </w:p>
        </w:tc>
        <w:tc>
          <w:tcPr>
            <w:tcW w:type="dxa" w:w="2469"/>
            <w:vAlign w:val="top"/>
            <w:shd w:fill="EEF4F7"/>
          </w:tcPr>
          <w:p>
            <w:pPr>
              <w:spacing w:after="20"/>
            </w:pPr>
            <w:r>
              <w:rPr>
                <w:sz w:val="15"/>
              </w:rPr>
              <w:t>caa3d670bf2814171dba4f7346ece5080964021e</w:t>
            </w:r>
          </w:p>
        </w:tc>
        <w:tc>
          <w:tcPr>
            <w:tcW w:type="dxa" w:w="2469"/>
            <w:vAlign w:val="top"/>
            <w:shd w:fill="EEF4F7"/>
          </w:tcPr>
          <w:p>
            <w:pPr>
              <w:spacing w:after="20"/>
            </w:pPr>
            <w:r>
              <w:rPr>
                <w:sz w:val="15"/>
              </w:rPr>
              <w:t>Current verified</w:t>
            </w:r>
          </w:p>
        </w:tc>
      </w:tr>
      <w:tr>
        <w:trPr>
          <w:cantSplit/>
        </w:trPr>
        <w:tc>
          <w:tcPr>
            <w:tcW w:type="dxa" w:w="2469"/>
            <w:vAlign w:val="top"/>
          </w:tcPr>
          <w:p>
            <w:pPr>
              <w:spacing w:after="20"/>
            </w:pPr>
            <w:r>
              <w:rPr>
                <w:sz w:val="15"/>
              </w:rPr>
              <w:t>@microsoft/learn-cli 0.1.0</w:t>
            </w:r>
          </w:p>
        </w:tc>
        <w:tc>
          <w:tcPr>
            <w:tcW w:type="dxa" w:w="2469"/>
            <w:vAlign w:val="top"/>
          </w:tcPr>
          <w:p>
            <w:pPr>
              <w:spacing w:after="20"/>
            </w:pPr>
            <w:r>
              <w:rPr>
                <w:sz w:val="15"/>
              </w:rPr>
              <w:t>17-file npm archive</w:t>
            </w:r>
          </w:p>
        </w:tc>
        <w:tc>
          <w:tcPr>
            <w:tcW w:type="dxa" w:w="2469"/>
            <w:vAlign w:val="top"/>
          </w:tcPr>
          <w:p>
            <w:pPr>
              <w:spacing w:after="20"/>
            </w:pPr>
            <w:r>
              <w:rPr>
                <w:sz w:val="15"/>
              </w:rPr>
              <w:t>01a5782e023f0fb1cbaf6dca8b7bf384acf0c0f529d9bb44dc4a280d758f9966</w:t>
            </w:r>
          </w:p>
        </w:tc>
        <w:tc>
          <w:tcPr>
            <w:tcW w:type="dxa" w:w="2469"/>
            <w:vAlign w:val="top"/>
          </w:tcPr>
          <w:p>
            <w:pPr>
              <w:spacing w:after="20"/>
            </w:pPr>
            <w:r>
              <w:rPr>
                <w:sz w:val="15"/>
              </w:rPr>
              <w:t>Current verified</w:t>
            </w:r>
          </w:p>
        </w:tc>
      </w:tr>
      <w:tr>
        <w:trPr>
          <w:cantSplit/>
        </w:trPr>
        <w:tc>
          <w:tcPr>
            <w:tcW w:type="dxa" w:w="2469"/>
            <w:vAlign w:val="top"/>
            <w:shd w:fill="EEF4F7"/>
          </w:tcPr>
          <w:p>
            <w:pPr>
              <w:spacing w:after="20"/>
            </w:pPr>
            <w:r>
              <w:rPr>
                <w:sz w:val="15"/>
              </w:rPr>
              <w:t>Static malware review</w:t>
            </w:r>
          </w:p>
        </w:tc>
        <w:tc>
          <w:tcPr>
            <w:tcW w:type="dxa" w:w="2469"/>
            <w:vAlign w:val="top"/>
            <w:shd w:fill="EEF4F7"/>
          </w:tcPr>
          <w:p>
            <w:pPr>
              <w:spacing w:after="20"/>
            </w:pPr>
            <w:r>
              <w:rPr>
                <w:sz w:val="15"/>
              </w:rPr>
              <w:t>ClamAV and bounded YARA</w:t>
            </w:r>
          </w:p>
        </w:tc>
        <w:tc>
          <w:tcPr>
            <w:tcW w:type="dxa" w:w="2469"/>
            <w:vAlign w:val="top"/>
            <w:shd w:fill="EEF4F7"/>
          </w:tcPr>
          <w:p>
            <w:pPr>
              <w:spacing w:after="20"/>
            </w:pPr>
            <w:r>
              <w:rPr>
                <w:sz w:val="15"/>
              </w:rPr>
              <w:t>0 infected output; 0 YARA matches</w:t>
            </w:r>
          </w:p>
        </w:tc>
        <w:tc>
          <w:tcPr>
            <w:tcW w:type="dxa" w:w="2469"/>
            <w:vAlign w:val="top"/>
            <w:shd w:fill="EEF4F7"/>
          </w:tcPr>
          <w:p>
            <w:pPr>
              <w:spacing w:after="20"/>
            </w:pPr>
            <w:r>
              <w:rPr>
                <w:sz w:val="15"/>
              </w:rPr>
              <w:t>Current verified within scope</w:t>
            </w:r>
          </w:p>
        </w:tc>
      </w:tr>
      <w:tr>
        <w:trPr>
          <w:cantSplit/>
        </w:trPr>
        <w:tc>
          <w:tcPr>
            <w:tcW w:type="dxa" w:w="2469"/>
            <w:vAlign w:val="top"/>
          </w:tcPr>
          <w:p>
            <w:pPr>
              <w:spacing w:after="20"/>
            </w:pPr>
            <w:r>
              <w:rPr>
                <w:sz w:val="15"/>
              </w:rPr>
              <w:t>Dependency correlation</w:t>
            </w:r>
          </w:p>
        </w:tc>
        <w:tc>
          <w:tcPr>
            <w:tcW w:type="dxa" w:w="2469"/>
            <w:vAlign w:val="top"/>
          </w:tcPr>
          <w:p>
            <w:pPr>
              <w:spacing w:after="20"/>
            </w:pPr>
            <w:r>
              <w:rPr>
                <w:sz w:val="15"/>
              </w:rPr>
              <w:t>187 lockfile packages</w:t>
            </w:r>
          </w:p>
        </w:tc>
        <w:tc>
          <w:tcPr>
            <w:tcW w:type="dxa" w:w="2469"/>
            <w:vAlign w:val="top"/>
          </w:tcPr>
          <w:p>
            <w:pPr>
              <w:spacing w:after="20"/>
            </w:pPr>
            <w:r>
              <w:rPr>
                <w:sz w:val="15"/>
              </w:rPr>
              <w:t>22 advisory records across 9 packages</w:t>
            </w:r>
          </w:p>
        </w:tc>
        <w:tc>
          <w:tcPr>
            <w:tcW w:type="dxa" w:w="2469"/>
            <w:vAlign w:val="top"/>
          </w:tcPr>
          <w:p>
            <w:pPr>
              <w:spacing w:after="20"/>
            </w:pPr>
            <w:r>
              <w:rPr>
                <w:sz w:val="15"/>
              </w:rPr>
              <w:t>Current signal; manual triage required</w:t>
            </w:r>
          </w:p>
        </w:tc>
      </w:tr>
      <w:tr>
        <w:trPr>
          <w:cantSplit/>
        </w:trPr>
        <w:tc>
          <w:tcPr>
            <w:tcW w:type="dxa" w:w="2469"/>
            <w:vAlign w:val="top"/>
            <w:shd w:fill="EEF4F7"/>
          </w:tcPr>
          <w:p>
            <w:pPr>
              <w:spacing w:after="20"/>
            </w:pPr>
            <w:r>
              <w:rPr>
                <w:sz w:val="15"/>
              </w:rPr>
              <w:t>Bundled skills</w:t>
            </w:r>
          </w:p>
        </w:tc>
        <w:tc>
          <w:tcPr>
            <w:tcW w:type="dxa" w:w="2469"/>
            <w:vAlign w:val="top"/>
            <w:shd w:fill="EEF4F7"/>
          </w:tcPr>
          <w:p>
            <w:pPr>
              <w:spacing w:after="20"/>
            </w:pPr>
            <w:r>
              <w:rPr>
                <w:sz w:val="15"/>
              </w:rPr>
              <w:t>3 repository/plugin skills</w:t>
            </w:r>
          </w:p>
        </w:tc>
        <w:tc>
          <w:tcPr>
            <w:tcW w:type="dxa" w:w="2469"/>
            <w:vAlign w:val="top"/>
            <w:shd w:fill="EEF4F7"/>
          </w:tcPr>
          <w:p>
            <w:pPr>
              <w:spacing w:after="20"/>
            </w:pPr>
            <w:r>
              <w:rPr>
                <w:sz w:val="15"/>
              </w:rPr>
              <w:t>microsoft-docs; microsoft-code-reference; microsoft-skill-creator</w:t>
            </w:r>
          </w:p>
        </w:tc>
        <w:tc>
          <w:tcPr>
            <w:tcW w:type="dxa" w:w="2469"/>
            <w:vAlign w:val="top"/>
            <w:shd w:fill="EEF4F7"/>
          </w:tcPr>
          <w:p>
            <w:pPr>
              <w:spacing w:after="20"/>
            </w:pPr>
            <w:r>
              <w:rPr>
                <w:sz w:val="15"/>
              </w:rPr>
              <w:t>Current verified</w:t>
            </w:r>
          </w:p>
        </w:tc>
      </w:tr>
    </w:tbl>
    <w:p/>
    <w:p>
      <w:pPr>
        <w:pStyle w:val="Heading1"/>
      </w:pPr>
      <w:r>
        <w:t>Static Analysis and Malware Review</w:t>
      </w:r>
    </w:p>
    <w:p>
      <w:r>
        <w:t>Semgrep 1.171.0 ran 51 applicable rules over the TypeScript source and published CLI package and reported zero findings. Manual review confirmed remote Streamable HTTP use, dynamic MCP tool discovery, local CLI cache/config behavior, broad documentation retrieval, and optional npx/global-install fallback instructions. The zero-result scan does not establish that dynamically returned content, hosted implementation, downstream agent behavior, or package execution is safe.</w:t>
      </w:r>
    </w:p>
    <w:p>
      <w:r>
        <w:t>ClamAV 1.5.3 with database 28071 scanned the 17-file CLI archive and the 46-file current repository snapshot with no infected-file output. Two bounded heuristic YARA rules produced zero matches. No public reputation upload, detonation, package installation, lifecycle hook, or hosted-service execution occurred. These clean static signals do not prove absence of malicious behavior in the remote service, future documentation, dependencies, or dynamically retrieved model context.</w:t>
      </w:r>
    </w:p>
    <w:tbl>
      <w:tblPr>
        <w:tblStyle w:val="TableGrid"/>
        <w:tblW w:type="auto" w:w="0"/>
        <w:jc w:val="center"/>
        <w:tblLook w:firstColumn="1" w:firstRow="1" w:lastColumn="0" w:lastRow="0" w:noHBand="0" w:noVBand="1" w:val="04A0"/>
      </w:tblPr>
      <w:tblGrid>
        <w:gridCol w:w="2469"/>
        <w:gridCol w:w="2469"/>
        <w:gridCol w:w="2469"/>
        <w:gridCol w:w="2469"/>
      </w:tblGrid>
      <w:tr>
        <w:trPr>
          <w:tblHeader/>
          <w:cantSplit/>
        </w:trPr>
        <w:tc>
          <w:tcPr>
            <w:tcW w:type="dxa" w:w="2469"/>
            <w:shd w:fill="17365D"/>
          </w:tcPr>
          <w:p>
            <w:r>
              <w:rPr>
                <w:b/>
                <w:color w:val="FFFFFF"/>
                <w:sz w:val="16"/>
              </w:rPr>
              <w:t>Method</w:t>
            </w:r>
          </w:p>
        </w:tc>
        <w:tc>
          <w:tcPr>
            <w:tcW w:type="dxa" w:w="2469"/>
            <w:shd w:fill="17365D"/>
          </w:tcPr>
          <w:p>
            <w:r>
              <w:rPr>
                <w:b/>
                <w:color w:val="FFFFFF"/>
                <w:sz w:val="16"/>
              </w:rPr>
              <w:t>Scope</w:t>
            </w:r>
          </w:p>
        </w:tc>
        <w:tc>
          <w:tcPr>
            <w:tcW w:type="dxa" w:w="2469"/>
            <w:shd w:fill="17365D"/>
          </w:tcPr>
          <w:p>
            <w:r>
              <w:rPr>
                <w:b/>
                <w:color w:val="FFFFFF"/>
                <w:sz w:val="16"/>
              </w:rPr>
              <w:t>Result</w:t>
            </w:r>
          </w:p>
        </w:tc>
        <w:tc>
          <w:tcPr>
            <w:tcW w:type="dxa" w:w="2469"/>
            <w:shd w:fill="17365D"/>
          </w:tcPr>
          <w:p>
            <w:r>
              <w:rPr>
                <w:b/>
                <w:color w:val="FFFFFF"/>
                <w:sz w:val="16"/>
              </w:rPr>
              <w:t>Limitation</w:t>
            </w:r>
          </w:p>
        </w:tc>
      </w:tr>
      <w:tr>
        <w:trPr>
          <w:cantSplit/>
        </w:trPr>
        <w:tc>
          <w:tcPr>
            <w:tcW w:type="dxa" w:w="2469"/>
            <w:vAlign w:val="top"/>
          </w:tcPr>
          <w:p>
            <w:pPr>
              <w:spacing w:after="20"/>
            </w:pPr>
            <w:r>
              <w:rPr>
                <w:sz w:val="15"/>
              </w:rPr>
              <w:t>Archive safety</w:t>
            </w:r>
          </w:p>
        </w:tc>
        <w:tc>
          <w:tcPr>
            <w:tcW w:type="dxa" w:w="2469"/>
            <w:vAlign w:val="top"/>
          </w:tcPr>
          <w:p>
            <w:pPr>
              <w:spacing w:after="20"/>
            </w:pPr>
            <w:r>
              <w:rPr>
                <w:sz w:val="15"/>
              </w:rPr>
              <w:t>17 npm members</w:t>
            </w:r>
          </w:p>
        </w:tc>
        <w:tc>
          <w:tcPr>
            <w:tcW w:type="dxa" w:w="2469"/>
            <w:vAlign w:val="top"/>
          </w:tcPr>
          <w:p>
            <w:pPr>
              <w:spacing w:after="20"/>
            </w:pPr>
            <w:r>
              <w:rPr>
                <w:sz w:val="15"/>
              </w:rPr>
              <w:t>No traversal, links or device entries</w:t>
            </w:r>
          </w:p>
        </w:tc>
        <w:tc>
          <w:tcPr>
            <w:tcW w:type="dxa" w:w="2469"/>
            <w:vAlign w:val="top"/>
          </w:tcPr>
          <w:p>
            <w:pPr>
              <w:spacing w:after="20"/>
            </w:pPr>
            <w:r>
              <w:rPr>
                <w:sz w:val="15"/>
              </w:rPr>
              <w:t>Does not establish runtime safety</w:t>
            </w:r>
          </w:p>
        </w:tc>
      </w:tr>
      <w:tr>
        <w:trPr>
          <w:cantSplit/>
        </w:trPr>
        <w:tc>
          <w:tcPr>
            <w:tcW w:type="dxa" w:w="2469"/>
            <w:vAlign w:val="top"/>
            <w:shd w:fill="EEF4F7"/>
          </w:tcPr>
          <w:p>
            <w:pPr>
              <w:spacing w:after="20"/>
            </w:pPr>
            <w:r>
              <w:rPr>
                <w:sz w:val="15"/>
              </w:rPr>
              <w:t>Semgrep</w:t>
            </w:r>
          </w:p>
        </w:tc>
        <w:tc>
          <w:tcPr>
            <w:tcW w:type="dxa" w:w="2469"/>
            <w:vAlign w:val="top"/>
            <w:shd w:fill="EEF4F7"/>
          </w:tcPr>
          <w:p>
            <w:pPr>
              <w:spacing w:after="20"/>
            </w:pPr>
            <w:r>
              <w:rPr>
                <w:sz w:val="15"/>
              </w:rPr>
              <w:t>TypeScript source and published CLI</w:t>
            </w:r>
          </w:p>
        </w:tc>
        <w:tc>
          <w:tcPr>
            <w:tcW w:type="dxa" w:w="2469"/>
            <w:vAlign w:val="top"/>
            <w:shd w:fill="EEF4F7"/>
          </w:tcPr>
          <w:p>
            <w:pPr>
              <w:spacing w:after="20"/>
            </w:pPr>
            <w:r>
              <w:rPr>
                <w:sz w:val="15"/>
              </w:rPr>
              <w:t>51 rules; 0 findings</w:t>
            </w:r>
          </w:p>
        </w:tc>
        <w:tc>
          <w:tcPr>
            <w:tcW w:type="dxa" w:w="2469"/>
            <w:vAlign w:val="top"/>
            <w:shd w:fill="EEF4F7"/>
          </w:tcPr>
          <w:p>
            <w:pPr>
              <w:spacing w:after="20"/>
            </w:pPr>
            <w:r>
              <w:rPr>
                <w:sz w:val="15"/>
              </w:rPr>
              <w:t>Hosted implementation unavailable</w:t>
            </w:r>
          </w:p>
        </w:tc>
      </w:tr>
      <w:tr>
        <w:trPr>
          <w:cantSplit/>
        </w:trPr>
        <w:tc>
          <w:tcPr>
            <w:tcW w:type="dxa" w:w="2469"/>
            <w:vAlign w:val="top"/>
          </w:tcPr>
          <w:p>
            <w:pPr>
              <w:spacing w:after="20"/>
            </w:pPr>
            <w:r>
              <w:rPr>
                <w:sz w:val="15"/>
              </w:rPr>
              <w:t>Manual static review</w:t>
            </w:r>
          </w:p>
        </w:tc>
        <w:tc>
          <w:tcPr>
            <w:tcW w:type="dxa" w:w="2469"/>
            <w:vAlign w:val="top"/>
          </w:tcPr>
          <w:p>
            <w:pPr>
              <w:spacing w:after="20"/>
            </w:pPr>
            <w:r>
              <w:rPr>
                <w:sz w:val="15"/>
              </w:rPr>
              <w:t>MCP config, CLI, plugin and skills</w:t>
            </w:r>
          </w:p>
        </w:tc>
        <w:tc>
          <w:tcPr>
            <w:tcW w:type="dxa" w:w="2469"/>
            <w:vAlign w:val="top"/>
          </w:tcPr>
          <w:p>
            <w:pPr>
              <w:spacing w:after="20"/>
            </w:pPr>
            <w:r>
              <w:rPr>
                <w:sz w:val="15"/>
              </w:rPr>
              <w:t>Remote tools, cache and fallback execution identified</w:t>
            </w:r>
          </w:p>
        </w:tc>
        <w:tc>
          <w:tcPr>
            <w:tcW w:type="dxa" w:w="2469"/>
            <w:vAlign w:val="top"/>
          </w:tcPr>
          <w:p>
            <w:pPr>
              <w:spacing w:after="20"/>
            </w:pPr>
            <w:r>
              <w:rPr>
                <w:sz w:val="15"/>
              </w:rPr>
              <w:t>No execution performed</w:t>
            </w:r>
          </w:p>
        </w:tc>
      </w:tr>
      <w:tr>
        <w:trPr>
          <w:cantSplit/>
        </w:trPr>
        <w:tc>
          <w:tcPr>
            <w:tcW w:type="dxa" w:w="2469"/>
            <w:vAlign w:val="top"/>
            <w:shd w:fill="EEF4F7"/>
          </w:tcPr>
          <w:p>
            <w:pPr>
              <w:spacing w:after="20"/>
            </w:pPr>
            <w:r>
              <w:rPr>
                <w:sz w:val="15"/>
              </w:rPr>
              <w:t>OSV</w:t>
            </w:r>
          </w:p>
        </w:tc>
        <w:tc>
          <w:tcPr>
            <w:tcW w:type="dxa" w:w="2469"/>
            <w:vAlign w:val="top"/>
            <w:shd w:fill="EEF4F7"/>
          </w:tcPr>
          <w:p>
            <w:pPr>
              <w:spacing w:after="20"/>
            </w:pPr>
            <w:r>
              <w:rPr>
                <w:sz w:val="15"/>
              </w:rPr>
              <w:t>Current repository lockfile</w:t>
            </w:r>
          </w:p>
        </w:tc>
        <w:tc>
          <w:tcPr>
            <w:tcW w:type="dxa" w:w="2469"/>
            <w:vAlign w:val="top"/>
            <w:shd w:fill="EEF4F7"/>
          </w:tcPr>
          <w:p>
            <w:pPr>
              <w:spacing w:after="20"/>
            </w:pPr>
            <w:r>
              <w:rPr>
                <w:sz w:val="15"/>
              </w:rPr>
              <w:t>22 advisory records / 9 package versions</w:t>
            </w:r>
          </w:p>
        </w:tc>
        <w:tc>
          <w:tcPr>
            <w:tcW w:type="dxa" w:w="2469"/>
            <w:vAlign w:val="top"/>
            <w:shd w:fill="EEF4F7"/>
          </w:tcPr>
          <w:p>
            <w:pPr>
              <w:spacing w:after="20"/>
            </w:pPr>
            <w:r>
              <w:rPr>
                <w:sz w:val="15"/>
              </w:rPr>
              <w:t>Hosted-service applicability unknown</w:t>
            </w:r>
          </w:p>
        </w:tc>
      </w:tr>
      <w:tr>
        <w:trPr>
          <w:cantSplit/>
        </w:trPr>
        <w:tc>
          <w:tcPr>
            <w:tcW w:type="dxa" w:w="2469"/>
            <w:vAlign w:val="top"/>
          </w:tcPr>
          <w:p>
            <w:pPr>
              <w:spacing w:after="20"/>
            </w:pPr>
            <w:r>
              <w:rPr>
                <w:sz w:val="15"/>
              </w:rPr>
              <w:t>ClamAV</w:t>
            </w:r>
          </w:p>
        </w:tc>
        <w:tc>
          <w:tcPr>
            <w:tcW w:type="dxa" w:w="2469"/>
            <w:vAlign w:val="top"/>
          </w:tcPr>
          <w:p>
            <w:pPr>
              <w:spacing w:after="20"/>
            </w:pPr>
            <w:r>
              <w:rPr>
                <w:sz w:val="15"/>
              </w:rPr>
              <w:t>63 repository and archive files</w:t>
            </w:r>
          </w:p>
        </w:tc>
        <w:tc>
          <w:tcPr>
            <w:tcW w:type="dxa" w:w="2469"/>
            <w:vAlign w:val="top"/>
          </w:tcPr>
          <w:p>
            <w:pPr>
              <w:spacing w:after="20"/>
            </w:pPr>
            <w:r>
              <w:rPr>
                <w:sz w:val="15"/>
              </w:rPr>
              <w:t>0 infected-file output</w:t>
            </w:r>
          </w:p>
        </w:tc>
        <w:tc>
          <w:tcPr>
            <w:tcW w:type="dxa" w:w="2469"/>
            <w:vAlign w:val="top"/>
          </w:tcPr>
          <w:p>
            <w:pPr>
              <w:spacing w:after="20"/>
            </w:pPr>
            <w:r>
              <w:rPr>
                <w:sz w:val="15"/>
              </w:rPr>
              <w:t>Signature absence is not approval</w:t>
            </w:r>
          </w:p>
        </w:tc>
      </w:tr>
      <w:tr>
        <w:trPr>
          <w:cantSplit/>
        </w:trPr>
        <w:tc>
          <w:tcPr>
            <w:tcW w:type="dxa" w:w="2469"/>
            <w:vAlign w:val="top"/>
            <w:shd w:fill="EEF4F7"/>
          </w:tcPr>
          <w:p>
            <w:pPr>
              <w:spacing w:after="20"/>
            </w:pPr>
            <w:r>
              <w:rPr>
                <w:sz w:val="15"/>
              </w:rPr>
              <w:t>YARA</w:t>
            </w:r>
          </w:p>
        </w:tc>
        <w:tc>
          <w:tcPr>
            <w:tcW w:type="dxa" w:w="2469"/>
            <w:vAlign w:val="top"/>
            <w:shd w:fill="EEF4F7"/>
          </w:tcPr>
          <w:p>
            <w:pPr>
              <w:spacing w:after="20"/>
            </w:pPr>
            <w:r>
              <w:rPr>
                <w:sz w:val="15"/>
              </w:rPr>
              <w:t>Repository and CLI archive</w:t>
            </w:r>
          </w:p>
        </w:tc>
        <w:tc>
          <w:tcPr>
            <w:tcW w:type="dxa" w:w="2469"/>
            <w:vAlign w:val="top"/>
            <w:shd w:fill="EEF4F7"/>
          </w:tcPr>
          <w:p>
            <w:pPr>
              <w:spacing w:after="20"/>
            </w:pPr>
            <w:r>
              <w:rPr>
                <w:sz w:val="15"/>
              </w:rPr>
              <w:t>0 heuristic matches</w:t>
            </w:r>
          </w:p>
        </w:tc>
        <w:tc>
          <w:tcPr>
            <w:tcW w:type="dxa" w:w="2469"/>
            <w:vAlign w:val="top"/>
            <w:shd w:fill="EEF4F7"/>
          </w:tcPr>
          <w:p>
            <w:pPr>
              <w:spacing w:after="20"/>
            </w:pPr>
            <w:r>
              <w:rPr>
                <w:sz w:val="15"/>
              </w:rPr>
              <w:t>Two rules are not exhaustive</w:t>
            </w:r>
          </w:p>
        </w:tc>
      </w:tr>
      <w:tr>
        <w:trPr>
          <w:cantSplit/>
        </w:trPr>
        <w:tc>
          <w:tcPr>
            <w:tcW w:type="dxa" w:w="2469"/>
            <w:vAlign w:val="top"/>
          </w:tcPr>
          <w:p>
            <w:pPr>
              <w:spacing w:after="20"/>
            </w:pPr>
            <w:r>
              <w:rPr>
                <w:sz w:val="15"/>
              </w:rPr>
              <w:t>Dynamic analysis</w:t>
            </w:r>
          </w:p>
        </w:tc>
        <w:tc>
          <w:tcPr>
            <w:tcW w:type="dxa" w:w="2469"/>
            <w:vAlign w:val="top"/>
          </w:tcPr>
          <w:p>
            <w:pPr>
              <w:spacing w:after="20"/>
            </w:pPr>
            <w:r>
              <w:rPr>
                <w:sz w:val="15"/>
              </w:rPr>
              <w:t>Both IDEs and three OS/IDE combinations</w:t>
            </w:r>
          </w:p>
        </w:tc>
        <w:tc>
          <w:tcPr>
            <w:tcW w:type="dxa" w:w="2469"/>
            <w:vAlign w:val="top"/>
          </w:tcPr>
          <w:p>
            <w:pPr>
              <w:spacing w:after="20"/>
            </w:pPr>
            <w:r>
              <w:rPr>
                <w:sz w:val="15"/>
              </w:rPr>
              <w:t>Blocked</w:t>
            </w:r>
          </w:p>
        </w:tc>
        <w:tc>
          <w:tcPr>
            <w:tcW w:type="dxa" w:w="2469"/>
            <w:vAlign w:val="top"/>
          </w:tcPr>
          <w:p>
            <w:pPr>
              <w:spacing w:after="20"/>
            </w:pPr>
            <w:r>
              <w:rPr>
                <w:sz w:val="15"/>
              </w:rPr>
              <w:t>No disposable representative hosts</w:t>
            </w:r>
          </w:p>
        </w:tc>
      </w:tr>
    </w:tbl>
    <w:p/>
    <w:p>
      <w:pPr>
        <w:pStyle w:val="Heading1"/>
      </w:pPr>
      <w:r>
        <w:t>Consolidated Supply Chain Assessment Update</w:t>
      </w:r>
    </w:p>
    <w:p>
      <w:r>
        <w:t>The hosted endpoint is Microsoft-operated but not an immutable installable artifact, so service-side code, tool schemas and content may change without a client-side hash. The adjacent CLI archive has SHA-256 01a5782e023f0fb1cbaf6dca8b7bf384acf0c0f529d9bb44dc4a280d758f9966 and npm signature metadata. Syft identified 96 components from the current lockfile. OSV correlated 22 advisory records across nine dependency versions, including production-transitive Hono, fast-uri, body-parser and qs paths plus development-tool paths; applicability to the hosted service is unknown and the CLI tree requires remediation/triage before enterprise promotion.</w:t>
      </w:r>
    </w:p>
    <w:p>
      <w:pPr>
        <w:pStyle w:val="Heading1"/>
      </w:pPr>
      <w:r>
        <w:t>Consolidated Privacy and Data Protection Update</w:t>
      </w:r>
    </w:p>
    <w:p>
      <w:r>
        <w:t>User questions, code fragments, SDK names, error messages and retrieved pages cross the enterprise boundary to a public unauthenticated hosted service and then enter IDE/model context. The service documentation does not provide a client-side pre-filter and the returned corpus changes frequently. Internal-confidential source, customer data, credentials, incident detail and personal data must be prohibited. A DPIA trigger decision, data-flow record, supplier/privacy review, retention decision, output citation validation and DLP controls are required before any regulated pilot.</w:t>
      </w:r>
    </w:p>
    <w:p>
      <w:pPr>
        <w:pStyle w:val="Heading1"/>
      </w:pPr>
      <w:r>
        <w:t>Cross-IDE Comparison</w:t>
      </w:r>
    </w:p>
    <w:tbl>
      <w:tblPr>
        <w:tblStyle w:val="TableGrid"/>
        <w:tblW w:type="auto" w:w="0"/>
        <w:jc w:val="center"/>
        <w:tblLook w:firstColumn="1" w:firstRow="1" w:lastColumn="0" w:lastRow="0" w:noHBand="0" w:noVBand="1" w:val="04A0"/>
      </w:tblPr>
      <w:tblGrid>
        <w:gridCol w:w="2469"/>
        <w:gridCol w:w="2469"/>
        <w:gridCol w:w="2469"/>
        <w:gridCol w:w="2469"/>
      </w:tblGrid>
      <w:tr>
        <w:trPr>
          <w:tblHeader/>
          <w:cantSplit/>
        </w:trPr>
        <w:tc>
          <w:tcPr>
            <w:tcW w:type="dxa" w:w="2469"/>
            <w:shd w:fill="17365D"/>
          </w:tcPr>
          <w:p>
            <w:r>
              <w:rPr>
                <w:b/>
                <w:color w:val="FFFFFF"/>
                <w:sz w:val="16"/>
              </w:rPr>
              <w:t>Dimension</w:t>
            </w:r>
          </w:p>
        </w:tc>
        <w:tc>
          <w:tcPr>
            <w:tcW w:type="dxa" w:w="2469"/>
            <w:shd w:fill="17365D"/>
          </w:tcPr>
          <w:p>
            <w:r>
              <w:rPr>
                <w:b/>
                <w:color w:val="FFFFFF"/>
                <w:sz w:val="16"/>
              </w:rPr>
              <w:t>VS Code Windows 11</w:t>
            </w:r>
          </w:p>
        </w:tc>
        <w:tc>
          <w:tcPr>
            <w:tcW w:type="dxa" w:w="2469"/>
            <w:shd w:fill="17365D"/>
          </w:tcPr>
          <w:p>
            <w:r>
              <w:rPr>
                <w:b/>
                <w:color w:val="FFFFFF"/>
                <w:sz w:val="16"/>
              </w:rPr>
              <w:t>VS Code macOS</w:t>
            </w:r>
          </w:p>
        </w:tc>
        <w:tc>
          <w:tcPr>
            <w:tcW w:type="dxa" w:w="2469"/>
            <w:shd w:fill="17365D"/>
          </w:tcPr>
          <w:p>
            <w:r>
              <w:rPr>
                <w:b/>
                <w:color w:val="FFFFFF"/>
                <w:sz w:val="16"/>
              </w:rPr>
              <w:t>Visual Studio Windows 11</w:t>
            </w:r>
          </w:p>
        </w:tc>
      </w:tr>
      <w:tr>
        <w:trPr>
          <w:cantSplit/>
        </w:trPr>
        <w:tc>
          <w:tcPr>
            <w:tcW w:type="dxa" w:w="2469"/>
            <w:vAlign w:val="top"/>
          </w:tcPr>
          <w:p>
            <w:pPr>
              <w:spacing w:after="20"/>
            </w:pPr>
            <w:r>
              <w:rPr>
                <w:sz w:val="15"/>
              </w:rPr>
              <w:t>Assessment decision</w:t>
            </w:r>
          </w:p>
        </w:tc>
        <w:tc>
          <w:tcPr>
            <w:tcW w:type="dxa" w:w="2469"/>
            <w:vAlign w:val="top"/>
          </w:tcPr>
          <w:p>
            <w:pPr>
              <w:spacing w:after="20"/>
            </w:pPr>
            <w:r>
              <w:rPr>
                <w:sz w:val="15"/>
              </w:rPr>
              <w:t>As stated in the current recommendation</w:t>
            </w:r>
          </w:p>
        </w:tc>
        <w:tc>
          <w:tcPr>
            <w:tcW w:type="dxa" w:w="2469"/>
            <w:vAlign w:val="top"/>
          </w:tcPr>
          <w:p>
            <w:pPr>
              <w:spacing w:after="20"/>
            </w:pPr>
            <w:r>
              <w:rPr>
                <w:sz w:val="15"/>
              </w:rPr>
              <w:t>As stated in the current recommendation</w:t>
            </w:r>
          </w:p>
        </w:tc>
        <w:tc>
          <w:tcPr>
            <w:tcW w:type="dxa" w:w="2469"/>
            <w:vAlign w:val="top"/>
          </w:tcPr>
          <w:p>
            <w:pPr>
              <w:spacing w:after="20"/>
            </w:pPr>
            <w:r>
              <w:rPr>
                <w:sz w:val="15"/>
              </w:rPr>
              <w:t>As stated in the current recommendation</w:t>
            </w:r>
          </w:p>
        </w:tc>
      </w:tr>
      <w:tr>
        <w:trPr>
          <w:cantSplit/>
        </w:trPr>
        <w:tc>
          <w:tcPr>
            <w:tcW w:type="dxa" w:w="2469"/>
            <w:vAlign w:val="top"/>
            <w:shd w:fill="EEF4F7"/>
          </w:tcPr>
          <w:p>
            <w:pPr>
              <w:spacing w:after="20"/>
            </w:pPr>
            <w:r>
              <w:rPr>
                <w:sz w:val="15"/>
              </w:rPr>
              <w:t>Runtime evidence</w:t>
            </w:r>
          </w:p>
        </w:tc>
        <w:tc>
          <w:tcPr>
            <w:tcW w:type="dxa" w:w="2469"/>
            <w:vAlign w:val="top"/>
            <w:shd w:fill="EEF4F7"/>
          </w:tcPr>
          <w:p>
            <w:pPr>
              <w:spacing w:after="20"/>
            </w:pPr>
            <w:r>
              <w:rPr>
                <w:sz w:val="15"/>
              </w:rPr>
              <w:t>Blocked: no disposable representative Windows 11/macOS VS Code or Windows 11 Visual Studio host was available</w:t>
            </w:r>
          </w:p>
        </w:tc>
        <w:tc>
          <w:tcPr>
            <w:tcW w:type="dxa" w:w="2469"/>
            <w:vAlign w:val="top"/>
            <w:shd w:fill="EEF4F7"/>
          </w:tcPr>
          <w:p>
            <w:pPr>
              <w:spacing w:after="20"/>
            </w:pPr>
            <w:r>
              <w:rPr>
                <w:sz w:val="15"/>
              </w:rPr>
              <w:t>Blocked: no disposable representative Windows 11/macOS VS Code or Windows 11 Visual Studio host was available</w:t>
            </w:r>
          </w:p>
        </w:tc>
        <w:tc>
          <w:tcPr>
            <w:tcW w:type="dxa" w:w="2469"/>
            <w:vAlign w:val="top"/>
            <w:shd w:fill="EEF4F7"/>
          </w:tcPr>
          <w:p>
            <w:pPr>
              <w:spacing w:after="20"/>
            </w:pPr>
            <w:r>
              <w:rPr>
                <w:sz w:val="15"/>
              </w:rPr>
              <w:t>Blocked: no disposable representative Windows 11/macOS VS Code or Windows 11 Visual Studio host was available</w:t>
            </w:r>
          </w:p>
        </w:tc>
      </w:tr>
      <w:tr>
        <w:trPr>
          <w:cantSplit/>
        </w:trPr>
        <w:tc>
          <w:tcPr>
            <w:tcW w:type="dxa" w:w="2469"/>
            <w:vAlign w:val="top"/>
          </w:tcPr>
          <w:p>
            <w:pPr>
              <w:spacing w:after="20"/>
            </w:pPr>
            <w:r>
              <w:rPr>
                <w:sz w:val="15"/>
              </w:rPr>
              <w:t>Required isolation</w:t>
            </w:r>
          </w:p>
        </w:tc>
        <w:tc>
          <w:tcPr>
            <w:tcW w:type="dxa" w:w="2469"/>
            <w:vAlign w:val="top"/>
          </w:tcPr>
          <w:p>
            <w:pPr>
              <w:spacing w:after="20"/>
            </w:pPr>
            <w:r>
              <w:rPr>
                <w:sz w:val="15"/>
              </w:rPr>
              <w:t>Enterprise policy and disposable test host</w:t>
            </w:r>
          </w:p>
        </w:tc>
        <w:tc>
          <w:tcPr>
            <w:tcW w:type="dxa" w:w="2469"/>
            <w:vAlign w:val="top"/>
          </w:tcPr>
          <w:p>
            <w:pPr>
              <w:spacing w:after="20"/>
            </w:pPr>
            <w:r>
              <w:rPr>
                <w:sz w:val="15"/>
              </w:rPr>
              <w:t>Enterprise policy and disposable test host</w:t>
            </w:r>
          </w:p>
        </w:tc>
        <w:tc>
          <w:tcPr>
            <w:tcW w:type="dxa" w:w="2469"/>
            <w:vAlign w:val="top"/>
          </w:tcPr>
          <w:p>
            <w:pPr>
              <w:spacing w:after="20"/>
            </w:pPr>
            <w:r>
              <w:rPr>
                <w:sz w:val="15"/>
              </w:rPr>
              <w:t>Enterprise policy and disposable test host</w:t>
            </w:r>
          </w:p>
        </w:tc>
      </w:tr>
      <w:tr>
        <w:trPr>
          <w:cantSplit/>
        </w:trPr>
        <w:tc>
          <w:tcPr>
            <w:tcW w:type="dxa" w:w="2469"/>
            <w:vAlign w:val="top"/>
            <w:shd w:fill="EEF4F7"/>
          </w:tcPr>
          <w:p>
            <w:pPr>
              <w:spacing w:after="20"/>
            </w:pPr>
            <w:r>
              <w:rPr>
                <w:sz w:val="15"/>
              </w:rPr>
              <w:t>Lifecycle evidence</w:t>
            </w:r>
          </w:p>
        </w:tc>
        <w:tc>
          <w:tcPr>
            <w:tcW w:type="dxa" w:w="2469"/>
            <w:vAlign w:val="top"/>
            <w:shd w:fill="EEF4F7"/>
          </w:tcPr>
          <w:p>
            <w:pPr>
              <w:spacing w:after="20"/>
            </w:pPr>
            <w:r>
              <w:rPr>
                <w:sz w:val="15"/>
              </w:rPr>
              <w:t>Activation, update, rollback and uninstall require verification</w:t>
            </w:r>
          </w:p>
        </w:tc>
        <w:tc>
          <w:tcPr>
            <w:tcW w:type="dxa" w:w="2469"/>
            <w:vAlign w:val="top"/>
            <w:shd w:fill="EEF4F7"/>
          </w:tcPr>
          <w:p>
            <w:pPr>
              <w:spacing w:after="20"/>
            </w:pPr>
            <w:r>
              <w:rPr>
                <w:sz w:val="15"/>
              </w:rPr>
              <w:t>Activation, update, rollback and uninstall require verification</w:t>
            </w:r>
          </w:p>
        </w:tc>
        <w:tc>
          <w:tcPr>
            <w:tcW w:type="dxa" w:w="2469"/>
            <w:vAlign w:val="top"/>
            <w:shd w:fill="EEF4F7"/>
          </w:tcPr>
          <w:p>
            <w:pPr>
              <w:spacing w:after="20"/>
            </w:pPr>
            <w:r>
              <w:rPr>
                <w:sz w:val="15"/>
              </w:rPr>
              <w:t>Activation, update, rollback and uninstall require verification</w:t>
            </w:r>
          </w:p>
        </w:tc>
      </w:tr>
    </w:tbl>
    <w:p/>
    <w:p>
      <w:pPr>
        <w:pStyle w:val="Heading1"/>
      </w:pPr>
      <w:r>
        <w:t>Enterprise Controls Roadmap</w:t>
      </w:r>
    </w:p>
    <w:p>
      <w:pPr>
        <w:pStyle w:val="Heading2"/>
      </w:pPr>
      <w:r>
        <w:t>Control Strength and Assurance</w:t>
      </w:r>
    </w:p>
    <w:p>
      <w:r>
        <w:t>Control strength is rated by what is demonstrably enforced, not by policy intent. A strong preventive control blocks an unsafe action at the process, identity, network, package, or tool boundary. A detective control identifies behavior after or during execution and therefore does not replace prevention. Governance and human approval controls are necessary but weaker when attacker-controlled content can influence an agent. Controls marked proposed or unverified do not reduce the current residual score.</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cantSplit/>
        </w:trPr>
        <w:tc>
          <w:tcPr>
            <w:tcW w:type="dxa" w:w="1976"/>
            <w:shd w:fill="17365D"/>
          </w:tcPr>
          <w:p>
            <w:r>
              <w:rPr>
                <w:b/>
                <w:color w:val="FFFFFF"/>
                <w:sz w:val="16"/>
              </w:rPr>
              <w:t>Milestone / target date</w:t>
            </w:r>
          </w:p>
        </w:tc>
        <w:tc>
          <w:tcPr>
            <w:tcW w:type="dxa" w:w="1976"/>
            <w:shd w:fill="17365D"/>
          </w:tcPr>
          <w:p>
            <w:r>
              <w:rPr>
                <w:b/>
                <w:color w:val="FFFFFF"/>
                <w:sz w:val="16"/>
              </w:rPr>
              <w:t>Owner</w:t>
            </w:r>
          </w:p>
        </w:tc>
        <w:tc>
          <w:tcPr>
            <w:tcW w:type="dxa" w:w="1976"/>
            <w:shd w:fill="17365D"/>
          </w:tcPr>
          <w:p>
            <w:r>
              <w:rPr>
                <w:b/>
                <w:color w:val="FFFFFF"/>
                <w:sz w:val="16"/>
              </w:rPr>
              <w:t>Control</w:t>
            </w:r>
          </w:p>
        </w:tc>
        <w:tc>
          <w:tcPr>
            <w:tcW w:type="dxa" w:w="1976"/>
            <w:shd w:fill="17365D"/>
          </w:tcPr>
          <w:p>
            <w:r>
              <w:rPr>
                <w:b/>
                <w:color w:val="FFFFFF"/>
                <w:sz w:val="16"/>
              </w:rPr>
              <w:t>Strength</w:t>
            </w:r>
          </w:p>
        </w:tc>
        <w:tc>
          <w:tcPr>
            <w:tcW w:type="dxa" w:w="1976"/>
            <w:shd w:fill="17365D"/>
          </w:tcPr>
          <w:p>
            <w:r>
              <w:rPr>
                <w:b/>
                <w:color w:val="FFFFFF"/>
                <w:sz w:val="16"/>
              </w:rPr>
              <w:t>Acceptance test</w:t>
            </w:r>
          </w:p>
        </w:tc>
      </w:tr>
      <w:tr>
        <w:trPr>
          <w:cantSplit/>
        </w:trPr>
        <w:tc>
          <w:tcPr>
            <w:tcW w:type="dxa" w:w="1976"/>
            <w:vAlign w:val="top"/>
          </w:tcPr>
          <w:p>
            <w:pPr>
              <w:spacing w:after="20"/>
            </w:pPr>
            <w:r>
              <w:rPr>
                <w:sz w:val="15"/>
              </w:rPr>
              <w:t>Before pilot</w:t>
            </w:r>
          </w:p>
        </w:tc>
        <w:tc>
          <w:tcPr>
            <w:tcW w:type="dxa" w:w="1976"/>
            <w:vAlign w:val="top"/>
          </w:tcPr>
          <w:p>
            <w:pPr>
              <w:spacing w:after="20"/>
            </w:pPr>
            <w:r>
              <w:rPr>
                <w:sz w:val="15"/>
              </w:rPr>
              <w:t>IDE platform</w:t>
            </w:r>
          </w:p>
        </w:tc>
        <w:tc>
          <w:tcPr>
            <w:tcW w:type="dxa" w:w="1976"/>
            <w:vAlign w:val="top"/>
          </w:tcPr>
          <w:p>
            <w:pPr>
              <w:spacing w:after="20"/>
            </w:pPr>
            <w:r>
              <w:rPr>
                <w:sz w:val="15"/>
              </w:rPr>
              <w:t>Allowlist only Microsoft Learn search/fetch tools with visible per-call consent</w:t>
            </w:r>
          </w:p>
        </w:tc>
        <w:tc>
          <w:tcPr>
            <w:tcW w:type="dxa" w:w="1976"/>
            <w:vAlign w:val="top"/>
          </w:tcPr>
          <w:p>
            <w:pPr>
              <w:spacing w:after="20"/>
            </w:pPr>
            <w:r>
              <w:rPr>
                <w:sz w:val="15"/>
              </w:rPr>
              <w:t>Strong preventive</w:t>
            </w:r>
          </w:p>
        </w:tc>
        <w:tc>
          <w:tcPr>
            <w:tcW w:type="dxa" w:w="1976"/>
            <w:vAlign w:val="top"/>
          </w:tcPr>
          <w:p>
            <w:pPr>
              <w:spacing w:after="20"/>
            </w:pPr>
            <w:r>
              <w:rPr>
                <w:sz w:val="15"/>
              </w:rPr>
              <w:t>Unapproved and schema-drifted tools are blocked</w:t>
            </w:r>
          </w:p>
        </w:tc>
      </w:tr>
      <w:tr>
        <w:trPr>
          <w:cantSplit/>
        </w:trPr>
        <w:tc>
          <w:tcPr>
            <w:tcW w:type="dxa" w:w="1976"/>
            <w:vAlign w:val="top"/>
            <w:shd w:fill="EEF4F7"/>
          </w:tcPr>
          <w:p>
            <w:pPr>
              <w:spacing w:after="20"/>
            </w:pPr>
            <w:r>
              <w:rPr>
                <w:sz w:val="15"/>
              </w:rPr>
              <w:t>Before pilot</w:t>
            </w:r>
          </w:p>
        </w:tc>
        <w:tc>
          <w:tcPr>
            <w:tcW w:type="dxa" w:w="1976"/>
            <w:vAlign w:val="top"/>
            <w:shd w:fill="EEF4F7"/>
          </w:tcPr>
          <w:p>
            <w:pPr>
              <w:spacing w:after="20"/>
            </w:pPr>
            <w:r>
              <w:rPr>
                <w:sz w:val="15"/>
              </w:rPr>
              <w:t>Data protection</w:t>
            </w:r>
          </w:p>
        </w:tc>
        <w:tc>
          <w:tcPr>
            <w:tcW w:type="dxa" w:w="1976"/>
            <w:vAlign w:val="top"/>
            <w:shd w:fill="EEF4F7"/>
          </w:tcPr>
          <w:p>
            <w:pPr>
              <w:spacing w:after="20"/>
            </w:pPr>
            <w:r>
              <w:rPr>
                <w:sz w:val="15"/>
              </w:rPr>
              <w:t>Redact secrets, identifiers, customer data and proprietary code before transmission</w:t>
            </w:r>
          </w:p>
        </w:tc>
        <w:tc>
          <w:tcPr>
            <w:tcW w:type="dxa" w:w="1976"/>
            <w:vAlign w:val="top"/>
            <w:shd w:fill="EEF4F7"/>
          </w:tcPr>
          <w:p>
            <w:pPr>
              <w:spacing w:after="20"/>
            </w:pPr>
            <w:r>
              <w:rPr>
                <w:sz w:val="15"/>
              </w:rPr>
              <w:t>Strong preventive</w:t>
            </w:r>
          </w:p>
        </w:tc>
        <w:tc>
          <w:tcPr>
            <w:tcW w:type="dxa" w:w="1976"/>
            <w:vAlign w:val="top"/>
            <w:shd w:fill="EEF4F7"/>
          </w:tcPr>
          <w:p>
            <w:pPr>
              <w:spacing w:after="20"/>
            </w:pPr>
            <w:r>
              <w:rPr>
                <w:sz w:val="15"/>
              </w:rPr>
              <w:t>Synthetic prohibited-data tests never leave host</w:t>
            </w:r>
          </w:p>
        </w:tc>
      </w:tr>
      <w:tr>
        <w:trPr>
          <w:cantSplit/>
        </w:trPr>
        <w:tc>
          <w:tcPr>
            <w:tcW w:type="dxa" w:w="1976"/>
            <w:vAlign w:val="top"/>
          </w:tcPr>
          <w:p>
            <w:pPr>
              <w:spacing w:after="20"/>
            </w:pPr>
            <w:r>
              <w:rPr>
                <w:sz w:val="15"/>
              </w:rPr>
              <w:t>Before pilot</w:t>
            </w:r>
          </w:p>
        </w:tc>
        <w:tc>
          <w:tcPr>
            <w:tcW w:type="dxa" w:w="1976"/>
            <w:vAlign w:val="top"/>
          </w:tcPr>
          <w:p>
            <w:pPr>
              <w:spacing w:after="20"/>
            </w:pPr>
            <w:r>
              <w:rPr>
                <w:sz w:val="15"/>
              </w:rPr>
              <w:t>Network security</w:t>
            </w:r>
          </w:p>
        </w:tc>
        <w:tc>
          <w:tcPr>
            <w:tcW w:type="dxa" w:w="1976"/>
            <w:vAlign w:val="top"/>
          </w:tcPr>
          <w:p>
            <w:pPr>
              <w:spacing w:after="20"/>
            </w:pPr>
            <w:r>
              <w:rPr>
                <w:sz w:val="15"/>
              </w:rPr>
              <w:t>Allow only the exact Learn endpoint and required Microsoft documentation domains</w:t>
            </w:r>
          </w:p>
        </w:tc>
        <w:tc>
          <w:tcPr>
            <w:tcW w:type="dxa" w:w="1976"/>
            <w:vAlign w:val="top"/>
          </w:tcPr>
          <w:p>
            <w:pPr>
              <w:spacing w:after="20"/>
            </w:pPr>
            <w:r>
              <w:rPr>
                <w:sz w:val="15"/>
              </w:rPr>
              <w:t>Strong preventive</w:t>
            </w:r>
          </w:p>
        </w:tc>
        <w:tc>
          <w:tcPr>
            <w:tcW w:type="dxa" w:w="1976"/>
            <w:vAlign w:val="top"/>
          </w:tcPr>
          <w:p>
            <w:pPr>
              <w:spacing w:after="20"/>
            </w:pPr>
            <w:r>
              <w:rPr>
                <w:sz w:val="15"/>
              </w:rPr>
              <w:t>Redirect, private-address and alternate-domain tests fail</w:t>
            </w:r>
          </w:p>
        </w:tc>
      </w:tr>
      <w:tr>
        <w:trPr>
          <w:cantSplit/>
        </w:trPr>
        <w:tc>
          <w:tcPr>
            <w:tcW w:type="dxa" w:w="1976"/>
            <w:vAlign w:val="top"/>
            <w:shd w:fill="EEF4F7"/>
          </w:tcPr>
          <w:p>
            <w:pPr>
              <w:spacing w:after="20"/>
            </w:pPr>
            <w:r>
              <w:rPr>
                <w:sz w:val="15"/>
              </w:rPr>
              <w:t>Before pilot</w:t>
            </w:r>
          </w:p>
        </w:tc>
        <w:tc>
          <w:tcPr>
            <w:tcW w:type="dxa" w:w="1976"/>
            <w:vAlign w:val="top"/>
            <w:shd w:fill="EEF4F7"/>
          </w:tcPr>
          <w:p>
            <w:pPr>
              <w:spacing w:after="20"/>
            </w:pPr>
            <w:r>
              <w:rPr>
                <w:sz w:val="15"/>
              </w:rPr>
              <w:t>Supply chain</w:t>
            </w:r>
          </w:p>
        </w:tc>
        <w:tc>
          <w:tcPr>
            <w:tcW w:type="dxa" w:w="1976"/>
            <w:vAlign w:val="top"/>
            <w:shd w:fill="EEF4F7"/>
          </w:tcPr>
          <w:p>
            <w:pPr>
              <w:spacing w:after="20"/>
            </w:pPr>
            <w:r>
              <w:rPr>
                <w:sz w:val="15"/>
              </w:rPr>
              <w:t>Prohibit npx/global install or mirror exact CLI/dependencies by hash after advisory closure</w:t>
            </w:r>
          </w:p>
        </w:tc>
        <w:tc>
          <w:tcPr>
            <w:tcW w:type="dxa" w:w="1976"/>
            <w:vAlign w:val="top"/>
            <w:shd w:fill="EEF4F7"/>
          </w:tcPr>
          <w:p>
            <w:pPr>
              <w:spacing w:after="20"/>
            </w:pPr>
            <w:r>
              <w:rPr>
                <w:sz w:val="15"/>
              </w:rPr>
              <w:t>Strong preventive</w:t>
            </w:r>
          </w:p>
        </w:tc>
        <w:tc>
          <w:tcPr>
            <w:tcW w:type="dxa" w:w="1976"/>
            <w:vAlign w:val="top"/>
            <w:shd w:fill="EEF4F7"/>
          </w:tcPr>
          <w:p>
            <w:pPr>
              <w:spacing w:after="20"/>
            </w:pPr>
            <w:r>
              <w:rPr>
                <w:sz w:val="15"/>
              </w:rPr>
              <w:t>Unpinned package retrieval is blocked</w:t>
            </w:r>
          </w:p>
        </w:tc>
      </w:tr>
      <w:tr>
        <w:trPr>
          <w:cantSplit/>
        </w:trPr>
        <w:tc>
          <w:tcPr>
            <w:tcW w:type="dxa" w:w="1976"/>
            <w:vAlign w:val="top"/>
          </w:tcPr>
          <w:p>
            <w:pPr>
              <w:spacing w:after="20"/>
            </w:pPr>
            <w:r>
              <w:rPr>
                <w:sz w:val="15"/>
              </w:rPr>
              <w:t>Before pilot</w:t>
            </w:r>
          </w:p>
        </w:tc>
        <w:tc>
          <w:tcPr>
            <w:tcW w:type="dxa" w:w="1976"/>
            <w:vAlign w:val="top"/>
          </w:tcPr>
          <w:p>
            <w:pPr>
              <w:spacing w:after="20"/>
            </w:pPr>
            <w:r>
              <w:rPr>
                <w:sz w:val="15"/>
              </w:rPr>
              <w:t>Security testing</w:t>
            </w:r>
          </w:p>
        </w:tc>
        <w:tc>
          <w:tcPr>
            <w:tcW w:type="dxa" w:w="1976"/>
            <w:vAlign w:val="top"/>
          </w:tcPr>
          <w:p>
            <w:pPr>
              <w:spacing w:after="20"/>
            </w:pPr>
            <w:r>
              <w:rPr>
                <w:sz w:val="15"/>
              </w:rPr>
              <w:t>Run disposable Windows/macOS VS Code and Windows Visual Studio acceptance</w:t>
            </w:r>
          </w:p>
        </w:tc>
        <w:tc>
          <w:tcPr>
            <w:tcW w:type="dxa" w:w="1976"/>
            <w:vAlign w:val="top"/>
          </w:tcPr>
          <w:p>
            <w:pPr>
              <w:spacing w:after="20"/>
            </w:pPr>
            <w:r>
              <w:rPr>
                <w:sz w:val="15"/>
              </w:rPr>
              <w:t>Verification</w:t>
            </w:r>
          </w:p>
        </w:tc>
        <w:tc>
          <w:tcPr>
            <w:tcW w:type="dxa" w:w="1976"/>
            <w:vAlign w:val="top"/>
          </w:tcPr>
          <w:p>
            <w:pPr>
              <w:spacing w:after="20"/>
            </w:pPr>
            <w:r>
              <w:rPr>
                <w:sz w:val="15"/>
              </w:rPr>
              <w:t>Tool, network, privacy, update and cleanup protocol passes</w:t>
            </w:r>
          </w:p>
        </w:tc>
      </w:tr>
    </w:tbl>
    <w:p/>
    <w:p>
      <w:pPr>
        <w:pStyle w:val="Heading1"/>
      </w:pPr>
      <w:r>
        <w:t>Finding ID Reconciliation and Current Risk Update</w:t>
      </w:r>
    </w:p>
    <w:p>
      <w:r>
        <w:t>The regenerated report assigns stable F-xxx identifiers so findings can be tracked independently of the historical R-xx labels. Inherent and residual ratings use likelihood × impact on a 1–5 scale: 1–4 Low, 5–9 Moderate, 10–16 High, and 17–25 Critical. Residual ratings only credit controls supported by retained evidence. Findings remain open until remediated or explicitly risk-accepted by an accountable owner.</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rPr>
          <w:tblHeader/>
          <w:cantSplit/>
        </w:trPr>
        <w:tc>
          <w:tcPr>
            <w:tcW w:type="dxa" w:w="1646"/>
            <w:shd w:fill="17365D"/>
          </w:tcPr>
          <w:p>
            <w:r>
              <w:rPr>
                <w:b/>
                <w:color w:val="FFFFFF"/>
                <w:sz w:val="16"/>
              </w:rPr>
              <w:t>ID</w:t>
            </w:r>
          </w:p>
        </w:tc>
        <w:tc>
          <w:tcPr>
            <w:tcW w:type="dxa" w:w="1646"/>
            <w:shd w:fill="17365D"/>
          </w:tcPr>
          <w:p>
            <w:r>
              <w:rPr>
                <w:b/>
                <w:color w:val="FFFFFF"/>
                <w:sz w:val="16"/>
              </w:rPr>
              <w:t>Finding</w:t>
            </w:r>
          </w:p>
        </w:tc>
        <w:tc>
          <w:tcPr>
            <w:tcW w:type="dxa" w:w="1646"/>
            <w:shd w:fill="17365D"/>
          </w:tcPr>
          <w:p>
            <w:r>
              <w:rPr>
                <w:b/>
                <w:color w:val="FFFFFF"/>
                <w:sz w:val="16"/>
              </w:rPr>
              <w:t>Inherent</w:t>
            </w:r>
          </w:p>
        </w:tc>
        <w:tc>
          <w:tcPr>
            <w:tcW w:type="dxa" w:w="1646"/>
            <w:shd w:fill="17365D"/>
          </w:tcPr>
          <w:p>
            <w:r>
              <w:rPr>
                <w:b/>
                <w:color w:val="FFFFFF"/>
                <w:sz w:val="16"/>
              </w:rPr>
              <w:t>Residual</w:t>
            </w:r>
          </w:p>
        </w:tc>
        <w:tc>
          <w:tcPr>
            <w:tcW w:type="dxa" w:w="1646"/>
            <w:shd w:fill="17365D"/>
          </w:tcPr>
          <w:p>
            <w:r>
              <w:rPr>
                <w:b/>
                <w:color w:val="FFFFFF"/>
                <w:sz w:val="16"/>
              </w:rPr>
              <w:t>Owner / treatment</w:t>
            </w:r>
          </w:p>
        </w:tc>
        <w:tc>
          <w:tcPr>
            <w:tcW w:type="dxa" w:w="1646"/>
            <w:shd w:fill="17365D"/>
          </w:tcPr>
          <w:p>
            <w:r>
              <w:rPr>
                <w:b/>
                <w:color w:val="FFFFFF"/>
                <w:sz w:val="16"/>
              </w:rPr>
              <w:t>Target date</w:t>
            </w:r>
          </w:p>
        </w:tc>
      </w:tr>
      <w:tr>
        <w:trPr>
          <w:cantSplit/>
        </w:trPr>
        <w:tc>
          <w:tcPr>
            <w:tcW w:type="dxa" w:w="1646"/>
            <w:vAlign w:val="top"/>
          </w:tcPr>
          <w:p>
            <w:pPr>
              <w:spacing w:after="20"/>
            </w:pPr>
            <w:r>
              <w:rPr>
                <w:sz w:val="15"/>
              </w:rPr>
              <w:t>F-001</w:t>
            </w:r>
          </w:p>
        </w:tc>
        <w:tc>
          <w:tcPr>
            <w:tcW w:type="dxa" w:w="1646"/>
            <w:vAlign w:val="top"/>
          </w:tcPr>
          <w:p>
            <w:pPr>
              <w:spacing w:after="20"/>
            </w:pPr>
            <w:r>
              <w:rPr>
                <w:sz w:val="15"/>
              </w:rPr>
              <w:t>Internal-confidential prompts or code can be disclosed to the public hosted service</w:t>
            </w:r>
          </w:p>
        </w:tc>
        <w:tc>
          <w:tcPr>
            <w:tcW w:type="dxa" w:w="1646"/>
            <w:vAlign w:val="top"/>
          </w:tcPr>
          <w:p>
            <w:pPr>
              <w:spacing w:after="20"/>
            </w:pPr>
            <w:r>
              <w:rPr>
                <w:sz w:val="15"/>
              </w:rPr>
              <w:t>4×5=20 Critical</w:t>
            </w:r>
          </w:p>
        </w:tc>
        <w:tc>
          <w:tcPr>
            <w:tcW w:type="dxa" w:w="1646"/>
            <w:vAlign w:val="top"/>
          </w:tcPr>
          <w:p>
            <w:pPr>
              <w:spacing w:after="20"/>
            </w:pPr>
            <w:r>
              <w:rPr>
                <w:sz w:val="15"/>
              </w:rPr>
              <w:t>3×5=15 High</w:t>
            </w:r>
          </w:p>
        </w:tc>
        <w:tc>
          <w:tcPr>
            <w:tcW w:type="dxa" w:w="1646"/>
            <w:vAlign w:val="top"/>
          </w:tcPr>
          <w:p>
            <w:pPr>
              <w:spacing w:after="20"/>
            </w:pPr>
            <w:r>
              <w:rPr>
                <w:sz w:val="15"/>
              </w:rPr>
              <w:t>Data protection / avoid</w:t>
            </w:r>
          </w:p>
        </w:tc>
        <w:tc>
          <w:tcPr>
            <w:tcW w:type="dxa" w:w="1646"/>
            <w:vAlign w:val="top"/>
          </w:tcPr>
          <w:p>
            <w:pPr>
              <w:spacing w:after="20"/>
            </w:pPr>
            <w:r>
              <w:rPr>
                <w:sz w:val="15"/>
              </w:rPr>
              <w:t>Before pilot</w:t>
            </w:r>
          </w:p>
        </w:tc>
      </w:tr>
      <w:tr>
        <w:trPr>
          <w:cantSplit/>
        </w:trPr>
        <w:tc>
          <w:tcPr>
            <w:tcW w:type="dxa" w:w="1646"/>
            <w:vAlign w:val="top"/>
            <w:shd w:fill="EEF4F7"/>
          </w:tcPr>
          <w:p>
            <w:pPr>
              <w:spacing w:after="20"/>
            </w:pPr>
            <w:r>
              <w:rPr>
                <w:sz w:val="15"/>
              </w:rPr>
              <w:t>F-002</w:t>
            </w:r>
          </w:p>
        </w:tc>
        <w:tc>
          <w:tcPr>
            <w:tcW w:type="dxa" w:w="1646"/>
            <w:vAlign w:val="top"/>
            <w:shd w:fill="EEF4F7"/>
          </w:tcPr>
          <w:p>
            <w:pPr>
              <w:spacing w:after="20"/>
            </w:pPr>
            <w:r>
              <w:rPr>
                <w:sz w:val="15"/>
              </w:rPr>
              <w:t>Retrieved documentation can contain indirect prompt injection or unsafe instructions</w:t>
            </w:r>
          </w:p>
        </w:tc>
        <w:tc>
          <w:tcPr>
            <w:tcW w:type="dxa" w:w="1646"/>
            <w:vAlign w:val="top"/>
            <w:shd w:fill="EEF4F7"/>
          </w:tcPr>
          <w:p>
            <w:pPr>
              <w:spacing w:after="20"/>
            </w:pPr>
            <w:r>
              <w:rPr>
                <w:sz w:val="15"/>
              </w:rPr>
              <w:t>4×5=20 Critical</w:t>
            </w:r>
          </w:p>
        </w:tc>
        <w:tc>
          <w:tcPr>
            <w:tcW w:type="dxa" w:w="1646"/>
            <w:vAlign w:val="top"/>
            <w:shd w:fill="EEF4F7"/>
          </w:tcPr>
          <w:p>
            <w:pPr>
              <w:spacing w:after="20"/>
            </w:pPr>
            <w:r>
              <w:rPr>
                <w:sz w:val="15"/>
              </w:rPr>
              <w:t>3×5=15 High</w:t>
            </w:r>
          </w:p>
        </w:tc>
        <w:tc>
          <w:tcPr>
            <w:tcW w:type="dxa" w:w="1646"/>
            <w:vAlign w:val="top"/>
            <w:shd w:fill="EEF4F7"/>
          </w:tcPr>
          <w:p>
            <w:pPr>
              <w:spacing w:after="20"/>
            </w:pPr>
            <w:r>
              <w:rPr>
                <w:sz w:val="15"/>
              </w:rPr>
              <w:t>IDE platform / mitigate</w:t>
            </w:r>
          </w:p>
        </w:tc>
        <w:tc>
          <w:tcPr>
            <w:tcW w:type="dxa" w:w="1646"/>
            <w:vAlign w:val="top"/>
            <w:shd w:fill="EEF4F7"/>
          </w:tcPr>
          <w:p>
            <w:pPr>
              <w:spacing w:after="20"/>
            </w:pPr>
            <w:r>
              <w:rPr>
                <w:sz w:val="15"/>
              </w:rPr>
              <w:t>Before pilot</w:t>
            </w:r>
          </w:p>
        </w:tc>
      </w:tr>
      <w:tr>
        <w:trPr>
          <w:cantSplit/>
        </w:trPr>
        <w:tc>
          <w:tcPr>
            <w:tcW w:type="dxa" w:w="1646"/>
            <w:vAlign w:val="top"/>
          </w:tcPr>
          <w:p>
            <w:pPr>
              <w:spacing w:after="20"/>
            </w:pPr>
            <w:r>
              <w:rPr>
                <w:sz w:val="15"/>
              </w:rPr>
              <w:t>F-003</w:t>
            </w:r>
          </w:p>
        </w:tc>
        <w:tc>
          <w:tcPr>
            <w:tcW w:type="dxa" w:w="1646"/>
            <w:vAlign w:val="top"/>
          </w:tcPr>
          <w:p>
            <w:pPr>
              <w:spacing w:after="20"/>
            </w:pPr>
            <w:r>
              <w:rPr>
                <w:sz w:val="15"/>
              </w:rPr>
              <w:t>Dynamic tool schemas and hosted implementation can drift without client-side hash control</w:t>
            </w:r>
          </w:p>
        </w:tc>
        <w:tc>
          <w:tcPr>
            <w:tcW w:type="dxa" w:w="1646"/>
            <w:vAlign w:val="top"/>
          </w:tcPr>
          <w:p>
            <w:pPr>
              <w:spacing w:after="20"/>
            </w:pPr>
            <w:r>
              <w:rPr>
                <w:sz w:val="15"/>
              </w:rPr>
              <w:t>4×4=16 High</w:t>
            </w:r>
          </w:p>
        </w:tc>
        <w:tc>
          <w:tcPr>
            <w:tcW w:type="dxa" w:w="1646"/>
            <w:vAlign w:val="top"/>
          </w:tcPr>
          <w:p>
            <w:pPr>
              <w:spacing w:after="20"/>
            </w:pPr>
            <w:r>
              <w:rPr>
                <w:sz w:val="15"/>
              </w:rPr>
              <w:t>3×4=12 High</w:t>
            </w:r>
          </w:p>
        </w:tc>
        <w:tc>
          <w:tcPr>
            <w:tcW w:type="dxa" w:w="1646"/>
            <w:vAlign w:val="top"/>
          </w:tcPr>
          <w:p>
            <w:pPr>
              <w:spacing w:after="20"/>
            </w:pPr>
            <w:r>
              <w:rPr>
                <w:sz w:val="15"/>
              </w:rPr>
              <w:t>Supplier / mitigate</w:t>
            </w:r>
          </w:p>
        </w:tc>
        <w:tc>
          <w:tcPr>
            <w:tcW w:type="dxa" w:w="1646"/>
            <w:vAlign w:val="top"/>
          </w:tcPr>
          <w:p>
            <w:pPr>
              <w:spacing w:after="20"/>
            </w:pPr>
            <w:r>
              <w:rPr>
                <w:sz w:val="15"/>
              </w:rPr>
              <w:t>Before pilot</w:t>
            </w:r>
          </w:p>
        </w:tc>
      </w:tr>
      <w:tr>
        <w:trPr>
          <w:cantSplit/>
        </w:trPr>
        <w:tc>
          <w:tcPr>
            <w:tcW w:type="dxa" w:w="1646"/>
            <w:vAlign w:val="top"/>
            <w:shd w:fill="EEF4F7"/>
          </w:tcPr>
          <w:p>
            <w:pPr>
              <w:spacing w:after="20"/>
            </w:pPr>
            <w:r>
              <w:rPr>
                <w:sz w:val="15"/>
              </w:rPr>
              <w:t>F-004</w:t>
            </w:r>
          </w:p>
        </w:tc>
        <w:tc>
          <w:tcPr>
            <w:tcW w:type="dxa" w:w="1646"/>
            <w:vAlign w:val="top"/>
            <w:shd w:fill="EEF4F7"/>
          </w:tcPr>
          <w:p>
            <w:pPr>
              <w:spacing w:after="20"/>
            </w:pPr>
            <w:r>
              <w:rPr>
                <w:sz w:val="15"/>
              </w:rPr>
              <w:t>Public unauthenticated service limits tenant assurance, attribution and contractual control</w:t>
            </w:r>
          </w:p>
        </w:tc>
        <w:tc>
          <w:tcPr>
            <w:tcW w:type="dxa" w:w="1646"/>
            <w:vAlign w:val="top"/>
            <w:shd w:fill="EEF4F7"/>
          </w:tcPr>
          <w:p>
            <w:pPr>
              <w:spacing w:after="20"/>
            </w:pPr>
            <w:r>
              <w:rPr>
                <w:sz w:val="15"/>
              </w:rPr>
              <w:t>4×4=16 High</w:t>
            </w:r>
          </w:p>
        </w:tc>
        <w:tc>
          <w:tcPr>
            <w:tcW w:type="dxa" w:w="1646"/>
            <w:vAlign w:val="top"/>
            <w:shd w:fill="EEF4F7"/>
          </w:tcPr>
          <w:p>
            <w:pPr>
              <w:spacing w:after="20"/>
            </w:pPr>
            <w:r>
              <w:rPr>
                <w:sz w:val="15"/>
              </w:rPr>
              <w:t>3×4=12 High</w:t>
            </w:r>
          </w:p>
        </w:tc>
        <w:tc>
          <w:tcPr>
            <w:tcW w:type="dxa" w:w="1646"/>
            <w:vAlign w:val="top"/>
            <w:shd w:fill="EEF4F7"/>
          </w:tcPr>
          <w:p>
            <w:pPr>
              <w:spacing w:after="20"/>
            </w:pPr>
            <w:r>
              <w:rPr>
                <w:sz w:val="15"/>
              </w:rPr>
              <w:t>Risk / defer</w:t>
            </w:r>
          </w:p>
        </w:tc>
        <w:tc>
          <w:tcPr>
            <w:tcW w:type="dxa" w:w="1646"/>
            <w:vAlign w:val="top"/>
            <w:shd w:fill="EEF4F7"/>
          </w:tcPr>
          <w:p>
            <w:pPr>
              <w:spacing w:after="20"/>
            </w:pPr>
            <w:r>
              <w:rPr>
                <w:sz w:val="15"/>
              </w:rPr>
              <w:t>Before pilot</w:t>
            </w:r>
          </w:p>
        </w:tc>
      </w:tr>
      <w:tr>
        <w:trPr>
          <w:cantSplit/>
        </w:trPr>
        <w:tc>
          <w:tcPr>
            <w:tcW w:type="dxa" w:w="1646"/>
            <w:vAlign w:val="top"/>
          </w:tcPr>
          <w:p>
            <w:pPr>
              <w:spacing w:after="20"/>
            </w:pPr>
            <w:r>
              <w:rPr>
                <w:sz w:val="15"/>
              </w:rPr>
              <w:t>F-005</w:t>
            </w:r>
          </w:p>
        </w:tc>
        <w:tc>
          <w:tcPr>
            <w:tcW w:type="dxa" w:w="1646"/>
            <w:vAlign w:val="top"/>
          </w:tcPr>
          <w:p>
            <w:pPr>
              <w:spacing w:after="20"/>
            </w:pPr>
            <w:r>
              <w:rPr>
                <w:sz w:val="15"/>
              </w:rPr>
              <w:t>CLI fallback can execute mutable npm content or retain query/cache data locally</w:t>
            </w:r>
          </w:p>
        </w:tc>
        <w:tc>
          <w:tcPr>
            <w:tcW w:type="dxa" w:w="1646"/>
            <w:vAlign w:val="top"/>
          </w:tcPr>
          <w:p>
            <w:pPr>
              <w:spacing w:after="20"/>
            </w:pPr>
            <w:r>
              <w:rPr>
                <w:sz w:val="15"/>
              </w:rPr>
              <w:t>4×4=16 High</w:t>
            </w:r>
          </w:p>
        </w:tc>
        <w:tc>
          <w:tcPr>
            <w:tcW w:type="dxa" w:w="1646"/>
            <w:vAlign w:val="top"/>
          </w:tcPr>
          <w:p>
            <w:pPr>
              <w:spacing w:after="20"/>
            </w:pPr>
            <w:r>
              <w:rPr>
                <w:sz w:val="15"/>
              </w:rPr>
              <w:t>3×4=12 High</w:t>
            </w:r>
          </w:p>
        </w:tc>
        <w:tc>
          <w:tcPr>
            <w:tcW w:type="dxa" w:w="1646"/>
            <w:vAlign w:val="top"/>
          </w:tcPr>
          <w:p>
            <w:pPr>
              <w:spacing w:after="20"/>
            </w:pPr>
            <w:r>
              <w:rPr>
                <w:sz w:val="15"/>
              </w:rPr>
              <w:t>Endpoint / avoid</w:t>
            </w:r>
          </w:p>
        </w:tc>
        <w:tc>
          <w:tcPr>
            <w:tcW w:type="dxa" w:w="1646"/>
            <w:vAlign w:val="top"/>
          </w:tcPr>
          <w:p>
            <w:pPr>
              <w:spacing w:after="20"/>
            </w:pPr>
            <w:r>
              <w:rPr>
                <w:sz w:val="15"/>
              </w:rPr>
              <w:t>Before pilot</w:t>
            </w:r>
          </w:p>
        </w:tc>
      </w:tr>
      <w:tr>
        <w:trPr>
          <w:cantSplit/>
        </w:trPr>
        <w:tc>
          <w:tcPr>
            <w:tcW w:type="dxa" w:w="1646"/>
            <w:vAlign w:val="top"/>
            <w:shd w:fill="EEF4F7"/>
          </w:tcPr>
          <w:p>
            <w:pPr>
              <w:spacing w:after="20"/>
            </w:pPr>
            <w:r>
              <w:rPr>
                <w:sz w:val="15"/>
              </w:rPr>
              <w:t>F-006</w:t>
            </w:r>
          </w:p>
        </w:tc>
        <w:tc>
          <w:tcPr>
            <w:tcW w:type="dxa" w:w="1646"/>
            <w:vAlign w:val="top"/>
            <w:shd w:fill="EEF4F7"/>
          </w:tcPr>
          <w:p>
            <w:pPr>
              <w:spacing w:after="20"/>
            </w:pPr>
            <w:r>
              <w:rPr>
                <w:sz w:val="15"/>
              </w:rPr>
              <w:t>Current CLI dependency graph has 22 advisory records requiring applicability triage</w:t>
            </w:r>
          </w:p>
        </w:tc>
        <w:tc>
          <w:tcPr>
            <w:tcW w:type="dxa" w:w="1646"/>
            <w:vAlign w:val="top"/>
            <w:shd w:fill="EEF4F7"/>
          </w:tcPr>
          <w:p>
            <w:pPr>
              <w:spacing w:after="20"/>
            </w:pPr>
            <w:r>
              <w:rPr>
                <w:sz w:val="15"/>
              </w:rPr>
              <w:t>3×4=12 High</w:t>
            </w:r>
          </w:p>
        </w:tc>
        <w:tc>
          <w:tcPr>
            <w:tcW w:type="dxa" w:w="1646"/>
            <w:vAlign w:val="top"/>
            <w:shd w:fill="EEF4F7"/>
          </w:tcPr>
          <w:p>
            <w:pPr>
              <w:spacing w:after="20"/>
            </w:pPr>
            <w:r>
              <w:rPr>
                <w:sz w:val="15"/>
              </w:rPr>
              <w:t>3×4=12 High</w:t>
            </w:r>
          </w:p>
        </w:tc>
        <w:tc>
          <w:tcPr>
            <w:tcW w:type="dxa" w:w="1646"/>
            <w:vAlign w:val="top"/>
            <w:shd w:fill="EEF4F7"/>
          </w:tcPr>
          <w:p>
            <w:pPr>
              <w:spacing w:after="20"/>
            </w:pPr>
            <w:r>
              <w:rPr>
                <w:sz w:val="15"/>
              </w:rPr>
              <w:t>Supply chain / mitigate</w:t>
            </w:r>
          </w:p>
        </w:tc>
        <w:tc>
          <w:tcPr>
            <w:tcW w:type="dxa" w:w="1646"/>
            <w:vAlign w:val="top"/>
            <w:shd w:fill="EEF4F7"/>
          </w:tcPr>
          <w:p>
            <w:pPr>
              <w:spacing w:after="20"/>
            </w:pPr>
            <w:r>
              <w:rPr>
                <w:sz w:val="15"/>
              </w:rPr>
              <w:t>Before CLI use</w:t>
            </w:r>
          </w:p>
        </w:tc>
      </w:tr>
      <w:tr>
        <w:trPr>
          <w:cantSplit/>
        </w:trPr>
        <w:tc>
          <w:tcPr>
            <w:tcW w:type="dxa" w:w="1646"/>
            <w:vAlign w:val="top"/>
          </w:tcPr>
          <w:p>
            <w:pPr>
              <w:spacing w:after="20"/>
            </w:pPr>
            <w:r>
              <w:rPr>
                <w:sz w:val="15"/>
              </w:rPr>
              <w:t>F-007</w:t>
            </w:r>
          </w:p>
        </w:tc>
        <w:tc>
          <w:tcPr>
            <w:tcW w:type="dxa" w:w="1646"/>
            <w:vAlign w:val="top"/>
          </w:tcPr>
          <w:p>
            <w:pPr>
              <w:spacing w:after="20"/>
            </w:pPr>
            <w:r>
              <w:rPr>
                <w:sz w:val="15"/>
              </w:rPr>
              <w:t>Broad-trigger microsoft-docs and microsoft-code-reference skills can invoke remote retrieval unexpectedly</w:t>
            </w:r>
          </w:p>
        </w:tc>
        <w:tc>
          <w:tcPr>
            <w:tcW w:type="dxa" w:w="1646"/>
            <w:vAlign w:val="top"/>
          </w:tcPr>
          <w:p>
            <w:pPr>
              <w:spacing w:after="20"/>
            </w:pPr>
            <w:r>
              <w:rPr>
                <w:sz w:val="15"/>
              </w:rPr>
              <w:t>4×4=16 High</w:t>
            </w:r>
          </w:p>
        </w:tc>
        <w:tc>
          <w:tcPr>
            <w:tcW w:type="dxa" w:w="1646"/>
            <w:vAlign w:val="top"/>
          </w:tcPr>
          <w:p>
            <w:pPr>
              <w:spacing w:after="20"/>
            </w:pPr>
            <w:r>
              <w:rPr>
                <w:sz w:val="15"/>
              </w:rPr>
              <w:t>3×4=12 High</w:t>
            </w:r>
          </w:p>
        </w:tc>
        <w:tc>
          <w:tcPr>
            <w:tcW w:type="dxa" w:w="1646"/>
            <w:vAlign w:val="top"/>
          </w:tcPr>
          <w:p>
            <w:pPr>
              <w:spacing w:after="20"/>
            </w:pPr>
            <w:r>
              <w:rPr>
                <w:sz w:val="15"/>
              </w:rPr>
              <w:t>IDE platform / mitigate</w:t>
            </w:r>
          </w:p>
        </w:tc>
        <w:tc>
          <w:tcPr>
            <w:tcW w:type="dxa" w:w="1646"/>
            <w:vAlign w:val="top"/>
          </w:tcPr>
          <w:p>
            <w:pPr>
              <w:spacing w:after="20"/>
            </w:pPr>
            <w:r>
              <w:rPr>
                <w:sz w:val="15"/>
              </w:rPr>
              <w:t>Before skill use</w:t>
            </w:r>
          </w:p>
        </w:tc>
      </w:tr>
      <w:tr>
        <w:trPr>
          <w:cantSplit/>
        </w:trPr>
        <w:tc>
          <w:tcPr>
            <w:tcW w:type="dxa" w:w="1646"/>
            <w:vAlign w:val="top"/>
            <w:shd w:fill="EEF4F7"/>
          </w:tcPr>
          <w:p>
            <w:pPr>
              <w:spacing w:after="20"/>
            </w:pPr>
            <w:r>
              <w:rPr>
                <w:sz w:val="15"/>
              </w:rPr>
              <w:t>F-008</w:t>
            </w:r>
          </w:p>
        </w:tc>
        <w:tc>
          <w:tcPr>
            <w:tcW w:type="dxa" w:w="1646"/>
            <w:vAlign w:val="top"/>
            <w:shd w:fill="EEF4F7"/>
          </w:tcPr>
          <w:p>
            <w:pPr>
              <w:spacing w:after="20"/>
            </w:pPr>
            <w:r>
              <w:rPr>
                <w:sz w:val="15"/>
              </w:rPr>
              <w:t>microsoft-skill-creator can generate trusted-looking executable skill content from dynamic inputs</w:t>
            </w:r>
          </w:p>
        </w:tc>
        <w:tc>
          <w:tcPr>
            <w:tcW w:type="dxa" w:w="1646"/>
            <w:vAlign w:val="top"/>
            <w:shd w:fill="EEF4F7"/>
          </w:tcPr>
          <w:p>
            <w:pPr>
              <w:spacing w:after="20"/>
            </w:pPr>
            <w:r>
              <w:rPr>
                <w:sz w:val="15"/>
              </w:rPr>
              <w:t>4×5=20 Critical</w:t>
            </w:r>
          </w:p>
        </w:tc>
        <w:tc>
          <w:tcPr>
            <w:tcW w:type="dxa" w:w="1646"/>
            <w:vAlign w:val="top"/>
            <w:shd w:fill="EEF4F7"/>
          </w:tcPr>
          <w:p>
            <w:pPr>
              <w:spacing w:after="20"/>
            </w:pPr>
            <w:r>
              <w:rPr>
                <w:sz w:val="15"/>
              </w:rPr>
              <w:t>3×5=15 High</w:t>
            </w:r>
          </w:p>
        </w:tc>
        <w:tc>
          <w:tcPr>
            <w:tcW w:type="dxa" w:w="1646"/>
            <w:vAlign w:val="top"/>
            <w:shd w:fill="EEF4F7"/>
          </w:tcPr>
          <w:p>
            <w:pPr>
              <w:spacing w:after="20"/>
            </w:pPr>
            <w:r>
              <w:rPr>
                <w:sz w:val="15"/>
              </w:rPr>
              <w:t>AI governance / defer</w:t>
            </w:r>
          </w:p>
        </w:tc>
        <w:tc>
          <w:tcPr>
            <w:tcW w:type="dxa" w:w="1646"/>
            <w:vAlign w:val="top"/>
            <w:shd w:fill="EEF4F7"/>
          </w:tcPr>
          <w:p>
            <w:pPr>
              <w:spacing w:after="20"/>
            </w:pPr>
            <w:r>
              <w:rPr>
                <w:sz w:val="15"/>
              </w:rPr>
              <w:t>Before skill use</w:t>
            </w:r>
          </w:p>
        </w:tc>
      </w:tr>
      <w:tr>
        <w:trPr>
          <w:cantSplit/>
        </w:trPr>
        <w:tc>
          <w:tcPr>
            <w:tcW w:type="dxa" w:w="1646"/>
            <w:vAlign w:val="top"/>
          </w:tcPr>
          <w:p>
            <w:pPr>
              <w:spacing w:after="20"/>
            </w:pPr>
            <w:r>
              <w:rPr>
                <w:sz w:val="15"/>
              </w:rPr>
              <w:t>F-009</w:t>
            </w:r>
          </w:p>
        </w:tc>
        <w:tc>
          <w:tcPr>
            <w:tcW w:type="dxa" w:w="1646"/>
            <w:vAlign w:val="top"/>
          </w:tcPr>
          <w:p>
            <w:pPr>
              <w:spacing w:after="20"/>
            </w:pPr>
            <w:r>
              <w:rPr>
                <w:sz w:val="15"/>
              </w:rPr>
              <w:t>VS Code and Visual Studio policy, lifecycle, logging and cleanup parity are unverified</w:t>
            </w:r>
          </w:p>
        </w:tc>
        <w:tc>
          <w:tcPr>
            <w:tcW w:type="dxa" w:w="1646"/>
            <w:vAlign w:val="top"/>
          </w:tcPr>
          <w:p>
            <w:pPr>
              <w:spacing w:after="20"/>
            </w:pPr>
            <w:r>
              <w:rPr>
                <w:sz w:val="15"/>
              </w:rPr>
              <w:t>3×4=12 High</w:t>
            </w:r>
          </w:p>
        </w:tc>
        <w:tc>
          <w:tcPr>
            <w:tcW w:type="dxa" w:w="1646"/>
            <w:vAlign w:val="top"/>
          </w:tcPr>
          <w:p>
            <w:pPr>
              <w:spacing w:after="20"/>
            </w:pPr>
            <w:r>
              <w:rPr>
                <w:sz w:val="15"/>
              </w:rPr>
              <w:t>3×4=12 High</w:t>
            </w:r>
          </w:p>
        </w:tc>
        <w:tc>
          <w:tcPr>
            <w:tcW w:type="dxa" w:w="1646"/>
            <w:vAlign w:val="top"/>
          </w:tcPr>
          <w:p>
            <w:pPr>
              <w:spacing w:after="20"/>
            </w:pPr>
            <w:r>
              <w:rPr>
                <w:sz w:val="15"/>
              </w:rPr>
              <w:t>Security testing / defer</w:t>
            </w:r>
          </w:p>
        </w:tc>
        <w:tc>
          <w:tcPr>
            <w:tcW w:type="dxa" w:w="1646"/>
            <w:vAlign w:val="top"/>
          </w:tcPr>
          <w:p>
            <w:pPr>
              <w:spacing w:after="20"/>
            </w:pPr>
            <w:r>
              <w:rPr>
                <w:sz w:val="15"/>
              </w:rPr>
              <w:t>Before pilot</w:t>
            </w:r>
          </w:p>
        </w:tc>
      </w:tr>
      <w:tr>
        <w:trPr>
          <w:cantSplit/>
        </w:trPr>
        <w:tc>
          <w:tcPr>
            <w:tcW w:type="dxa" w:w="1646"/>
            <w:vAlign w:val="top"/>
            <w:shd w:fill="EEF4F7"/>
          </w:tcPr>
          <w:p>
            <w:pPr>
              <w:spacing w:after="20"/>
            </w:pPr>
            <w:r>
              <w:rPr>
                <w:sz w:val="15"/>
              </w:rPr>
              <w:t>F-010</w:t>
            </w:r>
          </w:p>
        </w:tc>
        <w:tc>
          <w:tcPr>
            <w:tcW w:type="dxa" w:w="1646"/>
            <w:vAlign w:val="top"/>
            <w:shd w:fill="EEF4F7"/>
          </w:tcPr>
          <w:p>
            <w:pPr>
              <w:spacing w:after="20"/>
            </w:pPr>
            <w:r>
              <w:rPr>
                <w:sz w:val="15"/>
              </w:rPr>
              <w:t>Documentation freshness and redirects can undermine reproducibility and records</w:t>
            </w:r>
          </w:p>
        </w:tc>
        <w:tc>
          <w:tcPr>
            <w:tcW w:type="dxa" w:w="1646"/>
            <w:vAlign w:val="top"/>
            <w:shd w:fill="EEF4F7"/>
          </w:tcPr>
          <w:p>
            <w:pPr>
              <w:spacing w:after="20"/>
            </w:pPr>
            <w:r>
              <w:rPr>
                <w:sz w:val="15"/>
              </w:rPr>
              <w:t>3×3=9 Moderate</w:t>
            </w:r>
          </w:p>
        </w:tc>
        <w:tc>
          <w:tcPr>
            <w:tcW w:type="dxa" w:w="1646"/>
            <w:vAlign w:val="top"/>
            <w:shd w:fill="EEF4F7"/>
          </w:tcPr>
          <w:p>
            <w:pPr>
              <w:spacing w:after="20"/>
            </w:pPr>
            <w:r>
              <w:rPr>
                <w:sz w:val="15"/>
              </w:rPr>
              <w:t>3×3=9 Moderate</w:t>
            </w:r>
          </w:p>
        </w:tc>
        <w:tc>
          <w:tcPr>
            <w:tcW w:type="dxa" w:w="1646"/>
            <w:vAlign w:val="top"/>
            <w:shd w:fill="EEF4F7"/>
          </w:tcPr>
          <w:p>
            <w:pPr>
              <w:spacing w:after="20"/>
            </w:pPr>
            <w:r>
              <w:rPr>
                <w:sz w:val="15"/>
              </w:rPr>
              <w:t>Records / mitigate</w:t>
            </w:r>
          </w:p>
        </w:tc>
        <w:tc>
          <w:tcPr>
            <w:tcW w:type="dxa" w:w="1646"/>
            <w:vAlign w:val="top"/>
            <w:shd w:fill="EEF4F7"/>
          </w:tcPr>
          <w:p>
            <w:pPr>
              <w:spacing w:after="20"/>
            </w:pPr>
            <w:r>
              <w:rPr>
                <w:sz w:val="15"/>
              </w:rPr>
              <w:t>Before pilot</w:t>
            </w:r>
          </w:p>
        </w:tc>
      </w:tr>
    </w:tbl>
    <w:p/>
    <w:p>
      <w:pPr>
        <w:pStyle w:val="Heading1"/>
      </w:pPr>
      <w:r>
        <w:t>Detection Opportunities and Monitoring Plan</w:t>
      </w:r>
    </w:p>
    <w:tbl>
      <w:tblPr>
        <w:tblStyle w:val="TableGrid"/>
        <w:tblW w:type="auto" w:w="0"/>
        <w:jc w:val="center"/>
        <w:tblLook w:firstColumn="1" w:firstRow="1" w:lastColumn="0" w:lastRow="0" w:noHBand="0" w:noVBand="1" w:val="04A0"/>
      </w:tblPr>
      <w:tblGrid>
        <w:gridCol w:w="2469"/>
        <w:gridCol w:w="2469"/>
        <w:gridCol w:w="2469"/>
        <w:gridCol w:w="2469"/>
      </w:tblGrid>
      <w:tr>
        <w:trPr>
          <w:tblHeader/>
          <w:cantSplit/>
        </w:trPr>
        <w:tc>
          <w:tcPr>
            <w:tcW w:type="dxa" w:w="2469"/>
            <w:shd w:fill="17365D"/>
          </w:tcPr>
          <w:p>
            <w:r>
              <w:rPr>
                <w:b/>
                <w:color w:val="FFFFFF"/>
                <w:sz w:val="16"/>
              </w:rPr>
              <w:t>Signal</w:t>
            </w:r>
          </w:p>
        </w:tc>
        <w:tc>
          <w:tcPr>
            <w:tcW w:type="dxa" w:w="2469"/>
            <w:shd w:fill="17365D"/>
          </w:tcPr>
          <w:p>
            <w:r>
              <w:rPr>
                <w:b/>
                <w:color w:val="FFFFFF"/>
                <w:sz w:val="16"/>
              </w:rPr>
              <w:t>Detection opportunity</w:t>
            </w:r>
          </w:p>
        </w:tc>
        <w:tc>
          <w:tcPr>
            <w:tcW w:type="dxa" w:w="2469"/>
            <w:shd w:fill="17365D"/>
          </w:tcPr>
          <w:p>
            <w:r>
              <w:rPr>
                <w:b/>
                <w:color w:val="FFFFFF"/>
                <w:sz w:val="16"/>
              </w:rPr>
              <w:t>Response</w:t>
            </w:r>
          </w:p>
        </w:tc>
        <w:tc>
          <w:tcPr>
            <w:tcW w:type="dxa" w:w="2469"/>
            <w:shd w:fill="17365D"/>
          </w:tcPr>
          <w:p>
            <w:r>
              <w:rPr>
                <w:b/>
                <w:color w:val="FFFFFF"/>
                <w:sz w:val="16"/>
              </w:rPr>
              <w:t>Control strength</w:t>
            </w:r>
          </w:p>
        </w:tc>
      </w:tr>
      <w:tr>
        <w:trPr>
          <w:cantSplit/>
        </w:trPr>
        <w:tc>
          <w:tcPr>
            <w:tcW w:type="dxa" w:w="2469"/>
            <w:vAlign w:val="top"/>
          </w:tcPr>
          <w:p>
            <w:pPr>
              <w:spacing w:after="20"/>
            </w:pPr>
            <w:r>
              <w:rPr>
                <w:sz w:val="15"/>
              </w:rPr>
              <w:t>Prompt DLP</w:t>
            </w:r>
          </w:p>
        </w:tc>
        <w:tc>
          <w:tcPr>
            <w:tcW w:type="dxa" w:w="2469"/>
            <w:vAlign w:val="top"/>
          </w:tcPr>
          <w:p>
            <w:pPr>
              <w:spacing w:after="20"/>
            </w:pPr>
            <w:r>
              <w:rPr>
                <w:sz w:val="15"/>
              </w:rPr>
              <w:t>Secrets, customer identifiers, proprietary code or incident data</w:t>
            </w:r>
          </w:p>
        </w:tc>
        <w:tc>
          <w:tcPr>
            <w:tcW w:type="dxa" w:w="2469"/>
            <w:vAlign w:val="top"/>
          </w:tcPr>
          <w:p>
            <w:pPr>
              <w:spacing w:after="20"/>
            </w:pPr>
            <w:r>
              <w:rPr>
                <w:sz w:val="15"/>
              </w:rPr>
              <w:t>Block and alert</w:t>
            </w:r>
          </w:p>
        </w:tc>
        <w:tc>
          <w:tcPr>
            <w:tcW w:type="dxa" w:w="2469"/>
            <w:vAlign w:val="top"/>
          </w:tcPr>
          <w:p>
            <w:pPr>
              <w:spacing w:after="20"/>
            </w:pPr>
            <w:r>
              <w:rPr>
                <w:sz w:val="15"/>
              </w:rPr>
              <w:t>Preventive</w:t>
            </w:r>
          </w:p>
        </w:tc>
      </w:tr>
      <w:tr>
        <w:trPr>
          <w:cantSplit/>
        </w:trPr>
        <w:tc>
          <w:tcPr>
            <w:tcW w:type="dxa" w:w="2469"/>
            <w:vAlign w:val="top"/>
            <w:shd w:fill="EEF4F7"/>
          </w:tcPr>
          <w:p>
            <w:pPr>
              <w:spacing w:after="20"/>
            </w:pPr>
            <w:r>
              <w:rPr>
                <w:sz w:val="15"/>
              </w:rPr>
              <w:t>Tool schema</w:t>
            </w:r>
          </w:p>
        </w:tc>
        <w:tc>
          <w:tcPr>
            <w:tcW w:type="dxa" w:w="2469"/>
            <w:vAlign w:val="top"/>
            <w:shd w:fill="EEF4F7"/>
          </w:tcPr>
          <w:p>
            <w:pPr>
              <w:spacing w:after="20"/>
            </w:pPr>
            <w:r>
              <w:rPr>
                <w:sz w:val="15"/>
              </w:rPr>
              <w:t>New, renamed or widened MCP tool</w:t>
            </w:r>
          </w:p>
        </w:tc>
        <w:tc>
          <w:tcPr>
            <w:tcW w:type="dxa" w:w="2469"/>
            <w:vAlign w:val="top"/>
            <w:shd w:fill="EEF4F7"/>
          </w:tcPr>
          <w:p>
            <w:pPr>
              <w:spacing w:after="20"/>
            </w:pPr>
            <w:r>
              <w:rPr>
                <w:sz w:val="15"/>
              </w:rPr>
              <w:t>Quarantine pending review</w:t>
            </w:r>
          </w:p>
        </w:tc>
        <w:tc>
          <w:tcPr>
            <w:tcW w:type="dxa" w:w="2469"/>
            <w:vAlign w:val="top"/>
            <w:shd w:fill="EEF4F7"/>
          </w:tcPr>
          <w:p>
            <w:pPr>
              <w:spacing w:after="20"/>
            </w:pPr>
            <w:r>
              <w:rPr>
                <w:sz w:val="15"/>
              </w:rPr>
              <w:t>Preventive</w:t>
            </w:r>
          </w:p>
        </w:tc>
      </w:tr>
      <w:tr>
        <w:trPr>
          <w:cantSplit/>
        </w:trPr>
        <w:tc>
          <w:tcPr>
            <w:tcW w:type="dxa" w:w="2469"/>
            <w:vAlign w:val="top"/>
          </w:tcPr>
          <w:p>
            <w:pPr>
              <w:spacing w:after="20"/>
            </w:pPr>
            <w:r>
              <w:rPr>
                <w:sz w:val="15"/>
              </w:rPr>
              <w:t>Network</w:t>
            </w:r>
          </w:p>
        </w:tc>
        <w:tc>
          <w:tcPr>
            <w:tcW w:type="dxa" w:w="2469"/>
            <w:vAlign w:val="top"/>
          </w:tcPr>
          <w:p>
            <w:pPr>
              <w:spacing w:after="20"/>
            </w:pPr>
            <w:r>
              <w:rPr>
                <w:sz w:val="15"/>
              </w:rPr>
              <w:t>Non-allowlisted domain, redirect or private address</w:t>
            </w:r>
          </w:p>
        </w:tc>
        <w:tc>
          <w:tcPr>
            <w:tcW w:type="dxa" w:w="2469"/>
            <w:vAlign w:val="top"/>
          </w:tcPr>
          <w:p>
            <w:pPr>
              <w:spacing w:after="20"/>
            </w:pPr>
            <w:r>
              <w:rPr>
                <w:sz w:val="15"/>
              </w:rPr>
              <w:t>Block and investigate</w:t>
            </w:r>
          </w:p>
        </w:tc>
        <w:tc>
          <w:tcPr>
            <w:tcW w:type="dxa" w:w="2469"/>
            <w:vAlign w:val="top"/>
          </w:tcPr>
          <w:p>
            <w:pPr>
              <w:spacing w:after="20"/>
            </w:pPr>
            <w:r>
              <w:rPr>
                <w:sz w:val="15"/>
              </w:rPr>
              <w:t>Preventive</w:t>
            </w:r>
          </w:p>
        </w:tc>
      </w:tr>
      <w:tr>
        <w:trPr>
          <w:cantSplit/>
        </w:trPr>
        <w:tc>
          <w:tcPr>
            <w:tcW w:type="dxa" w:w="2469"/>
            <w:vAlign w:val="top"/>
            <w:shd w:fill="EEF4F7"/>
          </w:tcPr>
          <w:p>
            <w:pPr>
              <w:spacing w:after="20"/>
            </w:pPr>
            <w:r>
              <w:rPr>
                <w:sz w:val="15"/>
              </w:rPr>
              <w:t>Package</w:t>
            </w:r>
          </w:p>
        </w:tc>
        <w:tc>
          <w:tcPr>
            <w:tcW w:type="dxa" w:w="2469"/>
            <w:vAlign w:val="top"/>
            <w:shd w:fill="EEF4F7"/>
          </w:tcPr>
          <w:p>
            <w:pPr>
              <w:spacing w:after="20"/>
            </w:pPr>
            <w:r>
              <w:rPr>
                <w:sz w:val="15"/>
              </w:rPr>
              <w:t>npx/global install, hash or dependency drift</w:t>
            </w:r>
          </w:p>
        </w:tc>
        <w:tc>
          <w:tcPr>
            <w:tcW w:type="dxa" w:w="2469"/>
            <w:vAlign w:val="top"/>
            <w:shd w:fill="EEF4F7"/>
          </w:tcPr>
          <w:p>
            <w:pPr>
              <w:spacing w:after="20"/>
            </w:pPr>
            <w:r>
              <w:rPr>
                <w:sz w:val="15"/>
              </w:rPr>
              <w:t>Block and quarantine</w:t>
            </w:r>
          </w:p>
        </w:tc>
        <w:tc>
          <w:tcPr>
            <w:tcW w:type="dxa" w:w="2469"/>
            <w:vAlign w:val="top"/>
            <w:shd w:fill="EEF4F7"/>
          </w:tcPr>
          <w:p>
            <w:pPr>
              <w:spacing w:after="20"/>
            </w:pPr>
            <w:r>
              <w:rPr>
                <w:sz w:val="15"/>
              </w:rPr>
              <w:t>Preventive</w:t>
            </w:r>
          </w:p>
        </w:tc>
      </w:tr>
      <w:tr>
        <w:trPr>
          <w:cantSplit/>
        </w:trPr>
        <w:tc>
          <w:tcPr>
            <w:tcW w:type="dxa" w:w="2469"/>
            <w:vAlign w:val="top"/>
          </w:tcPr>
          <w:p>
            <w:pPr>
              <w:spacing w:after="20"/>
            </w:pPr>
            <w:r>
              <w:rPr>
                <w:sz w:val="15"/>
              </w:rPr>
              <w:t>Response</w:t>
            </w:r>
          </w:p>
        </w:tc>
        <w:tc>
          <w:tcPr>
            <w:tcW w:type="dxa" w:w="2469"/>
            <w:vAlign w:val="top"/>
          </w:tcPr>
          <w:p>
            <w:pPr>
              <w:spacing w:after="20"/>
            </w:pPr>
            <w:r>
              <w:rPr>
                <w:sz w:val="15"/>
              </w:rPr>
              <w:t>Missing Microsoft citation, unsafe command or external-domain reference</w:t>
            </w:r>
          </w:p>
        </w:tc>
        <w:tc>
          <w:tcPr>
            <w:tcW w:type="dxa" w:w="2469"/>
            <w:vAlign w:val="top"/>
          </w:tcPr>
          <w:p>
            <w:pPr>
              <w:spacing w:after="20"/>
            </w:pPr>
            <w:r>
              <w:rPr>
                <w:sz w:val="15"/>
              </w:rPr>
              <w:t>Withhold and review</w:t>
            </w:r>
          </w:p>
        </w:tc>
        <w:tc>
          <w:tcPr>
            <w:tcW w:type="dxa" w:w="2469"/>
            <w:vAlign w:val="top"/>
          </w:tcPr>
          <w:p>
            <w:pPr>
              <w:spacing w:after="20"/>
            </w:pPr>
            <w:r>
              <w:rPr>
                <w:sz w:val="15"/>
              </w:rPr>
              <w:t>Detective</w:t>
            </w:r>
          </w:p>
        </w:tc>
      </w:tr>
    </w:tbl>
    <w:p/>
    <w:p>
      <w:pPr>
        <w:pStyle w:val="Heading1"/>
      </w:pPr>
      <w:r>
        <w:t>Residual Risk and Approval Recommendation Update</w:t>
      </w:r>
    </w:p>
    <w:p>
      <w:r>
        <w:t>Decision: DEFER PENDING EVIDENCE for unrestricted or internal-confidential use in VS Code or Visual Studio. A conditional, time-limited pilot may be approved only for non-sensitive, minimised Microsoft-documentation queries after P0 controls enforce prompt redaction, domain and tool allowlists, visible per-call approval, response citation validation, logging minimisation, exact CLI prohibition or pinning, and isolated representative host testing. Bundled skills are separately optional and must not auto-install or invoke npx. Current residual risk is High because the hosted implementation and representative IDE runtime remain unobserved.</w:t>
      </w:r>
    </w:p>
    <w:p>
      <w:pPr>
        <w:pStyle w:val="Heading1"/>
      </w:pPr>
      <w:r>
        <w:t>Regeneration Limitations and Confidence</w:t>
      </w:r>
    </w:p>
    <w:p>
      <w:r>
        <w:t>Confidence is High for current public endpoint documentation, repository identity and commit, CLI 0.1.0 archive hash, package metadata, repository skill inventory, static malware evidence and current dependency correlation. Confidence is Medium for client-side architecture and data-flow conclusions. Confidence is Low for service-side implementation, telemetry, retention, tenant isolation, dynamic tool-schema drift, output provenance, IDE activation, network traces, update and uninstall residue. Runtime analysis was selected but blocked by unavailable disposable representative hosts.</w:t>
      </w:r>
    </w:p>
    <w:p>
      <w:pPr>
        <w:pStyle w:val="Heading1"/>
      </w:pPr>
      <w:r>
        <w:t>Evidence Register Update</w:t>
      </w:r>
    </w:p>
    <w:tbl>
      <w:tblPr>
        <w:tblStyle w:val="TableGrid"/>
        <w:tblW w:type="auto" w:w="0"/>
        <w:jc w:val="center"/>
        <w:tblLook w:firstColumn="1" w:firstRow="1" w:lastColumn="0" w:lastRow="0" w:noHBand="0" w:noVBand="1" w:val="04A0"/>
      </w:tblPr>
      <w:tblGrid>
        <w:gridCol w:w="2469"/>
        <w:gridCol w:w="2469"/>
        <w:gridCol w:w="2469"/>
        <w:gridCol w:w="2469"/>
      </w:tblGrid>
      <w:tr>
        <w:trPr>
          <w:tblHeader/>
          <w:cantSplit/>
        </w:trPr>
        <w:tc>
          <w:tcPr>
            <w:tcW w:type="dxa" w:w="2469"/>
            <w:shd w:fill="17365D"/>
          </w:tcPr>
          <w:p>
            <w:r>
              <w:rPr>
                <w:b/>
                <w:color w:val="FFFFFF"/>
                <w:sz w:val="16"/>
              </w:rPr>
              <w:t>Evidence ID</w:t>
            </w:r>
          </w:p>
        </w:tc>
        <w:tc>
          <w:tcPr>
            <w:tcW w:type="dxa" w:w="2469"/>
            <w:shd w:fill="17365D"/>
          </w:tcPr>
          <w:p>
            <w:r>
              <w:rPr>
                <w:b/>
                <w:color w:val="FFFFFF"/>
                <w:sz w:val="16"/>
              </w:rPr>
              <w:t>Evidence</w:t>
            </w:r>
          </w:p>
        </w:tc>
        <w:tc>
          <w:tcPr>
            <w:tcW w:type="dxa" w:w="2469"/>
            <w:shd w:fill="17365D"/>
          </w:tcPr>
          <w:p>
            <w:r>
              <w:rPr>
                <w:b/>
                <w:color w:val="FFFFFF"/>
                <w:sz w:val="16"/>
              </w:rPr>
              <w:t>State</w:t>
            </w:r>
          </w:p>
        </w:tc>
        <w:tc>
          <w:tcPr>
            <w:tcW w:type="dxa" w:w="2469"/>
            <w:shd w:fill="17365D"/>
          </w:tcPr>
          <w:p>
            <w:r>
              <w:rPr>
                <w:b/>
                <w:color w:val="FFFFFF"/>
                <w:sz w:val="16"/>
              </w:rPr>
              <w:t>Retention / verification</w:t>
            </w:r>
          </w:p>
        </w:tc>
      </w:tr>
      <w:tr>
        <w:trPr>
          <w:cantSplit/>
        </w:trPr>
        <w:tc>
          <w:tcPr>
            <w:tcW w:type="dxa" w:w="2469"/>
            <w:vAlign w:val="top"/>
          </w:tcPr>
          <w:p>
            <w:pPr>
              <w:spacing w:after="20"/>
            </w:pPr>
            <w:r>
              <w:rPr>
                <w:sz w:val="15"/>
              </w:rPr>
              <w:t>EV-001</w:t>
            </w:r>
          </w:p>
        </w:tc>
        <w:tc>
          <w:tcPr>
            <w:tcW w:type="dxa" w:w="2469"/>
            <w:vAlign w:val="top"/>
          </w:tcPr>
          <w:p>
            <w:pPr>
              <w:spacing w:after="20"/>
            </w:pPr>
            <w:r>
              <w:rPr>
                <w:sz w:val="15"/>
              </w:rPr>
              <w:t>Historical baseline v1.0</w:t>
            </w:r>
          </w:p>
        </w:tc>
        <w:tc>
          <w:tcPr>
            <w:tcW w:type="dxa" w:w="2469"/>
            <w:vAlign w:val="top"/>
          </w:tcPr>
          <w:p>
            <w:pPr>
              <w:spacing w:after="20"/>
            </w:pPr>
            <w:r>
              <w:rPr>
                <w:sz w:val="15"/>
              </w:rPr>
              <w:t>Preserved</w:t>
            </w:r>
          </w:p>
        </w:tc>
        <w:tc>
          <w:tcPr>
            <w:tcW w:type="dxa" w:w="2469"/>
            <w:vAlign w:val="top"/>
          </w:tcPr>
          <w:p>
            <w:pPr>
              <w:spacing w:after="20"/>
            </w:pPr>
            <w:r>
              <w:rPr>
                <w:sz w:val="15"/>
              </w:rPr>
              <w:t>SHA-256 in migration provenance</w:t>
            </w:r>
          </w:p>
        </w:tc>
      </w:tr>
      <w:tr>
        <w:trPr>
          <w:cantSplit/>
        </w:trPr>
        <w:tc>
          <w:tcPr>
            <w:tcW w:type="dxa" w:w="2469"/>
            <w:vAlign w:val="top"/>
            <w:shd w:fill="EEF4F7"/>
          </w:tcPr>
          <w:p>
            <w:pPr>
              <w:spacing w:after="20"/>
            </w:pPr>
            <w:r>
              <w:rPr>
                <w:sz w:val="15"/>
              </w:rPr>
              <w:t>EV-002</w:t>
            </w:r>
          </w:p>
        </w:tc>
        <w:tc>
          <w:tcPr>
            <w:tcW w:type="dxa" w:w="2469"/>
            <w:vAlign w:val="top"/>
            <w:shd w:fill="EEF4F7"/>
          </w:tcPr>
          <w:p>
            <w:pPr>
              <w:spacing w:after="20"/>
            </w:pPr>
            <w:r>
              <w:rPr>
                <w:sz w:val="15"/>
              </w:rPr>
              <w:t>MicrosoftDocs/mcp source snapshot</w:t>
            </w:r>
          </w:p>
        </w:tc>
        <w:tc>
          <w:tcPr>
            <w:tcW w:type="dxa" w:w="2469"/>
            <w:vAlign w:val="top"/>
            <w:shd w:fill="EEF4F7"/>
          </w:tcPr>
          <w:p>
            <w:pPr>
              <w:spacing w:after="20"/>
            </w:pPr>
            <w:r>
              <w:rPr>
                <w:sz w:val="15"/>
              </w:rPr>
              <w:t>Current verified</w:t>
            </w:r>
          </w:p>
        </w:tc>
        <w:tc>
          <w:tcPr>
            <w:tcW w:type="dxa" w:w="2469"/>
            <w:vAlign w:val="top"/>
            <w:shd w:fill="EEF4F7"/>
          </w:tcPr>
          <w:p>
            <w:pPr>
              <w:spacing w:after="20"/>
            </w:pPr>
            <w:r>
              <w:rPr>
                <w:sz w:val="15"/>
              </w:rPr>
              <w:t>Unlinked commit snapshot retained</w:t>
            </w:r>
          </w:p>
        </w:tc>
      </w:tr>
      <w:tr>
        <w:trPr>
          <w:cantSplit/>
        </w:trPr>
        <w:tc>
          <w:tcPr>
            <w:tcW w:type="dxa" w:w="2469"/>
            <w:vAlign w:val="top"/>
          </w:tcPr>
          <w:p>
            <w:pPr>
              <w:spacing w:after="20"/>
            </w:pPr>
            <w:r>
              <w:rPr>
                <w:sz w:val="15"/>
              </w:rPr>
              <w:t>EV-003</w:t>
            </w:r>
          </w:p>
        </w:tc>
        <w:tc>
          <w:tcPr>
            <w:tcW w:type="dxa" w:w="2469"/>
            <w:vAlign w:val="top"/>
          </w:tcPr>
          <w:p>
            <w:pPr>
              <w:spacing w:after="20"/>
            </w:pPr>
            <w:r>
              <w:rPr>
                <w:sz w:val="15"/>
              </w:rPr>
              <w:t>CLI 0.1.0 archive and registry metadata</w:t>
            </w:r>
          </w:p>
        </w:tc>
        <w:tc>
          <w:tcPr>
            <w:tcW w:type="dxa" w:w="2469"/>
            <w:vAlign w:val="top"/>
          </w:tcPr>
          <w:p>
            <w:pPr>
              <w:spacing w:after="20"/>
            </w:pPr>
            <w:r>
              <w:rPr>
                <w:sz w:val="15"/>
              </w:rPr>
              <w:t>Current verified</w:t>
            </w:r>
          </w:p>
        </w:tc>
        <w:tc>
          <w:tcPr>
            <w:tcW w:type="dxa" w:w="2469"/>
            <w:vAlign w:val="top"/>
          </w:tcPr>
          <w:p>
            <w:pPr>
              <w:spacing w:after="20"/>
            </w:pPr>
            <w:r>
              <w:rPr>
                <w:sz w:val="15"/>
              </w:rPr>
              <w:t>Exact artifact and SHA-256 retained</w:t>
            </w:r>
          </w:p>
        </w:tc>
      </w:tr>
      <w:tr>
        <w:trPr>
          <w:cantSplit/>
        </w:trPr>
        <w:tc>
          <w:tcPr>
            <w:tcW w:type="dxa" w:w="2469"/>
            <w:vAlign w:val="top"/>
            <w:shd w:fill="EEF4F7"/>
          </w:tcPr>
          <w:p>
            <w:pPr>
              <w:spacing w:after="20"/>
            </w:pPr>
            <w:r>
              <w:rPr>
                <w:sz w:val="15"/>
              </w:rPr>
              <w:t>EV-004</w:t>
            </w:r>
          </w:p>
        </w:tc>
        <w:tc>
          <w:tcPr>
            <w:tcW w:type="dxa" w:w="2469"/>
            <w:vAlign w:val="top"/>
            <w:shd w:fill="EEF4F7"/>
          </w:tcPr>
          <w:p>
            <w:pPr>
              <w:spacing w:after="20"/>
            </w:pPr>
            <w:r>
              <w:rPr>
                <w:sz w:val="15"/>
              </w:rPr>
              <w:t>Semgrep, OSV, Syft, ClamAV and YARA</w:t>
            </w:r>
          </w:p>
        </w:tc>
        <w:tc>
          <w:tcPr>
            <w:tcW w:type="dxa" w:w="2469"/>
            <w:vAlign w:val="top"/>
            <w:shd w:fill="EEF4F7"/>
          </w:tcPr>
          <w:p>
            <w:pPr>
              <w:spacing w:after="20"/>
            </w:pPr>
            <w:r>
              <w:rPr>
                <w:sz w:val="15"/>
              </w:rPr>
              <w:t>Current verified with limitations</w:t>
            </w:r>
          </w:p>
        </w:tc>
        <w:tc>
          <w:tcPr>
            <w:tcW w:type="dxa" w:w="2469"/>
            <w:vAlign w:val="top"/>
            <w:shd w:fill="EEF4F7"/>
          </w:tcPr>
          <w:p>
            <w:pPr>
              <w:spacing w:after="20"/>
            </w:pPr>
            <w:r>
              <w:rPr>
                <w:sz w:val="15"/>
              </w:rPr>
              <w:t>Machine-readable output retained</w:t>
            </w:r>
          </w:p>
        </w:tc>
      </w:tr>
      <w:tr>
        <w:trPr>
          <w:cantSplit/>
        </w:trPr>
        <w:tc>
          <w:tcPr>
            <w:tcW w:type="dxa" w:w="2469"/>
            <w:vAlign w:val="top"/>
          </w:tcPr>
          <w:p>
            <w:pPr>
              <w:spacing w:after="20"/>
            </w:pPr>
            <w:r>
              <w:rPr>
                <w:sz w:val="15"/>
              </w:rPr>
              <w:t>EV-005</w:t>
            </w:r>
          </w:p>
        </w:tc>
        <w:tc>
          <w:tcPr>
            <w:tcW w:type="dxa" w:w="2469"/>
            <w:vAlign w:val="top"/>
          </w:tcPr>
          <w:p>
            <w:pPr>
              <w:spacing w:after="20"/>
            </w:pPr>
            <w:r>
              <w:rPr>
                <w:sz w:val="15"/>
              </w:rPr>
              <w:t>Three bundled Agent Skills</w:t>
            </w:r>
          </w:p>
        </w:tc>
        <w:tc>
          <w:tcPr>
            <w:tcW w:type="dxa" w:w="2469"/>
            <w:vAlign w:val="top"/>
          </w:tcPr>
          <w:p>
            <w:pPr>
              <w:spacing w:after="20"/>
            </w:pPr>
            <w:r>
              <w:rPr>
                <w:sz w:val="15"/>
              </w:rPr>
              <w:t>Current verified</w:t>
            </w:r>
          </w:p>
        </w:tc>
        <w:tc>
          <w:tcPr>
            <w:tcW w:type="dxa" w:w="2469"/>
            <w:vAlign w:val="top"/>
          </w:tcPr>
          <w:p>
            <w:pPr>
              <w:spacing w:after="20"/>
            </w:pPr>
            <w:r>
              <w:rPr>
                <w:sz w:val="15"/>
              </w:rPr>
              <w:t>Full transitive repository content retained</w:t>
            </w:r>
          </w:p>
        </w:tc>
      </w:tr>
      <w:tr>
        <w:trPr>
          <w:cantSplit/>
        </w:trPr>
        <w:tc>
          <w:tcPr>
            <w:tcW w:type="dxa" w:w="2469"/>
            <w:vAlign w:val="top"/>
            <w:shd w:fill="EEF4F7"/>
          </w:tcPr>
          <w:p>
            <w:pPr>
              <w:spacing w:after="20"/>
            </w:pPr>
            <w:r>
              <w:rPr>
                <w:sz w:val="15"/>
              </w:rPr>
              <w:t>EV-006</w:t>
            </w:r>
          </w:p>
        </w:tc>
        <w:tc>
          <w:tcPr>
            <w:tcW w:type="dxa" w:w="2469"/>
            <w:vAlign w:val="top"/>
            <w:shd w:fill="EEF4F7"/>
          </w:tcPr>
          <w:p>
            <w:pPr>
              <w:spacing w:after="20"/>
            </w:pPr>
            <w:r>
              <w:rPr>
                <w:sz w:val="15"/>
              </w:rPr>
              <w:t>Representative runtime</w:t>
            </w:r>
          </w:p>
        </w:tc>
        <w:tc>
          <w:tcPr>
            <w:tcW w:type="dxa" w:w="2469"/>
            <w:vAlign w:val="top"/>
            <w:shd w:fill="EEF4F7"/>
          </w:tcPr>
          <w:p>
            <w:pPr>
              <w:spacing w:after="20"/>
            </w:pPr>
            <w:r>
              <w:rPr>
                <w:sz w:val="15"/>
              </w:rPr>
              <w:t>Blocked</w:t>
            </w:r>
          </w:p>
        </w:tc>
        <w:tc>
          <w:tcPr>
            <w:tcW w:type="dxa" w:w="2469"/>
            <w:vAlign w:val="top"/>
            <w:shd w:fill="EEF4F7"/>
          </w:tcPr>
          <w:p>
            <w:pPr>
              <w:spacing w:after="20"/>
            </w:pPr>
            <w:r>
              <w:rPr>
                <w:sz w:val="15"/>
              </w:rPr>
              <w:t>Acceptance protocol retained</w:t>
            </w:r>
          </w:p>
        </w:tc>
      </w:tr>
    </w:tbl>
    <w:p/>
    <w:p>
      <w:pPr>
        <w:pStyle w:val="Heading1"/>
      </w:pPr>
      <w:r>
        <w:t>Revision History Update</w:t>
      </w:r>
    </w:p>
    <w:tbl>
      <w:tblPr>
        <w:tblStyle w:val="TableGrid"/>
        <w:tblW w:type="auto" w:w="0"/>
        <w:jc w:val="center"/>
        <w:tblLook w:firstColumn="1" w:firstRow="1" w:lastColumn="0" w:lastRow="0" w:noHBand="0" w:noVBand="1" w:val="04A0"/>
      </w:tblPr>
      <w:tblGrid>
        <w:gridCol w:w="2469"/>
        <w:gridCol w:w="2469"/>
        <w:gridCol w:w="2469"/>
        <w:gridCol w:w="2469"/>
      </w:tblGrid>
      <w:tr>
        <w:trPr>
          <w:tblHeader/>
          <w:cantSplit/>
        </w:trPr>
        <w:tc>
          <w:tcPr>
            <w:tcW w:type="dxa" w:w="2469"/>
            <w:shd w:fill="17365D"/>
          </w:tcPr>
          <w:p>
            <w:r>
              <w:rPr>
                <w:b/>
                <w:color w:val="FFFFFF"/>
                <w:sz w:val="16"/>
              </w:rPr>
              <w:t>Version</w:t>
            </w:r>
          </w:p>
        </w:tc>
        <w:tc>
          <w:tcPr>
            <w:tcW w:type="dxa" w:w="2469"/>
            <w:shd w:fill="17365D"/>
          </w:tcPr>
          <w:p>
            <w:r>
              <w:rPr>
                <w:b/>
                <w:color w:val="FFFFFF"/>
                <w:sz w:val="16"/>
              </w:rPr>
              <w:t>Date</w:t>
            </w:r>
          </w:p>
        </w:tc>
        <w:tc>
          <w:tcPr>
            <w:tcW w:type="dxa" w:w="2469"/>
            <w:shd w:fill="17365D"/>
          </w:tcPr>
          <w:p>
            <w:r>
              <w:rPr>
                <w:b/>
                <w:color w:val="FFFFFF"/>
                <w:sz w:val="16"/>
              </w:rPr>
              <w:t>Change</w:t>
            </w:r>
          </w:p>
        </w:tc>
        <w:tc>
          <w:tcPr>
            <w:tcW w:type="dxa" w:w="2469"/>
            <w:shd w:fill="17365D"/>
          </w:tcPr>
          <w:p>
            <w:r>
              <w:rPr>
                <w:b/>
                <w:color w:val="FFFFFF"/>
                <w:sz w:val="16"/>
              </w:rPr>
              <w:t>Approval state</w:t>
            </w:r>
          </w:p>
        </w:tc>
      </w:tr>
      <w:tr>
        <w:trPr>
          <w:cantSplit/>
        </w:trPr>
        <w:tc>
          <w:tcPr>
            <w:tcW w:type="dxa" w:w="2469"/>
            <w:vAlign w:val="top"/>
          </w:tcPr>
          <w:p>
            <w:pPr>
              <w:spacing w:after="20"/>
            </w:pPr>
            <w:r>
              <w:rPr>
                <w:sz w:val="15"/>
              </w:rPr>
              <w:t>1.0</w:t>
            </w:r>
          </w:p>
        </w:tc>
        <w:tc>
          <w:tcPr>
            <w:tcW w:type="dxa" w:w="2469"/>
            <w:vAlign w:val="top"/>
          </w:tcPr>
          <w:p>
            <w:pPr>
              <w:spacing w:after="20"/>
            </w:pPr>
            <w:r>
              <w:rPr>
                <w:sz w:val="15"/>
              </w:rPr>
              <w:t>13 July 2026</w:t>
            </w:r>
          </w:p>
        </w:tc>
        <w:tc>
          <w:tcPr>
            <w:tcW w:type="dxa" w:w="2469"/>
            <w:vAlign w:val="top"/>
          </w:tcPr>
          <w:p>
            <w:pPr>
              <w:spacing w:after="20"/>
            </w:pPr>
            <w:r>
              <w:rPr>
                <w:sz w:val="15"/>
              </w:rPr>
              <w:t>Historical delivered assessment preserved as baseline evidence</w:t>
            </w:r>
          </w:p>
        </w:tc>
        <w:tc>
          <w:tcPr>
            <w:tcW w:type="dxa" w:w="2469"/>
            <w:vAlign w:val="top"/>
          </w:tcPr>
          <w:p>
            <w:pPr>
              <w:spacing w:after="20"/>
            </w:pPr>
            <w:r>
              <w:rPr>
                <w:sz w:val="15"/>
              </w:rPr>
              <w:t>Superseded</w:t>
            </w:r>
          </w:p>
        </w:tc>
      </w:tr>
      <w:tr>
        <w:trPr>
          <w:cantSplit/>
        </w:trPr>
        <w:tc>
          <w:tcPr>
            <w:tcW w:type="dxa" w:w="2469"/>
            <w:vAlign w:val="top"/>
            <w:shd w:fill="EEF4F7"/>
          </w:tcPr>
          <w:p>
            <w:pPr>
              <w:spacing w:after="20"/>
            </w:pPr>
            <w:r>
              <w:rPr>
                <w:sz w:val="15"/>
              </w:rPr>
              <w:t>1.1</w:t>
            </w:r>
          </w:p>
        </w:tc>
        <w:tc>
          <w:tcPr>
            <w:tcW w:type="dxa" w:w="2469"/>
            <w:vAlign w:val="top"/>
            <w:shd w:fill="EEF4F7"/>
          </w:tcPr>
          <w:p>
            <w:pPr>
              <w:spacing w:after="20"/>
            </w:pPr>
            <w:r>
              <w:rPr>
                <w:sz w:val="15"/>
              </w:rPr>
              <w:t>25 July 2026</w:t>
            </w:r>
          </w:p>
        </w:tc>
        <w:tc>
          <w:tcPr>
            <w:tcW w:type="dxa" w:w="2469"/>
            <w:vAlign w:val="top"/>
            <w:shd w:fill="EEF4F7"/>
          </w:tcPr>
          <w:p>
            <w:pPr>
              <w:spacing w:after="20"/>
            </w:pPr>
            <w:r>
              <w:rPr>
                <w:sz w:val="15"/>
              </w:rPr>
              <w:t>Repository regeneration, current source drift, static, malware, advisory and quality-gate review</w:t>
            </w:r>
          </w:p>
        </w:tc>
        <w:tc>
          <w:tcPr>
            <w:tcW w:type="dxa" w:w="2469"/>
            <w:vAlign w:val="top"/>
            <w:shd w:fill="EEF4F7"/>
          </w:tcPr>
          <w:p>
            <w:pPr>
              <w:spacing w:after="20"/>
            </w:pPr>
            <w:r>
              <w:rPr>
                <w:sz w:val="15"/>
              </w:rPr>
              <w:t>Candidate / draft PR</w:t>
            </w:r>
          </w:p>
        </w:tc>
      </w:tr>
    </w:tbl>
    <w:p/>
    <w:p>
      <w:pPr>
        <w:pStyle w:val="Heading1"/>
      </w:pPr>
      <w:r>
        <w:t>Document Control Update</w:t>
      </w:r>
    </w:p>
    <w:tbl>
      <w:tblPr>
        <w:tblStyle w:val="TableGrid"/>
        <w:tblW w:type="auto" w:w="0"/>
        <w:jc w:val="center"/>
        <w:tblLook w:firstColumn="1" w:firstRow="1" w:lastColumn="0" w:lastRow="0" w:noHBand="0" w:noVBand="1" w:val="04A0"/>
      </w:tblPr>
      <w:tblGrid>
        <w:gridCol w:w="4939"/>
        <w:gridCol w:w="4939"/>
      </w:tblGrid>
      <w:tr>
        <w:trPr>
          <w:tblHeader/>
          <w:cantSplit/>
        </w:trPr>
        <w:tc>
          <w:tcPr>
            <w:tcW w:type="dxa" w:w="4939"/>
            <w:shd w:fill="17365D"/>
          </w:tcPr>
          <w:p>
            <w:r>
              <w:rPr>
                <w:b/>
                <w:color w:val="FFFFFF"/>
                <w:sz w:val="16"/>
              </w:rPr>
              <w:t>Field</w:t>
            </w:r>
          </w:p>
        </w:tc>
        <w:tc>
          <w:tcPr>
            <w:tcW w:type="dxa" w:w="4939"/>
            <w:shd w:fill="17365D"/>
          </w:tcPr>
          <w:p>
            <w:r>
              <w:rPr>
                <w:b/>
                <w:color w:val="FFFFFF"/>
                <w:sz w:val="16"/>
              </w:rPr>
              <w:t>Value</w:t>
            </w:r>
          </w:p>
        </w:tc>
      </w:tr>
      <w:tr>
        <w:trPr>
          <w:cantSplit/>
        </w:trPr>
        <w:tc>
          <w:tcPr>
            <w:tcW w:type="dxa" w:w="4939"/>
            <w:vAlign w:val="top"/>
          </w:tcPr>
          <w:p>
            <w:pPr>
              <w:spacing w:after="20"/>
            </w:pPr>
            <w:r>
              <w:rPr>
                <w:sz w:val="15"/>
              </w:rPr>
              <w:t>Classification</w:t>
            </w:r>
          </w:p>
        </w:tc>
        <w:tc>
          <w:tcPr>
            <w:tcW w:type="dxa" w:w="4939"/>
            <w:vAlign w:val="top"/>
          </w:tcPr>
          <w:p>
            <w:pPr>
              <w:spacing w:after="20"/>
            </w:pPr>
            <w:r>
              <w:rPr>
                <w:sz w:val="15"/>
              </w:rPr>
              <w:t>PUBLIC</w:t>
            </w:r>
          </w:p>
        </w:tc>
      </w:tr>
      <w:tr>
        <w:trPr>
          <w:cantSplit/>
        </w:trPr>
        <w:tc>
          <w:tcPr>
            <w:tcW w:type="dxa" w:w="4939"/>
            <w:vAlign w:val="top"/>
            <w:shd w:fill="EEF4F7"/>
          </w:tcPr>
          <w:p>
            <w:pPr>
              <w:spacing w:after="20"/>
            </w:pPr>
            <w:r>
              <w:rPr>
                <w:sz w:val="15"/>
              </w:rPr>
              <w:t>Audience</w:t>
            </w:r>
          </w:p>
        </w:tc>
        <w:tc>
          <w:tcPr>
            <w:tcW w:type="dxa" w:w="4939"/>
            <w:vAlign w:val="top"/>
            <w:shd w:fill="EEF4F7"/>
          </w:tcPr>
          <w:p>
            <w:pPr>
              <w:spacing w:after="20"/>
            </w:pPr>
            <w:r>
              <w:rPr>
                <w:sz w:val="15"/>
              </w:rPr>
              <w:t>UK financial-services security, engineering, privacy and risk owners</w:t>
            </w:r>
          </w:p>
        </w:tc>
      </w:tr>
      <w:tr>
        <w:trPr>
          <w:cantSplit/>
        </w:trPr>
        <w:tc>
          <w:tcPr>
            <w:tcW w:type="dxa" w:w="4939"/>
            <w:vAlign w:val="top"/>
          </w:tcPr>
          <w:p>
            <w:pPr>
              <w:spacing w:after="20"/>
            </w:pPr>
            <w:r>
              <w:rPr>
                <w:sz w:val="15"/>
              </w:rPr>
              <w:t>Authority</w:t>
            </w:r>
          </w:p>
        </w:tc>
        <w:tc>
          <w:tcPr>
            <w:tcW w:type="dxa" w:w="4939"/>
            <w:vAlign w:val="top"/>
          </w:tcPr>
          <w:p>
            <w:pPr>
              <w:spacing w:after="20"/>
            </w:pPr>
            <w:r>
              <w:rPr>
                <w:sz w:val="15"/>
              </w:rPr>
              <w:t>Candidate until reviewed PR is approved and merged</w:t>
            </w:r>
          </w:p>
        </w:tc>
      </w:tr>
      <w:tr>
        <w:trPr>
          <w:cantSplit/>
        </w:trPr>
        <w:tc>
          <w:tcPr>
            <w:tcW w:type="dxa" w:w="4939"/>
            <w:vAlign w:val="top"/>
            <w:shd w:fill="EEF4F7"/>
          </w:tcPr>
          <w:p>
            <w:pPr>
              <w:spacing w:after="20"/>
            </w:pPr>
            <w:r>
              <w:rPr>
                <w:sz w:val="15"/>
              </w:rPr>
              <w:t>Source baseline</w:t>
            </w:r>
          </w:p>
        </w:tc>
        <w:tc>
          <w:tcPr>
            <w:tcW w:type="dxa" w:w="4939"/>
            <w:vAlign w:val="top"/>
            <w:shd w:fill="EEF4F7"/>
          </w:tcPr>
          <w:p>
            <w:pPr>
              <w:spacing w:after="20"/>
            </w:pPr>
            <w:r>
              <w:rPr>
                <w:sz w:val="15"/>
              </w:rPr>
              <w:t>historical-baseline-v1.0.docx</w:t>
            </w:r>
          </w:p>
        </w:tc>
      </w:tr>
      <w:tr>
        <w:trPr>
          <w:cantSplit/>
        </w:trPr>
        <w:tc>
          <w:tcPr>
            <w:tcW w:type="dxa" w:w="4939"/>
            <w:vAlign w:val="top"/>
          </w:tcPr>
          <w:p>
            <w:pPr>
              <w:spacing w:after="20"/>
            </w:pPr>
            <w:r>
              <w:rPr>
                <w:sz w:val="15"/>
              </w:rPr>
              <w:t>Repository run key</w:t>
            </w:r>
          </w:p>
        </w:tc>
        <w:tc>
          <w:tcPr>
            <w:tcW w:type="dxa" w:w="4939"/>
            <w:vAlign w:val="top"/>
          </w:tcPr>
          <w:p>
            <w:pPr>
              <w:spacing w:after="20"/>
            </w:pPr>
            <w:r>
              <w:rPr>
                <w:sz w:val="15"/>
              </w:rPr>
              <w:t>2026-07-25-v1.1</w:t>
            </w:r>
          </w:p>
        </w:tc>
      </w:tr>
    </w:tbl>
    <w:p/>
    <w:p>
      <w:pPr>
        <w:pStyle w:val="Heading1"/>
      </w:pPr>
      <w:r>
        <w:t>Glossary Update</w:t>
      </w:r>
    </w:p>
    <w:tbl>
      <w:tblPr>
        <w:tblStyle w:val="TableGrid"/>
        <w:tblW w:type="auto" w:w="0"/>
        <w:jc w:val="center"/>
        <w:tblLook w:firstColumn="1" w:firstRow="1" w:lastColumn="0" w:lastRow="0" w:noHBand="0" w:noVBand="1" w:val="04A0"/>
      </w:tblPr>
      <w:tblGrid>
        <w:gridCol w:w="4939"/>
        <w:gridCol w:w="4939"/>
      </w:tblGrid>
      <w:tr>
        <w:trPr>
          <w:tblHeader/>
          <w:cantSplit/>
        </w:trPr>
        <w:tc>
          <w:tcPr>
            <w:tcW w:type="dxa" w:w="4939"/>
            <w:shd w:fill="17365D"/>
          </w:tcPr>
          <w:p>
            <w:r>
              <w:rPr>
                <w:b/>
                <w:color w:val="FFFFFF"/>
                <w:sz w:val="16"/>
              </w:rPr>
              <w:t>Term</w:t>
            </w:r>
          </w:p>
        </w:tc>
        <w:tc>
          <w:tcPr>
            <w:tcW w:type="dxa" w:w="4939"/>
            <w:shd w:fill="17365D"/>
          </w:tcPr>
          <w:p>
            <w:r>
              <w:rPr>
                <w:b/>
                <w:color w:val="FFFFFF"/>
                <w:sz w:val="16"/>
              </w:rPr>
              <w:t>Meaning</w:t>
            </w:r>
          </w:p>
        </w:tc>
      </w:tr>
      <w:tr>
        <w:trPr>
          <w:cantSplit/>
        </w:trPr>
        <w:tc>
          <w:tcPr>
            <w:tcW w:type="dxa" w:w="4939"/>
            <w:vAlign w:val="top"/>
          </w:tcPr>
          <w:p>
            <w:pPr>
              <w:spacing w:after="20"/>
            </w:pPr>
            <w:r>
              <w:rPr>
                <w:sz w:val="15"/>
              </w:rPr>
              <w:t>Current verified</w:t>
            </w:r>
          </w:p>
        </w:tc>
        <w:tc>
          <w:tcPr>
            <w:tcW w:type="dxa" w:w="4939"/>
            <w:vAlign w:val="top"/>
          </w:tcPr>
          <w:p>
            <w:pPr>
              <w:spacing w:after="20"/>
            </w:pPr>
            <w:r>
              <w:rPr>
                <w:sz w:val="15"/>
              </w:rPr>
              <w:t>Supported by evidence acquired during the 25 July 2026 regeneration</w:t>
            </w:r>
          </w:p>
        </w:tc>
      </w:tr>
      <w:tr>
        <w:trPr>
          <w:cantSplit/>
        </w:trPr>
        <w:tc>
          <w:tcPr>
            <w:tcW w:type="dxa" w:w="4939"/>
            <w:vAlign w:val="top"/>
            <w:shd w:fill="EEF4F7"/>
          </w:tcPr>
          <w:p>
            <w:pPr>
              <w:spacing w:after="20"/>
            </w:pPr>
            <w:r>
              <w:rPr>
                <w:sz w:val="15"/>
              </w:rPr>
              <w:t>Historical verified</w:t>
            </w:r>
          </w:p>
        </w:tc>
        <w:tc>
          <w:tcPr>
            <w:tcW w:type="dxa" w:w="4939"/>
            <w:vAlign w:val="top"/>
            <w:shd w:fill="EEF4F7"/>
          </w:tcPr>
          <w:p>
            <w:pPr>
              <w:spacing w:after="20"/>
            </w:pPr>
            <w:r>
              <w:rPr>
                <w:sz w:val="15"/>
              </w:rPr>
              <w:t>Supported by retained evidence from the original assessment but not repeated on a current representative host</w:t>
            </w:r>
          </w:p>
        </w:tc>
      </w:tr>
      <w:tr>
        <w:trPr>
          <w:cantSplit/>
        </w:trPr>
        <w:tc>
          <w:tcPr>
            <w:tcW w:type="dxa" w:w="4939"/>
            <w:vAlign w:val="top"/>
          </w:tcPr>
          <w:p>
            <w:pPr>
              <w:spacing w:after="20"/>
            </w:pPr>
            <w:r>
              <w:rPr>
                <w:sz w:val="15"/>
              </w:rPr>
              <w:t>Not observed</w:t>
            </w:r>
          </w:p>
        </w:tc>
        <w:tc>
          <w:tcPr>
            <w:tcW w:type="dxa" w:w="4939"/>
            <w:vAlign w:val="top"/>
          </w:tcPr>
          <w:p>
            <w:pPr>
              <w:spacing w:after="20"/>
            </w:pPr>
            <w:r>
              <w:rPr>
                <w:sz w:val="15"/>
              </w:rPr>
              <w:t>No representative runtime evidence was obtained</w:t>
            </w:r>
          </w:p>
        </w:tc>
      </w:tr>
      <w:tr>
        <w:trPr>
          <w:cantSplit/>
        </w:trPr>
        <w:tc>
          <w:tcPr>
            <w:tcW w:type="dxa" w:w="4939"/>
            <w:vAlign w:val="top"/>
            <w:shd w:fill="EEF4F7"/>
          </w:tcPr>
          <w:p>
            <w:pPr>
              <w:spacing w:after="20"/>
            </w:pPr>
            <w:r>
              <w:rPr>
                <w:sz w:val="15"/>
              </w:rPr>
              <w:t>Blocked</w:t>
            </w:r>
          </w:p>
        </w:tc>
        <w:tc>
          <w:tcPr>
            <w:tcW w:type="dxa" w:w="4939"/>
            <w:vAlign w:val="top"/>
            <w:shd w:fill="EEF4F7"/>
          </w:tcPr>
          <w:p>
            <w:pPr>
              <w:spacing w:after="20"/>
            </w:pPr>
            <w:r>
              <w:rPr>
                <w:sz w:val="15"/>
              </w:rPr>
              <w:t>Selected analysis could not run because a required disposable host, account, or credential was unavailable</w:t>
            </w:r>
          </w:p>
        </w:tc>
      </w:tr>
      <w:tr>
        <w:trPr>
          <w:cantSplit/>
        </w:trPr>
        <w:tc>
          <w:tcPr>
            <w:tcW w:type="dxa" w:w="4939"/>
            <w:vAlign w:val="top"/>
          </w:tcPr>
          <w:p>
            <w:pPr>
              <w:spacing w:after="20"/>
            </w:pPr>
            <w:r>
              <w:rPr>
                <w:sz w:val="15"/>
              </w:rPr>
              <w:t>Control strength</w:t>
            </w:r>
          </w:p>
        </w:tc>
        <w:tc>
          <w:tcPr>
            <w:tcW w:type="dxa" w:w="4939"/>
            <w:vAlign w:val="top"/>
          </w:tcPr>
          <w:p>
            <w:pPr>
              <w:spacing w:after="20"/>
            </w:pPr>
            <w:r>
              <w:rPr>
                <w:sz w:val="15"/>
              </w:rPr>
              <w:t>Assurance rating based on enforcement and verification rather than intent</w:t>
            </w:r>
          </w:p>
        </w:tc>
      </w:tr>
    </w:tbl>
    <w:p/>
    <w:p>
      <w:pPr>
        <w:pStyle w:val="Heading1"/>
      </w:pPr>
      <w:r>
        <w:t>Current Primary References</w:t>
      </w:r>
    </w:p>
    <w:p>
      <w:r>
        <w:t xml:space="preserve">REF-M01 — Official Microsoft Learn MCP repository: </w:t>
      </w:r>
      <w:hyperlink r:id="rId40">
        <w:r>
          <w:rPr>
            <w:color w:val="0563C1"/>
            <w:u w:val="single"/>
          </w:rPr>
          <w:t>open primary source</w:t>
        </w:r>
      </w:hyperlink>
      <w:r>
        <w:t xml:space="preserve"> (accessed 25 July 2026).</w:t>
      </w:r>
    </w:p>
    <w:p>
      <w:r>
        <w:t xml:space="preserve">REF-M02 — Microsoft Learn MCP developer reference: </w:t>
      </w:r>
      <w:hyperlink r:id="rId12">
        <w:r>
          <w:rPr>
            <w:color w:val="0563C1"/>
            <w:u w:val="single"/>
          </w:rPr>
          <w:t>open primary source</w:t>
        </w:r>
      </w:hyperlink>
      <w:r>
        <w:t xml:space="preserve"> (accessed 25 July 2026).</w:t>
      </w:r>
    </w:p>
    <w:p>
      <w:r>
        <w:t xml:space="preserve">REF-M03 — Microsoft Learn MCP frequently asked questions: </w:t>
      </w:r>
      <w:hyperlink r:id="rId17">
        <w:r>
          <w:rPr>
            <w:color w:val="0563C1"/>
            <w:u w:val="single"/>
          </w:rPr>
          <w:t>open primary source</w:t>
        </w:r>
      </w:hyperlink>
      <w:r>
        <w:t xml:space="preserve"> (accessed 25 July 2026).</w:t>
      </w:r>
    </w:p>
    <w:p>
      <w:r>
        <w:t xml:space="preserve">REF-M04 — @microsoft/learn-cli 0.1.0: </w:t>
      </w:r>
      <w:hyperlink r:id="rId41">
        <w:r>
          <w:rPr>
            <w:color w:val="0563C1"/>
            <w:u w:val="single"/>
          </w:rPr>
          <w:t>open primary source</w:t>
        </w:r>
      </w:hyperlink>
      <w:r>
        <w:t xml:space="preserve"> (accessed 25 July 2026).</w:t>
      </w:r>
    </w:p>
    <w:p>
      <w:r>
        <w:t xml:space="preserve">REF-C01 — VS Code MCP servers: </w:t>
      </w:r>
      <w:hyperlink r:id="rId18">
        <w:r>
          <w:rPr>
            <w:color w:val="0563C1"/>
            <w:u w:val="single"/>
          </w:rPr>
          <w:t>open primary source</w:t>
        </w:r>
      </w:hyperlink>
      <w:r>
        <w:t xml:space="preserve"> (accessed 25 July 2026).</w:t>
      </w:r>
    </w:p>
    <w:p>
      <w:r>
        <w:t xml:space="preserve">REF-C02 — Visual Studio MCP servers: </w:t>
      </w:r>
      <w:hyperlink r:id="rId20">
        <w:r>
          <w:rPr>
            <w:color w:val="0563C1"/>
            <w:u w:val="single"/>
          </w:rPr>
          <w:t>open primary source</w:t>
        </w:r>
      </w:hyperlink>
      <w:r>
        <w:t xml:space="preserve"> (accessed 25 July 2026).</w:t>
      </w:r>
    </w:p>
    <w:p>
      <w:r>
        <w:t xml:space="preserve">REF-C03 — OWASP Top 10 for LLM Applications 2025: </w:t>
      </w:r>
      <w:hyperlink r:id="rId42">
        <w:r>
          <w:rPr>
            <w:color w:val="0563C1"/>
            <w:u w:val="single"/>
          </w:rPr>
          <w:t>open primary source</w:t>
        </w:r>
      </w:hyperlink>
      <w:r>
        <w:t xml:space="preserve"> (accessed 25 July 2026).</w:t>
      </w:r>
    </w:p>
    <w:p>
      <w:r>
        <w:t xml:space="preserve">REF-C04 — OWASP MCP Top 10: </w:t>
      </w:r>
      <w:hyperlink r:id="rId30">
        <w:r>
          <w:rPr>
            <w:color w:val="0563C1"/>
            <w:u w:val="single"/>
          </w:rPr>
          <w:t>open primary source</w:t>
        </w:r>
      </w:hyperlink>
      <w:r>
        <w:t xml:space="preserve"> (accessed 25 July 2026).</w:t>
      </w:r>
    </w:p>
    <w:p>
      <w:r>
        <w:t xml:space="preserve">REF-C05 — NIST AI Risk Management Framework: </w:t>
      </w:r>
      <w:hyperlink r:id="rId32">
        <w:r>
          <w:rPr>
            <w:color w:val="0563C1"/>
            <w:u w:val="single"/>
          </w:rPr>
          <w:t>open primary source</w:t>
        </w:r>
      </w:hyperlink>
      <w:r>
        <w:t xml:space="preserve"> (accessed 25 July 2026).</w:t>
      </w:r>
    </w:p>
    <w:p>
      <w:r>
        <w:t xml:space="preserve">REF-C06 — NCSC secure AI system development: </w:t>
      </w:r>
      <w:hyperlink r:id="rId43">
        <w:r>
          <w:rPr>
            <w:color w:val="0563C1"/>
            <w:u w:val="single"/>
          </w:rPr>
          <w:t>open primary source</w:t>
        </w:r>
      </w:hyperlink>
      <w:r>
        <w:t xml:space="preserve"> (accessed 25 July 2026).</w:t>
      </w:r>
    </w:p>
    <w:p>
      <w:r>
        <w:t xml:space="preserve">REF-C07 — ICO AI and data-protection guidance: </w:t>
      </w:r>
      <w:hyperlink r:id="rId44">
        <w:r>
          <w:rPr>
            <w:color w:val="0563C1"/>
            <w:u w:val="single"/>
          </w:rPr>
          <w:t>open primary source</w:t>
        </w:r>
      </w:hyperlink>
      <w:r>
        <w:t xml:space="preserve"> (accessed 25 July 2026).</w:t>
      </w:r>
    </w:p>
    <w:p>
      <w:r>
        <w:t xml:space="preserve">REF-C08 — FCA operational resilience: </w:t>
      </w:r>
      <w:hyperlink r:id="rId25">
        <w:r>
          <w:rPr>
            <w:color w:val="0563C1"/>
            <w:u w:val="single"/>
          </w:rPr>
          <w:t>open primary source</w:t>
        </w:r>
      </w:hyperlink>
      <w:r>
        <w:t xml:space="preserve"> (accessed 25 July 2026).</w:t>
      </w:r>
    </w:p>
    <w:p>
      <w:r>
        <w:t xml:space="preserve">REF-C09 — PRA SS2/21 third-party risk: </w:t>
      </w:r>
      <w:hyperlink r:id="rId26">
        <w:r>
          <w:rPr>
            <w:color w:val="0563C1"/>
            <w:u w:val="single"/>
          </w:rPr>
          <w:t>open primary source</w:t>
        </w:r>
      </w:hyperlink>
      <w:r>
        <w:t xml:space="preserve"> (accessed 25 July 2026).</w:t>
      </w:r>
    </w:p>
    <w:sectPr>
      <w:headerReference w:type="default" r:id="rId9"/>
      <w:footerReference w:type="default" r:id="rId10"/>
      <w:headerReference w:type="even" r:id="rId37"/>
      <w:footerReference w:type="even" r:id="rId38"/>
      <w:pgSz w:w="12240" w:h="15840"/>
      <w:pgMar w:top="1152"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PUBLIC  |  Microsoft Learn MCP Security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PUBLIC  |  Microsoft Learn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648" w:hanging="317"/>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648" w:hanging="317"/>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training/support/mcp" TargetMode="External"/><Relationship Id="rId12" Type="http://schemas.openxmlformats.org/officeDocument/2006/relationships/hyperlink" Target="https://learn.microsoft.com/en-us/training/support/mcp-developer-reference" TargetMode="External"/><Relationship Id="rId13" Type="http://schemas.openxmlformats.org/officeDocument/2006/relationships/hyperlink" Target="https://learn.microsoft.com/en-us/training/support/mcp-best-practices" TargetMode="External"/><Relationship Id="rId14" Type="http://schemas.openxmlformats.org/officeDocument/2006/relationships/hyperlink" Target="https://learn.microsoft.com/en-us/training/support/mcp-release-notes" TargetMode="External"/><Relationship Id="rId15" Type="http://schemas.openxmlformats.org/officeDocument/2006/relationships/hyperlink" Target="https://learn.microsoft.com/en-us/training/support/mcp-get-started" TargetMode="External"/><Relationship Id="rId16" Type="http://schemas.openxmlformats.org/officeDocument/2006/relationships/hyperlink" Target="https://github.com/MicrosoftDocs/mcp" TargetMode="External"/><Relationship Id="rId17" Type="http://schemas.openxmlformats.org/officeDocument/2006/relationships/hyperlink" Target="https://learn.microsoft.com/en-us/training/support/mcp-faq" TargetMode="External"/><Relationship Id="rId18" Type="http://schemas.openxmlformats.org/officeDocument/2006/relationships/hyperlink" Target="https://code.visualstudio.com/docs/agent-customization/mcp-servers" TargetMode="External"/><Relationship Id="rId19" Type="http://schemas.openxmlformats.org/officeDocument/2006/relationships/hyperlink" Target="https://code.visualstudio.com/docs/agents/reference/mcp-configuration" TargetMode="External"/><Relationship Id="rId20" Type="http://schemas.openxmlformats.org/officeDocument/2006/relationships/hyperlink" Target="https://learn.microsoft.com/en-us/visualstudio/ide/mcp-servers?view=visualstudio" TargetMode="External"/><Relationship Id="rId21" Type="http://schemas.openxmlformats.org/officeDocument/2006/relationships/hyperlink" Target="https://learn.microsoft.com/en-us/visualstudio/ide/visual-studio-github-copilot-admin?view=visualstudio" TargetMode="External"/><Relationship Id="rId22" Type="http://schemas.openxmlformats.org/officeDocument/2006/relationships/hyperlink" Target="https://www.microsoft.com/en-us/privacy/privacystatement" TargetMode="External"/><Relationship Id="rId23" Type="http://schemas.openxmlformats.org/officeDocument/2006/relationships/hyperlink" Target="https://learn.microsoft.com/en-us/legal/microsoft-apis/terms-of-use" TargetMode="External"/><Relationship Id="rId24" Type="http://schemas.openxmlformats.org/officeDocument/2006/relationships/hyperlink" Target="https://handbook.fca.org.uk/handbook/sysc8?timeline=true" TargetMode="External"/><Relationship Id="rId25" Type="http://schemas.openxmlformats.org/officeDocument/2006/relationships/hyperlink" Target="https://www.fca.org.uk/firms/operational-resilience" TargetMode="External"/><Relationship Id="rId26" Type="http://schemas.openxmlformats.org/officeDocument/2006/relationships/hyperlink" Target="https://www.bankofengland.co.uk/prudential-regulation/publication/2021/march/outsourcing-and-third-party-risk-management-ss" TargetMode="External"/><Relationship Id="rId27" Type="http://schemas.openxmlformats.org/officeDocument/2006/relationships/hyperlink" Target="https://ico.org.uk/for-organisations/uk-gdpr-guidance-and-resources/artificial-intelligence/guidance-on-ai-and-data-protection/how-should-we-assess-security-and-data-minimisation-in-ai/" TargetMode="External"/><Relationship Id="rId28" Type="http://schemas.openxmlformats.org/officeDocument/2006/relationships/hyperlink" Target="https://www.ncsc.gov.uk/collection/guidelines-secure-ai-system-development/introduction" TargetMode="External"/><Relationship Id="rId29" Type="http://schemas.openxmlformats.org/officeDocument/2006/relationships/hyperlink" Target="https://owasp.org/www-project-top-10-for-large-language-model-applications/" TargetMode="External"/><Relationship Id="rId30" Type="http://schemas.openxmlformats.org/officeDocument/2006/relationships/hyperlink" Target="https://owasp.org/www-project-mcp-top-10/" TargetMode="External"/><Relationship Id="rId31" Type="http://schemas.openxmlformats.org/officeDocument/2006/relationships/hyperlink" Target="https://genai.owasp.org/resource/owasp-top-10-for-agentic-applications-for-2026/" TargetMode="External"/><Relationship Id="rId32" Type="http://schemas.openxmlformats.org/officeDocument/2006/relationships/hyperlink" Target="https://www.nist.gov/itl/ai-risk-management-framework" TargetMode="External"/><Relationship Id="rId33" Type="http://schemas.openxmlformats.org/officeDocument/2006/relationships/hyperlink" Target="https://www.nist.gov/publications/artificial-intelligence-risk-management-framework-generative-artificial-intelligence" TargetMode="External"/><Relationship Id="rId34" Type="http://schemas.openxmlformats.org/officeDocument/2006/relationships/hyperlink" Target="https://atlas.mitre.org/" TargetMode="External"/><Relationship Id="rId35" Type="http://schemas.openxmlformats.org/officeDocument/2006/relationships/hyperlink" Target="https://www.cisecurity.org/insights/white-papers/cis-critical-security-controls-v8-1" TargetMode="External"/><Relationship Id="rId36" Type="http://schemas.openxmlformats.org/officeDocument/2006/relationships/hyperlink" Target="https://www.iso.org/standard/iso-iec-27000-family" TargetMode="External"/><Relationship Id="rId37" Type="http://schemas.openxmlformats.org/officeDocument/2006/relationships/header" Target="header2.xml"/><Relationship Id="rId38" Type="http://schemas.openxmlformats.org/officeDocument/2006/relationships/footer" Target="footer2.xml"/><Relationship Id="rId39" Type="http://schemas.openxmlformats.org/officeDocument/2006/relationships/image" Target="media/image1.png"/><Relationship Id="rId40" Type="http://schemas.openxmlformats.org/officeDocument/2006/relationships/hyperlink" Target="https://github.com/microsoftdocs/mcp" TargetMode="External"/><Relationship Id="rId41" Type="http://schemas.openxmlformats.org/officeDocument/2006/relationships/hyperlink" Target="https://www.npmjs.com/package/@microsoft/learn-cli/v/0.1.0" TargetMode="External"/><Relationship Id="rId42" Type="http://schemas.openxmlformats.org/officeDocument/2006/relationships/hyperlink" Target="https://genai.owasp.org/resource/owasp-top-10-for-llm-applications-2025/" TargetMode="External"/><Relationship Id="rId43" Type="http://schemas.openxmlformats.org/officeDocument/2006/relationships/hyperlink" Target="https://www.ncsc.gov.uk/collection/guidelines-secure-ai-system-development" TargetMode="External"/><Relationship Id="rId44" Type="http://schemas.openxmlformats.org/officeDocument/2006/relationships/hyperlink" Target="https://ico.org.uk/for-organisations/uk-gdpr-guidance-and-resources/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Learn MCP Server Security Assessment</dc:title>
  <dc:subject>VS Code and Visual Studio MCP security assessment</dc:subject>
  <dc:creator/>
  <cp:keywords>MCP, VS Code, Visual Studio, security assessment, UK financial services</cp:keywords>
  <dc:description>Static and malware analysis completed; runtime analysis selected but blocked because disposable representative hosts were unavailable.</dc:description>
  <cp:lastModifiedBy/>
  <cp:revision>1</cp:revision>
  <dcterms:created xsi:type="dcterms:W3CDTF">2013-12-23T23:15:00Z</dcterms:created>
  <dcterms:modified xsi:type="dcterms:W3CDTF">2013-12-23T23:15:00Z</dcterms:modified>
  <cp:category/>
</cp:coreProperties>
</file>