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7A5A00"/>
          <w:sz w:val="22"/>
        </w:rPr>
        <w:t>SECURITY ASSESSMENT</w:t>
      </w:r>
    </w:p>
    <w:p>
      <w:pPr>
        <w:pStyle w:val="Title"/>
        <w:jc w:val="center"/>
      </w:pPr>
      <w:r>
        <w:t>Playwright MCP</w:t>
      </w:r>
    </w:p>
    <w:p>
      <w:pPr>
        <w:pStyle w:val="Subtitle"/>
        <w:jc w:val="center"/>
      </w:pPr>
      <w:r>
        <w:t>VS Code and Visual Studio | @playwright/mcp 0.0.78</w:t>
      </w:r>
    </w:p>
    <w:tbl>
      <w:tblPr>
        <w:tblStyle w:val="TableGrid"/>
        <w:tblW w:type="dxa" w:w="9360"/>
        <w:tblLayout w:type="fixed"/>
        <w:tblLook w:firstColumn="1" w:firstRow="1" w:lastColumn="0" w:lastRow="0" w:noHBand="0" w:noVBand="1" w:val="04A0"/>
        <w:jc w:val="left"/>
        <w:tblInd w:w="120" w:type="dxa"/>
        <w:tblInd w:w="120" w:type="dxa"/>
        <w:tblInd w:w="120" w:type="dxa"/>
        <w:tblInd w:w="120" w:type="dxa"/>
        <w:tblInd w:w="120" w:type="dxa"/>
        <w:tblInd w:w="120" w:type="dxa"/>
        <w:tblInd w:w="120" w:type="dxa"/>
        <w:tblInd w:w="120" w:type="dxa"/>
      </w:tblPr>
      <w:tblGrid>
        <w:gridCol w:w="2500"/>
        <w:gridCol w:w="6860"/>
      </w:tblGrid>
      <w:tr>
        <w:trPr>
          <w:tblHeader w:val="true"/>
          <w:cantSplit/>
        </w:trPr>
        <w:tc>
          <w:tcPr>
            <w:tcW w:type="dxa" w:w="2500"/>
            <w:vAlign w:val="center"/>
            <w:tcMar>
              <w:top w:w="80" w:type="dxa"/>
              <w:start w:w="120" w:type="dxa"/>
              <w:bottom w:w="80" w:type="dxa"/>
              <w:end w:w="120" w:type="dxa"/>
            </w:tcMar>
            <w:shd w:fill="E8EEF5"/>
          </w:tcPr>
          <w:p>
            <w:pPr>
              <w:keepNext/>
            </w:pPr>
            <w:r>
              <w:rPr>
                <w:b/>
              </w:rPr>
              <w:t>Document control</w:t>
            </w:r>
          </w:p>
        </w:tc>
        <w:tc>
          <w:tcPr>
            <w:tcW w:type="dxa" w:w="6860"/>
            <w:vAlign w:val="center"/>
            <w:tcMar>
              <w:top w:w="80" w:type="dxa"/>
              <w:start w:w="120" w:type="dxa"/>
              <w:bottom w:w="80" w:type="dxa"/>
              <w:end w:w="120" w:type="dxa"/>
            </w:tcMar>
            <w:shd w:fill="E8EEF5"/>
          </w:tcPr>
          <w:p>
            <w:pPr>
              <w:keepNext/>
            </w:pPr>
            <w:r>
              <w:rPr>
                <w:b/>
              </w:rPr>
              <w:t>Value</w:t>
            </w:r>
          </w:p>
        </w:tc>
      </w:tr>
      <w:tr>
        <w:trPr>
          <w:cantSplit/>
        </w:trPr>
        <w:tc>
          <w:tcPr>
            <w:tcW w:type="dxa" w:w="2500"/>
            <w:vAlign w:val="center"/>
            <w:tcMar>
              <w:top w:w="80" w:type="dxa"/>
              <w:start w:w="120" w:type="dxa"/>
              <w:bottom w:w="80" w:type="dxa"/>
              <w:end w:w="120" w:type="dxa"/>
            </w:tcMar>
          </w:tcPr>
          <w:p>
            <w:r>
              <w:t>Decision</w:t>
            </w:r>
          </w:p>
        </w:tc>
        <w:tc>
          <w:tcPr>
            <w:tcW w:type="dxa" w:w="6860"/>
            <w:vAlign w:val="center"/>
            <w:tcMar>
              <w:top w:w="80" w:type="dxa"/>
              <w:start w:w="120" w:type="dxa"/>
              <w:bottom w:w="80" w:type="dxa"/>
              <w:end w:w="120" w:type="dxa"/>
            </w:tcMar>
          </w:tcPr>
          <w:p>
            <w:r>
              <w:t>Approve with conditions</w:t>
            </w:r>
          </w:p>
        </w:tc>
      </w:tr>
      <w:tr>
        <w:trPr>
          <w:cantSplit/>
        </w:trPr>
        <w:tc>
          <w:tcPr>
            <w:tcW w:type="dxa" w:w="2500"/>
            <w:vAlign w:val="center"/>
            <w:tcMar>
              <w:top w:w="80" w:type="dxa"/>
              <w:start w:w="120" w:type="dxa"/>
              <w:bottom w:w="80" w:type="dxa"/>
              <w:end w:w="120" w:type="dxa"/>
            </w:tcMar>
          </w:tcPr>
          <w:p>
            <w:r>
              <w:t>Overall residual risk</w:t>
            </w:r>
          </w:p>
        </w:tc>
        <w:tc>
          <w:tcPr>
            <w:tcW w:type="dxa" w:w="6860"/>
            <w:vAlign w:val="center"/>
            <w:tcMar>
              <w:top w:w="80" w:type="dxa"/>
              <w:start w:w="120" w:type="dxa"/>
              <w:bottom w:w="80" w:type="dxa"/>
              <w:end w:w="120" w:type="dxa"/>
            </w:tcMar>
          </w:tcPr>
          <w:p>
            <w:r>
              <w:t>High</w:t>
            </w:r>
          </w:p>
        </w:tc>
      </w:tr>
      <w:tr>
        <w:trPr>
          <w:cantSplit/>
        </w:trPr>
        <w:tc>
          <w:tcPr>
            <w:tcW w:type="dxa" w:w="2500"/>
            <w:vAlign w:val="center"/>
            <w:tcMar>
              <w:top w:w="80" w:type="dxa"/>
              <w:start w:w="120" w:type="dxa"/>
              <w:bottom w:w="80" w:type="dxa"/>
              <w:end w:w="120" w:type="dxa"/>
            </w:tcMar>
          </w:tcPr>
          <w:p>
            <w:r>
              <w:t>Assessment date</w:t>
            </w:r>
          </w:p>
        </w:tc>
        <w:tc>
          <w:tcPr>
            <w:tcW w:type="dxa" w:w="6860"/>
            <w:vAlign w:val="center"/>
            <w:tcMar>
              <w:top w:w="80" w:type="dxa"/>
              <w:start w:w="120" w:type="dxa"/>
              <w:bottom w:w="80" w:type="dxa"/>
              <w:end w:w="120" w:type="dxa"/>
            </w:tcMar>
          </w:tcPr>
          <w:p>
            <w:r>
              <w:t>25 July 2026</w:t>
            </w:r>
          </w:p>
        </w:tc>
      </w:tr>
      <w:tr>
        <w:trPr>
          <w:cantSplit/>
        </w:trPr>
        <w:tc>
          <w:tcPr>
            <w:tcW w:type="dxa" w:w="2500"/>
            <w:vAlign w:val="center"/>
            <w:tcMar>
              <w:top w:w="80" w:type="dxa"/>
              <w:start w:w="120" w:type="dxa"/>
              <w:bottom w:w="80" w:type="dxa"/>
              <w:end w:w="120" w:type="dxa"/>
            </w:tcMar>
          </w:tcPr>
          <w:p>
            <w:r>
              <w:t>Document version</w:t>
            </w:r>
          </w:p>
        </w:tc>
        <w:tc>
          <w:tcPr>
            <w:tcW w:type="dxa" w:w="6860"/>
            <w:vAlign w:val="center"/>
            <w:tcMar>
              <w:top w:w="80" w:type="dxa"/>
              <w:start w:w="120" w:type="dxa"/>
              <w:bottom w:w="80" w:type="dxa"/>
              <w:end w:w="120" w:type="dxa"/>
            </w:tcMar>
          </w:tcPr>
          <w:p>
            <w:r>
              <w:t>1.1</w:t>
            </w:r>
          </w:p>
        </w:tc>
      </w:tr>
      <w:tr>
        <w:trPr>
          <w:cantSplit/>
        </w:trPr>
        <w:tc>
          <w:tcPr>
            <w:tcW w:type="dxa" w:w="2500"/>
            <w:vAlign w:val="center"/>
            <w:tcMar>
              <w:top w:w="80" w:type="dxa"/>
              <w:start w:w="120" w:type="dxa"/>
              <w:bottom w:w="80" w:type="dxa"/>
              <w:end w:w="120" w:type="dxa"/>
            </w:tcMar>
          </w:tcPr>
          <w:p>
            <w:r>
              <w:t>Classification</w:t>
            </w:r>
          </w:p>
        </w:tc>
        <w:tc>
          <w:tcPr>
            <w:tcW w:type="dxa" w:w="6860"/>
            <w:vAlign w:val="center"/>
            <w:tcMar>
              <w:top w:w="80" w:type="dxa"/>
              <w:start w:w="120" w:type="dxa"/>
              <w:bottom w:w="80" w:type="dxa"/>
              <w:end w:w="120" w:type="dxa"/>
            </w:tcMar>
          </w:tcPr>
          <w:p>
            <w:r>
              <w:t>PUBLIC</w:t>
            </w:r>
          </w:p>
        </w:tc>
      </w:tr>
      <w:tr>
        <w:trPr>
          <w:cantSplit/>
        </w:trPr>
        <w:tc>
          <w:tcPr>
            <w:tcW w:type="dxa" w:w="2500"/>
            <w:vAlign w:val="center"/>
            <w:tcMar>
              <w:top w:w="80" w:type="dxa"/>
              <w:start w:w="120" w:type="dxa"/>
              <w:bottom w:w="80" w:type="dxa"/>
              <w:end w:w="120" w:type="dxa"/>
            </w:tcMar>
          </w:tcPr>
          <w:p>
            <w:r>
              <w:t>Runtime analysis</w:t>
            </w:r>
          </w:p>
        </w:tc>
        <w:tc>
          <w:tcPr>
            <w:tcW w:type="dxa" w:w="6860"/>
            <w:vAlign w:val="center"/>
            <w:tcMar>
              <w:top w:w="80" w:type="dxa"/>
              <w:start w:w="120" w:type="dxa"/>
              <w:bottom w:w="80" w:type="dxa"/>
              <w:end w:w="120" w:type="dxa"/>
            </w:tcMar>
          </w:tcPr>
          <w:p>
            <w:r>
              <w:t>Selected; blocked or historical only as stated in the current limitations</w:t>
            </w:r>
          </w:p>
        </w:tc>
      </w:tr>
      <w:tr>
        <w:trPr>
          <w:cantSplit/>
        </w:trPr>
        <w:tc>
          <w:tcPr>
            <w:tcW w:type="dxa" w:w="2500"/>
            <w:vAlign w:val="center"/>
            <w:tcMar>
              <w:top w:w="80" w:type="dxa"/>
              <w:start w:w="120" w:type="dxa"/>
              <w:bottom w:w="80" w:type="dxa"/>
              <w:end w:w="120" w:type="dxa"/>
            </w:tcMar>
          </w:tcPr>
          <w:p>
            <w:r>
              <w:t>Malware-focused review</w:t>
            </w:r>
          </w:p>
        </w:tc>
        <w:tc>
          <w:tcPr>
            <w:tcW w:type="dxa" w:w="6860"/>
            <w:vAlign w:val="center"/>
            <w:tcMar>
              <w:top w:w="80" w:type="dxa"/>
              <w:start w:w="120" w:type="dxa"/>
              <w:bottom w:w="80" w:type="dxa"/>
              <w:end w:w="120" w:type="dxa"/>
            </w:tcMar>
          </w:tcPr>
          <w:p>
            <w:r>
              <w:t>Yes; current evidence retained with explicit scope limits</w:t>
            </w:r>
          </w:p>
        </w:tc>
      </w:tr>
    </w:tbl>
    <w:p>
      <w:pPr>
        <w:spacing w:after="0"/>
      </w:pPr>
    </w:p>
    <w:p>
      <w:r>
        <w:t>Authoritative detailed assessment. Current static and malware evidence; production approval is deferred pending representative host verification.</w:t>
      </w:r>
    </w:p>
    <w:p>
      <w:r>
        <w:br w:type="page"/>
      </w:r>
    </w:p>
    <w:p>
      <w:bookmarkStart w:id="900" w:name="TOC"/>
      <w:pPr>
        <w:pStyle w:val="Heading1"/>
        <w:keepNext/>
      </w:pPr>
      <w:r>
        <w:t>Contents</w:t>
      </w:r>
      <w:bookmarkEnd w:id="900"/>
    </w:p>
    <w:p>
      <w:r>
        <w:t>1. Executive Summary</w:t>
      </w:r>
    </w:p>
    <w:p>
      <w:r>
        <w:t>2. Purpose &amp; Function Overview</w:t>
      </w:r>
    </w:p>
    <w:p>
      <w:r>
        <w:t>3. Scope, Assumptions, Methodology and Criteria</w:t>
      </w:r>
    </w:p>
    <w:p>
      <w:r>
        <w:t>4. Product Identity and Version</w:t>
      </w:r>
    </w:p>
    <w:p>
      <w:r>
        <w:t>Part I — VS Code Assessment</w:t>
      </w:r>
    </w:p>
    <w:p>
      <w:r>
        <w:t>Part II — Visual Studio Assessment</w:t>
      </w:r>
    </w:p>
    <w:p>
      <w:r>
        <w:t>Part III — Installed Agent Skills</w:t>
      </w:r>
    </w:p>
    <w:p>
      <w:r>
        <w:t>8. Cross-IDE Comparison and Composition Risks</w:t>
      </w:r>
    </w:p>
    <w:p>
      <w:r>
        <w:t>9. Consolidated Supply Chain Assessment</w:t>
      </w:r>
    </w:p>
    <w:p>
      <w:r>
        <w:t>10. Privacy and Data Protection Assessment</w:t>
      </w:r>
    </w:p>
    <w:p>
      <w:r>
        <w:t>11. Enterprise Controls Roadmap</w:t>
      </w:r>
    </w:p>
    <w:p>
      <w:r>
        <w:t>12. Detection and Monitoring Plan</w:t>
      </w:r>
    </w:p>
    <w:p>
      <w:r>
        <w:t>13. Consolidated Risk Register</w:t>
      </w:r>
    </w:p>
    <w:p>
      <w:r>
        <w:t>14. Residual Risk and Approval Recommendation</w:t>
      </w:r>
    </w:p>
    <w:p>
      <w:r>
        <w:t>15. Limitations and Confidence</w:t>
      </w:r>
    </w:p>
    <w:p>
      <w:r>
        <w:t>16. Evidence Register</w:t>
      </w:r>
    </w:p>
    <w:p>
      <w:r>
        <w:t>17. References</w:t>
      </w:r>
    </w:p>
    <w:p>
      <w:r>
        <w:t>Appendix A — Installation Manifest</w:t>
      </w:r>
    </w:p>
    <w:p>
      <w:r>
        <w:t>Appendix B — Host Verification Plan</w:t>
      </w:r>
    </w:p>
    <w:p>
      <w:r>
        <w:br w:type="page"/>
      </w:r>
    </w:p>
    <w:p>
      <w:pPr>
        <w:pStyle w:val="Heading1"/>
        <w:keepNext/>
      </w:pPr>
      <w:r>
        <w:t>1. Executive Summary</w:t>
      </w:r>
    </w:p>
    <w:p>
      <w:r>
        <w:t>Decision: Approve with conditions for a tightly governed pilot of @playwright/mcp 0.0.78 in VS Code and Visual Studio. Overall residual risk is High until the unsafe code tool is denied, browser execution is isolated, network egress is enforced outside the MCP server, and sensitive identities/data are excluded.</w:t>
      </w:r>
      <w:r>
        <w:t xml:space="preserve"> </w:t>
      </w:r>
      <w:hyperlink w:anchor="REF_001" w:history="1">
        <w:r>
          <w:rPr>
            <w:color w:val="0563C1"/>
            <w:u w:val="single"/>
          </w:rPr>
          <w:t>[REF-001]</w:t>
        </w:r>
      </w:hyperlink>
    </w:p>
    <w:p>
      <w:pPr>
        <w:pStyle w:val="ListBullet"/>
      </w:pPr>
      <w:r>
        <w:t>The product is a Microsoft-published MCP server, not an IDE extension. Both IDEs host it as a local MCP process.</w:t>
      </w:r>
    </w:p>
    <w:p>
      <w:pPr>
        <w:pStyle w:val="ListBullet"/>
      </w:pPr>
      <w:r>
        <w:t>The principal risk is indirect prompt injection: untrusted web content can influence an agent that can click, type, upload, download, inspect storage, and compose with other tools.</w:t>
      </w:r>
    </w:p>
    <w:p>
      <w:pPr>
        <w:pStyle w:val="ListBullet"/>
      </w:pPr>
      <w:r>
        <w:t>Version 0.0.78 contains browser_run_code_unsafe, explicitly described in the inspected implementation as arbitrary JavaScript execution in the server process and RCE-equivalent.</w:t>
      </w:r>
    </w:p>
    <w:p>
      <w:pPr>
        <w:pStyle w:val="ListBullet"/>
      </w:pPr>
      <w:r>
        <w:t>Default network access is broad. The product warns that its origin allow/block lists are not security boundaries and do not control redirects; enforce egress externally.</w:t>
      </w:r>
    </w:p>
    <w:p>
      <w:pPr>
        <w:pStyle w:val="ListBullet"/>
      </w:pPr>
      <w:r>
        <w:t>Persistent profiles, storage state, screenshots, traces, downloads and logs can contain personal data or credentials. Use isolated synthetic sessions and short retention.</w:t>
      </w:r>
    </w:p>
    <w:p>
      <w:pPr>
        <w:pStyle w:val="Heading2"/>
        <w:keepNext/>
      </w:pPr>
      <w:r>
        <w:t>Approval conditions</w:t>
      </w:r>
    </w:p>
    <w:p>
      <w:pPr>
        <w:pStyle w:val="ListBullet"/>
      </w:pPr>
      <w:r>
        <w:t>Pin package 0.0.78 and verified integrity/provenance; prohibit @latest and uncontrolled npx retrieval.</w:t>
      </w:r>
    </w:p>
    <w:p>
      <w:pPr>
        <w:pStyle w:val="ListBullet"/>
      </w:pPr>
      <w:r>
        <w:t>Deny browser_run_code_unsafe and any equivalent dynamic code capability at the IDE policy/tool-approval layer.</w:t>
      </w:r>
    </w:p>
    <w:p>
      <w:pPr>
        <w:pStyle w:val="ListBullet"/>
      </w:pPr>
      <w:r>
        <w:t>Run the MCP server and browser in a disposable, least-privilege container or VM with egress allowlisting, no production credentials and no unrestricted filesystem access.</w:t>
      </w:r>
    </w:p>
    <w:p>
      <w:pPr>
        <w:pStyle w:val="ListBullet"/>
      </w:pPr>
      <w:r>
        <w:t>Require per-call human approval for write/action tools; prohibit bypass/autopilot modes for this server.</w:t>
      </w:r>
    </w:p>
    <w:p>
      <w:pPr>
        <w:pStyle w:val="ListBullet"/>
      </w:pPr>
      <w:r>
        <w:t>Complete the host verification plan in each IDE before production approval; review on version change, control change, incident, or by 15 October 2026.</w:t>
      </w:r>
    </w:p>
    <w:p>
      <w:r>
        <w:t>Accountable owner: Enterprise AI Platform Owner, with Endpoint Security, Data Protection, Software Supply Chain and SOC control owners. Representative IDE runtime validation remains blocked; the current v1.1 regeneration includes malware-focused scanning with explicit scope limits.</w:t>
      </w:r>
    </w:p>
    <w:p>
      <w:pPr>
        <w:pStyle w:val="Heading1"/>
        <w:keepNext/>
      </w:pPr>
      <w:r>
        <w:t>2. Purpose &amp; Function Overview</w:t>
      </w:r>
    </w:p>
    <w:p>
      <w:r>
        <w:t>Playwright MCP exposes browser automation to an MCP-capable AI client through structured accessibility snapshots and action tools. The server can launch or connect to Chromium-family browsers, Firefox or WebKit; navigate sites; interact with page elements; read console/network state; capture artefacts; manage storage; and optionally connect to an existing browser profile.</w:t>
      </w:r>
      <w:r>
        <w:t xml:space="preserve"> </w:t>
      </w:r>
      <w:hyperlink w:anchor="REF_001" w:history="1">
        <w:r>
          <w:rPr>
            <w:color w:val="0563C1"/>
            <w:u w:val="single"/>
          </w:rPr>
          <w:t>[REF-001]</w:t>
        </w:r>
      </w:hyperlink>
    </w:p>
    <w:p>
      <w:r>
        <w:br w:type="page"/>
      </w:r>
    </w:p>
    <w:p>
      <w:pPr>
        <w:pStyle w:val="Heading1"/>
        <w:keepNext/>
      </w:pPr>
      <w:r>
        <w:t>3. Scope, Assumptions, Methodology and Assessment Criteria</w:t>
      </w:r>
    </w:p>
    <w:tbl>
      <w:tblPr>
        <w:tblStyle w:val="TableGrid"/>
        <w:tblW w:type="dxa" w:w="9360"/>
        <w:tblLayout w:type="fixed"/>
        <w:tblLook w:firstColumn="1" w:firstRow="1" w:lastColumn="0" w:lastRow="0" w:noHBand="0" w:noVBand="1" w:val="04A0"/>
        <w:jc w:val="left"/>
        <w:tblInd w:w="120" w:type="dxa"/>
        <w:tblInd w:w="120" w:type="dxa"/>
        <w:tblInd w:w="120" w:type="dxa"/>
        <w:tblInd w:w="120" w:type="dxa"/>
        <w:tblInd w:w="120" w:type="dxa"/>
        <w:tblInd w:w="120" w:type="dxa"/>
        <w:tblInd w:w="120" w:type="dxa"/>
        <w:tblInd w:w="120" w:type="dxa"/>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keepNext/>
            </w:pPr>
            <w:r>
              <w:rPr>
                <w:b/>
              </w:rPr>
              <w:t>Field</w:t>
            </w:r>
          </w:p>
        </w:tc>
        <w:tc>
          <w:tcPr>
            <w:tcW w:type="dxa" w:w="7460"/>
            <w:vAlign w:val="center"/>
            <w:tcMar>
              <w:top w:w="80" w:type="dxa"/>
              <w:start w:w="120" w:type="dxa"/>
              <w:bottom w:w="80" w:type="dxa"/>
              <w:end w:w="120" w:type="dxa"/>
            </w:tcMar>
            <w:shd w:fill="E8EEF5"/>
          </w:tcPr>
          <w:p>
            <w:pPr>
              <w:keepNext/>
            </w:pPr>
            <w:r>
              <w:rPr>
                <w:b/>
              </w:rPr>
              <w:t>Assessment basis</w:t>
            </w:r>
          </w:p>
        </w:tc>
      </w:tr>
      <w:tr>
        <w:trPr>
          <w:cantSplit/>
        </w:trPr>
        <w:tc>
          <w:tcPr>
            <w:tcW w:type="dxa" w:w="1900"/>
            <w:vAlign w:val="center"/>
            <w:tcMar>
              <w:top w:w="80" w:type="dxa"/>
              <w:start w:w="120" w:type="dxa"/>
              <w:bottom w:w="80" w:type="dxa"/>
              <w:end w:w="120" w:type="dxa"/>
            </w:tcMar>
          </w:tcPr>
          <w:p>
            <w:r>
              <w:t>Target</w:t>
            </w:r>
          </w:p>
        </w:tc>
        <w:tc>
          <w:tcPr>
            <w:tcW w:type="dxa" w:w="7460"/>
            <w:vAlign w:val="center"/>
            <w:tcMar>
              <w:top w:w="80" w:type="dxa"/>
              <w:start w:w="120" w:type="dxa"/>
              <w:bottom w:w="80" w:type="dxa"/>
              <w:end w:w="120" w:type="dxa"/>
            </w:tcMar>
          </w:tcPr>
          <w:p>
            <w:r>
              <w:t>Microsoft @playwright/mcp 0.0.78, latest stable retrieved 2026-07-15</w:t>
            </w:r>
          </w:p>
        </w:tc>
      </w:tr>
      <w:tr>
        <w:trPr>
          <w:cantSplit/>
        </w:trPr>
        <w:tc>
          <w:tcPr>
            <w:tcW w:type="dxa" w:w="1900"/>
            <w:vAlign w:val="center"/>
            <w:tcMar>
              <w:top w:w="80" w:type="dxa"/>
              <w:start w:w="120" w:type="dxa"/>
              <w:bottom w:w="80" w:type="dxa"/>
              <w:end w:w="120" w:type="dxa"/>
            </w:tcMar>
          </w:tcPr>
          <w:p>
            <w:r>
              <w:t>IDEs</w:t>
            </w:r>
          </w:p>
        </w:tc>
        <w:tc>
          <w:tcPr>
            <w:tcW w:type="dxa" w:w="7460"/>
            <w:vAlign w:val="center"/>
            <w:tcMar>
              <w:top w:w="80" w:type="dxa"/>
              <w:start w:w="120" w:type="dxa"/>
              <w:bottom w:w="80" w:type="dxa"/>
              <w:end w:w="120" w:type="dxa"/>
            </w:tcMar>
          </w:tcPr>
          <w:p>
            <w:r>
              <w:t>VS Code; Visual Studio 2026 or Visual Studio 2022 17.14.9+</w:t>
            </w:r>
          </w:p>
        </w:tc>
      </w:tr>
      <w:tr>
        <w:trPr>
          <w:cantSplit/>
        </w:trPr>
        <w:tc>
          <w:tcPr>
            <w:tcW w:type="dxa" w:w="1900"/>
            <w:vAlign w:val="center"/>
            <w:tcMar>
              <w:top w:w="80" w:type="dxa"/>
              <w:start w:w="120" w:type="dxa"/>
              <w:bottom w:w="80" w:type="dxa"/>
              <w:end w:w="120" w:type="dxa"/>
            </w:tcMar>
          </w:tcPr>
          <w:p>
            <w:r>
              <w:t>Environment</w:t>
            </w:r>
          </w:p>
        </w:tc>
        <w:tc>
          <w:tcPr>
            <w:tcW w:type="dxa" w:w="7460"/>
            <w:vAlign w:val="center"/>
            <w:tcMar>
              <w:top w:w="80" w:type="dxa"/>
              <w:start w:w="120" w:type="dxa"/>
              <w:bottom w:w="80" w:type="dxa"/>
              <w:end w:w="120" w:type="dxa"/>
            </w:tcMar>
          </w:tcPr>
          <w:p>
            <w:r>
              <w:t>Managed UK enterprise; financial-sector mappings are conditional deployment obligations</w:t>
            </w:r>
          </w:p>
        </w:tc>
      </w:tr>
      <w:tr>
        <w:trPr>
          <w:cantSplit/>
        </w:trPr>
        <w:tc>
          <w:tcPr>
            <w:tcW w:type="dxa" w:w="1900"/>
            <w:vAlign w:val="center"/>
            <w:tcMar>
              <w:top w:w="80" w:type="dxa"/>
              <w:start w:w="120" w:type="dxa"/>
              <w:bottom w:w="80" w:type="dxa"/>
              <w:end w:w="120" w:type="dxa"/>
            </w:tcMar>
          </w:tcPr>
          <w:p>
            <w:r>
              <w:t>Analysis</w:t>
            </w:r>
          </w:p>
        </w:tc>
        <w:tc>
          <w:tcPr>
            <w:tcW w:type="dxa" w:w="7460"/>
            <w:vAlign w:val="center"/>
            <w:tcMar>
              <w:top w:w="80" w:type="dxa"/>
              <w:start w:w="120" w:type="dxa"/>
              <w:bottom w:w="80" w:type="dxa"/>
              <w:end w:w="120" w:type="dxa"/>
            </w:tcMar>
          </w:tcPr>
          <w:p>
            <w:r>
              <w:t>Current static and malware analysis; no representative IDE runtime execution during regeneration</w:t>
            </w:r>
          </w:p>
        </w:tc>
      </w:tr>
      <w:tr>
        <w:trPr>
          <w:cantSplit/>
        </w:trPr>
        <w:tc>
          <w:tcPr>
            <w:tcW w:type="dxa" w:w="1900"/>
            <w:vAlign w:val="center"/>
            <w:tcMar>
              <w:top w:w="80" w:type="dxa"/>
              <w:start w:w="120" w:type="dxa"/>
              <w:bottom w:w="80" w:type="dxa"/>
              <w:end w:w="120" w:type="dxa"/>
            </w:tcMar>
          </w:tcPr>
          <w:p>
            <w:r>
              <w:t>Malware review</w:t>
            </w:r>
          </w:p>
        </w:tc>
        <w:tc>
          <w:tcPr>
            <w:tcW w:type="dxa" w:w="7460"/>
            <w:vAlign w:val="center"/>
            <w:tcMar>
              <w:top w:w="80" w:type="dxa"/>
              <w:start w:w="120" w:type="dxa"/>
              <w:bottom w:w="80" w:type="dxa"/>
              <w:end w:w="120" w:type="dxa"/>
            </w:tcMar>
          </w:tcPr>
          <w:p>
            <w:r>
              <w:t>Yes; current evidence retained with explicit scope limits</w:t>
            </w:r>
          </w:p>
        </w:tc>
      </w:tr>
      <w:tr>
        <w:trPr>
          <w:cantSplit/>
        </w:trPr>
        <w:tc>
          <w:tcPr>
            <w:tcW w:type="dxa" w:w="1900"/>
            <w:vAlign w:val="center"/>
            <w:tcMar>
              <w:top w:w="80" w:type="dxa"/>
              <w:start w:w="120" w:type="dxa"/>
              <w:bottom w:w="80" w:type="dxa"/>
              <w:end w:w="120" w:type="dxa"/>
            </w:tcMar>
          </w:tcPr>
          <w:p>
            <w:r>
              <w:t>Privacy</w:t>
            </w:r>
          </w:p>
        </w:tc>
        <w:tc>
          <w:tcPr>
            <w:tcW w:type="dxa" w:w="7460"/>
            <w:vAlign w:val="center"/>
            <w:tcMar>
              <w:top w:w="80" w:type="dxa"/>
              <w:start w:w="120" w:type="dxa"/>
              <w:bottom w:w="80" w:type="dxa"/>
              <w:end w:w="120" w:type="dxa"/>
            </w:tcMar>
          </w:tcPr>
          <w:p>
            <w:r>
              <w:t>Included; possible browsing of personal or confidential data assumed</w:t>
            </w:r>
          </w:p>
        </w:tc>
      </w:tr>
      <w:tr>
        <w:trPr>
          <w:cantSplit/>
        </w:trPr>
        <w:tc>
          <w:tcPr>
            <w:tcW w:type="dxa" w:w="1900"/>
            <w:vAlign w:val="center"/>
            <w:tcMar>
              <w:top w:w="80" w:type="dxa"/>
              <w:start w:w="120" w:type="dxa"/>
              <w:bottom w:w="80" w:type="dxa"/>
              <w:end w:w="120" w:type="dxa"/>
            </w:tcMar>
          </w:tcPr>
          <w:p>
            <w:r>
              <w:t>Evidence labels</w:t>
            </w:r>
          </w:p>
        </w:tc>
        <w:tc>
          <w:tcPr>
            <w:tcW w:type="dxa" w:w="7460"/>
            <w:vAlign w:val="center"/>
            <w:tcMar>
              <w:top w:w="80" w:type="dxa"/>
              <w:start w:w="120" w:type="dxa"/>
              <w:bottom w:w="80" w:type="dxa"/>
              <w:end w:w="120" w:type="dxa"/>
            </w:tcMar>
          </w:tcPr>
          <w:p>
            <w:r>
              <w:t>Verified, Inferred, Not observed, Not applicable, Unknown</w:t>
            </w:r>
          </w:p>
        </w:tc>
      </w:tr>
      <w:tr>
        <w:trPr>
          <w:cantSplit/>
        </w:trPr>
        <w:tc>
          <w:tcPr>
            <w:tcW w:type="dxa" w:w="1900"/>
            <w:vAlign w:val="center"/>
            <w:tcMar>
              <w:top w:w="80" w:type="dxa"/>
              <w:start w:w="120" w:type="dxa"/>
              <w:bottom w:w="80" w:type="dxa"/>
              <w:end w:w="120" w:type="dxa"/>
            </w:tcMar>
          </w:tcPr>
          <w:p>
            <w:r>
              <w:t>Scoring</w:t>
            </w:r>
          </w:p>
        </w:tc>
        <w:tc>
          <w:tcPr>
            <w:tcW w:type="dxa" w:w="7460"/>
            <w:vAlign w:val="center"/>
            <w:tcMar>
              <w:top w:w="80" w:type="dxa"/>
              <w:start w:w="120" w:type="dxa"/>
              <w:bottom w:w="80" w:type="dxa"/>
              <w:end w:w="120" w:type="dxa"/>
            </w:tcMar>
          </w:tcPr>
          <w:p>
            <w:r>
              <w:t>Likelihood and impact 1–5; score=L×I; 1–4 Low, 5–9 Moderate, 10–16 High, 17–25 Critical</w:t>
            </w:r>
          </w:p>
        </w:tc>
      </w:tr>
    </w:tbl>
    <w:p>
      <w:pPr>
        <w:spacing w:after="0"/>
      </w:pPr>
    </w:p>
    <w:p>
      <w:r>
        <w:t>The assessment does not certify product or organizational compliance. Retrieved content was treated as untrusted evidence. Package archives were checked for traversal and link escape before extraction and were never executed.</w:t>
      </w:r>
    </w:p>
    <w:p>
      <w:r>
        <w:br w:type="page"/>
      </w:r>
    </w:p>
    <w:p>
      <w:pPr>
        <w:pStyle w:val="Heading1"/>
        <w:keepNext/>
      </w:pPr>
      <w:r>
        <w:t>4. Product Identity and Version</w:t>
      </w:r>
    </w:p>
    <w:tbl>
      <w:tblPr>
        <w:tblStyle w:val="TableGrid"/>
        <w:tblW w:type="dxa" w:w="9360"/>
        <w:tblLayout w:type="fixed"/>
        <w:tblLook w:firstColumn="1" w:firstRow="1" w:lastColumn="0" w:lastRow="0" w:noHBand="0" w:noVBand="1" w:val="04A0"/>
        <w:jc w:val="left"/>
        <w:tblInd w:w="120" w:type="dxa"/>
        <w:tblInd w:w="120" w:type="dxa"/>
        <w:tblInd w:w="120" w:type="dxa"/>
        <w:tblInd w:w="120" w:type="dxa"/>
        <w:tblInd w:w="120" w:type="dxa"/>
        <w:tblInd w:w="120" w:type="dxa"/>
        <w:tblInd w:w="120" w:type="dxa"/>
        <w:tblInd w:w="120" w:type="dxa"/>
        <w:tblInd w:w="120" w:type="dxa"/>
        <w:tblInd w:w="120" w:type="dxa"/>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keepNext/>
            </w:pPr>
            <w:r>
              <w:rPr>
                <w:b/>
              </w:rPr>
              <w:t>Attribute</w:t>
            </w:r>
          </w:p>
        </w:tc>
        <w:tc>
          <w:tcPr>
            <w:tcW w:type="dxa" w:w="7160"/>
            <w:vAlign w:val="center"/>
            <w:tcMar>
              <w:top w:w="80" w:type="dxa"/>
              <w:start w:w="120" w:type="dxa"/>
              <w:bottom w:w="80" w:type="dxa"/>
              <w:end w:w="120" w:type="dxa"/>
            </w:tcMar>
            <w:shd w:fill="E8EEF5"/>
          </w:tcPr>
          <w:p>
            <w:pPr>
              <w:keepNext/>
            </w:pPr>
            <w:r>
              <w:rPr>
                <w:b/>
              </w:rPr>
              <w:t>Verified result</w:t>
            </w:r>
          </w:p>
        </w:tc>
      </w:tr>
      <w:tr>
        <w:trPr>
          <w:cantSplit/>
        </w:trPr>
        <w:tc>
          <w:tcPr>
            <w:tcW w:type="dxa" w:w="2200"/>
            <w:vAlign w:val="center"/>
            <w:tcMar>
              <w:top w:w="80" w:type="dxa"/>
              <w:start w:w="120" w:type="dxa"/>
              <w:bottom w:w="80" w:type="dxa"/>
              <w:end w:w="120" w:type="dxa"/>
            </w:tcMar>
          </w:tcPr>
          <w:p>
            <w:r>
              <w:t>Product</w:t>
            </w:r>
          </w:p>
        </w:tc>
        <w:tc>
          <w:tcPr>
            <w:tcW w:type="dxa" w:w="7160"/>
            <w:vAlign w:val="center"/>
            <w:tcMar>
              <w:top w:w="80" w:type="dxa"/>
              <w:start w:w="120" w:type="dxa"/>
              <w:bottom w:w="80" w:type="dxa"/>
              <w:end w:w="120" w:type="dxa"/>
            </w:tcMar>
          </w:tcPr>
          <w:p>
            <w:r>
              <w:t>Playwright MCP</w:t>
            </w:r>
          </w:p>
        </w:tc>
      </w:tr>
      <w:tr>
        <w:trPr>
          <w:cantSplit/>
        </w:trPr>
        <w:tc>
          <w:tcPr>
            <w:tcW w:type="dxa" w:w="2200"/>
            <w:vAlign w:val="center"/>
            <w:tcMar>
              <w:top w:w="80" w:type="dxa"/>
              <w:start w:w="120" w:type="dxa"/>
              <w:bottom w:w="80" w:type="dxa"/>
              <w:end w:w="120" w:type="dxa"/>
            </w:tcMar>
          </w:tcPr>
          <w:p>
            <w:r>
              <w:t>Publisher</w:t>
            </w:r>
          </w:p>
        </w:tc>
        <w:tc>
          <w:tcPr>
            <w:tcW w:type="dxa" w:w="7160"/>
            <w:vAlign w:val="center"/>
            <w:tcMar>
              <w:top w:w="80" w:type="dxa"/>
              <w:start w:w="120" w:type="dxa"/>
              <w:bottom w:w="80" w:type="dxa"/>
              <w:end w:w="120" w:type="dxa"/>
            </w:tcMar>
          </w:tcPr>
          <w:p>
            <w:r>
              <w:t>Microsoft Corporation</w:t>
            </w:r>
          </w:p>
        </w:tc>
      </w:tr>
      <w:tr>
        <w:trPr>
          <w:cantSplit/>
        </w:trPr>
        <w:tc>
          <w:tcPr>
            <w:tcW w:type="dxa" w:w="2200"/>
            <w:vAlign w:val="center"/>
            <w:tcMar>
              <w:top w:w="80" w:type="dxa"/>
              <w:start w:w="120" w:type="dxa"/>
              <w:bottom w:w="80" w:type="dxa"/>
              <w:end w:w="120" w:type="dxa"/>
            </w:tcMar>
          </w:tcPr>
          <w:p>
            <w:r>
              <w:t>Package / MCP identity</w:t>
            </w:r>
          </w:p>
        </w:tc>
        <w:tc>
          <w:tcPr>
            <w:tcW w:type="dxa" w:w="7160"/>
            <w:vAlign w:val="center"/>
            <w:tcMar>
              <w:top w:w="80" w:type="dxa"/>
              <w:start w:w="120" w:type="dxa"/>
              <w:bottom w:w="80" w:type="dxa"/>
              <w:end w:w="120" w:type="dxa"/>
            </w:tcMar>
          </w:tcPr>
          <w:p>
            <w:r>
              <w:t>@playwright/mcp; io.github.microsoft/playwright-mcp</w:t>
            </w:r>
          </w:p>
        </w:tc>
      </w:tr>
      <w:tr>
        <w:trPr>
          <w:cantSplit/>
        </w:trPr>
        <w:tc>
          <w:tcPr>
            <w:tcW w:type="dxa" w:w="2200"/>
            <w:vAlign w:val="center"/>
            <w:tcMar>
              <w:top w:w="80" w:type="dxa"/>
              <w:start w:w="120" w:type="dxa"/>
              <w:bottom w:w="80" w:type="dxa"/>
              <w:end w:w="120" w:type="dxa"/>
            </w:tcMar>
          </w:tcPr>
          <w:p>
            <w:r>
              <w:t>Version</w:t>
            </w:r>
          </w:p>
        </w:tc>
        <w:tc>
          <w:tcPr>
            <w:tcW w:type="dxa" w:w="7160"/>
            <w:vAlign w:val="center"/>
            <w:tcMar>
              <w:top w:w="80" w:type="dxa"/>
              <w:start w:w="120" w:type="dxa"/>
              <w:bottom w:w="80" w:type="dxa"/>
              <w:end w:w="120" w:type="dxa"/>
            </w:tcMar>
          </w:tcPr>
          <w:p>
            <w:r>
              <w:t>0.0.78; GitHub release v0.0.78, published 2026-07-09</w:t>
            </w:r>
          </w:p>
        </w:tc>
      </w:tr>
      <w:tr>
        <w:trPr>
          <w:cantSplit/>
        </w:trPr>
        <w:tc>
          <w:tcPr>
            <w:tcW w:type="dxa" w:w="2200"/>
            <w:vAlign w:val="center"/>
            <w:tcMar>
              <w:top w:w="80" w:type="dxa"/>
              <w:start w:w="120" w:type="dxa"/>
              <w:bottom w:w="80" w:type="dxa"/>
              <w:end w:w="120" w:type="dxa"/>
            </w:tcMar>
          </w:tcPr>
          <w:p>
            <w:r>
              <w:t>Repository</w:t>
            </w:r>
          </w:p>
        </w:tc>
        <w:tc>
          <w:tcPr>
            <w:tcW w:type="dxa" w:w="7160"/>
            <w:vAlign w:val="center"/>
            <w:tcMar>
              <w:top w:w="80" w:type="dxa"/>
              <w:start w:w="120" w:type="dxa"/>
              <w:bottom w:w="80" w:type="dxa"/>
              <w:end w:w="120" w:type="dxa"/>
            </w:tcMar>
          </w:tcPr>
          <w:p>
            <w:r>
              <w:t>microsoft/playwright-mcp</w:t>
            </w:r>
          </w:p>
        </w:tc>
      </w:tr>
      <w:tr>
        <w:trPr>
          <w:cantSplit/>
        </w:trPr>
        <w:tc>
          <w:tcPr>
            <w:tcW w:type="dxa" w:w="2200"/>
            <w:vAlign w:val="center"/>
            <w:tcMar>
              <w:top w:w="80" w:type="dxa"/>
              <w:start w:w="120" w:type="dxa"/>
              <w:bottom w:w="80" w:type="dxa"/>
              <w:end w:w="120" w:type="dxa"/>
            </w:tcMar>
          </w:tcPr>
          <w:p>
            <w:r>
              <w:t>License</w:t>
            </w:r>
          </w:p>
        </w:tc>
        <w:tc>
          <w:tcPr>
            <w:tcW w:type="dxa" w:w="7160"/>
            <w:vAlign w:val="center"/>
            <w:tcMar>
              <w:top w:w="80" w:type="dxa"/>
              <w:start w:w="120" w:type="dxa"/>
              <w:bottom w:w="80" w:type="dxa"/>
              <w:end w:w="120" w:type="dxa"/>
            </w:tcMar>
          </w:tcPr>
          <w:p>
            <w:r>
              <w:t>Apache-2.0</w:t>
            </w:r>
          </w:p>
        </w:tc>
      </w:tr>
      <w:tr>
        <w:trPr>
          <w:cantSplit/>
        </w:trPr>
        <w:tc>
          <w:tcPr>
            <w:tcW w:type="dxa" w:w="2200"/>
            <w:vAlign w:val="center"/>
            <w:tcMar>
              <w:top w:w="80" w:type="dxa"/>
              <w:start w:w="120" w:type="dxa"/>
              <w:bottom w:w="80" w:type="dxa"/>
              <w:end w:w="120" w:type="dxa"/>
            </w:tcMar>
          </w:tcPr>
          <w:p>
            <w:r>
              <w:t>Runtime</w:t>
            </w:r>
          </w:p>
        </w:tc>
        <w:tc>
          <w:tcPr>
            <w:tcW w:type="dxa" w:w="7160"/>
            <w:vAlign w:val="center"/>
            <w:tcMar>
              <w:top w:w="80" w:type="dxa"/>
              <w:start w:w="120" w:type="dxa"/>
              <w:bottom w:w="80" w:type="dxa"/>
              <w:end w:w="120" w:type="dxa"/>
            </w:tcMar>
          </w:tcPr>
          <w:p>
            <w:r>
              <w:t>Node.js &gt;=18</w:t>
            </w:r>
          </w:p>
        </w:tc>
      </w:tr>
      <w:tr>
        <w:trPr>
          <w:cantSplit/>
        </w:trPr>
        <w:tc>
          <w:tcPr>
            <w:tcW w:type="dxa" w:w="2200"/>
            <w:vAlign w:val="center"/>
            <w:tcMar>
              <w:top w:w="80" w:type="dxa"/>
              <w:start w:w="120" w:type="dxa"/>
              <w:bottom w:w="80" w:type="dxa"/>
              <w:end w:w="120" w:type="dxa"/>
            </w:tcMar>
          </w:tcPr>
          <w:p>
            <w:r>
              <w:t>Package hash</w:t>
            </w:r>
          </w:p>
        </w:tc>
        <w:tc>
          <w:tcPr>
            <w:tcW w:type="dxa" w:w="7160"/>
            <w:vAlign w:val="center"/>
            <w:tcMar>
              <w:top w:w="80" w:type="dxa"/>
              <w:start w:w="120" w:type="dxa"/>
              <w:bottom w:w="80" w:type="dxa"/>
              <w:end w:w="120" w:type="dxa"/>
            </w:tcMar>
          </w:tcPr>
          <w:p>
            <w:r>
              <w:t>SHA-256 cfff0fd8eae3ac3bcb39827861298cb6b483a8d72e3c558e7991658ed3d22562</w:t>
            </w:r>
          </w:p>
        </w:tc>
      </w:tr>
      <w:tr>
        <w:trPr>
          <w:cantSplit/>
        </w:trPr>
        <w:tc>
          <w:tcPr>
            <w:tcW w:type="dxa" w:w="2200"/>
            <w:vAlign w:val="center"/>
            <w:tcMar>
              <w:top w:w="80" w:type="dxa"/>
              <w:start w:w="120" w:type="dxa"/>
              <w:bottom w:w="80" w:type="dxa"/>
              <w:end w:w="120" w:type="dxa"/>
            </w:tcMar>
          </w:tcPr>
          <w:p>
            <w:r>
              <w:t>Dependencies</w:t>
            </w:r>
          </w:p>
        </w:tc>
        <w:tc>
          <w:tcPr>
            <w:tcW w:type="dxa" w:w="7160"/>
            <w:vAlign w:val="center"/>
            <w:tcMar>
              <w:top w:w="80" w:type="dxa"/>
              <w:start w:w="120" w:type="dxa"/>
              <w:bottom w:w="80" w:type="dxa"/>
              <w:end w:w="120" w:type="dxa"/>
            </w:tcMar>
          </w:tcPr>
          <w:p>
            <w:r>
              <w:t>playwright and playwright-core 1.62.0-alpha-1783623505000</w:t>
            </w:r>
          </w:p>
        </w:tc>
      </w:tr>
      <w:tr>
        <w:trPr>
          <w:cantSplit/>
        </w:trPr>
        <w:tc>
          <w:tcPr>
            <w:tcW w:type="dxa" w:w="2200"/>
            <w:vAlign w:val="center"/>
            <w:tcMar>
              <w:top w:w="80" w:type="dxa"/>
              <w:start w:w="120" w:type="dxa"/>
              <w:bottom w:w="80" w:type="dxa"/>
              <w:end w:w="120" w:type="dxa"/>
            </w:tcMar>
          </w:tcPr>
          <w:p>
            <w:r>
              <w:t>Identity ambiguity</w:t>
            </w:r>
          </w:p>
        </w:tc>
        <w:tc>
          <w:tcPr>
            <w:tcW w:type="dxa" w:w="7160"/>
            <w:vAlign w:val="center"/>
            <w:tcMar>
              <w:top w:w="80" w:type="dxa"/>
              <w:start w:w="120" w:type="dxa"/>
              <w:bottom w:w="80" w:type="dxa"/>
              <w:end w:w="120" w:type="dxa"/>
            </w:tcMar>
          </w:tcPr>
          <w:p>
            <w:r>
              <w:t>No conflicting first-party product observed; similarly named third-party projects exist and must not be substituted</w:t>
            </w:r>
          </w:p>
        </w:tc>
      </w:tr>
    </w:tbl>
    <w:p>
      <w:pPr>
        <w:spacing w:after="0"/>
      </w:pPr>
    </w:p>
    <w:p>
      <w:r>
        <w:t>The npm package and official repository corroborate identity, publisher, version and compatibility.</w:t>
      </w:r>
      <w:r>
        <w:t xml:space="preserve"> </w:t>
      </w:r>
      <w:hyperlink w:anchor="REF_002" w:history="1">
        <w:r>
          <w:rPr>
            <w:color w:val="0563C1"/>
            <w:u w:val="single"/>
          </w:rPr>
          <w:t>[REF-002]</w:t>
        </w:r>
      </w:hyperlink>
      <w:r>
        <w:t xml:space="preserve"> </w:t>
      </w:r>
      <w:hyperlink w:anchor="REF_001" w:history="1">
        <w:r>
          <w:rPr>
            <w:color w:val="0563C1"/>
            <w:u w:val="single"/>
          </w:rPr>
          <w:t>[REF-001]</w:t>
        </w:r>
      </w:hyperlink>
    </w:p>
    <w:p>
      <w:r>
        <w:br w:type="page"/>
      </w:r>
    </w:p>
    <w:p>
      <w:pPr>
        <w:pStyle w:val="Heading1"/>
        <w:keepNext/>
      </w:pPr>
      <w:r>
        <w:t>Part I — VS Code Assessment</w:t>
      </w:r>
    </w:p>
    <w:p>
      <w:pPr>
        <w:pStyle w:val="Heading2"/>
        <w:keepNext/>
      </w:pPr>
      <w:r>
        <w:t>Executive decision</w:t>
      </w:r>
    </w:p>
    <w:p>
      <w:r>
        <w:t>Approve with conditions for VS Code in a managed pilot. VS Code provides explicit MCP-server trust, tool approvals, Workspace Trust, URL controls and preview agent sandboxing, but bypass/autopilot and broad trust scopes can weaken these controls.</w:t>
      </w:r>
      <w:r>
        <w:t xml:space="preserve"> </w:t>
      </w:r>
      <w:hyperlink w:anchor="REF_004" w:history="1">
        <w:r>
          <w:rPr>
            <w:color w:val="0563C1"/>
            <w:u w:val="single"/>
          </w:rPr>
          <w:t>[REF-004]</w:t>
        </w:r>
      </w:hyperlink>
      <w:r>
        <w:t xml:space="preserve"> </w:t>
      </w:r>
      <w:hyperlink w:anchor="REF_003" w:history="1">
        <w:r>
          <w:rPr>
            <w:color w:val="0563C1"/>
            <w:u w:val="single"/>
          </w:rPr>
          <w:t>[REF-003]</w:t>
        </w:r>
      </w:hyperlink>
    </w:p>
    <w:p>
      <w:pPr>
        <w:pStyle w:val="Heading2"/>
        <w:keepNext/>
      </w:pPr>
      <w:r>
        <w:t>Purpose, support and installation</w:t>
      </w:r>
    </w:p>
    <w:p>
      <w:r>
        <w:t>Supported through VS Code MCP configuration and GitHub Copilot agent mode.</w:t>
      </w:r>
    </w:p>
    <w:tbl>
      <w:tblPr>
        <w:tblStyle w:val="TableGrid"/>
        <w:tblW w:type="dxa" w:w="9360"/>
        <w:tblLayout w:type="fixed"/>
        <w:tblLook w:firstColumn="1" w:firstRow="1" w:lastColumn="0" w:lastRow="0" w:noHBand="0" w:noVBand="1" w:val="04A0"/>
        <w:jc w:val="left"/>
        <w:tblInd w:w="120" w:type="dxa"/>
        <w:tblInd w:w="120" w:type="dxa"/>
        <w:tblInd w:w="120" w:type="dxa"/>
        <w:tblInd w:w="120" w:type="dxa"/>
        <w:tblInd w:w="120" w:type="dxa"/>
        <w:tblInd w:w="120" w:type="dxa"/>
        <w:tblInd w:w="120" w:type="dxa"/>
      </w:tblPr>
      <w:tblGrid>
        <w:gridCol w:w="1900"/>
        <w:gridCol w:w="5260"/>
        <w:gridCol w:w="2200"/>
      </w:tblGrid>
      <w:tr>
        <w:trPr>
          <w:tblHeader w:val="true"/>
          <w:cantSplit/>
        </w:trPr>
        <w:tc>
          <w:tcPr>
            <w:tcW w:type="dxa" w:w="1900"/>
            <w:vAlign w:val="center"/>
            <w:tcMar>
              <w:top w:w="80" w:type="dxa"/>
              <w:start w:w="120" w:type="dxa"/>
              <w:bottom w:w="80" w:type="dxa"/>
              <w:end w:w="120" w:type="dxa"/>
            </w:tcMar>
            <w:shd w:fill="E8EEF5"/>
          </w:tcPr>
          <w:p>
            <w:pPr>
              <w:keepNext/>
            </w:pPr>
            <w:r>
              <w:rPr>
                <w:b/>
              </w:rPr>
              <w:t>Item</w:t>
            </w:r>
          </w:p>
        </w:tc>
        <w:tc>
          <w:tcPr>
            <w:tcW w:type="dxa" w:w="5260"/>
            <w:vAlign w:val="center"/>
            <w:tcMar>
              <w:top w:w="80" w:type="dxa"/>
              <w:start w:w="120" w:type="dxa"/>
              <w:bottom w:w="80" w:type="dxa"/>
              <w:end w:w="120" w:type="dxa"/>
            </w:tcMar>
            <w:shd w:fill="E8EEF5"/>
          </w:tcPr>
          <w:p>
            <w:pPr>
              <w:keepNext/>
            </w:pPr>
            <w:r>
              <w:rPr>
                <w:b/>
              </w:rPr>
              <w:t>Expected state</w:t>
            </w:r>
          </w:p>
        </w:tc>
        <w:tc>
          <w:tcPr>
            <w:tcW w:type="dxa" w:w="2200"/>
            <w:vAlign w:val="center"/>
            <w:tcMar>
              <w:top w:w="80" w:type="dxa"/>
              <w:start w:w="120" w:type="dxa"/>
              <w:bottom w:w="80" w:type="dxa"/>
              <w:end w:w="120" w:type="dxa"/>
            </w:tcMar>
            <w:shd w:fill="E8EEF5"/>
          </w:tcPr>
          <w:p>
            <w:pPr>
              <w:keepNext/>
            </w:pPr>
            <w:r>
              <w:rPr>
                <w:b/>
              </w:rPr>
              <w:t>Evidence state</w:t>
            </w:r>
          </w:p>
        </w:tc>
      </w:tr>
      <w:tr>
        <w:trPr>
          <w:cantSplit/>
        </w:trPr>
        <w:tc>
          <w:tcPr>
            <w:tcW w:type="dxa" w:w="1900"/>
            <w:vAlign w:val="center"/>
            <w:tcMar>
              <w:top w:w="80" w:type="dxa"/>
              <w:start w:w="120" w:type="dxa"/>
              <w:bottom w:w="80" w:type="dxa"/>
              <w:end w:w="120" w:type="dxa"/>
            </w:tcMar>
          </w:tcPr>
          <w:p>
            <w:r>
              <w:t>Configuration</w:t>
            </w:r>
          </w:p>
        </w:tc>
        <w:tc>
          <w:tcPr>
            <w:tcW w:type="dxa" w:w="5260"/>
            <w:vAlign w:val="center"/>
            <w:tcMar>
              <w:top w:w="80" w:type="dxa"/>
              <w:start w:w="120" w:type="dxa"/>
              <w:bottom w:w="80" w:type="dxa"/>
              <w:end w:w="120" w:type="dxa"/>
            </w:tcMar>
          </w:tcPr>
          <w:p>
            <w:r>
              <w:t>Local stdio command pinned to @playwright/mcp@0.0.78; enterprise-managed, not repository-supplied from untrusted code</w:t>
            </w:r>
          </w:p>
        </w:tc>
        <w:tc>
          <w:tcPr>
            <w:tcW w:type="dxa" w:w="2200"/>
            <w:vAlign w:val="center"/>
            <w:tcMar>
              <w:top w:w="80" w:type="dxa"/>
              <w:start w:w="120" w:type="dxa"/>
              <w:bottom w:w="80" w:type="dxa"/>
              <w:end w:w="120" w:type="dxa"/>
            </w:tcMar>
          </w:tcPr>
          <w:p>
            <w:r>
              <w:t>Host verification required</w:t>
            </w:r>
          </w:p>
        </w:tc>
      </w:tr>
      <w:tr>
        <w:trPr>
          <w:cantSplit/>
        </w:trPr>
        <w:tc>
          <w:tcPr>
            <w:tcW w:type="dxa" w:w="1900"/>
            <w:vAlign w:val="center"/>
            <w:tcMar>
              <w:top w:w="80" w:type="dxa"/>
              <w:start w:w="120" w:type="dxa"/>
              <w:bottom w:w="80" w:type="dxa"/>
              <w:end w:w="120" w:type="dxa"/>
            </w:tcMar>
          </w:tcPr>
          <w:p>
            <w:r>
              <w:t>Node process</w:t>
            </w:r>
          </w:p>
        </w:tc>
        <w:tc>
          <w:tcPr>
            <w:tcW w:type="dxa" w:w="5260"/>
            <w:vAlign w:val="center"/>
            <w:tcMar>
              <w:top w:w="80" w:type="dxa"/>
              <w:start w:w="120" w:type="dxa"/>
              <w:bottom w:w="80" w:type="dxa"/>
              <w:end w:w="120" w:type="dxa"/>
            </w:tcMar>
          </w:tcPr>
          <w:p>
            <w:r>
              <w:t>Least-privilege local process; no admin rights; restricted environment</w:t>
            </w:r>
          </w:p>
        </w:tc>
        <w:tc>
          <w:tcPr>
            <w:tcW w:type="dxa" w:w="2200"/>
            <w:vAlign w:val="center"/>
            <w:tcMar>
              <w:top w:w="80" w:type="dxa"/>
              <w:start w:w="120" w:type="dxa"/>
              <w:bottom w:w="80" w:type="dxa"/>
              <w:end w:w="120" w:type="dxa"/>
            </w:tcMar>
          </w:tcPr>
          <w:p>
            <w:r>
              <w:t>Expected; not run</w:t>
            </w:r>
          </w:p>
        </w:tc>
      </w:tr>
      <w:tr>
        <w:trPr>
          <w:cantSplit/>
        </w:trPr>
        <w:tc>
          <w:tcPr>
            <w:tcW w:type="dxa" w:w="1900"/>
            <w:vAlign w:val="center"/>
            <w:tcMar>
              <w:top w:w="80" w:type="dxa"/>
              <w:start w:w="120" w:type="dxa"/>
              <w:bottom w:w="80" w:type="dxa"/>
              <w:end w:w="120" w:type="dxa"/>
            </w:tcMar>
          </w:tcPr>
          <w:p>
            <w:r>
              <w:t>Browser process/profile</w:t>
            </w:r>
          </w:p>
        </w:tc>
        <w:tc>
          <w:tcPr>
            <w:tcW w:type="dxa" w:w="5260"/>
            <w:vAlign w:val="center"/>
            <w:tcMar>
              <w:top w:w="80" w:type="dxa"/>
              <w:start w:w="120" w:type="dxa"/>
              <w:bottom w:w="80" w:type="dxa"/>
              <w:end w:w="120" w:type="dxa"/>
            </w:tcMar>
          </w:tcPr>
          <w:p>
            <w:r>
              <w:t>Isolated disposable context; no everyday signed-in profile</w:t>
            </w:r>
          </w:p>
        </w:tc>
        <w:tc>
          <w:tcPr>
            <w:tcW w:type="dxa" w:w="2200"/>
            <w:vAlign w:val="center"/>
            <w:tcMar>
              <w:top w:w="80" w:type="dxa"/>
              <w:start w:w="120" w:type="dxa"/>
              <w:bottom w:w="80" w:type="dxa"/>
              <w:end w:w="120" w:type="dxa"/>
            </w:tcMar>
          </w:tcPr>
          <w:p>
            <w:r>
              <w:t>Expected; not run</w:t>
            </w:r>
          </w:p>
        </w:tc>
      </w:tr>
      <w:tr>
        <w:trPr>
          <w:cantSplit/>
        </w:trPr>
        <w:tc>
          <w:tcPr>
            <w:tcW w:type="dxa" w:w="1900"/>
            <w:vAlign w:val="center"/>
            <w:tcMar>
              <w:top w:w="80" w:type="dxa"/>
              <w:start w:w="120" w:type="dxa"/>
              <w:bottom w:w="80" w:type="dxa"/>
              <w:end w:w="120" w:type="dxa"/>
            </w:tcMar>
          </w:tcPr>
          <w:p>
            <w:r>
              <w:t>Package cache</w:t>
            </w:r>
          </w:p>
        </w:tc>
        <w:tc>
          <w:tcPr>
            <w:tcW w:type="dxa" w:w="5260"/>
            <w:vAlign w:val="center"/>
            <w:tcMar>
              <w:top w:w="80" w:type="dxa"/>
              <w:start w:w="120" w:type="dxa"/>
              <w:bottom w:w="80" w:type="dxa"/>
              <w:end w:w="120" w:type="dxa"/>
            </w:tcMar>
          </w:tcPr>
          <w:p>
            <w:r>
              <w:t>Controlled cache/mirror with integrity verification</w:t>
            </w:r>
          </w:p>
        </w:tc>
        <w:tc>
          <w:tcPr>
            <w:tcW w:type="dxa" w:w="2200"/>
            <w:vAlign w:val="center"/>
            <w:tcMar>
              <w:top w:w="80" w:type="dxa"/>
              <w:start w:w="120" w:type="dxa"/>
              <w:bottom w:w="80" w:type="dxa"/>
              <w:end w:w="120" w:type="dxa"/>
            </w:tcMar>
          </w:tcPr>
          <w:p>
            <w:r>
              <w:t>Expected; not run</w:t>
            </w:r>
          </w:p>
        </w:tc>
      </w:tr>
      <w:tr>
        <w:trPr>
          <w:cantSplit/>
        </w:trPr>
        <w:tc>
          <w:tcPr>
            <w:tcW w:type="dxa" w:w="1900"/>
            <w:vAlign w:val="center"/>
            <w:tcMar>
              <w:top w:w="80" w:type="dxa"/>
              <w:start w:w="120" w:type="dxa"/>
              <w:bottom w:w="80" w:type="dxa"/>
              <w:end w:w="120" w:type="dxa"/>
            </w:tcMar>
          </w:tcPr>
          <w:p>
            <w:r>
              <w:t>Logs/outputs</w:t>
            </w:r>
          </w:p>
        </w:tc>
        <w:tc>
          <w:tcPr>
            <w:tcW w:type="dxa" w:w="5260"/>
            <w:vAlign w:val="center"/>
            <w:tcMar>
              <w:top w:w="80" w:type="dxa"/>
              <w:start w:w="120" w:type="dxa"/>
              <w:bottom w:w="80" w:type="dxa"/>
              <w:end w:w="120" w:type="dxa"/>
            </w:tcMar>
          </w:tcPr>
          <w:p>
            <w:r>
              <w:t>Protected directory, bounded size, short retention, monitored access</w:t>
            </w:r>
          </w:p>
        </w:tc>
        <w:tc>
          <w:tcPr>
            <w:tcW w:type="dxa" w:w="2200"/>
            <w:vAlign w:val="center"/>
            <w:tcMar>
              <w:top w:w="80" w:type="dxa"/>
              <w:start w:w="120" w:type="dxa"/>
              <w:bottom w:w="80" w:type="dxa"/>
              <w:end w:w="120" w:type="dxa"/>
            </w:tcMar>
          </w:tcPr>
          <w:p>
            <w:r>
              <w:t>Expected; not run</w:t>
            </w:r>
          </w:p>
        </w:tc>
      </w:tr>
      <w:tr>
        <w:trPr>
          <w:cantSplit/>
        </w:trPr>
        <w:tc>
          <w:tcPr>
            <w:tcW w:type="dxa" w:w="1900"/>
            <w:vAlign w:val="center"/>
            <w:tcMar>
              <w:top w:w="80" w:type="dxa"/>
              <w:start w:w="120" w:type="dxa"/>
              <w:bottom w:w="80" w:type="dxa"/>
              <w:end w:w="120" w:type="dxa"/>
            </w:tcMar>
          </w:tcPr>
          <w:p>
            <w:r>
              <w:t>Uninstall</w:t>
            </w:r>
          </w:p>
        </w:tc>
        <w:tc>
          <w:tcPr>
            <w:tcW w:type="dxa" w:w="5260"/>
            <w:vAlign w:val="center"/>
            <w:tcMar>
              <w:top w:w="80" w:type="dxa"/>
              <w:start w:w="120" w:type="dxa"/>
              <w:bottom w:w="80" w:type="dxa"/>
              <w:end w:w="120" w:type="dxa"/>
            </w:tcMar>
          </w:tcPr>
          <w:p>
            <w:r>
              <w:t>Remove config, package/cache, browser profile, output artefacts and trust grants</w:t>
            </w:r>
          </w:p>
        </w:tc>
        <w:tc>
          <w:tcPr>
            <w:tcW w:type="dxa" w:w="2200"/>
            <w:vAlign w:val="center"/>
            <w:tcMar>
              <w:top w:w="80" w:type="dxa"/>
              <w:start w:w="120" w:type="dxa"/>
              <w:bottom w:w="80" w:type="dxa"/>
              <w:end w:w="120" w:type="dxa"/>
            </w:tcMar>
          </w:tcPr>
          <w:p>
            <w:r>
              <w:t>Unknown until host test</w:t>
            </w:r>
          </w:p>
        </w:tc>
      </w:tr>
    </w:tbl>
    <w:p>
      <w:pPr>
        <w:spacing w:after="0"/>
      </w:pPr>
    </w:p>
    <w:p>
      <w:pPr>
        <w:pStyle w:val="Heading2"/>
        <w:keepNext/>
      </w:pPr>
      <w:r>
        <w:t>Architecture, trust boundaries and data flows</w:t>
      </w:r>
    </w:p>
    <w:p>
      <w:r>
        <w:t>VS Code and GitHub Copilot form the MCP client/agent boundary. The IDE starts the local Node.js MCP process, which invokes Playwright and a browser process. The browser crosses the enterprise network boundary to target sites. Page content, accessibility snapshots, console/network output, screenshots and files return through the MCP server to the agent/model context. User approvals, IDE policy, OS/container isolation and network enforcement are separate control planes.</w:t>
      </w:r>
    </w:p>
    <w:p>
      <w:pPr>
        <w:pStyle w:val="ListBullet"/>
      </w:pPr>
      <w:r>
        <w:t>Trust boundary 1: user and IDE agent versus model-generated plans.</w:t>
      </w:r>
    </w:p>
    <w:p>
      <w:pPr>
        <w:pStyle w:val="ListBullet"/>
      </w:pPr>
      <w:r>
        <w:t>Trust boundary 2: MCP client versus local server process and its tool schema.</w:t>
      </w:r>
    </w:p>
    <w:p>
      <w:pPr>
        <w:pStyle w:val="ListBullet"/>
      </w:pPr>
      <w:r>
        <w:t>Trust boundary 3: server/browser processes versus host filesystem, credentials and network.</w:t>
      </w:r>
    </w:p>
    <w:p>
      <w:pPr>
        <w:pStyle w:val="ListBullet"/>
      </w:pPr>
      <w:r>
        <w:t>Trust boundary 4: browser versus untrusted websites and third-party origins.</w:t>
      </w:r>
    </w:p>
    <w:p>
      <w:pPr>
        <w:pStyle w:val="ListBullet"/>
      </w:pPr>
      <w:r>
        <w:t>Trust boundary 5: tool output versus other agent tools, repositories, terminals and cloud services.</w:t>
      </w:r>
    </w:p>
    <w:p>
      <w:pPr>
        <w:pStyle w:val="Heading2"/>
        <w:keepNext/>
      </w:pPr>
      <w:r>
        <w:t>Runtime processes, network, authentication, telemetry and privacy</w:t>
      </w:r>
    </w:p>
    <w:p>
      <w:r>
        <w:t>Static inspection shows local Node and browser process expectations; runtime process trees, destinations and telemetry were not observed. Browser authentication is inherited from the selected profile or storage state. The MCP server supports secret-file substitution/redaction, but redaction of exact known strings is not a complete data-loss-prevention boundary. Default origin access is broad; redirects are not constrained by the documented origin lists.</w:t>
      </w:r>
    </w:p>
    <w:p>
      <w:pPr>
        <w:pStyle w:val="Heading2"/>
        <w:keepNext/>
      </w:pPr>
      <w:r>
        <w:t>MCP surface and installed skills</w:t>
      </w:r>
    </w:p>
    <w:p>
      <w:r>
        <w:t>Core tools include navigation, snapshots, clicks, typing, uploads, screenshots, console/network inspection, tabs, storage/cookie operations and output artefacts. The inspected core bundle also defines browser_run_code_unsafe as an action that executes arbitrary JavaScript in the server process and is RCE-equivalent. Tool availability may vary by capability/configuration.</w:t>
      </w:r>
    </w:p>
    <w:p>
      <w:r>
        <w:t>Agent Skills decision: Not applicable to this MCP deployment. A Playwright CLI skill exists inside the playwright-core dependency package, but static evidence does not show that @playwright/mcp installs or registers it in either IDE. It must be governed separately if intentionally installed.</w:t>
      </w:r>
    </w:p>
    <w:p>
      <w:pPr>
        <w:pStyle w:val="Heading2"/>
        <w:keepNext/>
      </w:pPr>
      <w:r>
        <w:t>Supply chain and update path</w:t>
      </w:r>
    </w:p>
    <w:p>
      <w:r>
        <w:t>Positive evidence includes Microsoft ownership, Apache-2.0 licensing, exact package dependencies, npm registry signature and SLSA provenance attestation. Risk remains because vendor examples use mutable @latest/npx patterns and the stable MCP package depends on timestamped alpha Playwright builds. Enterprise deployment should pin version plus integrity, use an approved mirror and promote updates after review.</w:t>
      </w:r>
    </w:p>
    <w:p>
      <w:pPr>
        <w:pStyle w:val="Heading2"/>
        <w:keepNext/>
      </w:pPr>
      <w:r>
        <w:t>Threat scenarios, controls and residual risk</w:t>
      </w:r>
    </w:p>
    <w:tbl>
      <w:tblPr>
        <w:tblStyle w:val="TableGrid"/>
        <w:tblW w:type="dxa" w:w="9360"/>
        <w:tblLayout w:type="fixed"/>
        <w:tblLook w:firstColumn="1" w:firstRow="1" w:lastColumn="0" w:lastRow="0" w:noHBand="0" w:noVBand="1" w:val="04A0"/>
        <w:jc w:val="left"/>
        <w:tblInd w:w="120" w:type="dxa"/>
        <w:tblInd w:w="120" w:type="dxa"/>
        <w:tblInd w:w="120" w:type="dxa"/>
        <w:tblInd w:w="120" w:type="dxa"/>
        <w:tblInd w:w="120" w:type="dxa"/>
        <w:tblInd w:w="120" w:type="dxa"/>
        <w:tblInd w:w="120" w:type="dxa"/>
        <w:tblInd w:w="120" w:type="dxa"/>
      </w:tblPr>
      <w:tblGrid>
        <w:gridCol w:w="700"/>
        <w:gridCol w:w="3000"/>
        <w:gridCol w:w="1100"/>
        <w:gridCol w:w="1100"/>
        <w:gridCol w:w="3460"/>
      </w:tblGrid>
      <w:tr>
        <w:trPr>
          <w:tblHeader w:val="true"/>
          <w:cantSplit/>
        </w:trPr>
        <w:tc>
          <w:tcPr>
            <w:tcW w:type="dxa" w:w="700"/>
            <w:vAlign w:val="center"/>
            <w:tcMar>
              <w:top w:w="80" w:type="dxa"/>
              <w:start w:w="120" w:type="dxa"/>
              <w:bottom w:w="80" w:type="dxa"/>
              <w:end w:w="120" w:type="dxa"/>
            </w:tcMar>
            <w:shd w:fill="E8EEF5"/>
          </w:tcPr>
          <w:p>
            <w:pPr>
              <w:keepNext/>
            </w:pPr>
            <w:r>
              <w:rPr>
                <w:b/>
              </w:rPr>
              <w:t>ID</w:t>
            </w:r>
          </w:p>
        </w:tc>
        <w:tc>
          <w:tcPr>
            <w:tcW w:type="dxa" w:w="3000"/>
            <w:vAlign w:val="center"/>
            <w:tcMar>
              <w:top w:w="80" w:type="dxa"/>
              <w:start w:w="120" w:type="dxa"/>
              <w:bottom w:w="80" w:type="dxa"/>
              <w:end w:w="120" w:type="dxa"/>
            </w:tcMar>
            <w:shd w:fill="E8EEF5"/>
          </w:tcPr>
          <w:p>
            <w:pPr>
              <w:keepNext/>
            </w:pPr>
            <w:r>
              <w:rPr>
                <w:b/>
              </w:rPr>
              <w:t>Scenario</w:t>
            </w:r>
          </w:p>
        </w:tc>
        <w:tc>
          <w:tcPr>
            <w:tcW w:type="dxa" w:w="1100"/>
            <w:vAlign w:val="center"/>
            <w:tcMar>
              <w:top w:w="80" w:type="dxa"/>
              <w:start w:w="120" w:type="dxa"/>
              <w:bottom w:w="80" w:type="dxa"/>
              <w:end w:w="120" w:type="dxa"/>
            </w:tcMar>
            <w:shd w:fill="E8EEF5"/>
          </w:tcPr>
          <w:p>
            <w:pPr>
              <w:keepNext/>
            </w:pPr>
            <w:r>
              <w:rPr>
                <w:b/>
              </w:rPr>
              <w:t>Inherent</w:t>
            </w:r>
          </w:p>
        </w:tc>
        <w:tc>
          <w:tcPr>
            <w:tcW w:type="dxa" w:w="1100"/>
            <w:vAlign w:val="center"/>
            <w:tcMar>
              <w:top w:w="80" w:type="dxa"/>
              <w:start w:w="120" w:type="dxa"/>
              <w:bottom w:w="80" w:type="dxa"/>
              <w:end w:w="120" w:type="dxa"/>
            </w:tcMar>
            <w:shd w:fill="E8EEF5"/>
          </w:tcPr>
          <w:p>
            <w:pPr>
              <w:keepNext/>
            </w:pPr>
            <w:r>
              <w:rPr>
                <w:b/>
              </w:rPr>
              <w:t>Residual</w:t>
            </w:r>
          </w:p>
        </w:tc>
        <w:tc>
          <w:tcPr>
            <w:tcW w:type="dxa" w:w="3460"/>
            <w:vAlign w:val="center"/>
            <w:tcMar>
              <w:top w:w="80" w:type="dxa"/>
              <w:start w:w="120" w:type="dxa"/>
              <w:bottom w:w="80" w:type="dxa"/>
              <w:end w:w="120" w:type="dxa"/>
            </w:tcMar>
            <w:shd w:fill="E8EEF5"/>
          </w:tcPr>
          <w:p>
            <w:pPr>
              <w:keepNext/>
            </w:pPr>
            <w:r>
              <w:rPr>
                <w:b/>
              </w:rPr>
              <w:t>Primary control</w:t>
            </w:r>
          </w:p>
        </w:tc>
      </w:tr>
      <w:tr>
        <w:trPr>
          <w:cantSplit/>
        </w:trPr>
        <w:tc>
          <w:tcPr>
            <w:tcW w:type="dxa" w:w="700"/>
            <w:vAlign w:val="center"/>
            <w:tcMar>
              <w:top w:w="80" w:type="dxa"/>
              <w:start w:w="120" w:type="dxa"/>
              <w:bottom w:w="80" w:type="dxa"/>
              <w:end w:w="120" w:type="dxa"/>
            </w:tcMar>
          </w:tcPr>
          <w:p>
            <w:r>
              <w:t>R-01</w:t>
            </w:r>
          </w:p>
        </w:tc>
        <w:tc>
          <w:tcPr>
            <w:tcW w:type="dxa" w:w="3000"/>
            <w:vAlign w:val="center"/>
            <w:tcMar>
              <w:top w:w="80" w:type="dxa"/>
              <w:start w:w="120" w:type="dxa"/>
              <w:bottom w:w="80" w:type="dxa"/>
              <w:end w:w="120" w:type="dxa"/>
            </w:tcMar>
          </w:tcPr>
          <w:p>
            <w:r>
              <w:t>Indirect prompt injection causes unsafe browser or chained-tool actions</w:t>
            </w:r>
          </w:p>
        </w:tc>
        <w:tc>
          <w:tcPr>
            <w:tcW w:type="dxa" w:w="1100"/>
            <w:vAlign w:val="center"/>
            <w:tcMar>
              <w:top w:w="80" w:type="dxa"/>
              <w:start w:w="120" w:type="dxa"/>
              <w:bottom w:w="80" w:type="dxa"/>
              <w:end w:w="120" w:type="dxa"/>
            </w:tcMar>
          </w:tcPr>
          <w:p>
            <w:r>
              <w:t>20 Critical</w:t>
            </w:r>
          </w:p>
        </w:tc>
        <w:tc>
          <w:tcPr>
            <w:tcW w:type="dxa" w:w="1100"/>
            <w:vAlign w:val="center"/>
            <w:tcMar>
              <w:top w:w="80" w:type="dxa"/>
              <w:start w:w="120" w:type="dxa"/>
              <w:bottom w:w="80" w:type="dxa"/>
              <w:end w:w="120" w:type="dxa"/>
            </w:tcMar>
          </w:tcPr>
          <w:p>
            <w:r>
              <w:t>12 High</w:t>
            </w:r>
          </w:p>
        </w:tc>
        <w:tc>
          <w:tcPr>
            <w:tcW w:type="dxa" w:w="3460"/>
            <w:vAlign w:val="center"/>
            <w:tcMar>
              <w:top w:w="80" w:type="dxa"/>
              <w:start w:w="120" w:type="dxa"/>
              <w:bottom w:w="80" w:type="dxa"/>
              <w:end w:w="120" w:type="dxa"/>
            </w:tcMar>
          </w:tcPr>
          <w:p>
            <w:r>
              <w:t>Restrict sites and tools; per-call approval; isolate; prohibit cross-tool secrets</w:t>
            </w:r>
          </w:p>
        </w:tc>
      </w:tr>
      <w:tr>
        <w:trPr>
          <w:cantSplit/>
        </w:trPr>
        <w:tc>
          <w:tcPr>
            <w:tcW w:type="dxa" w:w="700"/>
            <w:vAlign w:val="center"/>
            <w:tcMar>
              <w:top w:w="80" w:type="dxa"/>
              <w:start w:w="120" w:type="dxa"/>
              <w:bottom w:w="80" w:type="dxa"/>
              <w:end w:w="120" w:type="dxa"/>
            </w:tcMar>
          </w:tcPr>
          <w:p>
            <w:r>
              <w:t>R-02</w:t>
            </w:r>
          </w:p>
        </w:tc>
        <w:tc>
          <w:tcPr>
            <w:tcW w:type="dxa" w:w="3000"/>
            <w:vAlign w:val="center"/>
            <w:tcMar>
              <w:top w:w="80" w:type="dxa"/>
              <w:start w:w="120" w:type="dxa"/>
              <w:bottom w:w="80" w:type="dxa"/>
              <w:end w:w="120" w:type="dxa"/>
            </w:tcMar>
          </w:tcPr>
          <w:p>
            <w:r>
              <w:t>Default broad network reach enables unintended access or exfiltration</w:t>
            </w:r>
          </w:p>
        </w:tc>
        <w:tc>
          <w:tcPr>
            <w:tcW w:type="dxa" w:w="1100"/>
            <w:vAlign w:val="center"/>
            <w:tcMar>
              <w:top w:w="80" w:type="dxa"/>
              <w:start w:w="120" w:type="dxa"/>
              <w:bottom w:w="80" w:type="dxa"/>
              <w:end w:w="120" w:type="dxa"/>
            </w:tcMar>
          </w:tcPr>
          <w:p>
            <w:r>
              <w:t>16 High</w:t>
            </w:r>
          </w:p>
        </w:tc>
        <w:tc>
          <w:tcPr>
            <w:tcW w:type="dxa" w:w="1100"/>
            <w:vAlign w:val="center"/>
            <w:tcMar>
              <w:top w:w="80" w:type="dxa"/>
              <w:start w:w="120" w:type="dxa"/>
              <w:bottom w:w="80" w:type="dxa"/>
              <w:end w:w="120" w:type="dxa"/>
            </w:tcMar>
          </w:tcPr>
          <w:p>
            <w:r>
              <w:t>8 Moderate</w:t>
            </w:r>
          </w:p>
        </w:tc>
        <w:tc>
          <w:tcPr>
            <w:tcW w:type="dxa" w:w="3460"/>
            <w:vAlign w:val="center"/>
            <w:tcMar>
              <w:top w:w="80" w:type="dxa"/>
              <w:start w:w="120" w:type="dxa"/>
              <w:bottom w:w="80" w:type="dxa"/>
              <w:end w:w="120" w:type="dxa"/>
            </w:tcMar>
          </w:tcPr>
          <w:p>
            <w:r>
              <w:t>Egress proxy plus explicit origin allowlist; do not treat MCP list as boundary</w:t>
            </w:r>
          </w:p>
        </w:tc>
      </w:tr>
      <w:tr>
        <w:trPr>
          <w:cantSplit/>
        </w:trPr>
        <w:tc>
          <w:tcPr>
            <w:tcW w:type="dxa" w:w="700"/>
            <w:vAlign w:val="center"/>
            <w:tcMar>
              <w:top w:w="80" w:type="dxa"/>
              <w:start w:w="120" w:type="dxa"/>
              <w:bottom w:w="80" w:type="dxa"/>
              <w:end w:w="120" w:type="dxa"/>
            </w:tcMar>
          </w:tcPr>
          <w:p>
            <w:r>
              <w:t>R-03</w:t>
            </w:r>
          </w:p>
        </w:tc>
        <w:tc>
          <w:tcPr>
            <w:tcW w:type="dxa" w:w="3000"/>
            <w:vAlign w:val="center"/>
            <w:tcMar>
              <w:top w:w="80" w:type="dxa"/>
              <w:start w:w="120" w:type="dxa"/>
              <w:bottom w:w="80" w:type="dxa"/>
              <w:end w:w="120" w:type="dxa"/>
            </w:tcMar>
          </w:tcPr>
          <w:p>
            <w:r>
              <w:t>Cookies, tokens, storage state, snapshots or logs expose sensitive data</w:t>
            </w:r>
          </w:p>
        </w:tc>
        <w:tc>
          <w:tcPr>
            <w:tcW w:type="dxa" w:w="1100"/>
            <w:vAlign w:val="center"/>
            <w:tcMar>
              <w:top w:w="80" w:type="dxa"/>
              <w:start w:w="120" w:type="dxa"/>
              <w:bottom w:w="80" w:type="dxa"/>
              <w:end w:w="120" w:type="dxa"/>
            </w:tcMar>
          </w:tcPr>
          <w:p>
            <w:r>
              <w:t>20 Critical</w:t>
            </w:r>
          </w:p>
        </w:tc>
        <w:tc>
          <w:tcPr>
            <w:tcW w:type="dxa" w:w="1100"/>
            <w:vAlign w:val="center"/>
            <w:tcMar>
              <w:top w:w="80" w:type="dxa"/>
              <w:start w:w="120" w:type="dxa"/>
              <w:bottom w:w="80" w:type="dxa"/>
              <w:end w:w="120" w:type="dxa"/>
            </w:tcMar>
          </w:tcPr>
          <w:p>
            <w:r>
              <w:t>10 High</w:t>
            </w:r>
          </w:p>
        </w:tc>
        <w:tc>
          <w:tcPr>
            <w:tcW w:type="dxa" w:w="3460"/>
            <w:vAlign w:val="center"/>
            <w:tcMar>
              <w:top w:w="80" w:type="dxa"/>
              <w:start w:w="120" w:type="dxa"/>
              <w:bottom w:w="80" w:type="dxa"/>
              <w:end w:w="120" w:type="dxa"/>
            </w:tcMar>
          </w:tcPr>
          <w:p>
            <w:r>
              <w:t>Isolated profile; synthetic identities; protected output; retention/deletion controls</w:t>
            </w:r>
          </w:p>
        </w:tc>
      </w:tr>
      <w:tr>
        <w:trPr>
          <w:cantSplit/>
        </w:trPr>
        <w:tc>
          <w:tcPr>
            <w:tcW w:type="dxa" w:w="700"/>
            <w:vAlign w:val="center"/>
            <w:tcMar>
              <w:top w:w="80" w:type="dxa"/>
              <w:start w:w="120" w:type="dxa"/>
              <w:bottom w:w="80" w:type="dxa"/>
              <w:end w:w="120" w:type="dxa"/>
            </w:tcMar>
          </w:tcPr>
          <w:p>
            <w:r>
              <w:t>R-04</w:t>
            </w:r>
          </w:p>
        </w:tc>
        <w:tc>
          <w:tcPr>
            <w:tcW w:type="dxa" w:w="3000"/>
            <w:vAlign w:val="center"/>
            <w:tcMar>
              <w:top w:w="80" w:type="dxa"/>
              <w:start w:w="120" w:type="dxa"/>
              <w:bottom w:w="80" w:type="dxa"/>
              <w:end w:w="120" w:type="dxa"/>
            </w:tcMar>
          </w:tcPr>
          <w:p>
            <w:r>
              <w:t>Unsafe code tool yields server-process code execution</w:t>
            </w:r>
          </w:p>
        </w:tc>
        <w:tc>
          <w:tcPr>
            <w:tcW w:type="dxa" w:w="1100"/>
            <w:vAlign w:val="center"/>
            <w:tcMar>
              <w:top w:w="80" w:type="dxa"/>
              <w:start w:w="120" w:type="dxa"/>
              <w:bottom w:w="80" w:type="dxa"/>
              <w:end w:w="120" w:type="dxa"/>
            </w:tcMar>
          </w:tcPr>
          <w:p>
            <w:r>
              <w:t>20 Critical</w:t>
            </w:r>
          </w:p>
        </w:tc>
        <w:tc>
          <w:tcPr>
            <w:tcW w:type="dxa" w:w="1100"/>
            <w:vAlign w:val="center"/>
            <w:tcMar>
              <w:top w:w="80" w:type="dxa"/>
              <w:start w:w="120" w:type="dxa"/>
              <w:bottom w:w="80" w:type="dxa"/>
              <w:end w:w="120" w:type="dxa"/>
            </w:tcMar>
          </w:tcPr>
          <w:p>
            <w:r>
              <w:t>10 High</w:t>
            </w:r>
          </w:p>
        </w:tc>
        <w:tc>
          <w:tcPr>
            <w:tcW w:type="dxa" w:w="3460"/>
            <w:vAlign w:val="center"/>
            <w:tcMar>
              <w:top w:w="80" w:type="dxa"/>
              <w:start w:w="120" w:type="dxa"/>
              <w:bottom w:w="80" w:type="dxa"/>
              <w:end w:w="120" w:type="dxa"/>
            </w:tcMar>
          </w:tcPr>
          <w:p>
            <w:r>
              <w:t>Disable/deny tool; container/VM isolation; least-privilege account; no host secrets</w:t>
            </w:r>
          </w:p>
        </w:tc>
      </w:tr>
      <w:tr>
        <w:trPr>
          <w:cantSplit/>
        </w:trPr>
        <w:tc>
          <w:tcPr>
            <w:tcW w:type="dxa" w:w="700"/>
            <w:vAlign w:val="center"/>
            <w:tcMar>
              <w:top w:w="80" w:type="dxa"/>
              <w:start w:w="120" w:type="dxa"/>
              <w:bottom w:w="80" w:type="dxa"/>
              <w:end w:w="120" w:type="dxa"/>
            </w:tcMar>
          </w:tcPr>
          <w:p>
            <w:r>
              <w:t>R-05</w:t>
            </w:r>
          </w:p>
        </w:tc>
        <w:tc>
          <w:tcPr>
            <w:tcW w:type="dxa" w:w="3000"/>
            <w:vAlign w:val="center"/>
            <w:tcMar>
              <w:top w:w="80" w:type="dxa"/>
              <w:start w:w="120" w:type="dxa"/>
              <w:bottom w:w="80" w:type="dxa"/>
              <w:end w:w="120" w:type="dxa"/>
            </w:tcMar>
          </w:tcPr>
          <w:p>
            <w:r>
              <w:t>Mutable install/update or dependency compromise changes trusted behavior</w:t>
            </w:r>
          </w:p>
        </w:tc>
        <w:tc>
          <w:tcPr>
            <w:tcW w:type="dxa" w:w="1100"/>
            <w:vAlign w:val="center"/>
            <w:tcMar>
              <w:top w:w="80" w:type="dxa"/>
              <w:start w:w="120" w:type="dxa"/>
              <w:bottom w:w="80" w:type="dxa"/>
              <w:end w:w="120" w:type="dxa"/>
            </w:tcMar>
          </w:tcPr>
          <w:p>
            <w:r>
              <w:t>15 High</w:t>
            </w:r>
          </w:p>
        </w:tc>
        <w:tc>
          <w:tcPr>
            <w:tcW w:type="dxa" w:w="1100"/>
            <w:vAlign w:val="center"/>
            <w:tcMar>
              <w:top w:w="80" w:type="dxa"/>
              <w:start w:w="120" w:type="dxa"/>
              <w:bottom w:w="80" w:type="dxa"/>
              <w:end w:w="120" w:type="dxa"/>
            </w:tcMar>
          </w:tcPr>
          <w:p>
            <w:r>
              <w:t>10 High</w:t>
            </w:r>
          </w:p>
        </w:tc>
        <w:tc>
          <w:tcPr>
            <w:tcW w:type="dxa" w:w="3460"/>
            <w:vAlign w:val="center"/>
            <w:tcMar>
              <w:top w:w="80" w:type="dxa"/>
              <w:start w:w="120" w:type="dxa"/>
              <w:bottom w:w="80" w:type="dxa"/>
              <w:end w:w="120" w:type="dxa"/>
            </w:tcMar>
          </w:tcPr>
          <w:p>
            <w:r>
              <w:t>Pin version and integrity; controlled mirror; provenance verification; staged update</w:t>
            </w:r>
          </w:p>
        </w:tc>
      </w:tr>
      <w:tr>
        <w:trPr>
          <w:cantSplit/>
        </w:trPr>
        <w:tc>
          <w:tcPr>
            <w:tcW w:type="dxa" w:w="700"/>
            <w:vAlign w:val="center"/>
            <w:tcMar>
              <w:top w:w="80" w:type="dxa"/>
              <w:start w:w="120" w:type="dxa"/>
              <w:bottom w:w="80" w:type="dxa"/>
              <w:end w:w="120" w:type="dxa"/>
            </w:tcMar>
          </w:tcPr>
          <w:p>
            <w:r>
              <w:t>R-06</w:t>
            </w:r>
          </w:p>
        </w:tc>
        <w:tc>
          <w:tcPr>
            <w:tcW w:type="dxa" w:w="3000"/>
            <w:vAlign w:val="center"/>
            <w:tcMar>
              <w:top w:w="80" w:type="dxa"/>
              <w:start w:w="120" w:type="dxa"/>
              <w:bottom w:w="80" w:type="dxa"/>
              <w:end w:w="120" w:type="dxa"/>
            </w:tcMar>
          </w:tcPr>
          <w:p>
            <w:r>
              <w:t>Shared or persistent browser context crosses users, tasks or classifications</w:t>
            </w:r>
          </w:p>
        </w:tc>
        <w:tc>
          <w:tcPr>
            <w:tcW w:type="dxa" w:w="1100"/>
            <w:vAlign w:val="center"/>
            <w:tcMar>
              <w:top w:w="80" w:type="dxa"/>
              <w:start w:w="120" w:type="dxa"/>
              <w:bottom w:w="80" w:type="dxa"/>
              <w:end w:w="120" w:type="dxa"/>
            </w:tcMar>
          </w:tcPr>
          <w:p>
            <w:r>
              <w:t>15 High</w:t>
            </w:r>
          </w:p>
        </w:tc>
        <w:tc>
          <w:tcPr>
            <w:tcW w:type="dxa" w:w="1100"/>
            <w:vAlign w:val="center"/>
            <w:tcMar>
              <w:top w:w="80" w:type="dxa"/>
              <w:start w:w="120" w:type="dxa"/>
              <w:bottom w:w="80" w:type="dxa"/>
              <w:end w:w="120" w:type="dxa"/>
            </w:tcMar>
          </w:tcPr>
          <w:p>
            <w:r>
              <w:t>8 Moderate</w:t>
            </w:r>
          </w:p>
        </w:tc>
        <w:tc>
          <w:tcPr>
            <w:tcW w:type="dxa" w:w="3460"/>
            <w:vAlign w:val="center"/>
            <w:tcMar>
              <w:top w:w="80" w:type="dxa"/>
              <w:start w:w="120" w:type="dxa"/>
              <w:bottom w:w="80" w:type="dxa"/>
              <w:end w:w="120" w:type="dxa"/>
            </w:tcMar>
          </w:tcPr>
          <w:p>
            <w:r>
              <w:t>One isolated context per task; disable shared context; purge on close</w:t>
            </w:r>
          </w:p>
        </w:tc>
      </w:tr>
      <w:tr>
        <w:trPr>
          <w:cantSplit/>
        </w:trPr>
        <w:tc>
          <w:tcPr>
            <w:tcW w:type="dxa" w:w="700"/>
            <w:vAlign w:val="center"/>
            <w:tcMar>
              <w:top w:w="80" w:type="dxa"/>
              <w:start w:w="120" w:type="dxa"/>
              <w:bottom w:w="80" w:type="dxa"/>
              <w:end w:w="120" w:type="dxa"/>
            </w:tcMar>
          </w:tcPr>
          <w:p>
            <w:r>
              <w:t>R-07</w:t>
            </w:r>
          </w:p>
        </w:tc>
        <w:tc>
          <w:tcPr>
            <w:tcW w:type="dxa" w:w="3000"/>
            <w:vAlign w:val="center"/>
            <w:tcMar>
              <w:top w:w="80" w:type="dxa"/>
              <w:start w:w="120" w:type="dxa"/>
              <w:bottom w:w="80" w:type="dxa"/>
              <w:end w:w="120" w:type="dxa"/>
            </w:tcMar>
          </w:tcPr>
          <w:p>
            <w:r>
              <w:t>Insufficient audit evidence prevents reconstruction or regulatory reporting</w:t>
            </w:r>
          </w:p>
        </w:tc>
        <w:tc>
          <w:tcPr>
            <w:tcW w:type="dxa" w:w="1100"/>
            <w:vAlign w:val="center"/>
            <w:tcMar>
              <w:top w:w="80" w:type="dxa"/>
              <w:start w:w="120" w:type="dxa"/>
              <w:bottom w:w="80" w:type="dxa"/>
              <w:end w:w="120" w:type="dxa"/>
            </w:tcMar>
          </w:tcPr>
          <w:p>
            <w:r>
              <w:t>12 High</w:t>
            </w:r>
          </w:p>
        </w:tc>
        <w:tc>
          <w:tcPr>
            <w:tcW w:type="dxa" w:w="1100"/>
            <w:vAlign w:val="center"/>
            <w:tcMar>
              <w:top w:w="80" w:type="dxa"/>
              <w:start w:w="120" w:type="dxa"/>
              <w:bottom w:w="80" w:type="dxa"/>
              <w:end w:w="120" w:type="dxa"/>
            </w:tcMar>
          </w:tcPr>
          <w:p>
            <w:r>
              <w:t>8 Moderate</w:t>
            </w:r>
          </w:p>
        </w:tc>
        <w:tc>
          <w:tcPr>
            <w:tcW w:type="dxa" w:w="3460"/>
            <w:vAlign w:val="center"/>
            <w:tcMar>
              <w:top w:w="80" w:type="dxa"/>
              <w:start w:w="120" w:type="dxa"/>
              <w:bottom w:w="80" w:type="dxa"/>
              <w:end w:w="120" w:type="dxa"/>
            </w:tcMar>
          </w:tcPr>
          <w:p>
            <w:r>
              <w:t>Central metadata logging, approvals, server version/hash, destination and outcome</w:t>
            </w:r>
          </w:p>
        </w:tc>
      </w:tr>
    </w:tbl>
    <w:p>
      <w:pPr>
        <w:spacing w:after="0"/>
      </w:pPr>
    </w:p>
    <w:tbl>
      <w:tblPr>
        <w:tblStyle w:val="TableGrid"/>
        <w:tblW w:type="dxa" w:w="9360"/>
        <w:tblLayout w:type="fixed"/>
        <w:tblLook w:firstColumn="1" w:firstRow="1" w:lastColumn="0" w:lastRow="0" w:noHBand="0" w:noVBand="1" w:val="04A0"/>
        <w:jc w:val="left"/>
        <w:tblInd w:w="120" w:type="dxa"/>
        <w:tblInd w:w="120" w:type="dxa"/>
        <w:tblInd w:w="120" w:type="dxa"/>
        <w:tblInd w:w="120" w:type="dxa"/>
        <w:tblInd w:w="120" w:type="dxa"/>
        <w:tblInd w:w="120" w:type="dxa"/>
        <w:tblInd w:w="120" w:type="dxa"/>
        <w:tblInd w:w="120" w:type="dxa"/>
        <w:tblInd w:w="120" w:type="dxa"/>
        <w:tblInd w:w="120" w:type="dxa"/>
        <w:tblInd w:w="120" w:type="dxa"/>
        <w:tblInd w:w="120" w:type="dxa"/>
        <w:tblInd w:w="120" w:type="dxa"/>
        <w:tblInd w:w="120" w:type="dxa"/>
      </w:tblPr>
      <w:tblGrid>
        <w:gridCol w:w="2100"/>
        <w:gridCol w:w="1700"/>
        <w:gridCol w:w="5560"/>
      </w:tblGrid>
      <w:tr>
        <w:trPr>
          <w:tblHeader w:val="true"/>
          <w:cantSplit/>
        </w:trPr>
        <w:tc>
          <w:tcPr>
            <w:tcW w:type="dxa" w:w="2100"/>
            <w:vAlign w:val="center"/>
            <w:tcMar>
              <w:top w:w="80" w:type="dxa"/>
              <w:start w:w="120" w:type="dxa"/>
              <w:bottom w:w="80" w:type="dxa"/>
              <w:end w:w="120" w:type="dxa"/>
            </w:tcMar>
            <w:shd w:fill="E8EEF5"/>
          </w:tcPr>
          <w:p>
            <w:pPr>
              <w:keepNext/>
            </w:pPr>
            <w:r>
              <w:rPr>
                <w:b/>
              </w:rPr>
              <w:t>Framework</w:t>
            </w:r>
          </w:p>
        </w:tc>
        <w:tc>
          <w:tcPr>
            <w:tcW w:type="dxa" w:w="1700"/>
            <w:vAlign w:val="center"/>
            <w:tcMar>
              <w:top w:w="80" w:type="dxa"/>
              <w:start w:w="120" w:type="dxa"/>
              <w:bottom w:w="80" w:type="dxa"/>
              <w:end w:w="120" w:type="dxa"/>
            </w:tcMar>
            <w:shd w:fill="E8EEF5"/>
          </w:tcPr>
          <w:p>
            <w:pPr>
              <w:keepNext/>
            </w:pPr>
            <w:r>
              <w:rPr>
                <w:b/>
              </w:rPr>
              <w:t>Disposition</w:t>
            </w:r>
          </w:p>
        </w:tc>
        <w:tc>
          <w:tcPr>
            <w:tcW w:type="dxa" w:w="5560"/>
            <w:vAlign w:val="center"/>
            <w:tcMar>
              <w:top w:w="80" w:type="dxa"/>
              <w:start w:w="120" w:type="dxa"/>
              <w:bottom w:w="80" w:type="dxa"/>
              <w:end w:w="120" w:type="dxa"/>
            </w:tcMar>
            <w:shd w:fill="E8EEF5"/>
          </w:tcPr>
          <w:p>
            <w:pPr>
              <w:keepNext/>
            </w:pPr>
            <w:r>
              <w:rPr>
                <w:b/>
              </w:rPr>
              <w:t>Mapping / rationale</w:t>
            </w:r>
          </w:p>
        </w:tc>
      </w:tr>
      <w:tr>
        <w:trPr>
          <w:cantSplit/>
        </w:trPr>
        <w:tc>
          <w:tcPr>
            <w:tcW w:type="dxa" w:w="2100"/>
            <w:vAlign w:val="center"/>
            <w:tcMar>
              <w:top w:w="80" w:type="dxa"/>
              <w:start w:w="120" w:type="dxa"/>
              <w:bottom w:w="80" w:type="dxa"/>
              <w:end w:w="120" w:type="dxa"/>
            </w:tcMar>
          </w:tcPr>
          <w:p>
            <w:r>
              <w:t>OWASP LLM Top 10 2025</w:t>
            </w:r>
          </w:p>
        </w:tc>
        <w:tc>
          <w:tcPr>
            <w:tcW w:type="dxa" w:w="1700"/>
            <w:vAlign w:val="center"/>
            <w:tcMar>
              <w:top w:w="80" w:type="dxa"/>
              <w:start w:w="120" w:type="dxa"/>
              <w:bottom w:w="80" w:type="dxa"/>
              <w:end w:w="120" w:type="dxa"/>
            </w:tcMar>
          </w:tcPr>
          <w:p>
            <w:r>
              <w:t>Applicable</w:t>
            </w:r>
          </w:p>
        </w:tc>
        <w:tc>
          <w:tcPr>
            <w:tcW w:type="dxa" w:w="5560"/>
            <w:vAlign w:val="center"/>
            <w:tcMar>
              <w:top w:w="80" w:type="dxa"/>
              <w:start w:w="120" w:type="dxa"/>
              <w:bottom w:w="80" w:type="dxa"/>
              <w:end w:w="120" w:type="dxa"/>
            </w:tcMar>
          </w:tcPr>
          <w:p>
            <w:r>
              <w:t>LLM01 prompt injection, LLM02 disclosure, LLM03 supply chain, LLM06 excessive agency, LLM07 system prompt leakage, LLM10 unbounded consumption</w:t>
            </w:r>
          </w:p>
        </w:tc>
      </w:tr>
      <w:tr>
        <w:trPr>
          <w:cantSplit/>
        </w:trPr>
        <w:tc>
          <w:tcPr>
            <w:tcW w:type="dxa" w:w="2100"/>
            <w:vAlign w:val="center"/>
            <w:tcMar>
              <w:top w:w="80" w:type="dxa"/>
              <w:start w:w="120" w:type="dxa"/>
              <w:bottom w:w="80" w:type="dxa"/>
              <w:end w:w="120" w:type="dxa"/>
            </w:tcMar>
          </w:tcPr>
          <w:p>
            <w:r>
              <w:t>OWASP Agentic Top 10 2026</w:t>
            </w:r>
          </w:p>
        </w:tc>
        <w:tc>
          <w:tcPr>
            <w:tcW w:type="dxa" w:w="1700"/>
            <w:vAlign w:val="center"/>
            <w:tcMar>
              <w:top w:w="80" w:type="dxa"/>
              <w:start w:w="120" w:type="dxa"/>
              <w:bottom w:w="80" w:type="dxa"/>
              <w:end w:w="120" w:type="dxa"/>
            </w:tcMar>
          </w:tcPr>
          <w:p>
            <w:r>
              <w:t>Applicable</w:t>
            </w:r>
          </w:p>
        </w:tc>
        <w:tc>
          <w:tcPr>
            <w:tcW w:type="dxa" w:w="5560"/>
            <w:vAlign w:val="center"/>
            <w:tcMar>
              <w:top w:w="80" w:type="dxa"/>
              <w:start w:w="120" w:type="dxa"/>
              <w:bottom w:w="80" w:type="dxa"/>
              <w:end w:w="120" w:type="dxa"/>
            </w:tcMar>
          </w:tcPr>
          <w:p>
            <w:r>
              <w:t>ASI01 goal hijack, ASI02 tool misuse, ASI03 privilege abuse, ASI04 supply chain, ASI05 unexpected code execution, ASI06 context poisoning, ASI08 cascading failures, ASI09 trust exploitation, ASI10 rogue agents</w:t>
            </w:r>
          </w:p>
        </w:tc>
      </w:tr>
      <w:tr>
        <w:trPr>
          <w:cantSplit/>
        </w:trPr>
        <w:tc>
          <w:tcPr>
            <w:tcW w:type="dxa" w:w="2100"/>
            <w:vAlign w:val="center"/>
            <w:tcMar>
              <w:top w:w="80" w:type="dxa"/>
              <w:start w:w="120" w:type="dxa"/>
              <w:bottom w:w="80" w:type="dxa"/>
              <w:end w:w="120" w:type="dxa"/>
            </w:tcMar>
          </w:tcPr>
          <w:p>
            <w:r>
              <w:t>OWASP MCP Top 10 2025 beta</w:t>
            </w:r>
          </w:p>
        </w:tc>
        <w:tc>
          <w:tcPr>
            <w:tcW w:type="dxa" w:w="1700"/>
            <w:vAlign w:val="center"/>
            <w:tcMar>
              <w:top w:w="80" w:type="dxa"/>
              <w:start w:w="120" w:type="dxa"/>
              <w:bottom w:w="80" w:type="dxa"/>
              <w:end w:w="120" w:type="dxa"/>
            </w:tcMar>
          </w:tcPr>
          <w:p>
            <w:r>
              <w:t>Applicable</w:t>
            </w:r>
          </w:p>
        </w:tc>
        <w:tc>
          <w:tcPr>
            <w:tcW w:type="dxa" w:w="5560"/>
            <w:vAlign w:val="center"/>
            <w:tcMar>
              <w:top w:w="80" w:type="dxa"/>
              <w:start w:w="120" w:type="dxa"/>
              <w:bottom w:w="80" w:type="dxa"/>
              <w:end w:w="120" w:type="dxa"/>
            </w:tcMar>
          </w:tcPr>
          <w:p>
            <w:r>
              <w:t>MCP01 secrets, MCP02 scope creep, MCP03 tool poisoning, MCP04 supply chain, MCP05 command execution, MCP06 intent subversion, MCP07 authorization, MCP08 audit, MCP09 shadow servers, MCP10 context sharing</w:t>
            </w:r>
          </w:p>
        </w:tc>
      </w:tr>
      <w:tr>
        <w:trPr>
          <w:cantSplit/>
        </w:trPr>
        <w:tc>
          <w:tcPr>
            <w:tcW w:type="dxa" w:w="2100"/>
            <w:vAlign w:val="center"/>
            <w:tcMar>
              <w:top w:w="80" w:type="dxa"/>
              <w:start w:w="120" w:type="dxa"/>
              <w:bottom w:w="80" w:type="dxa"/>
              <w:end w:w="120" w:type="dxa"/>
            </w:tcMar>
          </w:tcPr>
          <w:p>
            <w:r>
              <w:t>OWASP ASVS 5.0.0, Level 2</w:t>
            </w:r>
          </w:p>
        </w:tc>
        <w:tc>
          <w:tcPr>
            <w:tcW w:type="dxa" w:w="1700"/>
            <w:vAlign w:val="center"/>
            <w:tcMar>
              <w:top w:w="80" w:type="dxa"/>
              <w:start w:w="120" w:type="dxa"/>
              <w:bottom w:w="80" w:type="dxa"/>
              <w:end w:w="120" w:type="dxa"/>
            </w:tcMar>
          </w:tcPr>
          <w:p>
            <w:r>
              <w:t>Partly applicable</w:t>
            </w:r>
          </w:p>
        </w:tc>
        <w:tc>
          <w:tcPr>
            <w:tcW w:type="dxa" w:w="5560"/>
            <w:vAlign w:val="center"/>
            <w:tcMar>
              <w:top w:w="80" w:type="dxa"/>
              <w:start w:w="120" w:type="dxa"/>
              <w:bottom w:w="80" w:type="dxa"/>
              <w:end w:w="120" w:type="dxa"/>
            </w:tcMar>
          </w:tcPr>
          <w:p>
            <w:r>
              <w:t>V1 encoding/validation, V2 validation logic, V4 API, V6 authentication, V7 session, V8 authorization, V11 cryptography, V13 configuration, V14 data protection; web-only server UI requirements not applicable</w:t>
            </w:r>
          </w:p>
        </w:tc>
      </w:tr>
      <w:tr>
        <w:trPr>
          <w:cantSplit/>
        </w:trPr>
        <w:tc>
          <w:tcPr>
            <w:tcW w:type="dxa" w:w="2100"/>
            <w:vAlign w:val="center"/>
            <w:tcMar>
              <w:top w:w="80" w:type="dxa"/>
              <w:start w:w="120" w:type="dxa"/>
              <w:bottom w:w="80" w:type="dxa"/>
              <w:end w:w="120" w:type="dxa"/>
            </w:tcMar>
          </w:tcPr>
          <w:p>
            <w:r>
              <w:t>MITRE ATLAS</w:t>
            </w:r>
          </w:p>
        </w:tc>
        <w:tc>
          <w:tcPr>
            <w:tcW w:type="dxa" w:w="1700"/>
            <w:vAlign w:val="center"/>
            <w:tcMar>
              <w:top w:w="80" w:type="dxa"/>
              <w:start w:w="120" w:type="dxa"/>
              <w:bottom w:w="80" w:type="dxa"/>
              <w:end w:w="120" w:type="dxa"/>
            </w:tcMar>
          </w:tcPr>
          <w:p>
            <w:r>
              <w:t>Applicable</w:t>
            </w:r>
          </w:p>
        </w:tc>
        <w:tc>
          <w:tcPr>
            <w:tcW w:type="dxa" w:w="5560"/>
            <w:vAlign w:val="center"/>
            <w:tcMar>
              <w:top w:w="80" w:type="dxa"/>
              <w:start w:w="120" w:type="dxa"/>
              <w:bottom w:w="80" w:type="dxa"/>
              <w:end w:w="120" w:type="dxa"/>
            </w:tcMar>
          </w:tcPr>
          <w:p>
            <w:r>
              <w:t>Prompt injection, abuse of AI-enabled product, exfiltration via tool-mediated channels and supply-chain techniques; mapping is scenario-focused</w:t>
            </w:r>
          </w:p>
        </w:tc>
      </w:tr>
      <w:tr>
        <w:trPr>
          <w:cantSplit/>
        </w:trPr>
        <w:tc>
          <w:tcPr>
            <w:tcW w:type="dxa" w:w="2100"/>
            <w:vAlign w:val="center"/>
            <w:tcMar>
              <w:top w:w="80" w:type="dxa"/>
              <w:start w:w="120" w:type="dxa"/>
              <w:bottom w:w="80" w:type="dxa"/>
              <w:end w:w="120" w:type="dxa"/>
            </w:tcMar>
          </w:tcPr>
          <w:p>
            <w:r>
              <w:t>NIST AI RMF 1.0 / AI 600-1</w:t>
            </w:r>
          </w:p>
        </w:tc>
        <w:tc>
          <w:tcPr>
            <w:tcW w:type="dxa" w:w="1700"/>
            <w:vAlign w:val="center"/>
            <w:tcMar>
              <w:top w:w="80" w:type="dxa"/>
              <w:start w:w="120" w:type="dxa"/>
              <w:bottom w:w="80" w:type="dxa"/>
              <w:end w:w="120" w:type="dxa"/>
            </w:tcMar>
          </w:tcPr>
          <w:p>
            <w:r>
              <w:t>Applicable</w:t>
            </w:r>
          </w:p>
        </w:tc>
        <w:tc>
          <w:tcPr>
            <w:tcW w:type="dxa" w:w="5560"/>
            <w:vAlign w:val="center"/>
            <w:tcMar>
              <w:top w:w="80" w:type="dxa"/>
              <w:start w:w="120" w:type="dxa"/>
              <w:bottom w:w="80" w:type="dxa"/>
              <w:end w:w="120" w:type="dxa"/>
            </w:tcMar>
          </w:tcPr>
          <w:p>
            <w:r>
              <w:t>Govern, Map, Measure and Manage; third-party, information integrity, privacy and human-oversight risks</w:t>
            </w:r>
          </w:p>
        </w:tc>
      </w:tr>
      <w:tr>
        <w:trPr>
          <w:cantSplit/>
        </w:trPr>
        <w:tc>
          <w:tcPr>
            <w:tcW w:type="dxa" w:w="2100"/>
            <w:vAlign w:val="center"/>
            <w:tcMar>
              <w:top w:w="80" w:type="dxa"/>
              <w:start w:w="120" w:type="dxa"/>
              <w:bottom w:w="80" w:type="dxa"/>
              <w:end w:w="120" w:type="dxa"/>
            </w:tcMar>
          </w:tcPr>
          <w:p>
            <w:r>
              <w:t>CIS Controls v8.1</w:t>
            </w:r>
          </w:p>
        </w:tc>
        <w:tc>
          <w:tcPr>
            <w:tcW w:type="dxa" w:w="1700"/>
            <w:vAlign w:val="center"/>
            <w:tcMar>
              <w:top w:w="80" w:type="dxa"/>
              <w:start w:w="120" w:type="dxa"/>
              <w:bottom w:w="80" w:type="dxa"/>
              <w:end w:w="120" w:type="dxa"/>
            </w:tcMar>
          </w:tcPr>
          <w:p>
            <w:r>
              <w:t>Applicable</w:t>
            </w:r>
          </w:p>
        </w:tc>
        <w:tc>
          <w:tcPr>
            <w:tcW w:type="dxa" w:w="5560"/>
            <w:vAlign w:val="center"/>
            <w:tcMar>
              <w:top w:w="80" w:type="dxa"/>
              <w:start w:w="120" w:type="dxa"/>
              <w:bottom w:w="80" w:type="dxa"/>
              <w:end w:w="120" w:type="dxa"/>
            </w:tcMar>
          </w:tcPr>
          <w:p>
            <w:r>
              <w:t>1, 2, 3, 4, 5, 6, 7, 8, 10, 11, 12, 13, 15, 16, 17 and 18</w:t>
            </w:r>
          </w:p>
        </w:tc>
      </w:tr>
      <w:tr>
        <w:trPr>
          <w:cantSplit/>
        </w:trPr>
        <w:tc>
          <w:tcPr>
            <w:tcW w:type="dxa" w:w="2100"/>
            <w:vAlign w:val="center"/>
            <w:tcMar>
              <w:top w:w="80" w:type="dxa"/>
              <w:start w:w="120" w:type="dxa"/>
              <w:bottom w:w="80" w:type="dxa"/>
              <w:end w:w="120" w:type="dxa"/>
            </w:tcMar>
          </w:tcPr>
          <w:p>
            <w:r>
              <w:t>ISO/IEC 27001:2022 Annex A</w:t>
            </w:r>
          </w:p>
        </w:tc>
        <w:tc>
          <w:tcPr>
            <w:tcW w:type="dxa" w:w="1700"/>
            <w:vAlign w:val="center"/>
            <w:tcMar>
              <w:top w:w="80" w:type="dxa"/>
              <w:start w:w="120" w:type="dxa"/>
              <w:bottom w:w="80" w:type="dxa"/>
              <w:end w:w="120" w:type="dxa"/>
            </w:tcMar>
          </w:tcPr>
          <w:p>
            <w:r>
              <w:t>Applicable</w:t>
            </w:r>
          </w:p>
        </w:tc>
        <w:tc>
          <w:tcPr>
            <w:tcW w:type="dxa" w:w="5560"/>
            <w:vAlign w:val="center"/>
            <w:tcMar>
              <w:top w:w="80" w:type="dxa"/>
              <w:start w:w="120" w:type="dxa"/>
              <w:bottom w:w="80" w:type="dxa"/>
              <w:end w:w="120" w:type="dxa"/>
            </w:tcMar>
          </w:tcPr>
          <w:p>
            <w:r>
              <w:t>A.5.8, A.5.15–18, A.5.19–23, A.5.24–28, A.5.31–34, A.8.1–3, A.8.7–9, A.8.12, A.8.15–16, A.8.19–20, A.8.25–32</w:t>
            </w:r>
          </w:p>
        </w:tc>
      </w:tr>
      <w:tr>
        <w:trPr>
          <w:cantSplit/>
        </w:trPr>
        <w:tc>
          <w:tcPr>
            <w:tcW w:type="dxa" w:w="2100"/>
            <w:vAlign w:val="center"/>
            <w:tcMar>
              <w:top w:w="80" w:type="dxa"/>
              <w:start w:w="120" w:type="dxa"/>
              <w:bottom w:w="80" w:type="dxa"/>
              <w:end w:w="120" w:type="dxa"/>
            </w:tcMar>
          </w:tcPr>
          <w:p>
            <w:r>
              <w:t>NCSC secure AI development v1.1</w:t>
            </w:r>
          </w:p>
        </w:tc>
        <w:tc>
          <w:tcPr>
            <w:tcW w:type="dxa" w:w="1700"/>
            <w:vAlign w:val="center"/>
            <w:tcMar>
              <w:top w:w="80" w:type="dxa"/>
              <w:start w:w="120" w:type="dxa"/>
              <w:bottom w:w="80" w:type="dxa"/>
              <w:end w:w="120" w:type="dxa"/>
            </w:tcMar>
          </w:tcPr>
          <w:p>
            <w:r>
              <w:t>Applicable</w:t>
            </w:r>
          </w:p>
        </w:tc>
        <w:tc>
          <w:tcPr>
            <w:tcW w:type="dxa" w:w="5560"/>
            <w:vAlign w:val="center"/>
            <w:tcMar>
              <w:top w:w="80" w:type="dxa"/>
              <w:start w:w="120" w:type="dxa"/>
              <w:bottom w:w="80" w:type="dxa"/>
              <w:end w:w="120" w:type="dxa"/>
            </w:tcMar>
          </w:tcPr>
          <w:p>
            <w:r>
              <w:t>Secure design, development, deployment, operation and maintenance; least privilege and secure defaults</w:t>
            </w:r>
          </w:p>
        </w:tc>
      </w:tr>
      <w:tr>
        <w:trPr>
          <w:cantSplit/>
        </w:trPr>
        <w:tc>
          <w:tcPr>
            <w:tcW w:type="dxa" w:w="2100"/>
            <w:vAlign w:val="center"/>
            <w:tcMar>
              <w:top w:w="80" w:type="dxa"/>
              <w:start w:w="120" w:type="dxa"/>
              <w:bottom w:w="80" w:type="dxa"/>
              <w:end w:w="120" w:type="dxa"/>
            </w:tcMar>
          </w:tcPr>
          <w:p>
            <w:r>
              <w:t>UK GDPR / DPA 2018 / ICO</w:t>
            </w:r>
          </w:p>
        </w:tc>
        <w:tc>
          <w:tcPr>
            <w:tcW w:type="dxa" w:w="1700"/>
            <w:vAlign w:val="center"/>
            <w:tcMar>
              <w:top w:w="80" w:type="dxa"/>
              <w:start w:w="120" w:type="dxa"/>
              <w:bottom w:w="80" w:type="dxa"/>
              <w:end w:w="120" w:type="dxa"/>
            </w:tcMar>
          </w:tcPr>
          <w:p>
            <w:r>
              <w:t>Applicable when personal data is browsed</w:t>
            </w:r>
          </w:p>
        </w:tc>
        <w:tc>
          <w:tcPr>
            <w:tcW w:type="dxa" w:w="5560"/>
            <w:vAlign w:val="center"/>
            <w:tcMar>
              <w:top w:w="80" w:type="dxa"/>
              <w:start w:w="120" w:type="dxa"/>
              <w:bottom w:w="80" w:type="dxa"/>
              <w:end w:w="120" w:type="dxa"/>
            </w:tcMar>
          </w:tcPr>
          <w:p>
            <w:r>
              <w:t>Lawfulness, transparency, minimisation, security, retention, DPIA screening, processor/controller and transfer analysis</w:t>
            </w:r>
          </w:p>
        </w:tc>
      </w:tr>
      <w:tr>
        <w:trPr>
          <w:cantSplit/>
        </w:trPr>
        <w:tc>
          <w:tcPr>
            <w:tcW w:type="dxa" w:w="2100"/>
            <w:vAlign w:val="center"/>
            <w:tcMar>
              <w:top w:w="80" w:type="dxa"/>
              <w:start w:w="120" w:type="dxa"/>
              <w:bottom w:w="80" w:type="dxa"/>
              <w:end w:w="120" w:type="dxa"/>
            </w:tcMar>
          </w:tcPr>
          <w:p>
            <w:r>
              <w:t>PECR</w:t>
            </w:r>
          </w:p>
        </w:tc>
        <w:tc>
          <w:tcPr>
            <w:tcW w:type="dxa" w:w="1700"/>
            <w:vAlign w:val="center"/>
            <w:tcMar>
              <w:top w:w="80" w:type="dxa"/>
              <w:start w:w="120" w:type="dxa"/>
              <w:bottom w:w="80" w:type="dxa"/>
              <w:end w:w="120" w:type="dxa"/>
            </w:tcMar>
          </w:tcPr>
          <w:p>
            <w:r>
              <w:t>Conditionally applicable</w:t>
            </w:r>
          </w:p>
        </w:tc>
        <w:tc>
          <w:tcPr>
            <w:tcW w:type="dxa" w:w="5560"/>
            <w:vAlign w:val="center"/>
            <w:tcMar>
              <w:top w:w="80" w:type="dxa"/>
              <w:start w:w="120" w:type="dxa"/>
              <w:bottom w:w="80" w:type="dxa"/>
              <w:end w:w="120" w:type="dxa"/>
            </w:tcMar>
          </w:tcPr>
          <w:p>
            <w:r>
              <w:t>Only if deployment reads/writes terminal-equipment storage or performs covered communications beyond necessary automation</w:t>
            </w:r>
          </w:p>
        </w:tc>
      </w:tr>
      <w:tr>
        <w:trPr>
          <w:cantSplit/>
        </w:trPr>
        <w:tc>
          <w:tcPr>
            <w:tcW w:type="dxa" w:w="2100"/>
            <w:vAlign w:val="center"/>
            <w:tcMar>
              <w:top w:w="80" w:type="dxa"/>
              <w:start w:w="120" w:type="dxa"/>
              <w:bottom w:w="80" w:type="dxa"/>
              <w:end w:w="120" w:type="dxa"/>
            </w:tcMar>
          </w:tcPr>
          <w:p>
            <w:r>
              <w:t>FCA/PRA</w:t>
            </w:r>
          </w:p>
        </w:tc>
        <w:tc>
          <w:tcPr>
            <w:tcW w:type="dxa" w:w="1700"/>
            <w:vAlign w:val="center"/>
            <w:tcMar>
              <w:top w:w="80" w:type="dxa"/>
              <w:start w:w="120" w:type="dxa"/>
              <w:bottom w:w="80" w:type="dxa"/>
              <w:end w:w="120" w:type="dxa"/>
            </w:tcMar>
          </w:tcPr>
          <w:p>
            <w:r>
              <w:t>Conditionally applicable</w:t>
            </w:r>
          </w:p>
        </w:tc>
        <w:tc>
          <w:tcPr>
            <w:tcW w:type="dxa" w:w="5560"/>
            <w:vAlign w:val="center"/>
            <w:tcMar>
              <w:top w:w="80" w:type="dxa"/>
              <w:start w:w="120" w:type="dxa"/>
              <w:bottom w:w="80" w:type="dxa"/>
              <w:end w:w="120" w:type="dxa"/>
            </w:tcMar>
          </w:tcPr>
          <w:p>
            <w:r>
              <w:t>Applies to regulated deployment based on materiality, important business services and third-party classification; not a product certification</w:t>
            </w:r>
          </w:p>
        </w:tc>
      </w:tr>
      <w:tr>
        <w:trPr>
          <w:cantSplit/>
        </w:trPr>
        <w:tc>
          <w:tcPr>
            <w:tcW w:type="dxa" w:w="2100"/>
            <w:vAlign w:val="center"/>
            <w:tcMar>
              <w:top w:w="80" w:type="dxa"/>
              <w:start w:w="120" w:type="dxa"/>
              <w:bottom w:w="80" w:type="dxa"/>
              <w:end w:w="120" w:type="dxa"/>
            </w:tcMar>
          </w:tcPr>
          <w:p>
            <w:r>
              <w:t>Other jurisdictions / EU DORA</w:t>
            </w:r>
          </w:p>
        </w:tc>
        <w:tc>
          <w:tcPr>
            <w:tcW w:type="dxa" w:w="1700"/>
            <w:vAlign w:val="center"/>
            <w:tcMar>
              <w:top w:w="80" w:type="dxa"/>
              <w:start w:w="120" w:type="dxa"/>
              <w:bottom w:w="80" w:type="dxa"/>
              <w:end w:w="120" w:type="dxa"/>
            </w:tcMar>
          </w:tcPr>
          <w:p>
            <w:r>
              <w:t>Not applicable to assumed UK-only pilot</w:t>
            </w:r>
          </w:p>
        </w:tc>
        <w:tc>
          <w:tcPr>
            <w:tcW w:type="dxa" w:w="5560"/>
            <w:vAlign w:val="center"/>
            <w:tcMar>
              <w:top w:w="80" w:type="dxa"/>
              <w:start w:w="120" w:type="dxa"/>
              <w:bottom w:w="80" w:type="dxa"/>
              <w:end w:w="120" w:type="dxa"/>
            </w:tcMar>
          </w:tcPr>
          <w:p>
            <w:r>
              <w:t>Reassess for EU operations or another jurisdiction; UK regulation alone does not make EU DORA applicable</w:t>
            </w:r>
          </w:p>
        </w:tc>
      </w:tr>
    </w:tbl>
    <w:p>
      <w:pPr>
        <w:spacing w:after="0"/>
      </w:pPr>
    </w:p>
    <w:p>
      <w:r>
        <w:t>Framework editions/status were checked against current official sources.</w:t>
      </w:r>
      <w:r>
        <w:t xml:space="preserve"> </w:t>
      </w:r>
      <w:hyperlink w:anchor="REF_006" w:history="1">
        <w:r>
          <w:rPr>
            <w:color w:val="0563C1"/>
            <w:u w:val="single"/>
          </w:rPr>
          <w:t>[REF-006]</w:t>
        </w:r>
      </w:hyperlink>
      <w:r>
        <w:t xml:space="preserve"> </w:t>
      </w:r>
      <w:hyperlink w:anchor="REF_007" w:history="1">
        <w:r>
          <w:rPr>
            <w:color w:val="0563C1"/>
            <w:u w:val="single"/>
          </w:rPr>
          <w:t>[REF-007]</w:t>
        </w:r>
      </w:hyperlink>
      <w:r>
        <w:t xml:space="preserve"> </w:t>
      </w:r>
      <w:hyperlink w:anchor="REF_008" w:history="1">
        <w:r>
          <w:rPr>
            <w:color w:val="0563C1"/>
            <w:u w:val="single"/>
          </w:rPr>
          <w:t>[REF-008]</w:t>
        </w:r>
      </w:hyperlink>
      <w:r>
        <w:t xml:space="preserve"> </w:t>
      </w:r>
      <w:hyperlink w:anchor="REF_009" w:history="1">
        <w:r>
          <w:rPr>
            <w:color w:val="0563C1"/>
            <w:u w:val="single"/>
          </w:rPr>
          <w:t>[REF-009]</w:t>
        </w:r>
      </w:hyperlink>
      <w:r>
        <w:t xml:space="preserve"> </w:t>
      </w:r>
      <w:hyperlink w:anchor="REF_010" w:history="1">
        <w:r>
          <w:rPr>
            <w:color w:val="0563C1"/>
            <w:u w:val="single"/>
          </w:rPr>
          <w:t>[REF-010]</w:t>
        </w:r>
      </w:hyperlink>
      <w:r>
        <w:t xml:space="preserve"> </w:t>
      </w:r>
      <w:hyperlink w:anchor="REF_011" w:history="1">
        <w:r>
          <w:rPr>
            <w:color w:val="0563C1"/>
            <w:u w:val="single"/>
          </w:rPr>
          <w:t>[REF-011]</w:t>
        </w:r>
      </w:hyperlink>
      <w:r>
        <w:t xml:space="preserve"> </w:t>
      </w:r>
      <w:hyperlink w:anchor="REF_012" w:history="1">
        <w:r>
          <w:rPr>
            <w:color w:val="0563C1"/>
            <w:u w:val="single"/>
          </w:rPr>
          <w:t>[REF-012]</w:t>
        </w:r>
      </w:hyperlink>
      <w:r>
        <w:t xml:space="preserve"> </w:t>
      </w:r>
      <w:hyperlink w:anchor="REF_013" w:history="1">
        <w:r>
          <w:rPr>
            <w:color w:val="0563C1"/>
            <w:u w:val="single"/>
          </w:rPr>
          <w:t>[REF-013]</w:t>
        </w:r>
      </w:hyperlink>
      <w:r>
        <w:t xml:space="preserve"> </w:t>
      </w:r>
      <w:hyperlink w:anchor="REF_014" w:history="1">
        <w:r>
          <w:rPr>
            <w:color w:val="0563C1"/>
            <w:u w:val="single"/>
          </w:rPr>
          <w:t>[REF-014]</w:t>
        </w:r>
      </w:hyperlink>
      <w:r>
        <w:t xml:space="preserve"> </w:t>
      </w:r>
      <w:hyperlink w:anchor="REF_015" w:history="1">
        <w:r>
          <w:rPr>
            <w:color w:val="0563C1"/>
            <w:u w:val="single"/>
          </w:rPr>
          <w:t>[REF-015]</w:t>
        </w:r>
      </w:hyperlink>
      <w:r>
        <w:t xml:space="preserve"> </w:t>
      </w:r>
      <w:hyperlink w:anchor="REF_016" w:history="1">
        <w:r>
          <w:rPr>
            <w:color w:val="0563C1"/>
            <w:u w:val="single"/>
          </w:rPr>
          <w:t>[REF-016]</w:t>
        </w:r>
      </w:hyperlink>
      <w:r>
        <w:t xml:space="preserve"> </w:t>
      </w:r>
      <w:hyperlink w:anchor="REF_017" w:history="1">
        <w:r>
          <w:rPr>
            <w:color w:val="0563C1"/>
            <w:u w:val="single"/>
          </w:rPr>
          <w:t>[REF-017]</w:t>
        </w:r>
      </w:hyperlink>
      <w:r>
        <w:t xml:space="preserve"> </w:t>
      </w:r>
      <w:hyperlink w:anchor="REF_018" w:history="1">
        <w:r>
          <w:rPr>
            <w:color w:val="0563C1"/>
            <w:u w:val="single"/>
          </w:rPr>
          <w:t>[REF-018]</w:t>
        </w:r>
      </w:hyperlink>
    </w:p>
    <w:p>
      <w:pPr>
        <w:pStyle w:val="Heading2"/>
        <w:keepNext/>
      </w:pPr>
      <w:r>
        <w:t>Enterprise controls and detection opportunities</w:t>
      </w:r>
    </w:p>
    <w:p>
      <w:pPr>
        <w:pStyle w:val="ListBullet"/>
      </w:pPr>
      <w:r>
        <w:t>Central allowlist for exact server identity/version and deny repository-local MCP definitions unless reviewed.</w:t>
      </w:r>
    </w:p>
    <w:p>
      <w:pPr>
        <w:pStyle w:val="ListBullet"/>
      </w:pPr>
      <w:r>
        <w:t>Per-action approval; deny unsafe code, storage export, file upload/download and profile attachment unless a documented use case requires them.</w:t>
      </w:r>
    </w:p>
    <w:p>
      <w:pPr>
        <w:pStyle w:val="ListBullet"/>
      </w:pPr>
      <w:r>
        <w:t>Container/VM isolation; read-only or empty workspace; least-privilege account; no production tokens; externally enforced egress.</w:t>
      </w:r>
    </w:p>
    <w:p>
      <w:pPr>
        <w:pStyle w:val="ListBullet"/>
      </w:pPr>
      <w:r>
        <w:t>Log server hash/version, config hash, tool name, approval identity/scope, destination domain, outcome and artefact path without recording secrets or full sensitive content.</w:t>
      </w:r>
    </w:p>
    <w:p>
      <w:pPr>
        <w:pStyle w:val="ListBullet"/>
      </w:pPr>
      <w:r>
        <w:t>Alert on unsafe tool discovery/invocation, unpinned package resolution, 0.0.0.0 binding, unrestricted file access, no-sandbox, existing-profile attachment, shared context, unexpected domains and large output.</w:t>
      </w:r>
    </w:p>
    <w:p>
      <w:pPr>
        <w:pStyle w:val="Heading2"/>
        <w:keepNext/>
      </w:pPr>
      <w:r>
        <w:t>Residual risk, confidence, limitations and host verification</w:t>
      </w:r>
    </w:p>
    <w:p>
      <w:r>
        <w:t>Residual risk: High. Confidence: Medium—identity, package and implementation are version-specific and directly inspected, but host behavior and organizational controls are untested. Production approval is deferred until Appendix B checks pass in this IDE.</w:t>
      </w:r>
    </w:p>
    <w:p>
      <w:r>
        <w:br w:type="page"/>
      </w:r>
    </w:p>
    <w:p>
      <w:r>
        <w:t>Regeneration verification statement: decision and approval remain governed by the report recommendation. Purpose and function, architecture, trust boundaries, and data flows were rechecked for this IDE. Installation manifest, uninstall, runtime and activation, network, authentication, telemetry, privacy, MCP and Agent Skills, supply chain dependencies, threats and findings, framework disposition, controls and detection, residual risk, confidence, limitations, evidence, and verification were explicitly considered. Current static and malware evidence is retained. Representative IDE runtime evidence is Blocked: no disposable representative Windows 11/macOS VS Code or Windows 11 Visual Studio host was available; this limitation is not treated as a passed control. No bundled Agent Skill was found in the assessed installation surface unless the product-specific section states otherwise.</w:t>
      </w:r>
    </w:p>
    <w:p>
      <w:pPr>
        <w:pStyle w:val="Heading1"/>
        <w:keepNext/>
      </w:pPr>
      <w:r>
        <w:t>Part II — Visual Studio Assessment</w:t>
      </w:r>
    </w:p>
    <w:p>
      <w:pPr>
        <w:pStyle w:val="Heading2"/>
        <w:keepNext/>
      </w:pPr>
      <w:r>
        <w:t>Executive decision</w:t>
      </w:r>
    </w:p>
    <w:p>
      <w:r>
        <w:t>Approve with conditions for a separately validated Visual Studio pilot. Visual Studio 2026 and Visual Studio 2022 17.14.9+ support local/remote MCP servers and per-tool confirmation; current enterprise allowlists strengthen governance, but exact parity with VS Code controls must not be assumed.</w:t>
      </w:r>
      <w:r>
        <w:t xml:space="preserve"> </w:t>
      </w:r>
      <w:hyperlink w:anchor="REF_005" w:history="1">
        <w:r>
          <w:rPr>
            <w:color w:val="0563C1"/>
            <w:u w:val="single"/>
          </w:rPr>
          <w:t>[REF-005]</w:t>
        </w:r>
      </w:hyperlink>
    </w:p>
    <w:p>
      <w:pPr>
        <w:pStyle w:val="Heading2"/>
        <w:keepNext/>
      </w:pPr>
      <w:r>
        <w:t>Purpose, support and installation</w:t>
      </w:r>
    </w:p>
    <w:p>
      <w:r>
        <w:t>Supported as a generic local MCP server in Visual Studio 2026 or Visual Studio 2022 17.14.9+; not delivered as a VSIX.</w:t>
      </w:r>
    </w:p>
    <w:tbl>
      <w:tblPr>
        <w:tblStyle w:val="TableGrid"/>
        <w:tblW w:type="dxa" w:w="9360"/>
        <w:tblLayout w:type="fixed"/>
        <w:tblLook w:firstColumn="1" w:firstRow="1" w:lastColumn="0" w:lastRow="0" w:noHBand="0" w:noVBand="1" w:val="04A0"/>
        <w:jc w:val="left"/>
        <w:tblInd w:w="120" w:type="dxa"/>
        <w:tblInd w:w="120" w:type="dxa"/>
        <w:tblInd w:w="120" w:type="dxa"/>
        <w:tblInd w:w="120" w:type="dxa"/>
        <w:tblInd w:w="120" w:type="dxa"/>
        <w:tblInd w:w="120" w:type="dxa"/>
        <w:tblInd w:w="120" w:type="dxa"/>
      </w:tblPr>
      <w:tblGrid>
        <w:gridCol w:w="1900"/>
        <w:gridCol w:w="5260"/>
        <w:gridCol w:w="2200"/>
      </w:tblGrid>
      <w:tr>
        <w:trPr>
          <w:tblHeader w:val="true"/>
          <w:cantSplit/>
        </w:trPr>
        <w:tc>
          <w:tcPr>
            <w:tcW w:type="dxa" w:w="1900"/>
            <w:vAlign w:val="center"/>
            <w:tcMar>
              <w:top w:w="80" w:type="dxa"/>
              <w:start w:w="120" w:type="dxa"/>
              <w:bottom w:w="80" w:type="dxa"/>
              <w:end w:w="120" w:type="dxa"/>
            </w:tcMar>
            <w:shd w:fill="E8EEF5"/>
          </w:tcPr>
          <w:p>
            <w:pPr>
              <w:keepNext/>
            </w:pPr>
            <w:r>
              <w:rPr>
                <w:b/>
              </w:rPr>
              <w:t>Item</w:t>
            </w:r>
          </w:p>
        </w:tc>
        <w:tc>
          <w:tcPr>
            <w:tcW w:type="dxa" w:w="5260"/>
            <w:vAlign w:val="center"/>
            <w:tcMar>
              <w:top w:w="80" w:type="dxa"/>
              <w:start w:w="120" w:type="dxa"/>
              <w:bottom w:w="80" w:type="dxa"/>
              <w:end w:w="120" w:type="dxa"/>
            </w:tcMar>
            <w:shd w:fill="E8EEF5"/>
          </w:tcPr>
          <w:p>
            <w:pPr>
              <w:keepNext/>
            </w:pPr>
            <w:r>
              <w:rPr>
                <w:b/>
              </w:rPr>
              <w:t>Expected state</w:t>
            </w:r>
          </w:p>
        </w:tc>
        <w:tc>
          <w:tcPr>
            <w:tcW w:type="dxa" w:w="2200"/>
            <w:vAlign w:val="center"/>
            <w:tcMar>
              <w:top w:w="80" w:type="dxa"/>
              <w:start w:w="120" w:type="dxa"/>
              <w:bottom w:w="80" w:type="dxa"/>
              <w:end w:w="120" w:type="dxa"/>
            </w:tcMar>
            <w:shd w:fill="E8EEF5"/>
          </w:tcPr>
          <w:p>
            <w:pPr>
              <w:keepNext/>
            </w:pPr>
            <w:r>
              <w:rPr>
                <w:b/>
              </w:rPr>
              <w:t>Evidence state</w:t>
            </w:r>
          </w:p>
        </w:tc>
      </w:tr>
      <w:tr>
        <w:trPr>
          <w:cantSplit/>
        </w:trPr>
        <w:tc>
          <w:tcPr>
            <w:tcW w:type="dxa" w:w="1900"/>
            <w:vAlign w:val="center"/>
            <w:tcMar>
              <w:top w:w="80" w:type="dxa"/>
              <w:start w:w="120" w:type="dxa"/>
              <w:bottom w:w="80" w:type="dxa"/>
              <w:end w:w="120" w:type="dxa"/>
            </w:tcMar>
          </w:tcPr>
          <w:p>
            <w:r>
              <w:t>Configuration</w:t>
            </w:r>
          </w:p>
        </w:tc>
        <w:tc>
          <w:tcPr>
            <w:tcW w:type="dxa" w:w="5260"/>
            <w:vAlign w:val="center"/>
            <w:tcMar>
              <w:top w:w="80" w:type="dxa"/>
              <w:start w:w="120" w:type="dxa"/>
              <w:bottom w:w="80" w:type="dxa"/>
              <w:end w:w="120" w:type="dxa"/>
            </w:tcMar>
          </w:tcPr>
          <w:p>
            <w:r>
              <w:t>Local stdio command pinned to @playwright/mcp@0.0.78; enterprise-managed, not repository-supplied from untrusted code</w:t>
            </w:r>
          </w:p>
        </w:tc>
        <w:tc>
          <w:tcPr>
            <w:tcW w:type="dxa" w:w="2200"/>
            <w:vAlign w:val="center"/>
            <w:tcMar>
              <w:top w:w="80" w:type="dxa"/>
              <w:start w:w="120" w:type="dxa"/>
              <w:bottom w:w="80" w:type="dxa"/>
              <w:end w:w="120" w:type="dxa"/>
            </w:tcMar>
          </w:tcPr>
          <w:p>
            <w:r>
              <w:t>Host verification required</w:t>
            </w:r>
          </w:p>
        </w:tc>
      </w:tr>
      <w:tr>
        <w:trPr>
          <w:cantSplit/>
        </w:trPr>
        <w:tc>
          <w:tcPr>
            <w:tcW w:type="dxa" w:w="1900"/>
            <w:vAlign w:val="center"/>
            <w:tcMar>
              <w:top w:w="80" w:type="dxa"/>
              <w:start w:w="120" w:type="dxa"/>
              <w:bottom w:w="80" w:type="dxa"/>
              <w:end w:w="120" w:type="dxa"/>
            </w:tcMar>
          </w:tcPr>
          <w:p>
            <w:r>
              <w:t>Node process</w:t>
            </w:r>
          </w:p>
        </w:tc>
        <w:tc>
          <w:tcPr>
            <w:tcW w:type="dxa" w:w="5260"/>
            <w:vAlign w:val="center"/>
            <w:tcMar>
              <w:top w:w="80" w:type="dxa"/>
              <w:start w:w="120" w:type="dxa"/>
              <w:bottom w:w="80" w:type="dxa"/>
              <w:end w:w="120" w:type="dxa"/>
            </w:tcMar>
          </w:tcPr>
          <w:p>
            <w:r>
              <w:t>Least-privilege local process; no admin rights; restricted environment</w:t>
            </w:r>
          </w:p>
        </w:tc>
        <w:tc>
          <w:tcPr>
            <w:tcW w:type="dxa" w:w="2200"/>
            <w:vAlign w:val="center"/>
            <w:tcMar>
              <w:top w:w="80" w:type="dxa"/>
              <w:start w:w="120" w:type="dxa"/>
              <w:bottom w:w="80" w:type="dxa"/>
              <w:end w:w="120" w:type="dxa"/>
            </w:tcMar>
          </w:tcPr>
          <w:p>
            <w:r>
              <w:t>Expected; not run</w:t>
            </w:r>
          </w:p>
        </w:tc>
      </w:tr>
      <w:tr>
        <w:trPr>
          <w:cantSplit/>
        </w:trPr>
        <w:tc>
          <w:tcPr>
            <w:tcW w:type="dxa" w:w="1900"/>
            <w:vAlign w:val="center"/>
            <w:tcMar>
              <w:top w:w="80" w:type="dxa"/>
              <w:start w:w="120" w:type="dxa"/>
              <w:bottom w:w="80" w:type="dxa"/>
              <w:end w:w="120" w:type="dxa"/>
            </w:tcMar>
          </w:tcPr>
          <w:p>
            <w:r>
              <w:t>Browser process/profile</w:t>
            </w:r>
          </w:p>
        </w:tc>
        <w:tc>
          <w:tcPr>
            <w:tcW w:type="dxa" w:w="5260"/>
            <w:vAlign w:val="center"/>
            <w:tcMar>
              <w:top w:w="80" w:type="dxa"/>
              <w:start w:w="120" w:type="dxa"/>
              <w:bottom w:w="80" w:type="dxa"/>
              <w:end w:w="120" w:type="dxa"/>
            </w:tcMar>
          </w:tcPr>
          <w:p>
            <w:r>
              <w:t>Isolated disposable context; no everyday signed-in profile</w:t>
            </w:r>
          </w:p>
        </w:tc>
        <w:tc>
          <w:tcPr>
            <w:tcW w:type="dxa" w:w="2200"/>
            <w:vAlign w:val="center"/>
            <w:tcMar>
              <w:top w:w="80" w:type="dxa"/>
              <w:start w:w="120" w:type="dxa"/>
              <w:bottom w:w="80" w:type="dxa"/>
              <w:end w:w="120" w:type="dxa"/>
            </w:tcMar>
          </w:tcPr>
          <w:p>
            <w:r>
              <w:t>Expected; not run</w:t>
            </w:r>
          </w:p>
        </w:tc>
      </w:tr>
      <w:tr>
        <w:trPr>
          <w:cantSplit/>
        </w:trPr>
        <w:tc>
          <w:tcPr>
            <w:tcW w:type="dxa" w:w="1900"/>
            <w:vAlign w:val="center"/>
            <w:tcMar>
              <w:top w:w="80" w:type="dxa"/>
              <w:start w:w="120" w:type="dxa"/>
              <w:bottom w:w="80" w:type="dxa"/>
              <w:end w:w="120" w:type="dxa"/>
            </w:tcMar>
          </w:tcPr>
          <w:p>
            <w:r>
              <w:t>Package cache</w:t>
            </w:r>
          </w:p>
        </w:tc>
        <w:tc>
          <w:tcPr>
            <w:tcW w:type="dxa" w:w="5260"/>
            <w:vAlign w:val="center"/>
            <w:tcMar>
              <w:top w:w="80" w:type="dxa"/>
              <w:start w:w="120" w:type="dxa"/>
              <w:bottom w:w="80" w:type="dxa"/>
              <w:end w:w="120" w:type="dxa"/>
            </w:tcMar>
          </w:tcPr>
          <w:p>
            <w:r>
              <w:t>Controlled cache/mirror with integrity verification</w:t>
            </w:r>
          </w:p>
        </w:tc>
        <w:tc>
          <w:tcPr>
            <w:tcW w:type="dxa" w:w="2200"/>
            <w:vAlign w:val="center"/>
            <w:tcMar>
              <w:top w:w="80" w:type="dxa"/>
              <w:start w:w="120" w:type="dxa"/>
              <w:bottom w:w="80" w:type="dxa"/>
              <w:end w:w="120" w:type="dxa"/>
            </w:tcMar>
          </w:tcPr>
          <w:p>
            <w:r>
              <w:t>Expected; not run</w:t>
            </w:r>
          </w:p>
        </w:tc>
      </w:tr>
      <w:tr>
        <w:trPr>
          <w:cantSplit/>
        </w:trPr>
        <w:tc>
          <w:tcPr>
            <w:tcW w:type="dxa" w:w="1900"/>
            <w:vAlign w:val="center"/>
            <w:tcMar>
              <w:top w:w="80" w:type="dxa"/>
              <w:start w:w="120" w:type="dxa"/>
              <w:bottom w:w="80" w:type="dxa"/>
              <w:end w:w="120" w:type="dxa"/>
            </w:tcMar>
          </w:tcPr>
          <w:p>
            <w:r>
              <w:t>Logs/outputs</w:t>
            </w:r>
          </w:p>
        </w:tc>
        <w:tc>
          <w:tcPr>
            <w:tcW w:type="dxa" w:w="5260"/>
            <w:vAlign w:val="center"/>
            <w:tcMar>
              <w:top w:w="80" w:type="dxa"/>
              <w:start w:w="120" w:type="dxa"/>
              <w:bottom w:w="80" w:type="dxa"/>
              <w:end w:w="120" w:type="dxa"/>
            </w:tcMar>
          </w:tcPr>
          <w:p>
            <w:r>
              <w:t>Protected directory, bounded size, short retention, monitored access</w:t>
            </w:r>
          </w:p>
        </w:tc>
        <w:tc>
          <w:tcPr>
            <w:tcW w:type="dxa" w:w="2200"/>
            <w:vAlign w:val="center"/>
            <w:tcMar>
              <w:top w:w="80" w:type="dxa"/>
              <w:start w:w="120" w:type="dxa"/>
              <w:bottom w:w="80" w:type="dxa"/>
              <w:end w:w="120" w:type="dxa"/>
            </w:tcMar>
          </w:tcPr>
          <w:p>
            <w:r>
              <w:t>Expected; not run</w:t>
            </w:r>
          </w:p>
        </w:tc>
      </w:tr>
      <w:tr>
        <w:trPr>
          <w:cantSplit/>
        </w:trPr>
        <w:tc>
          <w:tcPr>
            <w:tcW w:type="dxa" w:w="1900"/>
            <w:vAlign w:val="center"/>
            <w:tcMar>
              <w:top w:w="80" w:type="dxa"/>
              <w:start w:w="120" w:type="dxa"/>
              <w:bottom w:w="80" w:type="dxa"/>
              <w:end w:w="120" w:type="dxa"/>
            </w:tcMar>
          </w:tcPr>
          <w:p>
            <w:r>
              <w:t>Uninstall</w:t>
            </w:r>
          </w:p>
        </w:tc>
        <w:tc>
          <w:tcPr>
            <w:tcW w:type="dxa" w:w="5260"/>
            <w:vAlign w:val="center"/>
            <w:tcMar>
              <w:top w:w="80" w:type="dxa"/>
              <w:start w:w="120" w:type="dxa"/>
              <w:bottom w:w="80" w:type="dxa"/>
              <w:end w:w="120" w:type="dxa"/>
            </w:tcMar>
          </w:tcPr>
          <w:p>
            <w:r>
              <w:t>Remove config, package/cache, browser profile, output artefacts and trust grants</w:t>
            </w:r>
          </w:p>
        </w:tc>
        <w:tc>
          <w:tcPr>
            <w:tcW w:type="dxa" w:w="2200"/>
            <w:vAlign w:val="center"/>
            <w:tcMar>
              <w:top w:w="80" w:type="dxa"/>
              <w:start w:w="120" w:type="dxa"/>
              <w:bottom w:w="80" w:type="dxa"/>
              <w:end w:w="120" w:type="dxa"/>
            </w:tcMar>
          </w:tcPr>
          <w:p>
            <w:r>
              <w:t>Unknown until host test</w:t>
            </w:r>
          </w:p>
        </w:tc>
      </w:tr>
    </w:tbl>
    <w:p>
      <w:pPr>
        <w:spacing w:after="0"/>
      </w:pPr>
    </w:p>
    <w:p>
      <w:pPr>
        <w:pStyle w:val="Heading2"/>
        <w:keepNext/>
      </w:pPr>
      <w:r>
        <w:t>Architecture, trust boundaries and data flows</w:t>
      </w:r>
    </w:p>
    <w:p>
      <w:r>
        <w:t>Visual Studio and GitHub Copilot form the MCP client/agent boundary. The IDE starts the local Node.js MCP process, which invokes Playwright and a browser process. The browser crosses the enterprise network boundary to target sites. Page content, accessibility snapshots, console/network output, screenshots and files return through the MCP server to the agent/model context. User approvals, IDE policy, OS/container isolation and network enforcement are separate control planes.</w:t>
      </w:r>
    </w:p>
    <w:p>
      <w:pPr>
        <w:pStyle w:val="ListBullet"/>
      </w:pPr>
      <w:r>
        <w:t>Trust boundary 1: user and IDE agent versus model-generated plans.</w:t>
      </w:r>
    </w:p>
    <w:p>
      <w:pPr>
        <w:pStyle w:val="ListBullet"/>
      </w:pPr>
      <w:r>
        <w:t>Trust boundary 2: MCP client versus local server process and its tool schema.</w:t>
      </w:r>
    </w:p>
    <w:p>
      <w:pPr>
        <w:pStyle w:val="ListBullet"/>
      </w:pPr>
      <w:r>
        <w:t>Trust boundary 3: server/browser processes versus host filesystem, credentials and network.</w:t>
      </w:r>
    </w:p>
    <w:p>
      <w:pPr>
        <w:pStyle w:val="ListBullet"/>
      </w:pPr>
      <w:r>
        <w:t>Trust boundary 4: browser versus untrusted websites and third-party origins.</w:t>
      </w:r>
    </w:p>
    <w:p>
      <w:pPr>
        <w:pStyle w:val="ListBullet"/>
      </w:pPr>
      <w:r>
        <w:t>Trust boundary 5: tool output versus other agent tools, repositories, terminals and cloud services.</w:t>
      </w:r>
    </w:p>
    <w:p>
      <w:pPr>
        <w:pStyle w:val="Heading2"/>
        <w:keepNext/>
      </w:pPr>
      <w:r>
        <w:t>Runtime processes, network, authentication, telemetry and privacy</w:t>
      </w:r>
    </w:p>
    <w:p>
      <w:r>
        <w:t>Static inspection shows local Node and browser process expectations; runtime process trees, destinations and telemetry were not observed. Browser authentication is inherited from the selected profile or storage state. The MCP server supports secret-file substitution/redaction, but redaction of exact known strings is not a complete data-loss-prevention boundary. Default origin access is broad; redirects are not constrained by the documented origin lists.</w:t>
      </w:r>
    </w:p>
    <w:p>
      <w:pPr>
        <w:pStyle w:val="Heading2"/>
        <w:keepNext/>
      </w:pPr>
      <w:r>
        <w:t>MCP surface and installed skills</w:t>
      </w:r>
    </w:p>
    <w:p>
      <w:r>
        <w:t>Core tools include navigation, snapshots, clicks, typing, uploads, screenshots, console/network inspection, tabs, storage/cookie operations and output artefacts. The inspected core bundle also defines browser_run_code_unsafe as an action that executes arbitrary JavaScript in the server process and is RCE-equivalent. Tool availability may vary by capability/configuration.</w:t>
      </w:r>
    </w:p>
    <w:p>
      <w:r>
        <w:t>Agent Skills decision: Not applicable to this MCP deployment. A Playwright CLI skill exists inside the playwright-core dependency package, but static evidence does not show that @playwright/mcp installs or registers it in either IDE. It must be governed separately if intentionally installed.</w:t>
      </w:r>
    </w:p>
    <w:p>
      <w:pPr>
        <w:pStyle w:val="Heading2"/>
        <w:keepNext/>
      </w:pPr>
      <w:r>
        <w:t>Supply chain and update path</w:t>
      </w:r>
    </w:p>
    <w:p>
      <w:r>
        <w:t>Positive evidence includes Microsoft ownership, Apache-2.0 licensing, exact package dependencies, npm registry signature and SLSA provenance attestation. Risk remains because vendor examples use mutable @latest/npx patterns and the stable MCP package depends on timestamped alpha Playwright builds. Enterprise deployment should pin version plus integrity, use an approved mirror and promote updates after review.</w:t>
      </w:r>
    </w:p>
    <w:p>
      <w:pPr>
        <w:pStyle w:val="Heading2"/>
        <w:keepNext/>
      </w:pPr>
      <w:r>
        <w:t>Threat scenarios, controls and residual risk</w:t>
      </w:r>
    </w:p>
    <w:tbl>
      <w:tblPr>
        <w:tblStyle w:val="TableGrid"/>
        <w:tblW w:type="dxa" w:w="9360"/>
        <w:tblLayout w:type="fixed"/>
        <w:tblLook w:firstColumn="1" w:firstRow="1" w:lastColumn="0" w:lastRow="0" w:noHBand="0" w:noVBand="1" w:val="04A0"/>
        <w:jc w:val="left"/>
        <w:tblInd w:w="120" w:type="dxa"/>
        <w:tblInd w:w="120" w:type="dxa"/>
        <w:tblInd w:w="120" w:type="dxa"/>
        <w:tblInd w:w="120" w:type="dxa"/>
        <w:tblInd w:w="120" w:type="dxa"/>
        <w:tblInd w:w="120" w:type="dxa"/>
        <w:tblInd w:w="120" w:type="dxa"/>
        <w:tblInd w:w="120" w:type="dxa"/>
        <w:tblInd w:w="120" w:type="dxa"/>
      </w:tblPr>
      <w:tblGrid>
        <w:gridCol w:w="700"/>
        <w:gridCol w:w="3000"/>
        <w:gridCol w:w="1100"/>
        <w:gridCol w:w="1100"/>
        <w:gridCol w:w="3460"/>
      </w:tblGrid>
      <w:tr>
        <w:trPr>
          <w:tblHeader w:val="true"/>
          <w:cantSplit/>
        </w:trPr>
        <w:tc>
          <w:tcPr>
            <w:tcW w:type="dxa" w:w="700"/>
            <w:vAlign w:val="center"/>
            <w:tcMar>
              <w:top w:w="80" w:type="dxa"/>
              <w:start w:w="120" w:type="dxa"/>
              <w:bottom w:w="80" w:type="dxa"/>
              <w:end w:w="120" w:type="dxa"/>
            </w:tcMar>
            <w:shd w:fill="E8EEF5"/>
          </w:tcPr>
          <w:p>
            <w:pPr>
              <w:keepNext/>
            </w:pPr>
            <w:r>
              <w:rPr>
                <w:b/>
              </w:rPr>
              <w:t>ID</w:t>
            </w:r>
          </w:p>
        </w:tc>
        <w:tc>
          <w:tcPr>
            <w:tcW w:type="dxa" w:w="3000"/>
            <w:vAlign w:val="center"/>
            <w:tcMar>
              <w:top w:w="80" w:type="dxa"/>
              <w:start w:w="120" w:type="dxa"/>
              <w:bottom w:w="80" w:type="dxa"/>
              <w:end w:w="120" w:type="dxa"/>
            </w:tcMar>
            <w:shd w:fill="E8EEF5"/>
          </w:tcPr>
          <w:p>
            <w:pPr>
              <w:keepNext/>
            </w:pPr>
            <w:r>
              <w:rPr>
                <w:b/>
              </w:rPr>
              <w:t>Scenario</w:t>
            </w:r>
          </w:p>
        </w:tc>
        <w:tc>
          <w:tcPr>
            <w:tcW w:type="dxa" w:w="1100"/>
            <w:vAlign w:val="center"/>
            <w:tcMar>
              <w:top w:w="80" w:type="dxa"/>
              <w:start w:w="120" w:type="dxa"/>
              <w:bottom w:w="80" w:type="dxa"/>
              <w:end w:w="120" w:type="dxa"/>
            </w:tcMar>
            <w:shd w:fill="E8EEF5"/>
          </w:tcPr>
          <w:p>
            <w:pPr>
              <w:keepNext/>
            </w:pPr>
            <w:r>
              <w:rPr>
                <w:b/>
              </w:rPr>
              <w:t>Inherent</w:t>
            </w:r>
          </w:p>
        </w:tc>
        <w:tc>
          <w:tcPr>
            <w:tcW w:type="dxa" w:w="1100"/>
            <w:vAlign w:val="center"/>
            <w:tcMar>
              <w:top w:w="80" w:type="dxa"/>
              <w:start w:w="120" w:type="dxa"/>
              <w:bottom w:w="80" w:type="dxa"/>
              <w:end w:w="120" w:type="dxa"/>
            </w:tcMar>
            <w:shd w:fill="E8EEF5"/>
          </w:tcPr>
          <w:p>
            <w:pPr>
              <w:keepNext/>
            </w:pPr>
            <w:r>
              <w:rPr>
                <w:b/>
              </w:rPr>
              <w:t>Residual</w:t>
            </w:r>
          </w:p>
        </w:tc>
        <w:tc>
          <w:tcPr>
            <w:tcW w:type="dxa" w:w="3460"/>
            <w:vAlign w:val="center"/>
            <w:tcMar>
              <w:top w:w="80" w:type="dxa"/>
              <w:start w:w="120" w:type="dxa"/>
              <w:bottom w:w="80" w:type="dxa"/>
              <w:end w:w="120" w:type="dxa"/>
            </w:tcMar>
            <w:shd w:fill="E8EEF5"/>
          </w:tcPr>
          <w:p>
            <w:pPr>
              <w:keepNext/>
            </w:pPr>
            <w:r>
              <w:rPr>
                <w:b/>
              </w:rPr>
              <w:t>Primary control</w:t>
            </w:r>
          </w:p>
        </w:tc>
      </w:tr>
      <w:tr>
        <w:trPr>
          <w:cantSplit/>
        </w:trPr>
        <w:tc>
          <w:tcPr>
            <w:tcW w:type="dxa" w:w="700"/>
            <w:vAlign w:val="center"/>
            <w:tcMar>
              <w:top w:w="80" w:type="dxa"/>
              <w:start w:w="120" w:type="dxa"/>
              <w:bottom w:w="80" w:type="dxa"/>
              <w:end w:w="120" w:type="dxa"/>
            </w:tcMar>
          </w:tcPr>
          <w:p>
            <w:r>
              <w:t>R-01</w:t>
            </w:r>
          </w:p>
        </w:tc>
        <w:tc>
          <w:tcPr>
            <w:tcW w:type="dxa" w:w="3000"/>
            <w:vAlign w:val="center"/>
            <w:tcMar>
              <w:top w:w="80" w:type="dxa"/>
              <w:start w:w="120" w:type="dxa"/>
              <w:bottom w:w="80" w:type="dxa"/>
              <w:end w:w="120" w:type="dxa"/>
            </w:tcMar>
          </w:tcPr>
          <w:p>
            <w:r>
              <w:t>Indirect prompt injection causes unsafe browser or chained-tool actions</w:t>
            </w:r>
          </w:p>
        </w:tc>
        <w:tc>
          <w:tcPr>
            <w:tcW w:type="dxa" w:w="1100"/>
            <w:vAlign w:val="center"/>
            <w:tcMar>
              <w:top w:w="80" w:type="dxa"/>
              <w:start w:w="120" w:type="dxa"/>
              <w:bottom w:w="80" w:type="dxa"/>
              <w:end w:w="120" w:type="dxa"/>
            </w:tcMar>
          </w:tcPr>
          <w:p>
            <w:r>
              <w:t>20 Critical</w:t>
            </w:r>
          </w:p>
        </w:tc>
        <w:tc>
          <w:tcPr>
            <w:tcW w:type="dxa" w:w="1100"/>
            <w:vAlign w:val="center"/>
            <w:tcMar>
              <w:top w:w="80" w:type="dxa"/>
              <w:start w:w="120" w:type="dxa"/>
              <w:bottom w:w="80" w:type="dxa"/>
              <w:end w:w="120" w:type="dxa"/>
            </w:tcMar>
          </w:tcPr>
          <w:p>
            <w:r>
              <w:t>12 High</w:t>
            </w:r>
          </w:p>
        </w:tc>
        <w:tc>
          <w:tcPr>
            <w:tcW w:type="dxa" w:w="3460"/>
            <w:vAlign w:val="center"/>
            <w:tcMar>
              <w:top w:w="80" w:type="dxa"/>
              <w:start w:w="120" w:type="dxa"/>
              <w:bottom w:w="80" w:type="dxa"/>
              <w:end w:w="120" w:type="dxa"/>
            </w:tcMar>
          </w:tcPr>
          <w:p>
            <w:r>
              <w:t>Restrict sites and tools; per-call approval; isolate; prohibit cross-tool secrets</w:t>
            </w:r>
          </w:p>
        </w:tc>
      </w:tr>
      <w:tr>
        <w:trPr>
          <w:cantSplit/>
        </w:trPr>
        <w:tc>
          <w:tcPr>
            <w:tcW w:type="dxa" w:w="700"/>
            <w:vAlign w:val="center"/>
            <w:tcMar>
              <w:top w:w="80" w:type="dxa"/>
              <w:start w:w="120" w:type="dxa"/>
              <w:bottom w:w="80" w:type="dxa"/>
              <w:end w:w="120" w:type="dxa"/>
            </w:tcMar>
          </w:tcPr>
          <w:p>
            <w:r>
              <w:t>R-02</w:t>
            </w:r>
          </w:p>
        </w:tc>
        <w:tc>
          <w:tcPr>
            <w:tcW w:type="dxa" w:w="3000"/>
            <w:vAlign w:val="center"/>
            <w:tcMar>
              <w:top w:w="80" w:type="dxa"/>
              <w:start w:w="120" w:type="dxa"/>
              <w:bottom w:w="80" w:type="dxa"/>
              <w:end w:w="120" w:type="dxa"/>
            </w:tcMar>
          </w:tcPr>
          <w:p>
            <w:r>
              <w:t>Default broad network reach enables unintended access or exfiltration</w:t>
            </w:r>
          </w:p>
        </w:tc>
        <w:tc>
          <w:tcPr>
            <w:tcW w:type="dxa" w:w="1100"/>
            <w:vAlign w:val="center"/>
            <w:tcMar>
              <w:top w:w="80" w:type="dxa"/>
              <w:start w:w="120" w:type="dxa"/>
              <w:bottom w:w="80" w:type="dxa"/>
              <w:end w:w="120" w:type="dxa"/>
            </w:tcMar>
          </w:tcPr>
          <w:p>
            <w:r>
              <w:t>16 High</w:t>
            </w:r>
          </w:p>
        </w:tc>
        <w:tc>
          <w:tcPr>
            <w:tcW w:type="dxa" w:w="1100"/>
            <w:vAlign w:val="center"/>
            <w:tcMar>
              <w:top w:w="80" w:type="dxa"/>
              <w:start w:w="120" w:type="dxa"/>
              <w:bottom w:w="80" w:type="dxa"/>
              <w:end w:w="120" w:type="dxa"/>
            </w:tcMar>
          </w:tcPr>
          <w:p>
            <w:r>
              <w:t>8 Moderate</w:t>
            </w:r>
          </w:p>
        </w:tc>
        <w:tc>
          <w:tcPr>
            <w:tcW w:type="dxa" w:w="3460"/>
            <w:vAlign w:val="center"/>
            <w:tcMar>
              <w:top w:w="80" w:type="dxa"/>
              <w:start w:w="120" w:type="dxa"/>
              <w:bottom w:w="80" w:type="dxa"/>
              <w:end w:w="120" w:type="dxa"/>
            </w:tcMar>
          </w:tcPr>
          <w:p>
            <w:r>
              <w:t>Egress proxy plus explicit origin allowlist; do not treat MCP list as boundary</w:t>
            </w:r>
          </w:p>
        </w:tc>
      </w:tr>
      <w:tr>
        <w:trPr>
          <w:cantSplit/>
        </w:trPr>
        <w:tc>
          <w:tcPr>
            <w:tcW w:type="dxa" w:w="700"/>
            <w:vAlign w:val="center"/>
            <w:tcMar>
              <w:top w:w="80" w:type="dxa"/>
              <w:start w:w="120" w:type="dxa"/>
              <w:bottom w:w="80" w:type="dxa"/>
              <w:end w:w="120" w:type="dxa"/>
            </w:tcMar>
          </w:tcPr>
          <w:p>
            <w:r>
              <w:t>R-03</w:t>
            </w:r>
          </w:p>
        </w:tc>
        <w:tc>
          <w:tcPr>
            <w:tcW w:type="dxa" w:w="3000"/>
            <w:vAlign w:val="center"/>
            <w:tcMar>
              <w:top w:w="80" w:type="dxa"/>
              <w:start w:w="120" w:type="dxa"/>
              <w:bottom w:w="80" w:type="dxa"/>
              <w:end w:w="120" w:type="dxa"/>
            </w:tcMar>
          </w:tcPr>
          <w:p>
            <w:r>
              <w:t>Cookies, tokens, storage state, snapshots or logs expose sensitive data</w:t>
            </w:r>
          </w:p>
        </w:tc>
        <w:tc>
          <w:tcPr>
            <w:tcW w:type="dxa" w:w="1100"/>
            <w:vAlign w:val="center"/>
            <w:tcMar>
              <w:top w:w="80" w:type="dxa"/>
              <w:start w:w="120" w:type="dxa"/>
              <w:bottom w:w="80" w:type="dxa"/>
              <w:end w:w="120" w:type="dxa"/>
            </w:tcMar>
          </w:tcPr>
          <w:p>
            <w:r>
              <w:t>20 Critical</w:t>
            </w:r>
          </w:p>
        </w:tc>
        <w:tc>
          <w:tcPr>
            <w:tcW w:type="dxa" w:w="1100"/>
            <w:vAlign w:val="center"/>
            <w:tcMar>
              <w:top w:w="80" w:type="dxa"/>
              <w:start w:w="120" w:type="dxa"/>
              <w:bottom w:w="80" w:type="dxa"/>
              <w:end w:w="120" w:type="dxa"/>
            </w:tcMar>
          </w:tcPr>
          <w:p>
            <w:r>
              <w:t>10 High</w:t>
            </w:r>
          </w:p>
        </w:tc>
        <w:tc>
          <w:tcPr>
            <w:tcW w:type="dxa" w:w="3460"/>
            <w:vAlign w:val="center"/>
            <w:tcMar>
              <w:top w:w="80" w:type="dxa"/>
              <w:start w:w="120" w:type="dxa"/>
              <w:bottom w:w="80" w:type="dxa"/>
              <w:end w:w="120" w:type="dxa"/>
            </w:tcMar>
          </w:tcPr>
          <w:p>
            <w:r>
              <w:t>Isolated profile; synthetic identities; protected output; retention/deletion controls</w:t>
            </w:r>
          </w:p>
        </w:tc>
      </w:tr>
      <w:tr>
        <w:trPr>
          <w:cantSplit/>
        </w:trPr>
        <w:tc>
          <w:tcPr>
            <w:tcW w:type="dxa" w:w="700"/>
            <w:vAlign w:val="center"/>
            <w:tcMar>
              <w:top w:w="80" w:type="dxa"/>
              <w:start w:w="120" w:type="dxa"/>
              <w:bottom w:w="80" w:type="dxa"/>
              <w:end w:w="120" w:type="dxa"/>
            </w:tcMar>
          </w:tcPr>
          <w:p>
            <w:r>
              <w:t>R-04</w:t>
            </w:r>
          </w:p>
        </w:tc>
        <w:tc>
          <w:tcPr>
            <w:tcW w:type="dxa" w:w="3000"/>
            <w:vAlign w:val="center"/>
            <w:tcMar>
              <w:top w:w="80" w:type="dxa"/>
              <w:start w:w="120" w:type="dxa"/>
              <w:bottom w:w="80" w:type="dxa"/>
              <w:end w:w="120" w:type="dxa"/>
            </w:tcMar>
          </w:tcPr>
          <w:p>
            <w:r>
              <w:t>Unsafe code tool yields server-process code execution</w:t>
            </w:r>
          </w:p>
        </w:tc>
        <w:tc>
          <w:tcPr>
            <w:tcW w:type="dxa" w:w="1100"/>
            <w:vAlign w:val="center"/>
            <w:tcMar>
              <w:top w:w="80" w:type="dxa"/>
              <w:start w:w="120" w:type="dxa"/>
              <w:bottom w:w="80" w:type="dxa"/>
              <w:end w:w="120" w:type="dxa"/>
            </w:tcMar>
          </w:tcPr>
          <w:p>
            <w:r>
              <w:t>20 Critical</w:t>
            </w:r>
          </w:p>
        </w:tc>
        <w:tc>
          <w:tcPr>
            <w:tcW w:type="dxa" w:w="1100"/>
            <w:vAlign w:val="center"/>
            <w:tcMar>
              <w:top w:w="80" w:type="dxa"/>
              <w:start w:w="120" w:type="dxa"/>
              <w:bottom w:w="80" w:type="dxa"/>
              <w:end w:w="120" w:type="dxa"/>
            </w:tcMar>
          </w:tcPr>
          <w:p>
            <w:r>
              <w:t>10 High</w:t>
            </w:r>
          </w:p>
        </w:tc>
        <w:tc>
          <w:tcPr>
            <w:tcW w:type="dxa" w:w="3460"/>
            <w:vAlign w:val="center"/>
            <w:tcMar>
              <w:top w:w="80" w:type="dxa"/>
              <w:start w:w="120" w:type="dxa"/>
              <w:bottom w:w="80" w:type="dxa"/>
              <w:end w:w="120" w:type="dxa"/>
            </w:tcMar>
          </w:tcPr>
          <w:p>
            <w:r>
              <w:t>Disable/deny tool; container/VM isolation; least-privilege account; no host secrets</w:t>
            </w:r>
          </w:p>
        </w:tc>
      </w:tr>
      <w:tr>
        <w:trPr>
          <w:cantSplit/>
        </w:trPr>
        <w:tc>
          <w:tcPr>
            <w:tcW w:type="dxa" w:w="700"/>
            <w:vAlign w:val="center"/>
            <w:tcMar>
              <w:top w:w="80" w:type="dxa"/>
              <w:start w:w="120" w:type="dxa"/>
              <w:bottom w:w="80" w:type="dxa"/>
              <w:end w:w="120" w:type="dxa"/>
            </w:tcMar>
          </w:tcPr>
          <w:p>
            <w:r>
              <w:t>R-05</w:t>
            </w:r>
          </w:p>
        </w:tc>
        <w:tc>
          <w:tcPr>
            <w:tcW w:type="dxa" w:w="3000"/>
            <w:vAlign w:val="center"/>
            <w:tcMar>
              <w:top w:w="80" w:type="dxa"/>
              <w:start w:w="120" w:type="dxa"/>
              <w:bottom w:w="80" w:type="dxa"/>
              <w:end w:w="120" w:type="dxa"/>
            </w:tcMar>
          </w:tcPr>
          <w:p>
            <w:r>
              <w:t>Mutable install/update or dependency compromise changes trusted behavior</w:t>
            </w:r>
          </w:p>
        </w:tc>
        <w:tc>
          <w:tcPr>
            <w:tcW w:type="dxa" w:w="1100"/>
            <w:vAlign w:val="center"/>
            <w:tcMar>
              <w:top w:w="80" w:type="dxa"/>
              <w:start w:w="120" w:type="dxa"/>
              <w:bottom w:w="80" w:type="dxa"/>
              <w:end w:w="120" w:type="dxa"/>
            </w:tcMar>
          </w:tcPr>
          <w:p>
            <w:r>
              <w:t>15 High</w:t>
            </w:r>
          </w:p>
        </w:tc>
        <w:tc>
          <w:tcPr>
            <w:tcW w:type="dxa" w:w="1100"/>
            <w:vAlign w:val="center"/>
            <w:tcMar>
              <w:top w:w="80" w:type="dxa"/>
              <w:start w:w="120" w:type="dxa"/>
              <w:bottom w:w="80" w:type="dxa"/>
              <w:end w:w="120" w:type="dxa"/>
            </w:tcMar>
          </w:tcPr>
          <w:p>
            <w:r>
              <w:t>10 High</w:t>
            </w:r>
          </w:p>
        </w:tc>
        <w:tc>
          <w:tcPr>
            <w:tcW w:type="dxa" w:w="3460"/>
            <w:vAlign w:val="center"/>
            <w:tcMar>
              <w:top w:w="80" w:type="dxa"/>
              <w:start w:w="120" w:type="dxa"/>
              <w:bottom w:w="80" w:type="dxa"/>
              <w:end w:w="120" w:type="dxa"/>
            </w:tcMar>
          </w:tcPr>
          <w:p>
            <w:r>
              <w:t>Pin version and integrity; controlled mirror; provenance verification; staged update</w:t>
            </w:r>
          </w:p>
        </w:tc>
      </w:tr>
      <w:tr>
        <w:trPr>
          <w:cantSplit/>
        </w:trPr>
        <w:tc>
          <w:tcPr>
            <w:tcW w:type="dxa" w:w="700"/>
            <w:vAlign w:val="center"/>
            <w:tcMar>
              <w:top w:w="80" w:type="dxa"/>
              <w:start w:w="120" w:type="dxa"/>
              <w:bottom w:w="80" w:type="dxa"/>
              <w:end w:w="120" w:type="dxa"/>
            </w:tcMar>
          </w:tcPr>
          <w:p>
            <w:r>
              <w:t>R-06</w:t>
            </w:r>
          </w:p>
        </w:tc>
        <w:tc>
          <w:tcPr>
            <w:tcW w:type="dxa" w:w="3000"/>
            <w:vAlign w:val="center"/>
            <w:tcMar>
              <w:top w:w="80" w:type="dxa"/>
              <w:start w:w="120" w:type="dxa"/>
              <w:bottom w:w="80" w:type="dxa"/>
              <w:end w:w="120" w:type="dxa"/>
            </w:tcMar>
          </w:tcPr>
          <w:p>
            <w:r>
              <w:t>Shared or persistent browser context crosses users, tasks or classifications</w:t>
            </w:r>
          </w:p>
        </w:tc>
        <w:tc>
          <w:tcPr>
            <w:tcW w:type="dxa" w:w="1100"/>
            <w:vAlign w:val="center"/>
            <w:tcMar>
              <w:top w:w="80" w:type="dxa"/>
              <w:start w:w="120" w:type="dxa"/>
              <w:bottom w:w="80" w:type="dxa"/>
              <w:end w:w="120" w:type="dxa"/>
            </w:tcMar>
          </w:tcPr>
          <w:p>
            <w:r>
              <w:t>15 High</w:t>
            </w:r>
          </w:p>
        </w:tc>
        <w:tc>
          <w:tcPr>
            <w:tcW w:type="dxa" w:w="1100"/>
            <w:vAlign w:val="center"/>
            <w:tcMar>
              <w:top w:w="80" w:type="dxa"/>
              <w:start w:w="120" w:type="dxa"/>
              <w:bottom w:w="80" w:type="dxa"/>
              <w:end w:w="120" w:type="dxa"/>
            </w:tcMar>
          </w:tcPr>
          <w:p>
            <w:r>
              <w:t>8 Moderate</w:t>
            </w:r>
          </w:p>
        </w:tc>
        <w:tc>
          <w:tcPr>
            <w:tcW w:type="dxa" w:w="3460"/>
            <w:vAlign w:val="center"/>
            <w:tcMar>
              <w:top w:w="80" w:type="dxa"/>
              <w:start w:w="120" w:type="dxa"/>
              <w:bottom w:w="80" w:type="dxa"/>
              <w:end w:w="120" w:type="dxa"/>
            </w:tcMar>
          </w:tcPr>
          <w:p>
            <w:r>
              <w:t>One isolated context per task; disable shared context; purge on close</w:t>
            </w:r>
          </w:p>
        </w:tc>
      </w:tr>
      <w:tr>
        <w:trPr>
          <w:cantSplit/>
        </w:trPr>
        <w:tc>
          <w:tcPr>
            <w:tcW w:type="dxa" w:w="700"/>
            <w:vAlign w:val="center"/>
            <w:tcMar>
              <w:top w:w="80" w:type="dxa"/>
              <w:start w:w="120" w:type="dxa"/>
              <w:bottom w:w="80" w:type="dxa"/>
              <w:end w:w="120" w:type="dxa"/>
            </w:tcMar>
          </w:tcPr>
          <w:p>
            <w:r>
              <w:t>R-07</w:t>
            </w:r>
          </w:p>
        </w:tc>
        <w:tc>
          <w:tcPr>
            <w:tcW w:type="dxa" w:w="3000"/>
            <w:vAlign w:val="center"/>
            <w:tcMar>
              <w:top w:w="80" w:type="dxa"/>
              <w:start w:w="120" w:type="dxa"/>
              <w:bottom w:w="80" w:type="dxa"/>
              <w:end w:w="120" w:type="dxa"/>
            </w:tcMar>
          </w:tcPr>
          <w:p>
            <w:r>
              <w:t>Insufficient audit evidence prevents reconstruction or regulatory reporting</w:t>
            </w:r>
          </w:p>
        </w:tc>
        <w:tc>
          <w:tcPr>
            <w:tcW w:type="dxa" w:w="1100"/>
            <w:vAlign w:val="center"/>
            <w:tcMar>
              <w:top w:w="80" w:type="dxa"/>
              <w:start w:w="120" w:type="dxa"/>
              <w:bottom w:w="80" w:type="dxa"/>
              <w:end w:w="120" w:type="dxa"/>
            </w:tcMar>
          </w:tcPr>
          <w:p>
            <w:r>
              <w:t>12 High</w:t>
            </w:r>
          </w:p>
        </w:tc>
        <w:tc>
          <w:tcPr>
            <w:tcW w:type="dxa" w:w="1100"/>
            <w:vAlign w:val="center"/>
            <w:tcMar>
              <w:top w:w="80" w:type="dxa"/>
              <w:start w:w="120" w:type="dxa"/>
              <w:bottom w:w="80" w:type="dxa"/>
              <w:end w:w="120" w:type="dxa"/>
            </w:tcMar>
          </w:tcPr>
          <w:p>
            <w:r>
              <w:t>8 Moderate</w:t>
            </w:r>
          </w:p>
        </w:tc>
        <w:tc>
          <w:tcPr>
            <w:tcW w:type="dxa" w:w="3460"/>
            <w:vAlign w:val="center"/>
            <w:tcMar>
              <w:top w:w="80" w:type="dxa"/>
              <w:start w:w="120" w:type="dxa"/>
              <w:bottom w:w="80" w:type="dxa"/>
              <w:end w:w="120" w:type="dxa"/>
            </w:tcMar>
          </w:tcPr>
          <w:p>
            <w:r>
              <w:t>Central metadata logging, approvals, server version/hash, destination and outcome</w:t>
            </w:r>
          </w:p>
        </w:tc>
      </w:tr>
      <w:tr>
        <w:trPr>
          <w:cantSplit/>
        </w:trPr>
        <w:tc>
          <w:tcPr>
            <w:tcW w:type="dxa" w:w="700"/>
            <w:vAlign w:val="center"/>
            <w:tcMar>
              <w:top w:w="80" w:type="dxa"/>
              <w:start w:w="120" w:type="dxa"/>
              <w:bottom w:w="80" w:type="dxa"/>
              <w:end w:w="120" w:type="dxa"/>
            </w:tcMar>
          </w:tcPr>
          <w:p>
            <w:r>
              <w:t>R-08</w:t>
            </w:r>
          </w:p>
        </w:tc>
        <w:tc>
          <w:tcPr>
            <w:tcW w:type="dxa" w:w="3000"/>
            <w:vAlign w:val="center"/>
            <w:tcMar>
              <w:top w:w="80" w:type="dxa"/>
              <w:start w:w="120" w:type="dxa"/>
              <w:bottom w:w="80" w:type="dxa"/>
              <w:end w:w="120" w:type="dxa"/>
            </w:tcMar>
          </w:tcPr>
          <w:p>
            <w:r>
              <w:t>Visual Studio control parity is assumed without host verification</w:t>
            </w:r>
          </w:p>
        </w:tc>
        <w:tc>
          <w:tcPr>
            <w:tcW w:type="dxa" w:w="1100"/>
            <w:vAlign w:val="center"/>
            <w:tcMar>
              <w:top w:w="80" w:type="dxa"/>
              <w:start w:w="120" w:type="dxa"/>
              <w:bottom w:w="80" w:type="dxa"/>
              <w:end w:w="120" w:type="dxa"/>
            </w:tcMar>
          </w:tcPr>
          <w:p>
            <w:r>
              <w:t>12 High</w:t>
            </w:r>
          </w:p>
        </w:tc>
        <w:tc>
          <w:tcPr>
            <w:tcW w:type="dxa" w:w="1100"/>
            <w:vAlign w:val="center"/>
            <w:tcMar>
              <w:top w:w="80" w:type="dxa"/>
              <w:start w:w="120" w:type="dxa"/>
              <w:bottom w:w="80" w:type="dxa"/>
              <w:end w:w="120" w:type="dxa"/>
            </w:tcMar>
          </w:tcPr>
          <w:p>
            <w:r>
              <w:t>8 Moderate</w:t>
            </w:r>
          </w:p>
        </w:tc>
        <w:tc>
          <w:tcPr>
            <w:tcW w:type="dxa" w:w="3460"/>
            <w:vAlign w:val="center"/>
            <w:tcMar>
              <w:top w:w="80" w:type="dxa"/>
              <w:start w:w="120" w:type="dxa"/>
              <w:bottom w:w="80" w:type="dxa"/>
              <w:end w:w="120" w:type="dxa"/>
            </w:tcMar>
          </w:tcPr>
          <w:p>
            <w:r>
              <w:t>Pilot Visual Studio 2026 or 17.14.9+; verify prompts, allowlists and logs</w:t>
            </w:r>
          </w:p>
        </w:tc>
      </w:tr>
    </w:tbl>
    <w:p>
      <w:pPr>
        <w:spacing w:after="0"/>
      </w:pPr>
    </w:p>
    <w:tbl>
      <w:tblPr>
        <w:tblStyle w:val="TableGrid"/>
        <w:tblW w:type="dxa" w:w="9360"/>
        <w:tblLayout w:type="fixed"/>
        <w:tblLook w:firstColumn="1" w:firstRow="1" w:lastColumn="0" w:lastRow="0" w:noHBand="0" w:noVBand="1" w:val="04A0"/>
        <w:jc w:val="left"/>
        <w:tblInd w:w="120" w:type="dxa"/>
        <w:tblInd w:w="120" w:type="dxa"/>
        <w:tblInd w:w="120" w:type="dxa"/>
        <w:tblInd w:w="120" w:type="dxa"/>
        <w:tblInd w:w="120" w:type="dxa"/>
        <w:tblInd w:w="120" w:type="dxa"/>
        <w:tblInd w:w="120" w:type="dxa"/>
        <w:tblInd w:w="120" w:type="dxa"/>
        <w:tblInd w:w="120" w:type="dxa"/>
        <w:tblInd w:w="120" w:type="dxa"/>
        <w:tblInd w:w="120" w:type="dxa"/>
        <w:tblInd w:w="120" w:type="dxa"/>
        <w:tblInd w:w="120" w:type="dxa"/>
        <w:tblInd w:w="120" w:type="dxa"/>
      </w:tblPr>
      <w:tblGrid>
        <w:gridCol w:w="2100"/>
        <w:gridCol w:w="1700"/>
        <w:gridCol w:w="5560"/>
      </w:tblGrid>
      <w:tr>
        <w:trPr>
          <w:tblHeader w:val="true"/>
          <w:cantSplit/>
        </w:trPr>
        <w:tc>
          <w:tcPr>
            <w:tcW w:type="dxa" w:w="2100"/>
            <w:vAlign w:val="center"/>
            <w:tcMar>
              <w:top w:w="80" w:type="dxa"/>
              <w:start w:w="120" w:type="dxa"/>
              <w:bottom w:w="80" w:type="dxa"/>
              <w:end w:w="120" w:type="dxa"/>
            </w:tcMar>
            <w:shd w:fill="E8EEF5"/>
          </w:tcPr>
          <w:p>
            <w:pPr>
              <w:keepNext/>
            </w:pPr>
            <w:r>
              <w:rPr>
                <w:b/>
              </w:rPr>
              <w:t>Framework</w:t>
            </w:r>
          </w:p>
        </w:tc>
        <w:tc>
          <w:tcPr>
            <w:tcW w:type="dxa" w:w="1700"/>
            <w:vAlign w:val="center"/>
            <w:tcMar>
              <w:top w:w="80" w:type="dxa"/>
              <w:start w:w="120" w:type="dxa"/>
              <w:bottom w:w="80" w:type="dxa"/>
              <w:end w:w="120" w:type="dxa"/>
            </w:tcMar>
            <w:shd w:fill="E8EEF5"/>
          </w:tcPr>
          <w:p>
            <w:pPr>
              <w:keepNext/>
            </w:pPr>
            <w:r>
              <w:rPr>
                <w:b/>
              </w:rPr>
              <w:t>Disposition</w:t>
            </w:r>
          </w:p>
        </w:tc>
        <w:tc>
          <w:tcPr>
            <w:tcW w:type="dxa" w:w="5560"/>
            <w:vAlign w:val="center"/>
            <w:tcMar>
              <w:top w:w="80" w:type="dxa"/>
              <w:start w:w="120" w:type="dxa"/>
              <w:bottom w:w="80" w:type="dxa"/>
              <w:end w:w="120" w:type="dxa"/>
            </w:tcMar>
            <w:shd w:fill="E8EEF5"/>
          </w:tcPr>
          <w:p>
            <w:pPr>
              <w:keepNext/>
            </w:pPr>
            <w:r>
              <w:rPr>
                <w:b/>
              </w:rPr>
              <w:t>Mapping / rationale</w:t>
            </w:r>
          </w:p>
        </w:tc>
      </w:tr>
      <w:tr>
        <w:trPr>
          <w:cantSplit/>
        </w:trPr>
        <w:tc>
          <w:tcPr>
            <w:tcW w:type="dxa" w:w="2100"/>
            <w:vAlign w:val="center"/>
            <w:tcMar>
              <w:top w:w="80" w:type="dxa"/>
              <w:start w:w="120" w:type="dxa"/>
              <w:bottom w:w="80" w:type="dxa"/>
              <w:end w:w="120" w:type="dxa"/>
            </w:tcMar>
          </w:tcPr>
          <w:p>
            <w:r>
              <w:t>OWASP LLM Top 10 2025</w:t>
            </w:r>
          </w:p>
        </w:tc>
        <w:tc>
          <w:tcPr>
            <w:tcW w:type="dxa" w:w="1700"/>
            <w:vAlign w:val="center"/>
            <w:tcMar>
              <w:top w:w="80" w:type="dxa"/>
              <w:start w:w="120" w:type="dxa"/>
              <w:bottom w:w="80" w:type="dxa"/>
              <w:end w:w="120" w:type="dxa"/>
            </w:tcMar>
          </w:tcPr>
          <w:p>
            <w:r>
              <w:t>Applicable</w:t>
            </w:r>
          </w:p>
        </w:tc>
        <w:tc>
          <w:tcPr>
            <w:tcW w:type="dxa" w:w="5560"/>
            <w:vAlign w:val="center"/>
            <w:tcMar>
              <w:top w:w="80" w:type="dxa"/>
              <w:start w:w="120" w:type="dxa"/>
              <w:bottom w:w="80" w:type="dxa"/>
              <w:end w:w="120" w:type="dxa"/>
            </w:tcMar>
          </w:tcPr>
          <w:p>
            <w:r>
              <w:t>LLM01 prompt injection, LLM02 disclosure, LLM03 supply chain, LLM06 excessive agency, LLM07 system prompt leakage, LLM10 unbounded consumption</w:t>
            </w:r>
          </w:p>
        </w:tc>
      </w:tr>
      <w:tr>
        <w:trPr>
          <w:cantSplit/>
        </w:trPr>
        <w:tc>
          <w:tcPr>
            <w:tcW w:type="dxa" w:w="2100"/>
            <w:vAlign w:val="center"/>
            <w:tcMar>
              <w:top w:w="80" w:type="dxa"/>
              <w:start w:w="120" w:type="dxa"/>
              <w:bottom w:w="80" w:type="dxa"/>
              <w:end w:w="120" w:type="dxa"/>
            </w:tcMar>
          </w:tcPr>
          <w:p>
            <w:r>
              <w:t>OWASP Agentic Top 10 2026</w:t>
            </w:r>
          </w:p>
        </w:tc>
        <w:tc>
          <w:tcPr>
            <w:tcW w:type="dxa" w:w="1700"/>
            <w:vAlign w:val="center"/>
            <w:tcMar>
              <w:top w:w="80" w:type="dxa"/>
              <w:start w:w="120" w:type="dxa"/>
              <w:bottom w:w="80" w:type="dxa"/>
              <w:end w:w="120" w:type="dxa"/>
            </w:tcMar>
          </w:tcPr>
          <w:p>
            <w:r>
              <w:t>Applicable</w:t>
            </w:r>
          </w:p>
        </w:tc>
        <w:tc>
          <w:tcPr>
            <w:tcW w:type="dxa" w:w="5560"/>
            <w:vAlign w:val="center"/>
            <w:tcMar>
              <w:top w:w="80" w:type="dxa"/>
              <w:start w:w="120" w:type="dxa"/>
              <w:bottom w:w="80" w:type="dxa"/>
              <w:end w:w="120" w:type="dxa"/>
            </w:tcMar>
          </w:tcPr>
          <w:p>
            <w:r>
              <w:t>ASI01 goal hijack, ASI02 tool misuse, ASI03 privilege abuse, ASI04 supply chain, ASI05 unexpected code execution, ASI06 context poisoning, ASI08 cascading failures, ASI09 trust exploitation, ASI10 rogue agents</w:t>
            </w:r>
          </w:p>
        </w:tc>
      </w:tr>
      <w:tr>
        <w:trPr>
          <w:cantSplit/>
        </w:trPr>
        <w:tc>
          <w:tcPr>
            <w:tcW w:type="dxa" w:w="2100"/>
            <w:vAlign w:val="center"/>
            <w:tcMar>
              <w:top w:w="80" w:type="dxa"/>
              <w:start w:w="120" w:type="dxa"/>
              <w:bottom w:w="80" w:type="dxa"/>
              <w:end w:w="120" w:type="dxa"/>
            </w:tcMar>
          </w:tcPr>
          <w:p>
            <w:r>
              <w:t>OWASP MCP Top 10 2025 beta</w:t>
            </w:r>
          </w:p>
        </w:tc>
        <w:tc>
          <w:tcPr>
            <w:tcW w:type="dxa" w:w="1700"/>
            <w:vAlign w:val="center"/>
            <w:tcMar>
              <w:top w:w="80" w:type="dxa"/>
              <w:start w:w="120" w:type="dxa"/>
              <w:bottom w:w="80" w:type="dxa"/>
              <w:end w:w="120" w:type="dxa"/>
            </w:tcMar>
          </w:tcPr>
          <w:p>
            <w:r>
              <w:t>Applicable</w:t>
            </w:r>
          </w:p>
        </w:tc>
        <w:tc>
          <w:tcPr>
            <w:tcW w:type="dxa" w:w="5560"/>
            <w:vAlign w:val="center"/>
            <w:tcMar>
              <w:top w:w="80" w:type="dxa"/>
              <w:start w:w="120" w:type="dxa"/>
              <w:bottom w:w="80" w:type="dxa"/>
              <w:end w:w="120" w:type="dxa"/>
            </w:tcMar>
          </w:tcPr>
          <w:p>
            <w:r>
              <w:t>MCP01 secrets, MCP02 scope creep, MCP03 tool poisoning, MCP04 supply chain, MCP05 command execution, MCP06 intent subversion, MCP07 authorization, MCP08 audit, MCP09 shadow servers, MCP10 context sharing</w:t>
            </w:r>
          </w:p>
        </w:tc>
      </w:tr>
      <w:tr>
        <w:trPr>
          <w:cantSplit/>
        </w:trPr>
        <w:tc>
          <w:tcPr>
            <w:tcW w:type="dxa" w:w="2100"/>
            <w:vAlign w:val="center"/>
            <w:tcMar>
              <w:top w:w="80" w:type="dxa"/>
              <w:start w:w="120" w:type="dxa"/>
              <w:bottom w:w="80" w:type="dxa"/>
              <w:end w:w="120" w:type="dxa"/>
            </w:tcMar>
          </w:tcPr>
          <w:p>
            <w:r>
              <w:t>OWASP ASVS 5.0.0, Level 2</w:t>
            </w:r>
          </w:p>
        </w:tc>
        <w:tc>
          <w:tcPr>
            <w:tcW w:type="dxa" w:w="1700"/>
            <w:vAlign w:val="center"/>
            <w:tcMar>
              <w:top w:w="80" w:type="dxa"/>
              <w:start w:w="120" w:type="dxa"/>
              <w:bottom w:w="80" w:type="dxa"/>
              <w:end w:w="120" w:type="dxa"/>
            </w:tcMar>
          </w:tcPr>
          <w:p>
            <w:r>
              <w:t>Partly applicable</w:t>
            </w:r>
          </w:p>
        </w:tc>
        <w:tc>
          <w:tcPr>
            <w:tcW w:type="dxa" w:w="5560"/>
            <w:vAlign w:val="center"/>
            <w:tcMar>
              <w:top w:w="80" w:type="dxa"/>
              <w:start w:w="120" w:type="dxa"/>
              <w:bottom w:w="80" w:type="dxa"/>
              <w:end w:w="120" w:type="dxa"/>
            </w:tcMar>
          </w:tcPr>
          <w:p>
            <w:r>
              <w:t>V1 encoding/validation, V2 validation logic, V4 API, V6 authentication, V7 session, V8 authorization, V11 cryptography, V13 configuration, V14 data protection; web-only server UI requirements not applicable</w:t>
            </w:r>
          </w:p>
        </w:tc>
      </w:tr>
      <w:tr>
        <w:trPr>
          <w:cantSplit/>
        </w:trPr>
        <w:tc>
          <w:tcPr>
            <w:tcW w:type="dxa" w:w="2100"/>
            <w:vAlign w:val="center"/>
            <w:tcMar>
              <w:top w:w="80" w:type="dxa"/>
              <w:start w:w="120" w:type="dxa"/>
              <w:bottom w:w="80" w:type="dxa"/>
              <w:end w:w="120" w:type="dxa"/>
            </w:tcMar>
          </w:tcPr>
          <w:p>
            <w:r>
              <w:t>MITRE ATLAS</w:t>
            </w:r>
          </w:p>
        </w:tc>
        <w:tc>
          <w:tcPr>
            <w:tcW w:type="dxa" w:w="1700"/>
            <w:vAlign w:val="center"/>
            <w:tcMar>
              <w:top w:w="80" w:type="dxa"/>
              <w:start w:w="120" w:type="dxa"/>
              <w:bottom w:w="80" w:type="dxa"/>
              <w:end w:w="120" w:type="dxa"/>
            </w:tcMar>
          </w:tcPr>
          <w:p>
            <w:r>
              <w:t>Applicable</w:t>
            </w:r>
          </w:p>
        </w:tc>
        <w:tc>
          <w:tcPr>
            <w:tcW w:type="dxa" w:w="5560"/>
            <w:vAlign w:val="center"/>
            <w:tcMar>
              <w:top w:w="80" w:type="dxa"/>
              <w:start w:w="120" w:type="dxa"/>
              <w:bottom w:w="80" w:type="dxa"/>
              <w:end w:w="120" w:type="dxa"/>
            </w:tcMar>
          </w:tcPr>
          <w:p>
            <w:r>
              <w:t>Prompt injection, abuse of AI-enabled product, exfiltration via tool-mediated channels and supply-chain techniques; mapping is scenario-focused</w:t>
            </w:r>
          </w:p>
        </w:tc>
      </w:tr>
      <w:tr>
        <w:trPr>
          <w:cantSplit/>
        </w:trPr>
        <w:tc>
          <w:tcPr>
            <w:tcW w:type="dxa" w:w="2100"/>
            <w:vAlign w:val="center"/>
            <w:tcMar>
              <w:top w:w="80" w:type="dxa"/>
              <w:start w:w="120" w:type="dxa"/>
              <w:bottom w:w="80" w:type="dxa"/>
              <w:end w:w="120" w:type="dxa"/>
            </w:tcMar>
          </w:tcPr>
          <w:p>
            <w:r>
              <w:t>NIST AI RMF 1.0 / AI 600-1</w:t>
            </w:r>
          </w:p>
        </w:tc>
        <w:tc>
          <w:tcPr>
            <w:tcW w:type="dxa" w:w="1700"/>
            <w:vAlign w:val="center"/>
            <w:tcMar>
              <w:top w:w="80" w:type="dxa"/>
              <w:start w:w="120" w:type="dxa"/>
              <w:bottom w:w="80" w:type="dxa"/>
              <w:end w:w="120" w:type="dxa"/>
            </w:tcMar>
          </w:tcPr>
          <w:p>
            <w:r>
              <w:t>Applicable</w:t>
            </w:r>
          </w:p>
        </w:tc>
        <w:tc>
          <w:tcPr>
            <w:tcW w:type="dxa" w:w="5560"/>
            <w:vAlign w:val="center"/>
            <w:tcMar>
              <w:top w:w="80" w:type="dxa"/>
              <w:start w:w="120" w:type="dxa"/>
              <w:bottom w:w="80" w:type="dxa"/>
              <w:end w:w="120" w:type="dxa"/>
            </w:tcMar>
          </w:tcPr>
          <w:p>
            <w:r>
              <w:t>Govern, Map, Measure and Manage; third-party, information integrity, privacy and human-oversight risks</w:t>
            </w:r>
          </w:p>
        </w:tc>
      </w:tr>
      <w:tr>
        <w:trPr>
          <w:cantSplit/>
        </w:trPr>
        <w:tc>
          <w:tcPr>
            <w:tcW w:type="dxa" w:w="2100"/>
            <w:vAlign w:val="center"/>
            <w:tcMar>
              <w:top w:w="80" w:type="dxa"/>
              <w:start w:w="120" w:type="dxa"/>
              <w:bottom w:w="80" w:type="dxa"/>
              <w:end w:w="120" w:type="dxa"/>
            </w:tcMar>
          </w:tcPr>
          <w:p>
            <w:r>
              <w:t>CIS Controls v8.1</w:t>
            </w:r>
          </w:p>
        </w:tc>
        <w:tc>
          <w:tcPr>
            <w:tcW w:type="dxa" w:w="1700"/>
            <w:vAlign w:val="center"/>
            <w:tcMar>
              <w:top w:w="80" w:type="dxa"/>
              <w:start w:w="120" w:type="dxa"/>
              <w:bottom w:w="80" w:type="dxa"/>
              <w:end w:w="120" w:type="dxa"/>
            </w:tcMar>
          </w:tcPr>
          <w:p>
            <w:r>
              <w:t>Applicable</w:t>
            </w:r>
          </w:p>
        </w:tc>
        <w:tc>
          <w:tcPr>
            <w:tcW w:type="dxa" w:w="5560"/>
            <w:vAlign w:val="center"/>
            <w:tcMar>
              <w:top w:w="80" w:type="dxa"/>
              <w:start w:w="120" w:type="dxa"/>
              <w:bottom w:w="80" w:type="dxa"/>
              <w:end w:w="120" w:type="dxa"/>
            </w:tcMar>
          </w:tcPr>
          <w:p>
            <w:r>
              <w:t>1, 2, 3, 4, 5, 6, 7, 8, 10, 11, 12, 13, 15, 16, 17 and 18</w:t>
            </w:r>
          </w:p>
        </w:tc>
      </w:tr>
      <w:tr>
        <w:trPr>
          <w:cantSplit/>
        </w:trPr>
        <w:tc>
          <w:tcPr>
            <w:tcW w:type="dxa" w:w="2100"/>
            <w:vAlign w:val="center"/>
            <w:tcMar>
              <w:top w:w="80" w:type="dxa"/>
              <w:start w:w="120" w:type="dxa"/>
              <w:bottom w:w="80" w:type="dxa"/>
              <w:end w:w="120" w:type="dxa"/>
            </w:tcMar>
          </w:tcPr>
          <w:p>
            <w:r>
              <w:t>ISO/IEC 27001:2022 Annex A</w:t>
            </w:r>
          </w:p>
        </w:tc>
        <w:tc>
          <w:tcPr>
            <w:tcW w:type="dxa" w:w="1700"/>
            <w:vAlign w:val="center"/>
            <w:tcMar>
              <w:top w:w="80" w:type="dxa"/>
              <w:start w:w="120" w:type="dxa"/>
              <w:bottom w:w="80" w:type="dxa"/>
              <w:end w:w="120" w:type="dxa"/>
            </w:tcMar>
          </w:tcPr>
          <w:p>
            <w:r>
              <w:t>Applicable</w:t>
            </w:r>
          </w:p>
        </w:tc>
        <w:tc>
          <w:tcPr>
            <w:tcW w:type="dxa" w:w="5560"/>
            <w:vAlign w:val="center"/>
            <w:tcMar>
              <w:top w:w="80" w:type="dxa"/>
              <w:start w:w="120" w:type="dxa"/>
              <w:bottom w:w="80" w:type="dxa"/>
              <w:end w:w="120" w:type="dxa"/>
            </w:tcMar>
          </w:tcPr>
          <w:p>
            <w:r>
              <w:t>A.5.8, A.5.15–18, A.5.19–23, A.5.24–28, A.5.31–34, A.8.1–3, A.8.7–9, A.8.12, A.8.15–16, A.8.19–20, A.8.25–32</w:t>
            </w:r>
          </w:p>
        </w:tc>
      </w:tr>
      <w:tr>
        <w:trPr>
          <w:cantSplit/>
        </w:trPr>
        <w:tc>
          <w:tcPr>
            <w:tcW w:type="dxa" w:w="2100"/>
            <w:vAlign w:val="center"/>
            <w:tcMar>
              <w:top w:w="80" w:type="dxa"/>
              <w:start w:w="120" w:type="dxa"/>
              <w:bottom w:w="80" w:type="dxa"/>
              <w:end w:w="120" w:type="dxa"/>
            </w:tcMar>
          </w:tcPr>
          <w:p>
            <w:r>
              <w:t>NCSC secure AI development v1.1</w:t>
            </w:r>
          </w:p>
        </w:tc>
        <w:tc>
          <w:tcPr>
            <w:tcW w:type="dxa" w:w="1700"/>
            <w:vAlign w:val="center"/>
            <w:tcMar>
              <w:top w:w="80" w:type="dxa"/>
              <w:start w:w="120" w:type="dxa"/>
              <w:bottom w:w="80" w:type="dxa"/>
              <w:end w:w="120" w:type="dxa"/>
            </w:tcMar>
          </w:tcPr>
          <w:p>
            <w:r>
              <w:t>Applicable</w:t>
            </w:r>
          </w:p>
        </w:tc>
        <w:tc>
          <w:tcPr>
            <w:tcW w:type="dxa" w:w="5560"/>
            <w:vAlign w:val="center"/>
            <w:tcMar>
              <w:top w:w="80" w:type="dxa"/>
              <w:start w:w="120" w:type="dxa"/>
              <w:bottom w:w="80" w:type="dxa"/>
              <w:end w:w="120" w:type="dxa"/>
            </w:tcMar>
          </w:tcPr>
          <w:p>
            <w:r>
              <w:t>Secure design, development, deployment, operation and maintenance; least privilege and secure defaults</w:t>
            </w:r>
          </w:p>
        </w:tc>
      </w:tr>
      <w:tr>
        <w:trPr>
          <w:cantSplit/>
        </w:trPr>
        <w:tc>
          <w:tcPr>
            <w:tcW w:type="dxa" w:w="2100"/>
            <w:vAlign w:val="center"/>
            <w:tcMar>
              <w:top w:w="80" w:type="dxa"/>
              <w:start w:w="120" w:type="dxa"/>
              <w:bottom w:w="80" w:type="dxa"/>
              <w:end w:w="120" w:type="dxa"/>
            </w:tcMar>
          </w:tcPr>
          <w:p>
            <w:r>
              <w:t>UK GDPR / DPA 2018 / ICO</w:t>
            </w:r>
          </w:p>
        </w:tc>
        <w:tc>
          <w:tcPr>
            <w:tcW w:type="dxa" w:w="1700"/>
            <w:vAlign w:val="center"/>
            <w:tcMar>
              <w:top w:w="80" w:type="dxa"/>
              <w:start w:w="120" w:type="dxa"/>
              <w:bottom w:w="80" w:type="dxa"/>
              <w:end w:w="120" w:type="dxa"/>
            </w:tcMar>
          </w:tcPr>
          <w:p>
            <w:r>
              <w:t>Applicable when personal data is browsed</w:t>
            </w:r>
          </w:p>
        </w:tc>
        <w:tc>
          <w:tcPr>
            <w:tcW w:type="dxa" w:w="5560"/>
            <w:vAlign w:val="center"/>
            <w:tcMar>
              <w:top w:w="80" w:type="dxa"/>
              <w:start w:w="120" w:type="dxa"/>
              <w:bottom w:w="80" w:type="dxa"/>
              <w:end w:w="120" w:type="dxa"/>
            </w:tcMar>
          </w:tcPr>
          <w:p>
            <w:r>
              <w:t>Lawfulness, transparency, minimisation, security, retention, DPIA screening, processor/controller and transfer analysis</w:t>
            </w:r>
          </w:p>
        </w:tc>
      </w:tr>
      <w:tr>
        <w:trPr>
          <w:cantSplit/>
        </w:trPr>
        <w:tc>
          <w:tcPr>
            <w:tcW w:type="dxa" w:w="2100"/>
            <w:vAlign w:val="center"/>
            <w:tcMar>
              <w:top w:w="80" w:type="dxa"/>
              <w:start w:w="120" w:type="dxa"/>
              <w:bottom w:w="80" w:type="dxa"/>
              <w:end w:w="120" w:type="dxa"/>
            </w:tcMar>
          </w:tcPr>
          <w:p>
            <w:r>
              <w:t>PECR</w:t>
            </w:r>
          </w:p>
        </w:tc>
        <w:tc>
          <w:tcPr>
            <w:tcW w:type="dxa" w:w="1700"/>
            <w:vAlign w:val="center"/>
            <w:tcMar>
              <w:top w:w="80" w:type="dxa"/>
              <w:start w:w="120" w:type="dxa"/>
              <w:bottom w:w="80" w:type="dxa"/>
              <w:end w:w="120" w:type="dxa"/>
            </w:tcMar>
          </w:tcPr>
          <w:p>
            <w:r>
              <w:t>Conditionally applicable</w:t>
            </w:r>
          </w:p>
        </w:tc>
        <w:tc>
          <w:tcPr>
            <w:tcW w:type="dxa" w:w="5560"/>
            <w:vAlign w:val="center"/>
            <w:tcMar>
              <w:top w:w="80" w:type="dxa"/>
              <w:start w:w="120" w:type="dxa"/>
              <w:bottom w:w="80" w:type="dxa"/>
              <w:end w:w="120" w:type="dxa"/>
            </w:tcMar>
          </w:tcPr>
          <w:p>
            <w:r>
              <w:t>Only if deployment reads/writes terminal-equipment storage or performs covered communications beyond necessary automation</w:t>
            </w:r>
          </w:p>
        </w:tc>
      </w:tr>
      <w:tr>
        <w:trPr>
          <w:cantSplit/>
        </w:trPr>
        <w:tc>
          <w:tcPr>
            <w:tcW w:type="dxa" w:w="2100"/>
            <w:vAlign w:val="center"/>
            <w:tcMar>
              <w:top w:w="80" w:type="dxa"/>
              <w:start w:w="120" w:type="dxa"/>
              <w:bottom w:w="80" w:type="dxa"/>
              <w:end w:w="120" w:type="dxa"/>
            </w:tcMar>
          </w:tcPr>
          <w:p>
            <w:r>
              <w:t>FCA/PRA</w:t>
            </w:r>
          </w:p>
        </w:tc>
        <w:tc>
          <w:tcPr>
            <w:tcW w:type="dxa" w:w="1700"/>
            <w:vAlign w:val="center"/>
            <w:tcMar>
              <w:top w:w="80" w:type="dxa"/>
              <w:start w:w="120" w:type="dxa"/>
              <w:bottom w:w="80" w:type="dxa"/>
              <w:end w:w="120" w:type="dxa"/>
            </w:tcMar>
          </w:tcPr>
          <w:p>
            <w:r>
              <w:t>Conditionally applicable</w:t>
            </w:r>
          </w:p>
        </w:tc>
        <w:tc>
          <w:tcPr>
            <w:tcW w:type="dxa" w:w="5560"/>
            <w:vAlign w:val="center"/>
            <w:tcMar>
              <w:top w:w="80" w:type="dxa"/>
              <w:start w:w="120" w:type="dxa"/>
              <w:bottom w:w="80" w:type="dxa"/>
              <w:end w:w="120" w:type="dxa"/>
            </w:tcMar>
          </w:tcPr>
          <w:p>
            <w:r>
              <w:t>Applies to regulated deployment based on materiality, important business services and third-party classification; not a product certification</w:t>
            </w:r>
          </w:p>
        </w:tc>
      </w:tr>
      <w:tr>
        <w:trPr>
          <w:cantSplit/>
        </w:trPr>
        <w:tc>
          <w:tcPr>
            <w:tcW w:type="dxa" w:w="2100"/>
            <w:vAlign w:val="center"/>
            <w:tcMar>
              <w:top w:w="80" w:type="dxa"/>
              <w:start w:w="120" w:type="dxa"/>
              <w:bottom w:w="80" w:type="dxa"/>
              <w:end w:w="120" w:type="dxa"/>
            </w:tcMar>
          </w:tcPr>
          <w:p>
            <w:r>
              <w:t>Other jurisdictions / EU DORA</w:t>
            </w:r>
          </w:p>
        </w:tc>
        <w:tc>
          <w:tcPr>
            <w:tcW w:type="dxa" w:w="1700"/>
            <w:vAlign w:val="center"/>
            <w:tcMar>
              <w:top w:w="80" w:type="dxa"/>
              <w:start w:w="120" w:type="dxa"/>
              <w:bottom w:w="80" w:type="dxa"/>
              <w:end w:w="120" w:type="dxa"/>
            </w:tcMar>
          </w:tcPr>
          <w:p>
            <w:r>
              <w:t>Not applicable to assumed UK-only pilot</w:t>
            </w:r>
          </w:p>
        </w:tc>
        <w:tc>
          <w:tcPr>
            <w:tcW w:type="dxa" w:w="5560"/>
            <w:vAlign w:val="center"/>
            <w:tcMar>
              <w:top w:w="80" w:type="dxa"/>
              <w:start w:w="120" w:type="dxa"/>
              <w:bottom w:w="80" w:type="dxa"/>
              <w:end w:w="120" w:type="dxa"/>
            </w:tcMar>
          </w:tcPr>
          <w:p>
            <w:r>
              <w:t>Reassess for EU operations or another jurisdiction; UK regulation alone does not make EU DORA applicable</w:t>
            </w:r>
          </w:p>
        </w:tc>
      </w:tr>
    </w:tbl>
    <w:p>
      <w:pPr>
        <w:spacing w:after="0"/>
      </w:pPr>
    </w:p>
    <w:p>
      <w:r>
        <w:t>Framework editions/status were checked against current official sources.</w:t>
      </w:r>
      <w:r>
        <w:t xml:space="preserve"> </w:t>
      </w:r>
      <w:hyperlink w:anchor="REF_006" w:history="1">
        <w:r>
          <w:rPr>
            <w:color w:val="0563C1"/>
            <w:u w:val="single"/>
          </w:rPr>
          <w:t>[REF-006]</w:t>
        </w:r>
      </w:hyperlink>
      <w:r>
        <w:t xml:space="preserve"> </w:t>
      </w:r>
      <w:hyperlink w:anchor="REF_007" w:history="1">
        <w:r>
          <w:rPr>
            <w:color w:val="0563C1"/>
            <w:u w:val="single"/>
          </w:rPr>
          <w:t>[REF-007]</w:t>
        </w:r>
      </w:hyperlink>
      <w:r>
        <w:t xml:space="preserve"> </w:t>
      </w:r>
      <w:hyperlink w:anchor="REF_008" w:history="1">
        <w:r>
          <w:rPr>
            <w:color w:val="0563C1"/>
            <w:u w:val="single"/>
          </w:rPr>
          <w:t>[REF-008]</w:t>
        </w:r>
      </w:hyperlink>
      <w:r>
        <w:t xml:space="preserve"> </w:t>
      </w:r>
      <w:hyperlink w:anchor="REF_009" w:history="1">
        <w:r>
          <w:rPr>
            <w:color w:val="0563C1"/>
            <w:u w:val="single"/>
          </w:rPr>
          <w:t>[REF-009]</w:t>
        </w:r>
      </w:hyperlink>
      <w:r>
        <w:t xml:space="preserve"> </w:t>
      </w:r>
      <w:hyperlink w:anchor="REF_010" w:history="1">
        <w:r>
          <w:rPr>
            <w:color w:val="0563C1"/>
            <w:u w:val="single"/>
          </w:rPr>
          <w:t>[REF-010]</w:t>
        </w:r>
      </w:hyperlink>
      <w:r>
        <w:t xml:space="preserve"> </w:t>
      </w:r>
      <w:hyperlink w:anchor="REF_011" w:history="1">
        <w:r>
          <w:rPr>
            <w:color w:val="0563C1"/>
            <w:u w:val="single"/>
          </w:rPr>
          <w:t>[REF-011]</w:t>
        </w:r>
      </w:hyperlink>
      <w:r>
        <w:t xml:space="preserve"> </w:t>
      </w:r>
      <w:hyperlink w:anchor="REF_012" w:history="1">
        <w:r>
          <w:rPr>
            <w:color w:val="0563C1"/>
            <w:u w:val="single"/>
          </w:rPr>
          <w:t>[REF-012]</w:t>
        </w:r>
      </w:hyperlink>
      <w:r>
        <w:t xml:space="preserve"> </w:t>
      </w:r>
      <w:hyperlink w:anchor="REF_013" w:history="1">
        <w:r>
          <w:rPr>
            <w:color w:val="0563C1"/>
            <w:u w:val="single"/>
          </w:rPr>
          <w:t>[REF-013]</w:t>
        </w:r>
      </w:hyperlink>
      <w:r>
        <w:t xml:space="preserve"> </w:t>
      </w:r>
      <w:hyperlink w:anchor="REF_014" w:history="1">
        <w:r>
          <w:rPr>
            <w:color w:val="0563C1"/>
            <w:u w:val="single"/>
          </w:rPr>
          <w:t>[REF-014]</w:t>
        </w:r>
      </w:hyperlink>
      <w:r>
        <w:t xml:space="preserve"> </w:t>
      </w:r>
      <w:hyperlink w:anchor="REF_015" w:history="1">
        <w:r>
          <w:rPr>
            <w:color w:val="0563C1"/>
            <w:u w:val="single"/>
          </w:rPr>
          <w:t>[REF-015]</w:t>
        </w:r>
      </w:hyperlink>
      <w:r>
        <w:t xml:space="preserve"> </w:t>
      </w:r>
      <w:hyperlink w:anchor="REF_016" w:history="1">
        <w:r>
          <w:rPr>
            <w:color w:val="0563C1"/>
            <w:u w:val="single"/>
          </w:rPr>
          <w:t>[REF-016]</w:t>
        </w:r>
      </w:hyperlink>
      <w:r>
        <w:t xml:space="preserve"> </w:t>
      </w:r>
      <w:hyperlink w:anchor="REF_017" w:history="1">
        <w:r>
          <w:rPr>
            <w:color w:val="0563C1"/>
            <w:u w:val="single"/>
          </w:rPr>
          <w:t>[REF-017]</w:t>
        </w:r>
      </w:hyperlink>
      <w:r>
        <w:t xml:space="preserve"> </w:t>
      </w:r>
      <w:hyperlink w:anchor="REF_018" w:history="1">
        <w:r>
          <w:rPr>
            <w:color w:val="0563C1"/>
            <w:u w:val="single"/>
          </w:rPr>
          <w:t>[REF-018]</w:t>
        </w:r>
      </w:hyperlink>
    </w:p>
    <w:p>
      <w:pPr>
        <w:pStyle w:val="Heading2"/>
        <w:keepNext/>
      </w:pPr>
      <w:r>
        <w:t>Enterprise controls and detection opportunities</w:t>
      </w:r>
    </w:p>
    <w:p>
      <w:pPr>
        <w:pStyle w:val="ListBullet"/>
      </w:pPr>
      <w:r>
        <w:t>Central allowlist for exact server identity/version and deny repository-local MCP definitions unless reviewed.</w:t>
      </w:r>
    </w:p>
    <w:p>
      <w:pPr>
        <w:pStyle w:val="ListBullet"/>
      </w:pPr>
      <w:r>
        <w:t>Per-action approval; deny unsafe code, storage export, file upload/download and profile attachment unless a documented use case requires them.</w:t>
      </w:r>
    </w:p>
    <w:p>
      <w:pPr>
        <w:pStyle w:val="ListBullet"/>
      </w:pPr>
      <w:r>
        <w:t>Container/VM isolation; read-only or empty workspace; least-privilege account; no production tokens; externally enforced egress.</w:t>
      </w:r>
    </w:p>
    <w:p>
      <w:pPr>
        <w:pStyle w:val="ListBullet"/>
      </w:pPr>
      <w:r>
        <w:t>Log server hash/version, config hash, tool name, approval identity/scope, destination domain, outcome and artefact path without recording secrets or full sensitive content.</w:t>
      </w:r>
    </w:p>
    <w:p>
      <w:pPr>
        <w:pStyle w:val="ListBullet"/>
      </w:pPr>
      <w:r>
        <w:t>Alert on unsafe tool discovery/invocation, unpinned package resolution, 0.0.0.0 binding, unrestricted file access, no-sandbox, existing-profile attachment, shared context, unexpected domains and large output.</w:t>
      </w:r>
    </w:p>
    <w:p>
      <w:pPr>
        <w:pStyle w:val="Heading2"/>
        <w:keepNext/>
      </w:pPr>
      <w:r>
        <w:t>Residual risk, confidence, limitations and host verification</w:t>
      </w:r>
    </w:p>
    <w:p>
      <w:r>
        <w:t>Residual risk: High. Confidence: Medium—identity, package and implementation are version-specific and directly inspected, but host behavior and organizational controls are untested. Production approval is deferred until Appendix B checks pass in this IDE.</w:t>
      </w:r>
    </w:p>
    <w:p>
      <w:r>
        <w:br w:type="page"/>
      </w:r>
    </w:p>
    <w:p>
      <w:r>
        <w:t>Regeneration verification statement: decision and approval remain governed by the report recommendation. Purpose and function, architecture, trust boundaries, and data flows were rechecked for this IDE. Installation manifest, uninstall, runtime and activation, network, authentication, telemetry, privacy, MCP and Agent Skills, supply chain dependencies, threats and findings, framework disposition, controls and detection, residual risk, confidence, limitations, evidence, and verification were explicitly considered. Current static and malware evidence is retained. Representative IDE runtime evidence is Blocked: no disposable representative Windows 11/macOS VS Code or Windows 11 Visual Studio host was available; this limitation is not treated as a passed control. No bundled Agent Skill was found in the assessed installation surface unless the product-specific section states otherwise.</w:t>
      </w:r>
    </w:p>
    <w:p>
      <w:pPr>
        <w:pStyle w:val="Heading1"/>
        <w:keepNext/>
      </w:pPr>
      <w:r>
        <w:t>Part III — Installed Agent Skills</w:t>
      </w:r>
    </w:p>
    <w:p>
      <w:r>
        <w:t>No Agent Skill is installed by the assessed MCP package based on the static package and dependency inspection. A Playwright CLI skill was observed within the playwright-core package but is a separate CLI feature, not an MCP tool/resource/prompt or an IDE-installed skill. Decision: do not approve it implicitly; assess separately before installation.</w:t>
      </w:r>
    </w:p>
    <w:p>
      <w:pPr>
        <w:pStyle w:val="Heading1"/>
        <w:keepNext/>
      </w:pPr>
      <w:r>
        <w:t>8. Cross-IDE Comparison and Composition Risks</w:t>
      </w:r>
    </w:p>
    <w:tbl>
      <w:tblPr>
        <w:tblStyle w:val="TableGrid"/>
        <w:tblW w:type="dxa" w:w="9360"/>
        <w:tblLayout w:type="fixed"/>
        <w:tblLook w:firstColumn="1" w:firstRow="1" w:lastColumn="0" w:lastRow="0" w:noHBand="0" w:noVBand="1" w:val="04A0"/>
        <w:jc w:val="left"/>
        <w:tblInd w:w="120" w:type="dxa"/>
        <w:tblInd w:w="120" w:type="dxa"/>
        <w:tblInd w:w="120" w:type="dxa"/>
        <w:tblInd w:w="120" w:type="dxa"/>
        <w:tblInd w:w="120" w:type="dxa"/>
        <w:tblInd w:w="120" w:type="dxa"/>
      </w:tblPr>
      <w:tblGrid>
        <w:gridCol w:w="2000"/>
        <w:gridCol w:w="3680"/>
        <w:gridCol w:w="3680"/>
      </w:tblGrid>
      <w:tr>
        <w:trPr>
          <w:tblHeader w:val="true"/>
          <w:cantSplit/>
        </w:trPr>
        <w:tc>
          <w:tcPr>
            <w:tcW w:type="dxa" w:w="2000"/>
            <w:vAlign w:val="center"/>
            <w:tcMar>
              <w:top w:w="80" w:type="dxa"/>
              <w:start w:w="120" w:type="dxa"/>
              <w:bottom w:w="80" w:type="dxa"/>
              <w:end w:w="120" w:type="dxa"/>
            </w:tcMar>
            <w:shd w:fill="E8EEF5"/>
          </w:tcPr>
          <w:p>
            <w:pPr>
              <w:keepNext/>
            </w:pPr>
            <w:r>
              <w:rPr>
                <w:b/>
              </w:rPr>
              <w:t>Dimension</w:t>
            </w:r>
          </w:p>
        </w:tc>
        <w:tc>
          <w:tcPr>
            <w:tcW w:type="dxa" w:w="3680"/>
            <w:vAlign w:val="center"/>
            <w:tcMar>
              <w:top w:w="80" w:type="dxa"/>
              <w:start w:w="120" w:type="dxa"/>
              <w:bottom w:w="80" w:type="dxa"/>
              <w:end w:w="120" w:type="dxa"/>
            </w:tcMar>
            <w:shd w:fill="E8EEF5"/>
          </w:tcPr>
          <w:p>
            <w:pPr>
              <w:keepNext/>
            </w:pPr>
            <w:r>
              <w:rPr>
                <w:b/>
              </w:rPr>
              <w:t>VS Code</w:t>
            </w:r>
          </w:p>
        </w:tc>
        <w:tc>
          <w:tcPr>
            <w:tcW w:type="dxa" w:w="3680"/>
            <w:vAlign w:val="center"/>
            <w:tcMar>
              <w:top w:w="80" w:type="dxa"/>
              <w:start w:w="120" w:type="dxa"/>
              <w:bottom w:w="80" w:type="dxa"/>
              <w:end w:w="120" w:type="dxa"/>
            </w:tcMar>
            <w:shd w:fill="E8EEF5"/>
          </w:tcPr>
          <w:p>
            <w:pPr>
              <w:keepNext/>
            </w:pPr>
            <w:r>
              <w:rPr>
                <w:b/>
              </w:rPr>
              <w:t>Visual Studio</w:t>
            </w:r>
          </w:p>
        </w:tc>
      </w:tr>
      <w:tr>
        <w:trPr>
          <w:cantSplit/>
        </w:trPr>
        <w:tc>
          <w:tcPr>
            <w:tcW w:type="dxa" w:w="2000"/>
            <w:vAlign w:val="center"/>
            <w:tcMar>
              <w:top w:w="80" w:type="dxa"/>
              <w:start w:w="120" w:type="dxa"/>
              <w:bottom w:w="80" w:type="dxa"/>
              <w:end w:w="120" w:type="dxa"/>
            </w:tcMar>
          </w:tcPr>
          <w:p>
            <w:r>
              <w:t>MCP support</w:t>
            </w:r>
          </w:p>
        </w:tc>
        <w:tc>
          <w:tcPr>
            <w:tcW w:type="dxa" w:w="3680"/>
            <w:vAlign w:val="center"/>
            <w:tcMar>
              <w:top w:w="80" w:type="dxa"/>
              <w:start w:w="120" w:type="dxa"/>
              <w:bottom w:w="80" w:type="dxa"/>
              <w:end w:w="120" w:type="dxa"/>
            </w:tcMar>
          </w:tcPr>
          <w:p>
            <w:r>
              <w:t>Native MCP configuration in agent workflows</w:t>
            </w:r>
          </w:p>
        </w:tc>
        <w:tc>
          <w:tcPr>
            <w:tcW w:type="dxa" w:w="3680"/>
            <w:vAlign w:val="center"/>
            <w:tcMar>
              <w:top w:w="80" w:type="dxa"/>
              <w:start w:w="120" w:type="dxa"/>
              <w:bottom w:w="80" w:type="dxa"/>
              <w:end w:w="120" w:type="dxa"/>
            </w:tcMar>
          </w:tcPr>
          <w:p>
            <w:r>
              <w:t>Generic local/remote MCP support in VS 2026 and VS 2022 17.14.9+</w:t>
            </w:r>
          </w:p>
        </w:tc>
      </w:tr>
      <w:tr>
        <w:trPr>
          <w:cantSplit/>
        </w:trPr>
        <w:tc>
          <w:tcPr>
            <w:tcW w:type="dxa" w:w="2000"/>
            <w:vAlign w:val="center"/>
            <w:tcMar>
              <w:top w:w="80" w:type="dxa"/>
              <w:start w:w="120" w:type="dxa"/>
              <w:bottom w:w="80" w:type="dxa"/>
              <w:end w:w="120" w:type="dxa"/>
            </w:tcMar>
          </w:tcPr>
          <w:p>
            <w:r>
              <w:t>Host trust</w:t>
            </w:r>
          </w:p>
        </w:tc>
        <w:tc>
          <w:tcPr>
            <w:tcW w:type="dxa" w:w="3680"/>
            <w:vAlign w:val="center"/>
            <w:tcMar>
              <w:top w:w="80" w:type="dxa"/>
              <w:start w:w="120" w:type="dxa"/>
              <w:bottom w:w="80" w:type="dxa"/>
              <w:end w:w="120" w:type="dxa"/>
            </w:tcMar>
          </w:tcPr>
          <w:p>
            <w:r>
              <w:t>Explicit MCP server trust; config-path caveat documented</w:t>
            </w:r>
          </w:p>
        </w:tc>
        <w:tc>
          <w:tcPr>
            <w:tcW w:type="dxa" w:w="3680"/>
            <w:vAlign w:val="center"/>
            <w:tcMar>
              <w:top w:w="80" w:type="dxa"/>
              <w:start w:w="120" w:type="dxa"/>
              <w:bottom w:w="80" w:type="dxa"/>
              <w:end w:w="120" w:type="dxa"/>
            </w:tcMar>
          </w:tcPr>
          <w:p>
            <w:r>
              <w:t>Tool confirmation and organizational allowlist support</w:t>
            </w:r>
          </w:p>
        </w:tc>
      </w:tr>
      <w:tr>
        <w:trPr>
          <w:cantSplit/>
        </w:trPr>
        <w:tc>
          <w:tcPr>
            <w:tcW w:type="dxa" w:w="2000"/>
            <w:vAlign w:val="center"/>
            <w:tcMar>
              <w:top w:w="80" w:type="dxa"/>
              <w:start w:w="120" w:type="dxa"/>
              <w:bottom w:w="80" w:type="dxa"/>
              <w:end w:w="120" w:type="dxa"/>
            </w:tcMar>
          </w:tcPr>
          <w:p>
            <w:r>
              <w:t>Isolation</w:t>
            </w:r>
          </w:p>
        </w:tc>
        <w:tc>
          <w:tcPr>
            <w:tcW w:type="dxa" w:w="3680"/>
            <w:vAlign w:val="center"/>
            <w:tcMar>
              <w:top w:w="80" w:type="dxa"/>
              <w:start w:w="120" w:type="dxa"/>
              <w:bottom w:w="80" w:type="dxa"/>
              <w:end w:w="120" w:type="dxa"/>
            </w:tcMar>
          </w:tcPr>
          <w:p>
            <w:r>
              <w:t>Agent terminal sandbox preview; must verify application to spawned MCP/browser</w:t>
            </w:r>
          </w:p>
        </w:tc>
        <w:tc>
          <w:tcPr>
            <w:tcW w:type="dxa" w:w="3680"/>
            <w:vAlign w:val="center"/>
            <w:tcMar>
              <w:top w:w="80" w:type="dxa"/>
              <w:start w:w="120" w:type="dxa"/>
              <w:bottom w:w="80" w:type="dxa"/>
              <w:end w:w="120" w:type="dxa"/>
            </w:tcMar>
          </w:tcPr>
          <w:p>
            <w:r>
              <w:t>No equivalent product claim relied upon; use external container/VM</w:t>
            </w:r>
          </w:p>
        </w:tc>
      </w:tr>
      <w:tr>
        <w:trPr>
          <w:cantSplit/>
        </w:trPr>
        <w:tc>
          <w:tcPr>
            <w:tcW w:type="dxa" w:w="2000"/>
            <w:vAlign w:val="center"/>
            <w:tcMar>
              <w:top w:w="80" w:type="dxa"/>
              <w:start w:w="120" w:type="dxa"/>
              <w:bottom w:w="80" w:type="dxa"/>
              <w:end w:w="120" w:type="dxa"/>
            </w:tcMar>
          </w:tcPr>
          <w:p>
            <w:r>
              <w:t>Primary residual risk</w:t>
            </w:r>
          </w:p>
        </w:tc>
        <w:tc>
          <w:tcPr>
            <w:tcW w:type="dxa" w:w="3680"/>
            <w:vAlign w:val="center"/>
            <w:tcMar>
              <w:top w:w="80" w:type="dxa"/>
              <w:start w:w="120" w:type="dxa"/>
              <w:bottom w:w="80" w:type="dxa"/>
              <w:end w:w="120" w:type="dxa"/>
            </w:tcMar>
          </w:tcPr>
          <w:p>
            <w:r>
              <w:t>Bypass/autopilot, broad trust, prompt injection composition</w:t>
            </w:r>
          </w:p>
        </w:tc>
        <w:tc>
          <w:tcPr>
            <w:tcW w:type="dxa" w:w="3680"/>
            <w:vAlign w:val="center"/>
            <w:tcMar>
              <w:top w:w="80" w:type="dxa"/>
              <w:start w:w="120" w:type="dxa"/>
              <w:bottom w:w="80" w:type="dxa"/>
              <w:end w:w="120" w:type="dxa"/>
            </w:tcMar>
          </w:tcPr>
          <w:p>
            <w:r>
              <w:t>Control-parity assumptions and host-version drift</w:t>
            </w:r>
          </w:p>
        </w:tc>
      </w:tr>
      <w:tr>
        <w:trPr>
          <w:cantSplit/>
        </w:trPr>
        <w:tc>
          <w:tcPr>
            <w:tcW w:type="dxa" w:w="2000"/>
            <w:vAlign w:val="center"/>
            <w:tcMar>
              <w:top w:w="80" w:type="dxa"/>
              <w:start w:w="120" w:type="dxa"/>
              <w:bottom w:w="80" w:type="dxa"/>
              <w:end w:w="120" w:type="dxa"/>
            </w:tcMar>
          </w:tcPr>
          <w:p>
            <w:r>
              <w:t>Decision</w:t>
            </w:r>
          </w:p>
        </w:tc>
        <w:tc>
          <w:tcPr>
            <w:tcW w:type="dxa" w:w="3680"/>
            <w:vAlign w:val="center"/>
            <w:tcMar>
              <w:top w:w="80" w:type="dxa"/>
              <w:start w:w="120" w:type="dxa"/>
              <w:bottom w:w="80" w:type="dxa"/>
              <w:end w:w="120" w:type="dxa"/>
            </w:tcMar>
          </w:tcPr>
          <w:p>
            <w:r>
              <w:t>Approve with conditions</w:t>
            </w:r>
          </w:p>
        </w:tc>
        <w:tc>
          <w:tcPr>
            <w:tcW w:type="dxa" w:w="3680"/>
            <w:vAlign w:val="center"/>
            <w:tcMar>
              <w:top w:w="80" w:type="dxa"/>
              <w:start w:w="120" w:type="dxa"/>
              <w:bottom w:w="80" w:type="dxa"/>
              <w:end w:w="120" w:type="dxa"/>
            </w:tcMar>
          </w:tcPr>
          <w:p>
            <w:r>
              <w:t>Approve with conditions after separate pilot</w:t>
            </w:r>
          </w:p>
        </w:tc>
      </w:tr>
    </w:tbl>
    <w:p>
      <w:pPr>
        <w:spacing w:after="0"/>
      </w:pPr>
    </w:p>
    <w:p>
      <w:r>
        <w:t>Systemic risk arises when browser output is fed to terminal, filesystem, repository, email, cloud or financial-operation tools. A harmless-looking page can carry indirect instructions; therefore tool-to-tool chaining must require separate authorization and data-boundary checks.</w:t>
      </w:r>
    </w:p>
    <w:p>
      <w:pPr>
        <w:pStyle w:val="Heading1"/>
        <w:keepNext/>
      </w:pPr>
      <w:r>
        <w:t>9. Consolidated Supply Chain Assessment</w:t>
      </w:r>
    </w:p>
    <w:p>
      <w:r>
        <w:t>Verified provenance is favorable but does not remove maintainer, registry, dependency or update-channel risk. Pin 0.0.78 and its integrity, validate SLSA provenance, mirror approved bytes, inventory transitive packages, stage updates, and retain rollback artefacts. Do not use @latest in enterprise configuration. No matching GitHub reviewed advisory was observed for the assessed package/version or exact playwright-core build on 2026-07-15; this narrow search is not proof of safety.</w:t>
      </w:r>
    </w:p>
    <w:p>
      <w:pPr>
        <w:pStyle w:val="Heading1"/>
        <w:keepNext/>
      </w:pPr>
      <w:r>
        <w:t>10. Consolidated Privacy and Data Protection Assessment</w:t>
      </w:r>
    </w:p>
    <w:p>
      <w:r>
        <w:t>Potential personal data includes URLs, page text, form values, screenshots, console/network data, downloads, cookies, local/session storage, credentials and identifiers. The enterprise remains accountable for purpose, lawful basis, transparency, minimisation, access, retention, deletion, processors/recipients and transfers. A DPIA screen is required before personal, customer, employee or special-category data is in scope.</w:t>
      </w:r>
    </w:p>
    <w:p>
      <w:pPr>
        <w:pStyle w:val="ListBullet"/>
      </w:pPr>
      <w:r>
        <w:t>Use synthetic accounts and data for testing; prohibit customer or production sessions by default.</w:t>
      </w:r>
    </w:p>
    <w:p>
      <w:pPr>
        <w:pStyle w:val="ListBullet"/>
      </w:pPr>
      <w:r>
        <w:t>Use isolated contexts and do not attach the agent to an everyday signed-in browser.</w:t>
      </w:r>
    </w:p>
    <w:p>
      <w:pPr>
        <w:pStyle w:val="ListBullet"/>
      </w:pPr>
      <w:r>
        <w:t>Store outputs only in an access-controlled, monitored location; disable session saving unless required; define short retention and secure deletion.</w:t>
      </w:r>
    </w:p>
    <w:p>
      <w:pPr>
        <w:pStyle w:val="ListBullet"/>
      </w:pPr>
      <w:r>
        <w:t>Treat secret redaction as defense in depth, not assurance; prevent secrets from entering page/tool context.</w:t>
      </w:r>
    </w:p>
    <w:p>
      <w:pPr>
        <w:pStyle w:val="ListBullet"/>
      </w:pPr>
      <w:r>
        <w:t>Document controller/processor roles for the IDE, model service, MCP server, browser targets and any remote endpoints.</w:t>
      </w:r>
    </w:p>
    <w:p>
      <w:pPr>
        <w:pStyle w:val="Heading1"/>
        <w:keepNext/>
      </w:pPr>
      <w:r>
        <w:t>11. Enterprise Controls Roadmap</w:t>
      </w:r>
    </w:p>
    <w:tbl>
      <w:tblPr>
        <w:tblStyle w:val="TableGrid"/>
        <w:tblW w:type="dxa" w:w="9360"/>
        <w:tblLayout w:type="fixed"/>
        <w:tblLook w:firstColumn="1" w:firstRow="1" w:lastColumn="0" w:lastRow="0" w:noHBand="0" w:noVBand="1" w:val="04A0"/>
        <w:jc w:val="left"/>
        <w:tblInd w:w="120" w:type="dxa"/>
        <w:tblInd w:w="120" w:type="dxa"/>
        <w:tblInd w:w="120" w:type="dxa"/>
        <w:tblInd w:w="120" w:type="dxa"/>
        <w:tblInd w:w="120" w:type="dxa"/>
        <w:tblInd w:w="120" w:type="dxa"/>
        <w:tblInd w:w="120" w:type="dxa"/>
      </w:tblPr>
      <w:tblGrid>
        <w:gridCol w:w="900"/>
        <w:gridCol w:w="4000"/>
        <w:gridCol w:w="2100"/>
        <w:gridCol w:w="2360"/>
      </w:tblGrid>
      <w:tr>
        <w:trPr>
          <w:tblHeader w:val="true"/>
          <w:cantSplit/>
        </w:trPr>
        <w:tc>
          <w:tcPr>
            <w:tcW w:type="dxa" w:w="900"/>
            <w:vAlign w:val="center"/>
            <w:tcMar>
              <w:top w:w="80" w:type="dxa"/>
              <w:start w:w="120" w:type="dxa"/>
              <w:bottom w:w="80" w:type="dxa"/>
              <w:end w:w="120" w:type="dxa"/>
            </w:tcMar>
            <w:shd w:fill="E8EEF5"/>
          </w:tcPr>
          <w:p>
            <w:pPr>
              <w:keepNext/>
            </w:pPr>
            <w:r>
              <w:rPr>
                <w:b/>
              </w:rPr>
              <w:t>Priority</w:t>
            </w:r>
          </w:p>
        </w:tc>
        <w:tc>
          <w:tcPr>
            <w:tcW w:type="dxa" w:w="4000"/>
            <w:vAlign w:val="center"/>
            <w:tcMar>
              <w:top w:w="80" w:type="dxa"/>
              <w:start w:w="120" w:type="dxa"/>
              <w:bottom w:w="80" w:type="dxa"/>
              <w:end w:w="120" w:type="dxa"/>
            </w:tcMar>
            <w:shd w:fill="E8EEF5"/>
          </w:tcPr>
          <w:p>
            <w:pPr>
              <w:keepNext/>
            </w:pPr>
            <w:r>
              <w:rPr>
                <w:b/>
              </w:rPr>
              <w:t>Control</w:t>
            </w:r>
          </w:p>
        </w:tc>
        <w:tc>
          <w:tcPr>
            <w:tcW w:type="dxa" w:w="2100"/>
            <w:vAlign w:val="center"/>
            <w:tcMar>
              <w:top w:w="80" w:type="dxa"/>
              <w:start w:w="120" w:type="dxa"/>
              <w:bottom w:w="80" w:type="dxa"/>
              <w:end w:w="120" w:type="dxa"/>
            </w:tcMar>
            <w:shd w:fill="E8EEF5"/>
          </w:tcPr>
          <w:p>
            <w:pPr>
              <w:keepNext/>
            </w:pPr>
            <w:r>
              <w:rPr>
                <w:b/>
              </w:rPr>
              <w:t>Owner</w:t>
            </w:r>
          </w:p>
        </w:tc>
        <w:tc>
          <w:tcPr>
            <w:tcW w:type="dxa" w:w="2360"/>
            <w:vAlign w:val="center"/>
            <w:tcMar>
              <w:top w:w="80" w:type="dxa"/>
              <w:start w:w="120" w:type="dxa"/>
              <w:bottom w:w="80" w:type="dxa"/>
              <w:end w:w="120" w:type="dxa"/>
            </w:tcMar>
            <w:shd w:fill="E8EEF5"/>
          </w:tcPr>
          <w:p>
            <w:pPr>
              <w:keepNext/>
            </w:pPr>
            <w:r>
              <w:rPr>
                <w:b/>
              </w:rPr>
              <w:t>Verification</w:t>
            </w:r>
          </w:p>
        </w:tc>
      </w:tr>
      <w:tr>
        <w:trPr>
          <w:cantSplit/>
        </w:trPr>
        <w:tc>
          <w:tcPr>
            <w:tcW w:type="dxa" w:w="900"/>
            <w:vAlign w:val="center"/>
            <w:tcMar>
              <w:top w:w="80" w:type="dxa"/>
              <w:start w:w="120" w:type="dxa"/>
              <w:bottom w:w="80" w:type="dxa"/>
              <w:end w:w="120" w:type="dxa"/>
            </w:tcMar>
          </w:tcPr>
          <w:p>
            <w:r>
              <w:t>P0</w:t>
            </w:r>
          </w:p>
        </w:tc>
        <w:tc>
          <w:tcPr>
            <w:tcW w:type="dxa" w:w="4000"/>
            <w:vAlign w:val="center"/>
            <w:tcMar>
              <w:top w:w="80" w:type="dxa"/>
              <w:start w:w="120" w:type="dxa"/>
              <w:bottom w:w="80" w:type="dxa"/>
              <w:end w:w="120" w:type="dxa"/>
            </w:tcMar>
          </w:tcPr>
          <w:p>
            <w:r>
              <w:t>Deny unsafe code and bypass/autopilot; pin package+integrity</w:t>
            </w:r>
          </w:p>
        </w:tc>
        <w:tc>
          <w:tcPr>
            <w:tcW w:type="dxa" w:w="2100"/>
            <w:vAlign w:val="center"/>
            <w:tcMar>
              <w:top w:w="80" w:type="dxa"/>
              <w:start w:w="120" w:type="dxa"/>
              <w:bottom w:w="80" w:type="dxa"/>
              <w:end w:w="120" w:type="dxa"/>
            </w:tcMar>
          </w:tcPr>
          <w:p>
            <w:r>
              <w:t>AI Platform / Supply Chain</w:t>
            </w:r>
          </w:p>
        </w:tc>
        <w:tc>
          <w:tcPr>
            <w:tcW w:type="dxa" w:w="2360"/>
            <w:vAlign w:val="center"/>
            <w:tcMar>
              <w:top w:w="80" w:type="dxa"/>
              <w:start w:w="120" w:type="dxa"/>
              <w:bottom w:w="80" w:type="dxa"/>
              <w:end w:w="120" w:type="dxa"/>
            </w:tcMar>
          </w:tcPr>
          <w:p>
            <w:r>
              <w:t>Tool inventory and controlled-start test</w:t>
            </w:r>
          </w:p>
        </w:tc>
      </w:tr>
      <w:tr>
        <w:trPr>
          <w:cantSplit/>
        </w:trPr>
        <w:tc>
          <w:tcPr>
            <w:tcW w:type="dxa" w:w="900"/>
            <w:vAlign w:val="center"/>
            <w:tcMar>
              <w:top w:w="80" w:type="dxa"/>
              <w:start w:w="120" w:type="dxa"/>
              <w:bottom w:w="80" w:type="dxa"/>
              <w:end w:w="120" w:type="dxa"/>
            </w:tcMar>
          </w:tcPr>
          <w:p>
            <w:r>
              <w:t>P0</w:t>
            </w:r>
          </w:p>
        </w:tc>
        <w:tc>
          <w:tcPr>
            <w:tcW w:type="dxa" w:w="4000"/>
            <w:vAlign w:val="center"/>
            <w:tcMar>
              <w:top w:w="80" w:type="dxa"/>
              <w:start w:w="120" w:type="dxa"/>
              <w:bottom w:w="80" w:type="dxa"/>
              <w:end w:w="120" w:type="dxa"/>
            </w:tcMar>
          </w:tcPr>
          <w:p>
            <w:r>
              <w:t>Isolated container/VM, no host secrets, external egress allowlist</w:t>
            </w:r>
          </w:p>
        </w:tc>
        <w:tc>
          <w:tcPr>
            <w:tcW w:type="dxa" w:w="2100"/>
            <w:vAlign w:val="center"/>
            <w:tcMar>
              <w:top w:w="80" w:type="dxa"/>
              <w:start w:w="120" w:type="dxa"/>
              <w:bottom w:w="80" w:type="dxa"/>
              <w:end w:w="120" w:type="dxa"/>
            </w:tcMar>
          </w:tcPr>
          <w:p>
            <w:r>
              <w:t>Endpoint Security</w:t>
            </w:r>
          </w:p>
        </w:tc>
        <w:tc>
          <w:tcPr>
            <w:tcW w:type="dxa" w:w="2360"/>
            <w:vAlign w:val="center"/>
            <w:tcMar>
              <w:top w:w="80" w:type="dxa"/>
              <w:start w:w="120" w:type="dxa"/>
              <w:bottom w:w="80" w:type="dxa"/>
              <w:end w:w="120" w:type="dxa"/>
            </w:tcMar>
          </w:tcPr>
          <w:p>
            <w:r>
              <w:t>Filesystem/network negative tests</w:t>
            </w:r>
          </w:p>
        </w:tc>
      </w:tr>
      <w:tr>
        <w:trPr>
          <w:cantSplit/>
        </w:trPr>
        <w:tc>
          <w:tcPr>
            <w:tcW w:type="dxa" w:w="900"/>
            <w:vAlign w:val="center"/>
            <w:tcMar>
              <w:top w:w="80" w:type="dxa"/>
              <w:start w:w="120" w:type="dxa"/>
              <w:bottom w:w="80" w:type="dxa"/>
              <w:end w:w="120" w:type="dxa"/>
            </w:tcMar>
          </w:tcPr>
          <w:p>
            <w:r>
              <w:t>P1</w:t>
            </w:r>
          </w:p>
        </w:tc>
        <w:tc>
          <w:tcPr>
            <w:tcW w:type="dxa" w:w="4000"/>
            <w:vAlign w:val="center"/>
            <w:tcMar>
              <w:top w:w="80" w:type="dxa"/>
              <w:start w:w="120" w:type="dxa"/>
              <w:bottom w:w="80" w:type="dxa"/>
              <w:end w:w="120" w:type="dxa"/>
            </w:tcMar>
          </w:tcPr>
          <w:p>
            <w:r>
              <w:t>Synthetic profiles, output retention and DPIA screen</w:t>
            </w:r>
          </w:p>
        </w:tc>
        <w:tc>
          <w:tcPr>
            <w:tcW w:type="dxa" w:w="2100"/>
            <w:vAlign w:val="center"/>
            <w:tcMar>
              <w:top w:w="80" w:type="dxa"/>
              <w:start w:w="120" w:type="dxa"/>
              <w:bottom w:w="80" w:type="dxa"/>
              <w:end w:w="120" w:type="dxa"/>
            </w:tcMar>
          </w:tcPr>
          <w:p>
            <w:r>
              <w:t>Data Protection</w:t>
            </w:r>
          </w:p>
        </w:tc>
        <w:tc>
          <w:tcPr>
            <w:tcW w:type="dxa" w:w="2360"/>
            <w:vAlign w:val="center"/>
            <w:tcMar>
              <w:top w:w="80" w:type="dxa"/>
              <w:start w:w="120" w:type="dxa"/>
              <w:bottom w:w="80" w:type="dxa"/>
              <w:end w:w="120" w:type="dxa"/>
            </w:tcMar>
          </w:tcPr>
          <w:p>
            <w:r>
              <w:t>Profile and deletion evidence</w:t>
            </w:r>
          </w:p>
        </w:tc>
      </w:tr>
      <w:tr>
        <w:trPr>
          <w:cantSplit/>
        </w:trPr>
        <w:tc>
          <w:tcPr>
            <w:tcW w:type="dxa" w:w="900"/>
            <w:vAlign w:val="center"/>
            <w:tcMar>
              <w:top w:w="80" w:type="dxa"/>
              <w:start w:w="120" w:type="dxa"/>
              <w:bottom w:w="80" w:type="dxa"/>
              <w:end w:w="120" w:type="dxa"/>
            </w:tcMar>
          </w:tcPr>
          <w:p>
            <w:r>
              <w:t>P1</w:t>
            </w:r>
          </w:p>
        </w:tc>
        <w:tc>
          <w:tcPr>
            <w:tcW w:type="dxa" w:w="4000"/>
            <w:vAlign w:val="center"/>
            <w:tcMar>
              <w:top w:w="80" w:type="dxa"/>
              <w:start w:w="120" w:type="dxa"/>
              <w:bottom w:w="80" w:type="dxa"/>
              <w:end w:w="120" w:type="dxa"/>
            </w:tcMar>
          </w:tcPr>
          <w:p>
            <w:r>
              <w:t>Central MCP allowlist, config review and change control</w:t>
            </w:r>
          </w:p>
        </w:tc>
        <w:tc>
          <w:tcPr>
            <w:tcW w:type="dxa" w:w="2100"/>
            <w:vAlign w:val="center"/>
            <w:tcMar>
              <w:top w:w="80" w:type="dxa"/>
              <w:start w:w="120" w:type="dxa"/>
              <w:bottom w:w="80" w:type="dxa"/>
              <w:end w:w="120" w:type="dxa"/>
            </w:tcMar>
          </w:tcPr>
          <w:p>
            <w:r>
              <w:t>Platform Governance</w:t>
            </w:r>
          </w:p>
        </w:tc>
        <w:tc>
          <w:tcPr>
            <w:tcW w:type="dxa" w:w="2360"/>
            <w:vAlign w:val="center"/>
            <w:tcMar>
              <w:top w:w="80" w:type="dxa"/>
              <w:start w:w="120" w:type="dxa"/>
              <w:bottom w:w="80" w:type="dxa"/>
              <w:end w:w="120" w:type="dxa"/>
            </w:tcMar>
          </w:tcPr>
          <w:p>
            <w:r>
              <w:t>Attempt unapproved server/config change</w:t>
            </w:r>
          </w:p>
        </w:tc>
      </w:tr>
      <w:tr>
        <w:trPr>
          <w:cantSplit/>
        </w:trPr>
        <w:tc>
          <w:tcPr>
            <w:tcW w:type="dxa" w:w="900"/>
            <w:vAlign w:val="center"/>
            <w:tcMar>
              <w:top w:w="80" w:type="dxa"/>
              <w:start w:w="120" w:type="dxa"/>
              <w:bottom w:w="80" w:type="dxa"/>
              <w:end w:w="120" w:type="dxa"/>
            </w:tcMar>
          </w:tcPr>
          <w:p>
            <w:r>
              <w:t>P1</w:t>
            </w:r>
          </w:p>
        </w:tc>
        <w:tc>
          <w:tcPr>
            <w:tcW w:type="dxa" w:w="4000"/>
            <w:vAlign w:val="center"/>
            <w:tcMar>
              <w:top w:w="80" w:type="dxa"/>
              <w:start w:w="120" w:type="dxa"/>
              <w:bottom w:w="80" w:type="dxa"/>
              <w:end w:w="120" w:type="dxa"/>
            </w:tcMar>
          </w:tcPr>
          <w:p>
            <w:r>
              <w:t>Metadata audit pipeline and SOC alerts</w:t>
            </w:r>
          </w:p>
        </w:tc>
        <w:tc>
          <w:tcPr>
            <w:tcW w:type="dxa" w:w="2100"/>
            <w:vAlign w:val="center"/>
            <w:tcMar>
              <w:top w:w="80" w:type="dxa"/>
              <w:start w:w="120" w:type="dxa"/>
              <w:bottom w:w="80" w:type="dxa"/>
              <w:end w:w="120" w:type="dxa"/>
            </w:tcMar>
          </w:tcPr>
          <w:p>
            <w:r>
              <w:t>SOC</w:t>
            </w:r>
          </w:p>
        </w:tc>
        <w:tc>
          <w:tcPr>
            <w:tcW w:type="dxa" w:w="2360"/>
            <w:vAlign w:val="center"/>
            <w:tcMar>
              <w:top w:w="80" w:type="dxa"/>
              <w:start w:w="120" w:type="dxa"/>
              <w:bottom w:w="80" w:type="dxa"/>
              <w:end w:w="120" w:type="dxa"/>
            </w:tcMar>
          </w:tcPr>
          <w:p>
            <w:r>
              <w:t>Simulated policy violations and log reconstruction</w:t>
            </w:r>
          </w:p>
        </w:tc>
      </w:tr>
      <w:tr>
        <w:trPr>
          <w:cantSplit/>
        </w:trPr>
        <w:tc>
          <w:tcPr>
            <w:tcW w:type="dxa" w:w="900"/>
            <w:vAlign w:val="center"/>
            <w:tcMar>
              <w:top w:w="80" w:type="dxa"/>
              <w:start w:w="120" w:type="dxa"/>
              <w:bottom w:w="80" w:type="dxa"/>
              <w:end w:w="120" w:type="dxa"/>
            </w:tcMar>
          </w:tcPr>
          <w:p>
            <w:r>
              <w:t>P2</w:t>
            </w:r>
          </w:p>
        </w:tc>
        <w:tc>
          <w:tcPr>
            <w:tcW w:type="dxa" w:w="4000"/>
            <w:vAlign w:val="center"/>
            <w:tcMar>
              <w:top w:w="80" w:type="dxa"/>
              <w:start w:w="120" w:type="dxa"/>
              <w:bottom w:w="80" w:type="dxa"/>
              <w:end w:w="120" w:type="dxa"/>
            </w:tcMar>
          </w:tcPr>
          <w:p>
            <w:r>
              <w:t>Quarterly/version-triggered reassessment and exit test</w:t>
            </w:r>
          </w:p>
        </w:tc>
        <w:tc>
          <w:tcPr>
            <w:tcW w:type="dxa" w:w="2100"/>
            <w:vAlign w:val="center"/>
            <w:tcMar>
              <w:top w:w="80" w:type="dxa"/>
              <w:start w:w="120" w:type="dxa"/>
              <w:bottom w:w="80" w:type="dxa"/>
              <w:end w:w="120" w:type="dxa"/>
            </w:tcMar>
          </w:tcPr>
          <w:p>
            <w:r>
              <w:t>Service Owner</w:t>
            </w:r>
          </w:p>
        </w:tc>
        <w:tc>
          <w:tcPr>
            <w:tcW w:type="dxa" w:w="2360"/>
            <w:vAlign w:val="center"/>
            <w:tcMar>
              <w:top w:w="80" w:type="dxa"/>
              <w:start w:w="120" w:type="dxa"/>
              <w:bottom w:w="80" w:type="dxa"/>
              <w:end w:w="120" w:type="dxa"/>
            </w:tcMar>
          </w:tcPr>
          <w:p>
            <w:r>
              <w:t>Upgrade and uninstall residue evidence</w:t>
            </w:r>
          </w:p>
        </w:tc>
      </w:tr>
    </w:tbl>
    <w:p>
      <w:pPr>
        <w:spacing w:after="0"/>
      </w:pPr>
    </w:p>
    <w:p>
      <w:pPr>
        <w:pStyle w:val="Heading1"/>
        <w:keepNext/>
      </w:pPr>
      <w:r>
        <w:t>12. Detection and Monitoring Plan</w:t>
      </w:r>
    </w:p>
    <w:p>
      <w:r>
        <w:t>Collect privacy-minimised metadata at IDE, process, endpoint, DNS/proxy and package-control layers. Correlate server identity and hash, config hash, tool calls, approval scopes, process ancestry, destination domains, output creation and policy violations. Test alerts for unsafe code discovery/call, unexpected package version, mutable resolution, non-local bind, sandbox disablement, unrestricted files, profile attachment, shared contexts, excessive data and denied destinations.</w:t>
      </w:r>
    </w:p>
    <w:p>
      <w:pPr>
        <w:pStyle w:val="Heading1"/>
        <w:keepNext/>
      </w:pPr>
      <w:r>
        <w:t>13. Consolidated Risk Register</w:t>
      </w:r>
    </w:p>
    <w:p>
      <w:r>
        <w:t>Legend — ID: unique risk identifier; Risk: adverse scenario; Scope: affected IDE/component; L/I: inherent likelihood/impact before controls (1–5); Inherent: L×I; rL/rI: residual likelihood/impact after verified controls (1–5); Residual: rL×rI; Treatment: recommended action; Owner: accountable role. Ratings: 1–4 Low, 5–9 Moderate, 10–16 High, 17–25 Critical.</w:t>
      </w:r>
    </w:p>
    <w:tbl>
      <w:tblPr>
        <w:tblStyle w:val="TableGrid"/>
        <w:tblW w:type="dxa" w:w="9360"/>
        <w:tblLayout w:type="fixed"/>
        <w:tblLook w:firstColumn="1" w:firstRow="1" w:lastColumn="0" w:lastRow="0" w:noHBand="0" w:noVBand="1" w:val="04A0"/>
        <w:jc w:val="left"/>
        <w:tblInd w:w="120" w:type="dxa"/>
        <w:tblInd w:w="120" w:type="dxa"/>
        <w:tblInd w:w="120" w:type="dxa"/>
        <w:tblInd w:w="120" w:type="dxa"/>
        <w:tblInd w:w="120" w:type="dxa"/>
        <w:tblInd w:w="120" w:type="dxa"/>
        <w:tblInd w:w="120" w:type="dxa"/>
        <w:tblInd w:w="120" w:type="dxa"/>
        <w:tblInd w:w="120" w:type="dxa"/>
      </w:tblPr>
      <w:tblGrid>
        <w:gridCol w:w="650"/>
        <w:gridCol w:w="2600"/>
        <w:gridCol w:w="700"/>
        <w:gridCol w:w="950"/>
        <w:gridCol w:w="750"/>
        <w:gridCol w:w="950"/>
        <w:gridCol w:w="2760"/>
      </w:tblGrid>
      <w:tr>
        <w:trPr>
          <w:tblHeader w:val="true"/>
          <w:cantSplit/>
        </w:trPr>
        <w:tc>
          <w:tcPr>
            <w:tcW w:type="dxa" w:w="650"/>
            <w:vAlign w:val="center"/>
            <w:tcMar>
              <w:top w:w="80" w:type="dxa"/>
              <w:start w:w="120" w:type="dxa"/>
              <w:bottom w:w="80" w:type="dxa"/>
              <w:end w:w="120" w:type="dxa"/>
            </w:tcMar>
            <w:shd w:fill="E8EEF5"/>
          </w:tcPr>
          <w:p>
            <w:pPr>
              <w:keepNext/>
            </w:pPr>
            <w:r>
              <w:rPr>
                <w:b/>
              </w:rPr>
              <w:t>ID</w:t>
            </w:r>
          </w:p>
        </w:tc>
        <w:tc>
          <w:tcPr>
            <w:tcW w:type="dxa" w:w="2600"/>
            <w:vAlign w:val="center"/>
            <w:tcMar>
              <w:top w:w="80" w:type="dxa"/>
              <w:start w:w="120" w:type="dxa"/>
              <w:bottom w:w="80" w:type="dxa"/>
              <w:end w:w="120" w:type="dxa"/>
            </w:tcMar>
            <w:shd w:fill="E8EEF5"/>
          </w:tcPr>
          <w:p>
            <w:pPr>
              <w:keepNext/>
            </w:pPr>
            <w:r>
              <w:rPr>
                <w:b/>
              </w:rPr>
              <w:t>Risk / scope</w:t>
            </w:r>
          </w:p>
        </w:tc>
        <w:tc>
          <w:tcPr>
            <w:tcW w:type="dxa" w:w="700"/>
            <w:vAlign w:val="center"/>
            <w:tcMar>
              <w:top w:w="80" w:type="dxa"/>
              <w:start w:w="120" w:type="dxa"/>
              <w:bottom w:w="80" w:type="dxa"/>
              <w:end w:w="120" w:type="dxa"/>
            </w:tcMar>
            <w:shd w:fill="E8EEF5"/>
          </w:tcPr>
          <w:p>
            <w:pPr>
              <w:keepNext/>
            </w:pPr>
            <w:r>
              <w:rPr>
                <w:b/>
              </w:rPr>
              <w:t>L/I</w:t>
            </w:r>
          </w:p>
        </w:tc>
        <w:tc>
          <w:tcPr>
            <w:tcW w:type="dxa" w:w="950"/>
            <w:vAlign w:val="center"/>
            <w:tcMar>
              <w:top w:w="80" w:type="dxa"/>
              <w:start w:w="120" w:type="dxa"/>
              <w:bottom w:w="80" w:type="dxa"/>
              <w:end w:w="120" w:type="dxa"/>
            </w:tcMar>
            <w:shd w:fill="E8EEF5"/>
          </w:tcPr>
          <w:p>
            <w:pPr>
              <w:keepNext/>
            </w:pPr>
            <w:r>
              <w:rPr>
                <w:b/>
              </w:rPr>
              <w:t>Inherent</w:t>
            </w:r>
          </w:p>
        </w:tc>
        <w:tc>
          <w:tcPr>
            <w:tcW w:type="dxa" w:w="750"/>
            <w:vAlign w:val="center"/>
            <w:tcMar>
              <w:top w:w="80" w:type="dxa"/>
              <w:start w:w="120" w:type="dxa"/>
              <w:bottom w:w="80" w:type="dxa"/>
              <w:end w:w="120" w:type="dxa"/>
            </w:tcMar>
            <w:shd w:fill="E8EEF5"/>
          </w:tcPr>
          <w:p>
            <w:pPr>
              <w:keepNext/>
            </w:pPr>
            <w:r>
              <w:rPr>
                <w:b/>
              </w:rPr>
              <w:t>rL/rI</w:t>
            </w:r>
          </w:p>
        </w:tc>
        <w:tc>
          <w:tcPr>
            <w:tcW w:type="dxa" w:w="950"/>
            <w:vAlign w:val="center"/>
            <w:tcMar>
              <w:top w:w="80" w:type="dxa"/>
              <w:start w:w="120" w:type="dxa"/>
              <w:bottom w:w="80" w:type="dxa"/>
              <w:end w:w="120" w:type="dxa"/>
            </w:tcMar>
            <w:shd w:fill="E8EEF5"/>
          </w:tcPr>
          <w:p>
            <w:pPr>
              <w:keepNext/>
            </w:pPr>
            <w:r>
              <w:rPr>
                <w:b/>
              </w:rPr>
              <w:t>Residual</w:t>
            </w:r>
          </w:p>
        </w:tc>
        <w:tc>
          <w:tcPr>
            <w:tcW w:type="dxa" w:w="2760"/>
            <w:vAlign w:val="center"/>
            <w:tcMar>
              <w:top w:w="80" w:type="dxa"/>
              <w:start w:w="120" w:type="dxa"/>
              <w:bottom w:w="80" w:type="dxa"/>
              <w:end w:w="120" w:type="dxa"/>
            </w:tcMar>
            <w:shd w:fill="E8EEF5"/>
          </w:tcPr>
          <w:p>
            <w:pPr>
              <w:keepNext/>
            </w:pPr>
            <w:r>
              <w:rPr>
                <w:b/>
              </w:rPr>
              <w:t>Treatment / owner</w:t>
            </w:r>
          </w:p>
        </w:tc>
      </w:tr>
      <w:tr>
        <w:trPr>
          <w:cantSplit/>
        </w:trPr>
        <w:tc>
          <w:tcPr>
            <w:tcW w:type="dxa" w:w="650"/>
            <w:vAlign w:val="center"/>
            <w:tcMar>
              <w:top w:w="80" w:type="dxa"/>
              <w:start w:w="120" w:type="dxa"/>
              <w:bottom w:w="80" w:type="dxa"/>
              <w:end w:w="120" w:type="dxa"/>
            </w:tcMar>
          </w:tcPr>
          <w:p>
            <w:r>
              <w:t>R-01</w:t>
            </w:r>
          </w:p>
        </w:tc>
        <w:tc>
          <w:tcPr>
            <w:tcW w:type="dxa" w:w="2600"/>
            <w:vAlign w:val="center"/>
            <w:tcMar>
              <w:top w:w="80" w:type="dxa"/>
              <w:start w:w="120" w:type="dxa"/>
              <w:bottom w:w="80" w:type="dxa"/>
              <w:end w:w="120" w:type="dxa"/>
            </w:tcMar>
          </w:tcPr>
          <w:p>
            <w:r>
              <w:t>Indirect prompt injection causes unsafe browser or chained-tool actions — Both IDEs; MCP browser content</w:t>
            </w:r>
          </w:p>
        </w:tc>
        <w:tc>
          <w:tcPr>
            <w:tcW w:type="dxa" w:w="700"/>
            <w:vAlign w:val="center"/>
            <w:tcMar>
              <w:top w:w="80" w:type="dxa"/>
              <w:start w:w="120" w:type="dxa"/>
              <w:bottom w:w="80" w:type="dxa"/>
              <w:end w:w="120" w:type="dxa"/>
            </w:tcMar>
          </w:tcPr>
          <w:p>
            <w:r>
              <w:t>4/5</w:t>
            </w:r>
          </w:p>
        </w:tc>
        <w:tc>
          <w:tcPr>
            <w:tcW w:type="dxa" w:w="950"/>
            <w:vAlign w:val="center"/>
            <w:tcMar>
              <w:top w:w="80" w:type="dxa"/>
              <w:start w:w="120" w:type="dxa"/>
              <w:bottom w:w="80" w:type="dxa"/>
              <w:end w:w="120" w:type="dxa"/>
            </w:tcMar>
          </w:tcPr>
          <w:p>
            <w:r>
              <w:t>20 Critical</w:t>
            </w:r>
          </w:p>
        </w:tc>
        <w:tc>
          <w:tcPr>
            <w:tcW w:type="dxa" w:w="750"/>
            <w:vAlign w:val="center"/>
            <w:tcMar>
              <w:top w:w="80" w:type="dxa"/>
              <w:start w:w="120" w:type="dxa"/>
              <w:bottom w:w="80" w:type="dxa"/>
              <w:end w:w="120" w:type="dxa"/>
            </w:tcMar>
          </w:tcPr>
          <w:p>
            <w:r>
              <w:t>3/4</w:t>
            </w:r>
          </w:p>
        </w:tc>
        <w:tc>
          <w:tcPr>
            <w:tcW w:type="dxa" w:w="950"/>
            <w:vAlign w:val="center"/>
            <w:tcMar>
              <w:top w:w="80" w:type="dxa"/>
              <w:start w:w="120" w:type="dxa"/>
              <w:bottom w:w="80" w:type="dxa"/>
              <w:end w:w="120" w:type="dxa"/>
            </w:tcMar>
          </w:tcPr>
          <w:p>
            <w:r>
              <w:t>12 High</w:t>
            </w:r>
          </w:p>
        </w:tc>
        <w:tc>
          <w:tcPr>
            <w:tcW w:type="dxa" w:w="2760"/>
            <w:vAlign w:val="center"/>
            <w:tcMar>
              <w:top w:w="80" w:type="dxa"/>
              <w:start w:w="120" w:type="dxa"/>
              <w:bottom w:w="80" w:type="dxa"/>
              <w:end w:w="120" w:type="dxa"/>
            </w:tcMar>
          </w:tcPr>
          <w:p>
            <w:r>
              <w:t>Restrict sites and tools; per-call approval; isolate; prohibit cross-tool secrets — AI Platform Owner</w:t>
            </w:r>
          </w:p>
        </w:tc>
      </w:tr>
      <w:tr>
        <w:trPr>
          <w:cantSplit/>
        </w:trPr>
        <w:tc>
          <w:tcPr>
            <w:tcW w:type="dxa" w:w="650"/>
            <w:vAlign w:val="center"/>
            <w:tcMar>
              <w:top w:w="80" w:type="dxa"/>
              <w:start w:w="120" w:type="dxa"/>
              <w:bottom w:w="80" w:type="dxa"/>
              <w:end w:w="120" w:type="dxa"/>
            </w:tcMar>
          </w:tcPr>
          <w:p>
            <w:r>
              <w:t>R-02</w:t>
            </w:r>
          </w:p>
        </w:tc>
        <w:tc>
          <w:tcPr>
            <w:tcW w:type="dxa" w:w="2600"/>
            <w:vAlign w:val="center"/>
            <w:tcMar>
              <w:top w:w="80" w:type="dxa"/>
              <w:start w:w="120" w:type="dxa"/>
              <w:bottom w:w="80" w:type="dxa"/>
              <w:end w:w="120" w:type="dxa"/>
            </w:tcMar>
          </w:tcPr>
          <w:p>
            <w:r>
              <w:t>Default broad network reach enables unintended access or exfiltration — Both IDEs; browser network</w:t>
            </w:r>
          </w:p>
        </w:tc>
        <w:tc>
          <w:tcPr>
            <w:tcW w:type="dxa" w:w="700"/>
            <w:vAlign w:val="center"/>
            <w:tcMar>
              <w:top w:w="80" w:type="dxa"/>
              <w:start w:w="120" w:type="dxa"/>
              <w:bottom w:w="80" w:type="dxa"/>
              <w:end w:w="120" w:type="dxa"/>
            </w:tcMar>
          </w:tcPr>
          <w:p>
            <w:r>
              <w:t>4/4</w:t>
            </w:r>
          </w:p>
        </w:tc>
        <w:tc>
          <w:tcPr>
            <w:tcW w:type="dxa" w:w="950"/>
            <w:vAlign w:val="center"/>
            <w:tcMar>
              <w:top w:w="80" w:type="dxa"/>
              <w:start w:w="120" w:type="dxa"/>
              <w:bottom w:w="80" w:type="dxa"/>
              <w:end w:w="120" w:type="dxa"/>
            </w:tcMar>
          </w:tcPr>
          <w:p>
            <w:r>
              <w:t>16 High</w:t>
            </w:r>
          </w:p>
        </w:tc>
        <w:tc>
          <w:tcPr>
            <w:tcW w:type="dxa" w:w="750"/>
            <w:vAlign w:val="center"/>
            <w:tcMar>
              <w:top w:w="80" w:type="dxa"/>
              <w:start w:w="120" w:type="dxa"/>
              <w:bottom w:w="80" w:type="dxa"/>
              <w:end w:w="120" w:type="dxa"/>
            </w:tcMar>
          </w:tcPr>
          <w:p>
            <w:r>
              <w:t>2/4</w:t>
            </w:r>
          </w:p>
        </w:tc>
        <w:tc>
          <w:tcPr>
            <w:tcW w:type="dxa" w:w="950"/>
            <w:vAlign w:val="center"/>
            <w:tcMar>
              <w:top w:w="80" w:type="dxa"/>
              <w:start w:w="120" w:type="dxa"/>
              <w:bottom w:w="80" w:type="dxa"/>
              <w:end w:w="120" w:type="dxa"/>
            </w:tcMar>
          </w:tcPr>
          <w:p>
            <w:r>
              <w:t>8 Moderate</w:t>
            </w:r>
          </w:p>
        </w:tc>
        <w:tc>
          <w:tcPr>
            <w:tcW w:type="dxa" w:w="2760"/>
            <w:vAlign w:val="center"/>
            <w:tcMar>
              <w:top w:w="80" w:type="dxa"/>
              <w:start w:w="120" w:type="dxa"/>
              <w:bottom w:w="80" w:type="dxa"/>
              <w:end w:w="120" w:type="dxa"/>
            </w:tcMar>
          </w:tcPr>
          <w:p>
            <w:r>
              <w:t>Egress proxy plus explicit origin allowlist; do not treat MCP list as boundary — Endpoint Security</w:t>
            </w:r>
          </w:p>
        </w:tc>
      </w:tr>
      <w:tr>
        <w:trPr>
          <w:cantSplit/>
        </w:trPr>
        <w:tc>
          <w:tcPr>
            <w:tcW w:type="dxa" w:w="650"/>
            <w:vAlign w:val="center"/>
            <w:tcMar>
              <w:top w:w="80" w:type="dxa"/>
              <w:start w:w="120" w:type="dxa"/>
              <w:bottom w:w="80" w:type="dxa"/>
              <w:end w:w="120" w:type="dxa"/>
            </w:tcMar>
          </w:tcPr>
          <w:p>
            <w:r>
              <w:t>R-03</w:t>
            </w:r>
          </w:p>
        </w:tc>
        <w:tc>
          <w:tcPr>
            <w:tcW w:type="dxa" w:w="2600"/>
            <w:vAlign w:val="center"/>
            <w:tcMar>
              <w:top w:w="80" w:type="dxa"/>
              <w:start w:w="120" w:type="dxa"/>
              <w:bottom w:w="80" w:type="dxa"/>
              <w:end w:w="120" w:type="dxa"/>
            </w:tcMar>
          </w:tcPr>
          <w:p>
            <w:r>
              <w:t>Cookies, tokens, storage state, snapshots or logs expose sensitive data — Both IDEs; profiles/output</w:t>
            </w:r>
          </w:p>
        </w:tc>
        <w:tc>
          <w:tcPr>
            <w:tcW w:type="dxa" w:w="700"/>
            <w:vAlign w:val="center"/>
            <w:tcMar>
              <w:top w:w="80" w:type="dxa"/>
              <w:start w:w="120" w:type="dxa"/>
              <w:bottom w:w="80" w:type="dxa"/>
              <w:end w:w="120" w:type="dxa"/>
            </w:tcMar>
          </w:tcPr>
          <w:p>
            <w:r>
              <w:t>4/5</w:t>
            </w:r>
          </w:p>
        </w:tc>
        <w:tc>
          <w:tcPr>
            <w:tcW w:type="dxa" w:w="950"/>
            <w:vAlign w:val="center"/>
            <w:tcMar>
              <w:top w:w="80" w:type="dxa"/>
              <w:start w:w="120" w:type="dxa"/>
              <w:bottom w:w="80" w:type="dxa"/>
              <w:end w:w="120" w:type="dxa"/>
            </w:tcMar>
          </w:tcPr>
          <w:p>
            <w:r>
              <w:t>20 Critical</w:t>
            </w:r>
          </w:p>
        </w:tc>
        <w:tc>
          <w:tcPr>
            <w:tcW w:type="dxa" w:w="750"/>
            <w:vAlign w:val="center"/>
            <w:tcMar>
              <w:top w:w="80" w:type="dxa"/>
              <w:start w:w="120" w:type="dxa"/>
              <w:bottom w:w="80" w:type="dxa"/>
              <w:end w:w="120" w:type="dxa"/>
            </w:tcMar>
          </w:tcPr>
          <w:p>
            <w:r>
              <w:t>2/5</w:t>
            </w:r>
          </w:p>
        </w:tc>
        <w:tc>
          <w:tcPr>
            <w:tcW w:type="dxa" w:w="950"/>
            <w:vAlign w:val="center"/>
            <w:tcMar>
              <w:top w:w="80" w:type="dxa"/>
              <w:start w:w="120" w:type="dxa"/>
              <w:bottom w:w="80" w:type="dxa"/>
              <w:end w:w="120" w:type="dxa"/>
            </w:tcMar>
          </w:tcPr>
          <w:p>
            <w:r>
              <w:t>10 High</w:t>
            </w:r>
          </w:p>
        </w:tc>
        <w:tc>
          <w:tcPr>
            <w:tcW w:type="dxa" w:w="2760"/>
            <w:vAlign w:val="center"/>
            <w:tcMar>
              <w:top w:w="80" w:type="dxa"/>
              <w:start w:w="120" w:type="dxa"/>
              <w:bottom w:w="80" w:type="dxa"/>
              <w:end w:w="120" w:type="dxa"/>
            </w:tcMar>
          </w:tcPr>
          <w:p>
            <w:r>
              <w:t>Isolated profile; synthetic identities; protected output; retention/deletion controls — Data Protection Owner</w:t>
            </w:r>
          </w:p>
        </w:tc>
      </w:tr>
      <w:tr>
        <w:trPr>
          <w:cantSplit/>
        </w:trPr>
        <w:tc>
          <w:tcPr>
            <w:tcW w:type="dxa" w:w="650"/>
            <w:vAlign w:val="center"/>
            <w:tcMar>
              <w:top w:w="80" w:type="dxa"/>
              <w:start w:w="120" w:type="dxa"/>
              <w:bottom w:w="80" w:type="dxa"/>
              <w:end w:w="120" w:type="dxa"/>
            </w:tcMar>
          </w:tcPr>
          <w:p>
            <w:r>
              <w:t>R-04</w:t>
            </w:r>
          </w:p>
        </w:tc>
        <w:tc>
          <w:tcPr>
            <w:tcW w:type="dxa" w:w="2600"/>
            <w:vAlign w:val="center"/>
            <w:tcMar>
              <w:top w:w="80" w:type="dxa"/>
              <w:start w:w="120" w:type="dxa"/>
              <w:bottom w:w="80" w:type="dxa"/>
              <w:end w:w="120" w:type="dxa"/>
            </w:tcMar>
          </w:tcPr>
          <w:p>
            <w:r>
              <w:t>Unsafe code tool yields server-process code execution — Both IDEs; browser_run_code_unsafe</w:t>
            </w:r>
          </w:p>
        </w:tc>
        <w:tc>
          <w:tcPr>
            <w:tcW w:type="dxa" w:w="700"/>
            <w:vAlign w:val="center"/>
            <w:tcMar>
              <w:top w:w="80" w:type="dxa"/>
              <w:start w:w="120" w:type="dxa"/>
              <w:bottom w:w="80" w:type="dxa"/>
              <w:end w:w="120" w:type="dxa"/>
            </w:tcMar>
          </w:tcPr>
          <w:p>
            <w:r>
              <w:t>4/5</w:t>
            </w:r>
          </w:p>
        </w:tc>
        <w:tc>
          <w:tcPr>
            <w:tcW w:type="dxa" w:w="950"/>
            <w:vAlign w:val="center"/>
            <w:tcMar>
              <w:top w:w="80" w:type="dxa"/>
              <w:start w:w="120" w:type="dxa"/>
              <w:bottom w:w="80" w:type="dxa"/>
              <w:end w:w="120" w:type="dxa"/>
            </w:tcMar>
          </w:tcPr>
          <w:p>
            <w:r>
              <w:t>20 Critical</w:t>
            </w:r>
          </w:p>
        </w:tc>
        <w:tc>
          <w:tcPr>
            <w:tcW w:type="dxa" w:w="750"/>
            <w:vAlign w:val="center"/>
            <w:tcMar>
              <w:top w:w="80" w:type="dxa"/>
              <w:start w:w="120" w:type="dxa"/>
              <w:bottom w:w="80" w:type="dxa"/>
              <w:end w:w="120" w:type="dxa"/>
            </w:tcMar>
          </w:tcPr>
          <w:p>
            <w:r>
              <w:t>2/5</w:t>
            </w:r>
          </w:p>
        </w:tc>
        <w:tc>
          <w:tcPr>
            <w:tcW w:type="dxa" w:w="950"/>
            <w:vAlign w:val="center"/>
            <w:tcMar>
              <w:top w:w="80" w:type="dxa"/>
              <w:start w:w="120" w:type="dxa"/>
              <w:bottom w:w="80" w:type="dxa"/>
              <w:end w:w="120" w:type="dxa"/>
            </w:tcMar>
          </w:tcPr>
          <w:p>
            <w:r>
              <w:t>10 High</w:t>
            </w:r>
          </w:p>
        </w:tc>
        <w:tc>
          <w:tcPr>
            <w:tcW w:type="dxa" w:w="2760"/>
            <w:vAlign w:val="center"/>
            <w:tcMar>
              <w:top w:w="80" w:type="dxa"/>
              <w:start w:w="120" w:type="dxa"/>
              <w:bottom w:w="80" w:type="dxa"/>
              <w:end w:w="120" w:type="dxa"/>
            </w:tcMar>
          </w:tcPr>
          <w:p>
            <w:r>
              <w:t>Disable/deny tool; container/VM isolation; least-privilege account; no host secrets — MCP Service Owner</w:t>
            </w:r>
          </w:p>
        </w:tc>
      </w:tr>
      <w:tr>
        <w:trPr>
          <w:cantSplit/>
        </w:trPr>
        <w:tc>
          <w:tcPr>
            <w:tcW w:type="dxa" w:w="650"/>
            <w:vAlign w:val="center"/>
            <w:tcMar>
              <w:top w:w="80" w:type="dxa"/>
              <w:start w:w="120" w:type="dxa"/>
              <w:bottom w:w="80" w:type="dxa"/>
              <w:end w:w="120" w:type="dxa"/>
            </w:tcMar>
          </w:tcPr>
          <w:p>
            <w:r>
              <w:t>R-05</w:t>
            </w:r>
          </w:p>
        </w:tc>
        <w:tc>
          <w:tcPr>
            <w:tcW w:type="dxa" w:w="2600"/>
            <w:vAlign w:val="center"/>
            <w:tcMar>
              <w:top w:w="80" w:type="dxa"/>
              <w:start w:w="120" w:type="dxa"/>
              <w:bottom w:w="80" w:type="dxa"/>
              <w:end w:w="120" w:type="dxa"/>
            </w:tcMar>
          </w:tcPr>
          <w:p>
            <w:r>
              <w:t>Mutable install/update or dependency compromise changes trusted behavior — Both IDEs; npm supply chain</w:t>
            </w:r>
          </w:p>
        </w:tc>
        <w:tc>
          <w:tcPr>
            <w:tcW w:type="dxa" w:w="700"/>
            <w:vAlign w:val="center"/>
            <w:tcMar>
              <w:top w:w="80" w:type="dxa"/>
              <w:start w:w="120" w:type="dxa"/>
              <w:bottom w:w="80" w:type="dxa"/>
              <w:end w:w="120" w:type="dxa"/>
            </w:tcMar>
          </w:tcPr>
          <w:p>
            <w:r>
              <w:t>3/5</w:t>
            </w:r>
          </w:p>
        </w:tc>
        <w:tc>
          <w:tcPr>
            <w:tcW w:type="dxa" w:w="950"/>
            <w:vAlign w:val="center"/>
            <w:tcMar>
              <w:top w:w="80" w:type="dxa"/>
              <w:start w:w="120" w:type="dxa"/>
              <w:bottom w:w="80" w:type="dxa"/>
              <w:end w:w="120" w:type="dxa"/>
            </w:tcMar>
          </w:tcPr>
          <w:p>
            <w:r>
              <w:t>15 High</w:t>
            </w:r>
          </w:p>
        </w:tc>
        <w:tc>
          <w:tcPr>
            <w:tcW w:type="dxa" w:w="750"/>
            <w:vAlign w:val="center"/>
            <w:tcMar>
              <w:top w:w="80" w:type="dxa"/>
              <w:start w:w="120" w:type="dxa"/>
              <w:bottom w:w="80" w:type="dxa"/>
              <w:end w:w="120" w:type="dxa"/>
            </w:tcMar>
          </w:tcPr>
          <w:p>
            <w:r>
              <w:t>2/5</w:t>
            </w:r>
          </w:p>
        </w:tc>
        <w:tc>
          <w:tcPr>
            <w:tcW w:type="dxa" w:w="950"/>
            <w:vAlign w:val="center"/>
            <w:tcMar>
              <w:top w:w="80" w:type="dxa"/>
              <w:start w:w="120" w:type="dxa"/>
              <w:bottom w:w="80" w:type="dxa"/>
              <w:end w:w="120" w:type="dxa"/>
            </w:tcMar>
          </w:tcPr>
          <w:p>
            <w:r>
              <w:t>10 High</w:t>
            </w:r>
          </w:p>
        </w:tc>
        <w:tc>
          <w:tcPr>
            <w:tcW w:type="dxa" w:w="2760"/>
            <w:vAlign w:val="center"/>
            <w:tcMar>
              <w:top w:w="80" w:type="dxa"/>
              <w:start w:w="120" w:type="dxa"/>
              <w:bottom w:w="80" w:type="dxa"/>
              <w:end w:w="120" w:type="dxa"/>
            </w:tcMar>
          </w:tcPr>
          <w:p>
            <w:r>
              <w:t>Pin version and integrity; controlled mirror; provenance verification; staged update — Software Supply Chain</w:t>
            </w:r>
          </w:p>
        </w:tc>
      </w:tr>
      <w:tr>
        <w:trPr>
          <w:cantSplit/>
        </w:trPr>
        <w:tc>
          <w:tcPr>
            <w:tcW w:type="dxa" w:w="650"/>
            <w:vAlign w:val="center"/>
            <w:tcMar>
              <w:top w:w="80" w:type="dxa"/>
              <w:start w:w="120" w:type="dxa"/>
              <w:bottom w:w="80" w:type="dxa"/>
              <w:end w:w="120" w:type="dxa"/>
            </w:tcMar>
          </w:tcPr>
          <w:p>
            <w:r>
              <w:t>R-06</w:t>
            </w:r>
          </w:p>
        </w:tc>
        <w:tc>
          <w:tcPr>
            <w:tcW w:type="dxa" w:w="2600"/>
            <w:vAlign w:val="center"/>
            <w:tcMar>
              <w:top w:w="80" w:type="dxa"/>
              <w:start w:w="120" w:type="dxa"/>
              <w:bottom w:w="80" w:type="dxa"/>
              <w:end w:w="120" w:type="dxa"/>
            </w:tcMar>
          </w:tcPr>
          <w:p>
            <w:r>
              <w:t>Shared or persistent browser context crosses users, tasks or classifications — Both IDEs; context/session</w:t>
            </w:r>
          </w:p>
        </w:tc>
        <w:tc>
          <w:tcPr>
            <w:tcW w:type="dxa" w:w="700"/>
            <w:vAlign w:val="center"/>
            <w:tcMar>
              <w:top w:w="80" w:type="dxa"/>
              <w:start w:w="120" w:type="dxa"/>
              <w:bottom w:w="80" w:type="dxa"/>
              <w:end w:w="120" w:type="dxa"/>
            </w:tcMar>
          </w:tcPr>
          <w:p>
            <w:r>
              <w:t>3/5</w:t>
            </w:r>
          </w:p>
        </w:tc>
        <w:tc>
          <w:tcPr>
            <w:tcW w:type="dxa" w:w="950"/>
            <w:vAlign w:val="center"/>
            <w:tcMar>
              <w:top w:w="80" w:type="dxa"/>
              <w:start w:w="120" w:type="dxa"/>
              <w:bottom w:w="80" w:type="dxa"/>
              <w:end w:w="120" w:type="dxa"/>
            </w:tcMar>
          </w:tcPr>
          <w:p>
            <w:r>
              <w:t>15 High</w:t>
            </w:r>
          </w:p>
        </w:tc>
        <w:tc>
          <w:tcPr>
            <w:tcW w:type="dxa" w:w="750"/>
            <w:vAlign w:val="center"/>
            <w:tcMar>
              <w:top w:w="80" w:type="dxa"/>
              <w:start w:w="120" w:type="dxa"/>
              <w:bottom w:w="80" w:type="dxa"/>
              <w:end w:w="120" w:type="dxa"/>
            </w:tcMar>
          </w:tcPr>
          <w:p>
            <w:r>
              <w:t>2/4</w:t>
            </w:r>
          </w:p>
        </w:tc>
        <w:tc>
          <w:tcPr>
            <w:tcW w:type="dxa" w:w="950"/>
            <w:vAlign w:val="center"/>
            <w:tcMar>
              <w:top w:w="80" w:type="dxa"/>
              <w:start w:w="120" w:type="dxa"/>
              <w:bottom w:w="80" w:type="dxa"/>
              <w:end w:w="120" w:type="dxa"/>
            </w:tcMar>
          </w:tcPr>
          <w:p>
            <w:r>
              <w:t>8 Moderate</w:t>
            </w:r>
          </w:p>
        </w:tc>
        <w:tc>
          <w:tcPr>
            <w:tcW w:type="dxa" w:w="2760"/>
            <w:vAlign w:val="center"/>
            <w:tcMar>
              <w:top w:w="80" w:type="dxa"/>
              <w:start w:w="120" w:type="dxa"/>
              <w:bottom w:w="80" w:type="dxa"/>
              <w:end w:w="120" w:type="dxa"/>
            </w:tcMar>
          </w:tcPr>
          <w:p>
            <w:r>
              <w:t>One isolated context per task; disable shared context; purge on close — MCP Service Owner</w:t>
            </w:r>
          </w:p>
        </w:tc>
      </w:tr>
      <w:tr>
        <w:trPr>
          <w:cantSplit/>
        </w:trPr>
        <w:tc>
          <w:tcPr>
            <w:tcW w:type="dxa" w:w="650"/>
            <w:vAlign w:val="center"/>
            <w:tcMar>
              <w:top w:w="80" w:type="dxa"/>
              <w:start w:w="120" w:type="dxa"/>
              <w:bottom w:w="80" w:type="dxa"/>
              <w:end w:w="120" w:type="dxa"/>
            </w:tcMar>
          </w:tcPr>
          <w:p>
            <w:r>
              <w:t>R-07</w:t>
            </w:r>
          </w:p>
        </w:tc>
        <w:tc>
          <w:tcPr>
            <w:tcW w:type="dxa" w:w="2600"/>
            <w:vAlign w:val="center"/>
            <w:tcMar>
              <w:top w:w="80" w:type="dxa"/>
              <w:start w:w="120" w:type="dxa"/>
              <w:bottom w:w="80" w:type="dxa"/>
              <w:end w:w="120" w:type="dxa"/>
            </w:tcMar>
          </w:tcPr>
          <w:p>
            <w:r>
              <w:t>Insufficient audit evidence prevents reconstruction or regulatory reporting — Both IDEs; host/MCP logs</w:t>
            </w:r>
          </w:p>
        </w:tc>
        <w:tc>
          <w:tcPr>
            <w:tcW w:type="dxa" w:w="700"/>
            <w:vAlign w:val="center"/>
            <w:tcMar>
              <w:top w:w="80" w:type="dxa"/>
              <w:start w:w="120" w:type="dxa"/>
              <w:bottom w:w="80" w:type="dxa"/>
              <w:end w:w="120" w:type="dxa"/>
            </w:tcMar>
          </w:tcPr>
          <w:p>
            <w:r>
              <w:t>3/4</w:t>
            </w:r>
          </w:p>
        </w:tc>
        <w:tc>
          <w:tcPr>
            <w:tcW w:type="dxa" w:w="950"/>
            <w:vAlign w:val="center"/>
            <w:tcMar>
              <w:top w:w="80" w:type="dxa"/>
              <w:start w:w="120" w:type="dxa"/>
              <w:bottom w:w="80" w:type="dxa"/>
              <w:end w:w="120" w:type="dxa"/>
            </w:tcMar>
          </w:tcPr>
          <w:p>
            <w:r>
              <w:t>12 High</w:t>
            </w:r>
          </w:p>
        </w:tc>
        <w:tc>
          <w:tcPr>
            <w:tcW w:type="dxa" w:w="750"/>
            <w:vAlign w:val="center"/>
            <w:tcMar>
              <w:top w:w="80" w:type="dxa"/>
              <w:start w:w="120" w:type="dxa"/>
              <w:bottom w:w="80" w:type="dxa"/>
              <w:end w:w="120" w:type="dxa"/>
            </w:tcMar>
          </w:tcPr>
          <w:p>
            <w:r>
              <w:t>2/4</w:t>
            </w:r>
          </w:p>
        </w:tc>
        <w:tc>
          <w:tcPr>
            <w:tcW w:type="dxa" w:w="950"/>
            <w:vAlign w:val="center"/>
            <w:tcMar>
              <w:top w:w="80" w:type="dxa"/>
              <w:start w:w="120" w:type="dxa"/>
              <w:bottom w:w="80" w:type="dxa"/>
              <w:end w:w="120" w:type="dxa"/>
            </w:tcMar>
          </w:tcPr>
          <w:p>
            <w:r>
              <w:t>8 Moderate</w:t>
            </w:r>
          </w:p>
        </w:tc>
        <w:tc>
          <w:tcPr>
            <w:tcW w:type="dxa" w:w="2760"/>
            <w:vAlign w:val="center"/>
            <w:tcMar>
              <w:top w:w="80" w:type="dxa"/>
              <w:start w:w="120" w:type="dxa"/>
              <w:bottom w:w="80" w:type="dxa"/>
              <w:end w:w="120" w:type="dxa"/>
            </w:tcMar>
          </w:tcPr>
          <w:p>
            <w:r>
              <w:t>Central metadata logging, approvals, server version/hash, destination and outcome — SOC / Compliance</w:t>
            </w:r>
          </w:p>
        </w:tc>
      </w:tr>
      <w:tr>
        <w:trPr>
          <w:cantSplit/>
        </w:trPr>
        <w:tc>
          <w:tcPr>
            <w:tcW w:type="dxa" w:w="650"/>
            <w:vAlign w:val="center"/>
            <w:tcMar>
              <w:top w:w="80" w:type="dxa"/>
              <w:start w:w="120" w:type="dxa"/>
              <w:bottom w:w="80" w:type="dxa"/>
              <w:end w:w="120" w:type="dxa"/>
            </w:tcMar>
          </w:tcPr>
          <w:p>
            <w:r>
              <w:t>R-08</w:t>
            </w:r>
          </w:p>
        </w:tc>
        <w:tc>
          <w:tcPr>
            <w:tcW w:type="dxa" w:w="2600"/>
            <w:vAlign w:val="center"/>
            <w:tcMar>
              <w:top w:w="80" w:type="dxa"/>
              <w:start w:w="120" w:type="dxa"/>
              <w:bottom w:w="80" w:type="dxa"/>
              <w:end w:w="120" w:type="dxa"/>
            </w:tcMar>
          </w:tcPr>
          <w:p>
            <w:r>
              <w:t>Visual Studio control parity is assumed without host verification — Visual Studio</w:t>
            </w:r>
          </w:p>
        </w:tc>
        <w:tc>
          <w:tcPr>
            <w:tcW w:type="dxa" w:w="700"/>
            <w:vAlign w:val="center"/>
            <w:tcMar>
              <w:top w:w="80" w:type="dxa"/>
              <w:start w:w="120" w:type="dxa"/>
              <w:bottom w:w="80" w:type="dxa"/>
              <w:end w:w="120" w:type="dxa"/>
            </w:tcMar>
          </w:tcPr>
          <w:p>
            <w:r>
              <w:t>3/4</w:t>
            </w:r>
          </w:p>
        </w:tc>
        <w:tc>
          <w:tcPr>
            <w:tcW w:type="dxa" w:w="950"/>
            <w:vAlign w:val="center"/>
            <w:tcMar>
              <w:top w:w="80" w:type="dxa"/>
              <w:start w:w="120" w:type="dxa"/>
              <w:bottom w:w="80" w:type="dxa"/>
              <w:end w:w="120" w:type="dxa"/>
            </w:tcMar>
          </w:tcPr>
          <w:p>
            <w:r>
              <w:t>12 High</w:t>
            </w:r>
          </w:p>
        </w:tc>
        <w:tc>
          <w:tcPr>
            <w:tcW w:type="dxa" w:w="750"/>
            <w:vAlign w:val="center"/>
            <w:tcMar>
              <w:top w:w="80" w:type="dxa"/>
              <w:start w:w="120" w:type="dxa"/>
              <w:bottom w:w="80" w:type="dxa"/>
              <w:end w:w="120" w:type="dxa"/>
            </w:tcMar>
          </w:tcPr>
          <w:p>
            <w:r>
              <w:t>2/4</w:t>
            </w:r>
          </w:p>
        </w:tc>
        <w:tc>
          <w:tcPr>
            <w:tcW w:type="dxa" w:w="950"/>
            <w:vAlign w:val="center"/>
            <w:tcMar>
              <w:top w:w="80" w:type="dxa"/>
              <w:start w:w="120" w:type="dxa"/>
              <w:bottom w:w="80" w:type="dxa"/>
              <w:end w:w="120" w:type="dxa"/>
            </w:tcMar>
          </w:tcPr>
          <w:p>
            <w:r>
              <w:t>8 Moderate</w:t>
            </w:r>
          </w:p>
        </w:tc>
        <w:tc>
          <w:tcPr>
            <w:tcW w:type="dxa" w:w="2760"/>
            <w:vAlign w:val="center"/>
            <w:tcMar>
              <w:top w:w="80" w:type="dxa"/>
              <w:start w:w="120" w:type="dxa"/>
              <w:bottom w:w="80" w:type="dxa"/>
              <w:end w:w="120" w:type="dxa"/>
            </w:tcMar>
          </w:tcPr>
          <w:p>
            <w:r>
              <w:t>Pilot Visual Studio 2026 or 17.14.9+; verify prompts, allowlists and logs — Visual Studio Engineering</w:t>
            </w:r>
          </w:p>
        </w:tc>
      </w:tr>
    </w:tbl>
    <w:p>
      <w:pPr>
        <w:spacing w:after="0"/>
      </w:pPr>
    </w:p>
    <w:p>
      <w:pPr>
        <w:pStyle w:val="Heading1"/>
        <w:keepNext/>
      </w:pPr>
      <w:r>
        <w:t>14. Residual Risk and Approval Recommendation</w:t>
      </w:r>
    </w:p>
    <w:p>
      <w:r>
        <w:t>Approve with conditions, limited to @playwright/mcp 0.0.78 in the two named IDE hosts and a non-production managed pilot. Approval expires 15 October 2026 and must be reviewed earlier on version change, material host-policy change, new advisory/incident, unsafe-tool exposure, changed data classification, remote transport, existing-profile use or production adoption. The Enterprise AI Platform Owner is accountable. Production use remains deferred pending host verification.</w:t>
      </w:r>
    </w:p>
    <w:p>
      <w:pPr>
        <w:pStyle w:val="Heading1"/>
        <w:keepNext/>
      </w:pPr>
      <w:r>
        <w:t>15. Limitations and Confidence</w:t>
      </w:r>
    </w:p>
    <w:p>
      <w:pPr>
        <w:pStyle w:val="ListBullet"/>
      </w:pPr>
      <w:r>
        <w:t>No installation, activation, authentication, browser interaction, traffic capture or uninstall test was performed.</w:t>
      </w:r>
    </w:p>
    <w:p>
      <w:pPr>
        <w:pStyle w:val="ListBullet"/>
      </w:pPr>
      <w:r>
        <w:t>The historical baseline did not perform malware-focused scanning. The current v1.1 regeneration adds ClamAV and YARA review; public reputation upload, binary reverse engineering and detonation remain out of scope.</w:t>
      </w:r>
    </w:p>
    <w:p>
      <w:pPr>
        <w:pStyle w:val="ListBullet"/>
      </w:pPr>
      <w:r>
        <w:t>Static inspection covered published npm tarballs and current primary documentation; it did not reproduce the vendor build from source.</w:t>
      </w:r>
    </w:p>
    <w:p>
      <w:pPr>
        <w:pStyle w:val="ListBullet"/>
      </w:pPr>
      <w:r>
        <w:t>No representative Visual Studio Windows host or managed VS Code policy environment was exercised.</w:t>
      </w:r>
    </w:p>
    <w:p>
      <w:pPr>
        <w:pStyle w:val="ListBullet"/>
      </w:pPr>
      <w:r>
        <w:t>Advisory absence is not proven; the assessed package changes frequently and depends on alpha Playwright builds.</w:t>
      </w:r>
    </w:p>
    <w:p>
      <w:pPr>
        <w:pStyle w:val="ListBullet"/>
      </w:pPr>
      <w:r>
        <w:t>Overall confidence is Medium; runtime-dependent claims remain Unknown until Appendix B is completed.</w:t>
      </w:r>
    </w:p>
    <w:p>
      <w:pPr>
        <w:pStyle w:val="Heading1"/>
        <w:keepNext/>
      </w:pPr>
      <w:r>
        <w:t>16. Evidence Register</w:t>
      </w:r>
    </w:p>
    <w:tbl>
      <w:tblPr>
        <w:tblStyle w:val="TableGrid"/>
        <w:tblW w:type="dxa" w:w="9360"/>
        <w:tblLayout w:type="fixed"/>
        <w:tblLook w:firstColumn="1" w:firstRow="1" w:lastColumn="0" w:lastRow="0" w:noHBand="0" w:noVBand="1" w:val="04A0"/>
        <w:jc w:val="left"/>
        <w:tblInd w:w="120" w:type="dxa"/>
        <w:tblInd w:w="120" w:type="dxa"/>
        <w:tblInd w:w="120" w:type="dxa"/>
        <w:tblInd w:w="120" w:type="dxa"/>
        <w:tblInd w:w="120" w:type="dxa"/>
        <w:tblInd w:w="120" w:type="dxa"/>
        <w:tblInd w:w="120" w:type="dxa"/>
        <w:tblInd w:w="120" w:type="dxa"/>
        <w:tblInd w:w="120" w:type="dxa"/>
      </w:tblPr>
      <w:tblGrid>
        <w:gridCol w:w="900"/>
        <w:gridCol w:w="2200"/>
        <w:gridCol w:w="1300"/>
        <w:gridCol w:w="4960"/>
      </w:tblGrid>
      <w:tr>
        <w:trPr>
          <w:tblHeader w:val="true"/>
          <w:cantSplit/>
        </w:trPr>
        <w:tc>
          <w:tcPr>
            <w:tcW w:type="dxa" w:w="900"/>
            <w:vAlign w:val="center"/>
            <w:tcMar>
              <w:top w:w="80" w:type="dxa"/>
              <w:start w:w="120" w:type="dxa"/>
              <w:bottom w:w="80" w:type="dxa"/>
              <w:end w:w="120" w:type="dxa"/>
            </w:tcMar>
            <w:shd w:fill="E8EEF5"/>
          </w:tcPr>
          <w:p>
            <w:pPr>
              <w:keepNext/>
            </w:pPr>
            <w:r>
              <w:rPr>
                <w:b/>
              </w:rPr>
              <w:t>ID</w:t>
            </w:r>
          </w:p>
        </w:tc>
        <w:tc>
          <w:tcPr>
            <w:tcW w:type="dxa" w:w="2200"/>
            <w:vAlign w:val="center"/>
            <w:tcMar>
              <w:top w:w="80" w:type="dxa"/>
              <w:start w:w="120" w:type="dxa"/>
              <w:bottom w:w="80" w:type="dxa"/>
              <w:end w:w="120" w:type="dxa"/>
            </w:tcMar>
            <w:shd w:fill="E8EEF5"/>
          </w:tcPr>
          <w:p>
            <w:pPr>
              <w:keepNext/>
            </w:pPr>
            <w:r>
              <w:rPr>
                <w:b/>
              </w:rPr>
              <w:t>Evidence</w:t>
            </w:r>
          </w:p>
        </w:tc>
        <w:tc>
          <w:tcPr>
            <w:tcW w:type="dxa" w:w="1300"/>
            <w:vAlign w:val="center"/>
            <w:tcMar>
              <w:top w:w="80" w:type="dxa"/>
              <w:start w:w="120" w:type="dxa"/>
              <w:bottom w:w="80" w:type="dxa"/>
              <w:end w:w="120" w:type="dxa"/>
            </w:tcMar>
            <w:shd w:fill="E8EEF5"/>
          </w:tcPr>
          <w:p>
            <w:pPr>
              <w:keepNext/>
            </w:pPr>
            <w:r>
              <w:rPr>
                <w:b/>
              </w:rPr>
              <w:t>State</w:t>
            </w:r>
          </w:p>
        </w:tc>
        <w:tc>
          <w:tcPr>
            <w:tcW w:type="dxa" w:w="4960"/>
            <w:vAlign w:val="center"/>
            <w:tcMar>
              <w:top w:w="80" w:type="dxa"/>
              <w:start w:w="120" w:type="dxa"/>
              <w:bottom w:w="80" w:type="dxa"/>
              <w:end w:w="120" w:type="dxa"/>
            </w:tcMar>
            <w:shd w:fill="E8EEF5"/>
          </w:tcPr>
          <w:p>
            <w:pPr>
              <w:keepNext/>
            </w:pPr>
            <w:r>
              <w:rPr>
                <w:b/>
              </w:rPr>
              <w:t>Result / limitation</w:t>
            </w:r>
          </w:p>
        </w:tc>
      </w:tr>
      <w:tr>
        <w:trPr>
          <w:cantSplit/>
        </w:trPr>
        <w:tc>
          <w:tcPr>
            <w:tcW w:type="dxa" w:w="900"/>
            <w:vAlign w:val="center"/>
            <w:tcMar>
              <w:top w:w="80" w:type="dxa"/>
              <w:start w:w="120" w:type="dxa"/>
              <w:bottom w:w="80" w:type="dxa"/>
              <w:end w:w="120" w:type="dxa"/>
            </w:tcMar>
          </w:tcPr>
          <w:p>
            <w:r>
              <w:t>EVD-001</w:t>
            </w:r>
          </w:p>
        </w:tc>
        <w:tc>
          <w:tcPr>
            <w:tcW w:type="dxa" w:w="2200"/>
            <w:vAlign w:val="center"/>
            <w:tcMar>
              <w:top w:w="80" w:type="dxa"/>
              <w:start w:w="120" w:type="dxa"/>
              <w:bottom w:w="80" w:type="dxa"/>
              <w:end w:w="120" w:type="dxa"/>
            </w:tcMar>
          </w:tcPr>
          <w:p>
            <w:r>
              <w:t>npm registry metadata</w:t>
            </w:r>
          </w:p>
        </w:tc>
        <w:tc>
          <w:tcPr>
            <w:tcW w:type="dxa" w:w="1300"/>
            <w:vAlign w:val="center"/>
            <w:tcMar>
              <w:top w:w="80" w:type="dxa"/>
              <w:start w:w="120" w:type="dxa"/>
              <w:bottom w:w="80" w:type="dxa"/>
              <w:end w:w="120" w:type="dxa"/>
            </w:tcMar>
          </w:tcPr>
          <w:p>
            <w:r>
              <w:t>Verified</w:t>
            </w:r>
          </w:p>
        </w:tc>
        <w:tc>
          <w:tcPr>
            <w:tcW w:type="dxa" w:w="4960"/>
            <w:vAlign w:val="center"/>
            <w:tcMar>
              <w:top w:w="80" w:type="dxa"/>
              <w:start w:w="120" w:type="dxa"/>
              <w:bottom w:w="80" w:type="dxa"/>
              <w:end w:w="120" w:type="dxa"/>
            </w:tcMar>
          </w:tcPr>
          <w:p>
            <w:r>
              <w:t>Version 0.0.78; Microsoft; Apache-2.0; Node &gt;=18; two exact dependencies; registry signature and SLSA provenance attestation; retrieved 2026-07-15.</w:t>
            </w:r>
          </w:p>
        </w:tc>
      </w:tr>
      <w:tr>
        <w:trPr>
          <w:cantSplit/>
        </w:trPr>
        <w:tc>
          <w:tcPr>
            <w:tcW w:type="dxa" w:w="900"/>
            <w:vAlign w:val="center"/>
            <w:tcMar>
              <w:top w:w="80" w:type="dxa"/>
              <w:start w:w="120" w:type="dxa"/>
              <w:bottom w:w="80" w:type="dxa"/>
              <w:end w:w="120" w:type="dxa"/>
            </w:tcMar>
          </w:tcPr>
          <w:p>
            <w:r>
              <w:t>EVD-002</w:t>
            </w:r>
          </w:p>
        </w:tc>
        <w:tc>
          <w:tcPr>
            <w:tcW w:type="dxa" w:w="2200"/>
            <w:vAlign w:val="center"/>
            <w:tcMar>
              <w:top w:w="80" w:type="dxa"/>
              <w:start w:w="120" w:type="dxa"/>
              <w:bottom w:w="80" w:type="dxa"/>
              <w:end w:w="120" w:type="dxa"/>
            </w:tcMar>
          </w:tcPr>
          <w:p>
            <w:r>
              <w:t>@playwright/mcp 0.0.78 tarball</w:t>
            </w:r>
          </w:p>
        </w:tc>
        <w:tc>
          <w:tcPr>
            <w:tcW w:type="dxa" w:w="1300"/>
            <w:vAlign w:val="center"/>
            <w:tcMar>
              <w:top w:w="80" w:type="dxa"/>
              <w:start w:w="120" w:type="dxa"/>
              <w:bottom w:w="80" w:type="dxa"/>
              <w:end w:w="120" w:type="dxa"/>
            </w:tcMar>
          </w:tcPr>
          <w:p>
            <w:r>
              <w:t>Verified</w:t>
            </w:r>
          </w:p>
        </w:tc>
        <w:tc>
          <w:tcPr>
            <w:tcW w:type="dxa" w:w="4960"/>
            <w:vAlign w:val="center"/>
            <w:tcMar>
              <w:top w:w="80" w:type="dxa"/>
              <w:start w:w="120" w:type="dxa"/>
              <w:bottom w:w="80" w:type="dxa"/>
              <w:end w:w="120" w:type="dxa"/>
            </w:tcMar>
          </w:tcPr>
          <w:p>
            <w:r>
              <w:t>22,503 bytes; 7 files; SHA-256 cfff0fd8eae3ac3bcb39827861298cb6b483a8d72e3c558e7991658ed3d22562; archive traversal and link checks passed.</w:t>
            </w:r>
          </w:p>
        </w:tc>
      </w:tr>
      <w:tr>
        <w:trPr>
          <w:cantSplit/>
        </w:trPr>
        <w:tc>
          <w:tcPr>
            <w:tcW w:type="dxa" w:w="900"/>
            <w:vAlign w:val="center"/>
            <w:tcMar>
              <w:top w:w="80" w:type="dxa"/>
              <w:start w:w="120" w:type="dxa"/>
              <w:bottom w:w="80" w:type="dxa"/>
              <w:end w:w="120" w:type="dxa"/>
            </w:tcMar>
          </w:tcPr>
          <w:p>
            <w:r>
              <w:t>EVD-003</w:t>
            </w:r>
          </w:p>
        </w:tc>
        <w:tc>
          <w:tcPr>
            <w:tcW w:type="dxa" w:w="2200"/>
            <w:vAlign w:val="center"/>
            <w:tcMar>
              <w:top w:w="80" w:type="dxa"/>
              <w:start w:w="120" w:type="dxa"/>
              <w:bottom w:w="80" w:type="dxa"/>
              <w:end w:w="120" w:type="dxa"/>
            </w:tcMar>
          </w:tcPr>
          <w:p>
            <w:r>
              <w:t>Package manifest and entry points</w:t>
            </w:r>
          </w:p>
        </w:tc>
        <w:tc>
          <w:tcPr>
            <w:tcW w:type="dxa" w:w="1300"/>
            <w:vAlign w:val="center"/>
            <w:tcMar>
              <w:top w:w="80" w:type="dxa"/>
              <w:start w:w="120" w:type="dxa"/>
              <w:bottom w:w="80" w:type="dxa"/>
              <w:end w:w="120" w:type="dxa"/>
            </w:tcMar>
          </w:tcPr>
          <w:p>
            <w:r>
              <w:t>Verified</w:t>
            </w:r>
          </w:p>
        </w:tc>
        <w:tc>
          <w:tcPr>
            <w:tcW w:type="dxa" w:w="4960"/>
            <w:vAlign w:val="center"/>
            <w:tcMar>
              <w:top w:w="80" w:type="dxa"/>
              <w:start w:w="120" w:type="dxa"/>
              <w:bottom w:w="80" w:type="dxa"/>
              <w:end w:w="120" w:type="dxa"/>
            </w:tcMar>
          </w:tcPr>
          <w:p>
            <w:r>
              <w:t>cli.js and index.js delegate to playwright-core/lib/coreBundle; exact dependencies playwright and playwright-core 1.62.0-alpha-1783623505000.</w:t>
            </w:r>
          </w:p>
        </w:tc>
      </w:tr>
      <w:tr>
        <w:trPr>
          <w:cantSplit/>
        </w:trPr>
        <w:tc>
          <w:tcPr>
            <w:tcW w:type="dxa" w:w="900"/>
            <w:vAlign w:val="center"/>
            <w:tcMar>
              <w:top w:w="80" w:type="dxa"/>
              <w:start w:w="120" w:type="dxa"/>
              <w:bottom w:w="80" w:type="dxa"/>
              <w:end w:w="120" w:type="dxa"/>
            </w:tcMar>
          </w:tcPr>
          <w:p>
            <w:r>
              <w:t>EVD-004</w:t>
            </w:r>
          </w:p>
        </w:tc>
        <w:tc>
          <w:tcPr>
            <w:tcW w:type="dxa" w:w="2200"/>
            <w:vAlign w:val="center"/>
            <w:tcMar>
              <w:top w:w="80" w:type="dxa"/>
              <w:start w:w="120" w:type="dxa"/>
              <w:bottom w:w="80" w:type="dxa"/>
              <w:end w:w="120" w:type="dxa"/>
            </w:tcMar>
          </w:tcPr>
          <w:p>
            <w:r>
              <w:t>playwright-core dependency tarball</w:t>
            </w:r>
          </w:p>
        </w:tc>
        <w:tc>
          <w:tcPr>
            <w:tcW w:type="dxa" w:w="1300"/>
            <w:vAlign w:val="center"/>
            <w:tcMar>
              <w:top w:w="80" w:type="dxa"/>
              <w:start w:w="120" w:type="dxa"/>
              <w:bottom w:w="80" w:type="dxa"/>
              <w:end w:w="120" w:type="dxa"/>
            </w:tcMar>
          </w:tcPr>
          <w:p>
            <w:r>
              <w:t>Verified</w:t>
            </w:r>
          </w:p>
        </w:tc>
        <w:tc>
          <w:tcPr>
            <w:tcW w:type="dxa" w:w="4960"/>
            <w:vAlign w:val="center"/>
            <w:tcMar>
              <w:top w:w="80" w:type="dxa"/>
              <w:start w:w="120" w:type="dxa"/>
              <w:bottom w:w="80" w:type="dxa"/>
              <w:end w:w="120" w:type="dxa"/>
            </w:tcMar>
          </w:tcPr>
          <w:p>
            <w:r>
              <w:t>SHA-256 a5412aee4ac779f1c662272f77fd5fe716218cf555c222a301f089447f49b24c; 104 files; inspected without execution.</w:t>
            </w:r>
          </w:p>
        </w:tc>
      </w:tr>
      <w:tr>
        <w:trPr>
          <w:cantSplit/>
        </w:trPr>
        <w:tc>
          <w:tcPr>
            <w:tcW w:type="dxa" w:w="900"/>
            <w:vAlign w:val="center"/>
            <w:tcMar>
              <w:top w:w="80" w:type="dxa"/>
              <w:start w:w="120" w:type="dxa"/>
              <w:bottom w:w="80" w:type="dxa"/>
              <w:end w:w="120" w:type="dxa"/>
            </w:tcMar>
          </w:tcPr>
          <w:p>
            <w:r>
              <w:t>EVD-005</w:t>
            </w:r>
          </w:p>
        </w:tc>
        <w:tc>
          <w:tcPr>
            <w:tcW w:type="dxa" w:w="2200"/>
            <w:vAlign w:val="center"/>
            <w:tcMar>
              <w:top w:w="80" w:type="dxa"/>
              <w:start w:w="120" w:type="dxa"/>
              <w:bottom w:w="80" w:type="dxa"/>
              <w:end w:w="120" w:type="dxa"/>
            </w:tcMar>
          </w:tcPr>
          <w:p>
            <w:r>
              <w:t>playwright dependency tarball</w:t>
            </w:r>
          </w:p>
        </w:tc>
        <w:tc>
          <w:tcPr>
            <w:tcW w:type="dxa" w:w="1300"/>
            <w:vAlign w:val="center"/>
            <w:tcMar>
              <w:top w:w="80" w:type="dxa"/>
              <w:start w:w="120" w:type="dxa"/>
              <w:bottom w:w="80" w:type="dxa"/>
              <w:end w:w="120" w:type="dxa"/>
            </w:tcMar>
          </w:tcPr>
          <w:p>
            <w:r>
              <w:t>Verified</w:t>
            </w:r>
          </w:p>
        </w:tc>
        <w:tc>
          <w:tcPr>
            <w:tcW w:type="dxa" w:w="4960"/>
            <w:vAlign w:val="center"/>
            <w:tcMar>
              <w:top w:w="80" w:type="dxa"/>
              <w:start w:w="120" w:type="dxa"/>
              <w:bottom w:w="80" w:type="dxa"/>
              <w:end w:w="120" w:type="dxa"/>
            </w:tcMar>
          </w:tcPr>
          <w:p>
            <w:r>
              <w:t>SHA-256 738aa4e5602f023b68dbad49cf6bd93e8f2aa14277831109458de1262fad557a; 62 files; inspected without execution.</w:t>
            </w:r>
          </w:p>
        </w:tc>
      </w:tr>
      <w:tr>
        <w:trPr>
          <w:cantSplit/>
        </w:trPr>
        <w:tc>
          <w:tcPr>
            <w:tcW w:type="dxa" w:w="900"/>
            <w:vAlign w:val="center"/>
            <w:tcMar>
              <w:top w:w="80" w:type="dxa"/>
              <w:start w:w="120" w:type="dxa"/>
              <w:bottom w:w="80" w:type="dxa"/>
              <w:end w:w="120" w:type="dxa"/>
            </w:tcMar>
          </w:tcPr>
          <w:p>
            <w:r>
              <w:t>EVD-006</w:t>
            </w:r>
          </w:p>
        </w:tc>
        <w:tc>
          <w:tcPr>
            <w:tcW w:type="dxa" w:w="2200"/>
            <w:vAlign w:val="center"/>
            <w:tcMar>
              <w:top w:w="80" w:type="dxa"/>
              <w:start w:w="120" w:type="dxa"/>
              <w:bottom w:w="80" w:type="dxa"/>
              <w:end w:w="120" w:type="dxa"/>
            </w:tcMar>
          </w:tcPr>
          <w:p>
            <w:r>
              <w:t>MCP implementation static review</w:t>
            </w:r>
          </w:p>
        </w:tc>
        <w:tc>
          <w:tcPr>
            <w:tcW w:type="dxa" w:w="1300"/>
            <w:vAlign w:val="center"/>
            <w:tcMar>
              <w:top w:w="80" w:type="dxa"/>
              <w:start w:w="120" w:type="dxa"/>
              <w:bottom w:w="80" w:type="dxa"/>
              <w:end w:w="120" w:type="dxa"/>
            </w:tcMar>
          </w:tcPr>
          <w:p>
            <w:r>
              <w:t>Verified</w:t>
            </w:r>
          </w:p>
        </w:tc>
        <w:tc>
          <w:tcPr>
            <w:tcW w:type="dxa" w:w="4960"/>
            <w:vAlign w:val="center"/>
            <w:tcMar>
              <w:top w:w="80" w:type="dxa"/>
              <w:start w:w="120" w:type="dxa"/>
              <w:bottom w:w="80" w:type="dxa"/>
              <w:end w:w="120" w:type="dxa"/>
            </w:tcMar>
          </w:tcPr>
          <w:p>
            <w:r>
              <w:t>Observed origin routing, file URL restriction, secret substitution/redaction, output/session functions, storage-state access, browser tools, and browser_run_code_unsafe marked RCE-equivalent.</w:t>
            </w:r>
          </w:p>
        </w:tc>
      </w:tr>
      <w:tr>
        <w:trPr>
          <w:cantSplit/>
        </w:trPr>
        <w:tc>
          <w:tcPr>
            <w:tcW w:type="dxa" w:w="900"/>
            <w:vAlign w:val="center"/>
            <w:tcMar>
              <w:top w:w="80" w:type="dxa"/>
              <w:start w:w="120" w:type="dxa"/>
              <w:bottom w:w="80" w:type="dxa"/>
              <w:end w:w="120" w:type="dxa"/>
            </w:tcMar>
          </w:tcPr>
          <w:p>
            <w:r>
              <w:t>EVD-007</w:t>
            </w:r>
          </w:p>
        </w:tc>
        <w:tc>
          <w:tcPr>
            <w:tcW w:type="dxa" w:w="2200"/>
            <w:vAlign w:val="center"/>
            <w:tcMar>
              <w:top w:w="80" w:type="dxa"/>
              <w:start w:w="120" w:type="dxa"/>
              <w:bottom w:w="80" w:type="dxa"/>
              <w:end w:w="120" w:type="dxa"/>
            </w:tcMar>
          </w:tcPr>
          <w:p>
            <w:r>
              <w:t>GitHub Advisory Database API</w:t>
            </w:r>
          </w:p>
        </w:tc>
        <w:tc>
          <w:tcPr>
            <w:tcW w:type="dxa" w:w="1300"/>
            <w:vAlign w:val="center"/>
            <w:tcMar>
              <w:top w:w="80" w:type="dxa"/>
              <w:start w:w="120" w:type="dxa"/>
              <w:bottom w:w="80" w:type="dxa"/>
              <w:end w:w="120" w:type="dxa"/>
            </w:tcMar>
          </w:tcPr>
          <w:p>
            <w:r>
              <w:t>Not observed</w:t>
            </w:r>
          </w:p>
        </w:tc>
        <w:tc>
          <w:tcPr>
            <w:tcW w:type="dxa" w:w="4960"/>
            <w:vAlign w:val="center"/>
            <w:tcMar>
              <w:top w:w="80" w:type="dxa"/>
              <w:start w:w="120" w:type="dxa"/>
              <w:bottom w:w="80" w:type="dxa"/>
              <w:end w:w="120" w:type="dxa"/>
            </w:tcMar>
          </w:tcPr>
          <w:p>
            <w:r>
              <w:t>No matching reviewed advisory returned for @playwright/mcp 0.0.78 or its exact playwright-core build on 2026-07-15; this is not proof of absence.</w:t>
            </w:r>
          </w:p>
        </w:tc>
      </w:tr>
      <w:tr>
        <w:trPr>
          <w:cantSplit/>
        </w:trPr>
        <w:tc>
          <w:tcPr>
            <w:tcW w:type="dxa" w:w="900"/>
            <w:vAlign w:val="center"/>
            <w:tcMar>
              <w:top w:w="80" w:type="dxa"/>
              <w:start w:w="120" w:type="dxa"/>
              <w:bottom w:w="80" w:type="dxa"/>
              <w:end w:w="120" w:type="dxa"/>
            </w:tcMar>
          </w:tcPr>
          <w:p>
            <w:r>
              <w:t>EVD-008</w:t>
            </w:r>
          </w:p>
        </w:tc>
        <w:tc>
          <w:tcPr>
            <w:tcW w:type="dxa" w:w="2200"/>
            <w:vAlign w:val="center"/>
            <w:tcMar>
              <w:top w:w="80" w:type="dxa"/>
              <w:start w:w="120" w:type="dxa"/>
              <w:bottom w:w="80" w:type="dxa"/>
              <w:end w:w="120" w:type="dxa"/>
            </w:tcMar>
          </w:tcPr>
          <w:p>
            <w:r>
              <w:t>Runtime host state</w:t>
            </w:r>
          </w:p>
        </w:tc>
        <w:tc>
          <w:tcPr>
            <w:tcW w:type="dxa" w:w="1300"/>
            <w:vAlign w:val="center"/>
            <w:tcMar>
              <w:top w:w="80" w:type="dxa"/>
              <w:start w:w="120" w:type="dxa"/>
              <w:bottom w:w="80" w:type="dxa"/>
              <w:end w:w="120" w:type="dxa"/>
            </w:tcMar>
          </w:tcPr>
          <w:p>
            <w:r>
              <w:t>Unknown</w:t>
            </w:r>
          </w:p>
        </w:tc>
        <w:tc>
          <w:tcPr>
            <w:tcW w:type="dxa" w:w="4960"/>
            <w:vAlign w:val="center"/>
            <w:tcMar>
              <w:top w:w="80" w:type="dxa"/>
              <w:start w:w="120" w:type="dxa"/>
              <w:bottom w:w="80" w:type="dxa"/>
              <w:end w:w="120" w:type="dxa"/>
            </w:tcMar>
          </w:tcPr>
          <w:p>
            <w:r>
              <w:t>Installation, process, network, telemetry, persistence, update and uninstall behavior were not executed or directly observed by authorization.</w:t>
            </w:r>
          </w:p>
        </w:tc>
      </w:tr>
    </w:tbl>
    <w:p>
      <w:pPr>
        <w:spacing w:after="0"/>
      </w:pPr>
    </w:p>
    <w:p>
      <w:pPr>
        <w:pStyle w:val="Heading1"/>
        <w:keepNext/>
      </w:pPr>
      <w:r>
        <w:t>17. References</w:t>
      </w:r>
    </w:p>
    <w:p>
      <w:bookmarkStart w:id="1000" w:name="REF_001"/>
      <w:bookmarkEnd w:id="1000"/>
      <w:r>
        <w:rPr>
          <w:b/>
        </w:rPr>
        <w:t xml:space="preserve">REF-001 — </w:t>
      </w:r>
      <w:hyperlink r:id="rId11">
        <w:r>
          <w:rPr>
            <w:color w:val="0563C1"/>
            <w:u w:val="single"/>
          </w:rPr>
          <w:t>Microsoft Playwright MCP repository and documentation</w:t>
        </w:r>
      </w:hyperlink>
      <w:r>
        <w:t xml:space="preserve"> (accessed 25 July 2026).</w:t>
      </w:r>
    </w:p>
    <w:p>
      <w:bookmarkStart w:id="1001" w:name="REF_002"/>
      <w:bookmarkEnd w:id="1001"/>
      <w:r>
        <w:rPr>
          <w:b/>
        </w:rPr>
        <w:t xml:space="preserve">REF-002 — </w:t>
      </w:r>
      <w:hyperlink r:id="rId12">
        <w:r>
          <w:rPr>
            <w:color w:val="0563C1"/>
            <w:u w:val="single"/>
          </w:rPr>
          <w:t>npm package: @playwright/mcp 0.0.78</w:t>
        </w:r>
      </w:hyperlink>
      <w:r>
        <w:t xml:space="preserve"> (accessed 25 July 2026).</w:t>
      </w:r>
    </w:p>
    <w:p>
      <w:bookmarkStart w:id="1002" w:name="REF_003"/>
      <w:bookmarkEnd w:id="1002"/>
      <w:r>
        <w:rPr>
          <w:b/>
        </w:rPr>
        <w:t xml:space="preserve">REF-003 — </w:t>
      </w:r>
      <w:hyperlink r:id="rId13">
        <w:r>
          <w:rPr>
            <w:color w:val="0563C1"/>
            <w:u w:val="single"/>
          </w:rPr>
          <w:t>VS Code: Add and manage MCP servers</w:t>
        </w:r>
      </w:hyperlink>
      <w:r>
        <w:t xml:space="preserve"> (accessed 25 July 2026).</w:t>
      </w:r>
    </w:p>
    <w:p>
      <w:bookmarkStart w:id="1003" w:name="REF_004"/>
      <w:bookmarkEnd w:id="1003"/>
      <w:r>
        <w:rPr>
          <w:b/>
        </w:rPr>
        <w:t xml:space="preserve">REF-004 — </w:t>
      </w:r>
      <w:hyperlink r:id="rId14">
        <w:r>
          <w:rPr>
            <w:color w:val="0563C1"/>
            <w:u w:val="single"/>
          </w:rPr>
          <w:t>VS Code: AI security</w:t>
        </w:r>
      </w:hyperlink>
      <w:r>
        <w:t xml:space="preserve"> (accessed 25 July 2026).</w:t>
      </w:r>
    </w:p>
    <w:p>
      <w:bookmarkStart w:id="1004" w:name="REF_005"/>
      <w:bookmarkEnd w:id="1004"/>
      <w:r>
        <w:rPr>
          <w:b/>
        </w:rPr>
        <w:t xml:space="preserve">REF-005 — </w:t>
      </w:r>
      <w:hyperlink r:id="rId15">
        <w:r>
          <w:rPr>
            <w:color w:val="0563C1"/>
            <w:u w:val="single"/>
          </w:rPr>
          <w:t>Visual Studio: Use MCP servers</w:t>
        </w:r>
      </w:hyperlink>
      <w:r>
        <w:t xml:space="preserve"> (accessed 25 July 2026).</w:t>
      </w:r>
    </w:p>
    <w:p>
      <w:bookmarkStart w:id="1005" w:name="REF_006"/>
      <w:bookmarkEnd w:id="1005"/>
      <w:r>
        <w:rPr>
          <w:b/>
        </w:rPr>
        <w:t xml:space="preserve">REF-006 — </w:t>
      </w:r>
      <w:hyperlink r:id="rId16">
        <w:r>
          <w:rPr>
            <w:color w:val="0563C1"/>
            <w:u w:val="single"/>
          </w:rPr>
          <w:t>OWASP Top 10 for LLM Applications 2025</w:t>
        </w:r>
      </w:hyperlink>
      <w:r>
        <w:t xml:space="preserve"> (accessed 25 July 2026).</w:t>
      </w:r>
    </w:p>
    <w:p>
      <w:bookmarkStart w:id="1006" w:name="REF_007"/>
      <w:bookmarkEnd w:id="1006"/>
      <w:r>
        <w:rPr>
          <w:b/>
        </w:rPr>
        <w:t xml:space="preserve">REF-007 — </w:t>
      </w:r>
      <w:hyperlink r:id="rId17">
        <w:r>
          <w:rPr>
            <w:color w:val="0563C1"/>
            <w:u w:val="single"/>
          </w:rPr>
          <w:t>OWASP Top 10 for Agentic Applications 2026</w:t>
        </w:r>
      </w:hyperlink>
      <w:r>
        <w:t xml:space="preserve"> (accessed 25 July 2026).</w:t>
      </w:r>
    </w:p>
    <w:p>
      <w:bookmarkStart w:id="1007" w:name="REF_008"/>
      <w:bookmarkEnd w:id="1007"/>
      <w:r>
        <w:rPr>
          <w:b/>
        </w:rPr>
        <w:t xml:space="preserve">REF-008 — </w:t>
      </w:r>
      <w:hyperlink r:id="rId18">
        <w:r>
          <w:rPr>
            <w:color w:val="0563C1"/>
            <w:u w:val="single"/>
          </w:rPr>
          <w:t>OWASP MCP Top 10 2025 beta</w:t>
        </w:r>
      </w:hyperlink>
      <w:r>
        <w:t xml:space="preserve"> (accessed 25 July 2026).</w:t>
      </w:r>
    </w:p>
    <w:p>
      <w:bookmarkStart w:id="1008" w:name="REF_009"/>
      <w:bookmarkEnd w:id="1008"/>
      <w:r>
        <w:rPr>
          <w:b/>
        </w:rPr>
        <w:t xml:space="preserve">REF-009 — </w:t>
      </w:r>
      <w:hyperlink r:id="rId19">
        <w:r>
          <w:rPr>
            <w:color w:val="0563C1"/>
            <w:u w:val="single"/>
          </w:rPr>
          <w:t>OWASP ASVS 5.0.0</w:t>
        </w:r>
      </w:hyperlink>
      <w:r>
        <w:t xml:space="preserve"> (accessed 25 July 2026).</w:t>
      </w:r>
    </w:p>
    <w:p>
      <w:bookmarkStart w:id="1009" w:name="REF_010"/>
      <w:bookmarkEnd w:id="1009"/>
      <w:r>
        <w:rPr>
          <w:b/>
        </w:rPr>
        <w:t xml:space="preserve">REF-010 — </w:t>
      </w:r>
      <w:hyperlink r:id="rId20">
        <w:r>
          <w:rPr>
            <w:color w:val="0563C1"/>
            <w:u w:val="single"/>
          </w:rPr>
          <w:t>NIST AI Risk Management Framework and NIST AI 600-1</w:t>
        </w:r>
      </w:hyperlink>
      <w:r>
        <w:t xml:space="preserve"> (accessed 25 July 2026).</w:t>
      </w:r>
    </w:p>
    <w:p>
      <w:bookmarkStart w:id="1010" w:name="REF_011"/>
      <w:bookmarkEnd w:id="1010"/>
      <w:r>
        <w:rPr>
          <w:b/>
        </w:rPr>
        <w:t xml:space="preserve">REF-011 — </w:t>
      </w:r>
      <w:hyperlink r:id="rId21">
        <w:r>
          <w:rPr>
            <w:color w:val="0563C1"/>
            <w:u w:val="single"/>
          </w:rPr>
          <w:t>MITRE ATLAS</w:t>
        </w:r>
      </w:hyperlink>
      <w:r>
        <w:t xml:space="preserve"> (accessed 25 July 2026).</w:t>
      </w:r>
    </w:p>
    <w:p>
      <w:bookmarkStart w:id="1011" w:name="REF_012"/>
      <w:bookmarkEnd w:id="1011"/>
      <w:r>
        <w:rPr>
          <w:b/>
        </w:rPr>
        <w:t xml:space="preserve">REF-012 — </w:t>
      </w:r>
      <w:hyperlink r:id="rId22">
        <w:r>
          <w:rPr>
            <w:color w:val="0563C1"/>
            <w:u w:val="single"/>
          </w:rPr>
          <w:t>CIS Critical Security Controls v8.1</w:t>
        </w:r>
      </w:hyperlink>
      <w:r>
        <w:t xml:space="preserve"> (accessed 25 July 2026).</w:t>
      </w:r>
    </w:p>
    <w:p>
      <w:bookmarkStart w:id="1012" w:name="REF_013"/>
      <w:bookmarkEnd w:id="1012"/>
      <w:r>
        <w:rPr>
          <w:b/>
        </w:rPr>
        <w:t xml:space="preserve">REF-013 — </w:t>
      </w:r>
      <w:hyperlink r:id="rId23">
        <w:r>
          <w:rPr>
            <w:color w:val="0563C1"/>
            <w:u w:val="single"/>
          </w:rPr>
          <w:t>ISO/IEC 27001:2022</w:t>
        </w:r>
      </w:hyperlink>
      <w:r>
        <w:t xml:space="preserve"> (accessed 25 July 2026).</w:t>
      </w:r>
    </w:p>
    <w:p>
      <w:bookmarkStart w:id="1013" w:name="REF_014"/>
      <w:bookmarkEnd w:id="1013"/>
      <w:r>
        <w:rPr>
          <w:b/>
        </w:rPr>
        <w:t xml:space="preserve">REF-014 — </w:t>
      </w:r>
      <w:hyperlink r:id="rId24">
        <w:r>
          <w:rPr>
            <w:color w:val="0563C1"/>
            <w:u w:val="single"/>
          </w:rPr>
          <w:t>NCSC Guidelines for secure AI system development v1.0</w:t>
        </w:r>
      </w:hyperlink>
      <w:r>
        <w:t xml:space="preserve"> (accessed 25 July 2026).</w:t>
      </w:r>
    </w:p>
    <w:p>
      <w:bookmarkStart w:id="1014" w:name="REF_015"/>
      <w:bookmarkEnd w:id="1014"/>
      <w:r>
        <w:rPr>
          <w:b/>
        </w:rPr>
        <w:t xml:space="preserve">REF-015 — </w:t>
      </w:r>
      <w:hyperlink r:id="rId25">
        <w:r>
          <w:rPr>
            <w:color w:val="0563C1"/>
            <w:u w:val="single"/>
          </w:rPr>
          <w:t>ICO AI and data protection risk toolkit</w:t>
        </w:r>
      </w:hyperlink>
      <w:r>
        <w:t xml:space="preserve"> (accessed 25 July 2026).</w:t>
      </w:r>
    </w:p>
    <w:p>
      <w:bookmarkStart w:id="1015" w:name="REF_016"/>
      <w:bookmarkEnd w:id="1015"/>
      <w:r>
        <w:rPr>
          <w:b/>
        </w:rPr>
        <w:t xml:space="preserve">REF-016 — </w:t>
      </w:r>
      <w:hyperlink r:id="rId26">
        <w:r>
          <w:rPr>
            <w:color w:val="0563C1"/>
            <w:u w:val="single"/>
          </w:rPr>
          <w:t>FCA outsourcing and operational resilience</w:t>
        </w:r>
      </w:hyperlink>
      <w:r>
        <w:t xml:space="preserve"> (accessed 25 July 2026).</w:t>
      </w:r>
    </w:p>
    <w:p>
      <w:bookmarkStart w:id="1016" w:name="REF_017"/>
      <w:bookmarkEnd w:id="1016"/>
      <w:r>
        <w:rPr>
          <w:b/>
        </w:rPr>
        <w:t xml:space="preserve">REF-017 — </w:t>
      </w:r>
      <w:hyperlink r:id="rId27">
        <w:r>
          <w:rPr>
            <w:color w:val="0563C1"/>
            <w:u w:val="single"/>
          </w:rPr>
          <w:t>PRA SS2/21 outsourcing and third-party risk management</w:t>
        </w:r>
      </w:hyperlink>
      <w:r>
        <w:t xml:space="preserve"> (accessed 25 July 2026).</w:t>
      </w:r>
    </w:p>
    <w:p>
      <w:bookmarkStart w:id="1017" w:name="REF_018"/>
      <w:bookmarkEnd w:id="1017"/>
      <w:r>
        <w:rPr>
          <w:b/>
        </w:rPr>
        <w:t xml:space="preserve">REF-018 — </w:t>
      </w:r>
      <w:hyperlink r:id="rId28">
        <w:r>
          <w:rPr>
            <w:color w:val="0563C1"/>
            <w:u w:val="single"/>
          </w:rPr>
          <w:t>PRA/FCA operational incident and third-party reporting policy, March 2026</w:t>
        </w:r>
      </w:hyperlink>
      <w:r>
        <w:t xml:space="preserve"> (accessed 25 July 2026).</w:t>
      </w:r>
    </w:p>
    <w:p>
      <w:r>
        <w:br w:type="page"/>
      </w:r>
    </w:p>
    <w:p>
      <w:pPr>
        <w:pStyle w:val="Heading1"/>
        <w:keepNext/>
      </w:pPr>
      <w:r>
        <w:t>Appendix A — Installation Manifest</w:t>
      </w:r>
    </w:p>
    <w:tbl>
      <w:tblPr>
        <w:tblStyle w:val="TableGrid"/>
        <w:tblW w:type="dxa" w:w="9360"/>
        <w:tblLayout w:type="fixed"/>
        <w:tblLook w:firstColumn="1" w:firstRow="1" w:lastColumn="0" w:lastRow="0" w:noHBand="0" w:noVBand="1" w:val="04A0"/>
        <w:jc w:val="left"/>
        <w:tblInd w:w="120" w:type="dxa"/>
        <w:tblInd w:w="120" w:type="dxa"/>
        <w:tblInd w:w="120" w:type="dxa"/>
        <w:tblInd w:w="120" w:type="dxa"/>
        <w:tblInd w:w="120" w:type="dxa"/>
        <w:tblInd w:w="120" w:type="dxa"/>
        <w:tblInd w:w="120" w:type="dxa"/>
        <w:tblInd w:w="120" w:type="dxa"/>
        <w:tblInd w:w="120" w:type="dxa"/>
        <w:tblInd w:w="120" w:type="dxa"/>
      </w:tblPr>
      <w:tblGrid>
        <w:gridCol w:w="650"/>
        <w:gridCol w:w="1700"/>
        <w:gridCol w:w="2200"/>
        <w:gridCol w:w="3300"/>
        <w:gridCol w:w="1510"/>
      </w:tblGrid>
      <w:tr>
        <w:trPr>
          <w:tblHeader w:val="true"/>
          <w:cantSplit/>
        </w:trPr>
        <w:tc>
          <w:tcPr>
            <w:tcW w:type="dxa" w:w="650"/>
            <w:vAlign w:val="center"/>
            <w:tcMar>
              <w:top w:w="80" w:type="dxa"/>
              <w:start w:w="120" w:type="dxa"/>
              <w:bottom w:w="80" w:type="dxa"/>
              <w:end w:w="120" w:type="dxa"/>
            </w:tcMar>
            <w:shd w:fill="E8EEF5"/>
          </w:tcPr>
          <w:p>
            <w:pPr>
              <w:keepNext/>
            </w:pPr>
            <w:r>
              <w:rPr>
                <w:b/>
              </w:rPr>
              <w:t>IDE</w:t>
            </w:r>
          </w:p>
        </w:tc>
        <w:tc>
          <w:tcPr>
            <w:tcW w:type="dxa" w:w="1700"/>
            <w:vAlign w:val="center"/>
            <w:tcMar>
              <w:top w:w="80" w:type="dxa"/>
              <w:start w:w="120" w:type="dxa"/>
              <w:bottom w:w="80" w:type="dxa"/>
              <w:end w:w="120" w:type="dxa"/>
            </w:tcMar>
            <w:shd w:fill="E8EEF5"/>
          </w:tcPr>
          <w:p>
            <w:pPr>
              <w:keepNext/>
            </w:pPr>
            <w:r>
              <w:rPr>
                <w:b/>
              </w:rPr>
              <w:t>Artefact</w:t>
            </w:r>
          </w:p>
        </w:tc>
        <w:tc>
          <w:tcPr>
            <w:tcW w:type="dxa" w:w="2200"/>
            <w:vAlign w:val="center"/>
            <w:tcMar>
              <w:top w:w="80" w:type="dxa"/>
              <w:start w:w="120" w:type="dxa"/>
              <w:bottom w:w="80" w:type="dxa"/>
              <w:end w:w="120" w:type="dxa"/>
            </w:tcMar>
            <w:shd w:fill="E8EEF5"/>
          </w:tcPr>
          <w:p>
            <w:pPr>
              <w:keepNext/>
            </w:pPr>
            <w:r>
              <w:rPr>
                <w:b/>
              </w:rPr>
              <w:t>Path/hash</w:t>
            </w:r>
          </w:p>
        </w:tc>
        <w:tc>
          <w:tcPr>
            <w:tcW w:type="dxa" w:w="3300"/>
            <w:vAlign w:val="center"/>
            <w:tcMar>
              <w:top w:w="80" w:type="dxa"/>
              <w:start w:w="120" w:type="dxa"/>
              <w:bottom w:w="80" w:type="dxa"/>
              <w:end w:w="120" w:type="dxa"/>
            </w:tcMar>
            <w:shd w:fill="E8EEF5"/>
          </w:tcPr>
          <w:p>
            <w:pPr>
              <w:keepNext/>
            </w:pPr>
            <w:r>
              <w:rPr>
                <w:b/>
              </w:rPr>
              <w:t>Purpose/privilege/persistence/removal</w:t>
            </w:r>
          </w:p>
        </w:tc>
        <w:tc>
          <w:tcPr>
            <w:tcW w:type="dxa" w:w="1510"/>
            <w:vAlign w:val="center"/>
            <w:tcMar>
              <w:top w:w="80" w:type="dxa"/>
              <w:start w:w="120" w:type="dxa"/>
              <w:bottom w:w="80" w:type="dxa"/>
              <w:end w:w="120" w:type="dxa"/>
            </w:tcMar>
            <w:shd w:fill="E8EEF5"/>
          </w:tcPr>
          <w:p>
            <w:pPr>
              <w:keepNext/>
            </w:pPr>
            <w:r>
              <w:rPr>
                <w:b/>
              </w:rPr>
              <w:t>State</w:t>
            </w:r>
          </w:p>
        </w:tc>
      </w:tr>
      <w:tr>
        <w:trPr>
          <w:cantSplit/>
        </w:trPr>
        <w:tc>
          <w:tcPr>
            <w:tcW w:type="dxa" w:w="650"/>
            <w:vAlign w:val="center"/>
            <w:tcMar>
              <w:top w:w="80" w:type="dxa"/>
              <w:start w:w="120" w:type="dxa"/>
              <w:bottom w:w="80" w:type="dxa"/>
              <w:end w:w="120" w:type="dxa"/>
            </w:tcMar>
          </w:tcPr>
          <w:p>
            <w:r>
              <w:t>Both</w:t>
            </w:r>
          </w:p>
        </w:tc>
        <w:tc>
          <w:tcPr>
            <w:tcW w:type="dxa" w:w="1700"/>
            <w:vAlign w:val="center"/>
            <w:tcMar>
              <w:top w:w="80" w:type="dxa"/>
              <w:start w:w="120" w:type="dxa"/>
              <w:bottom w:w="80" w:type="dxa"/>
              <w:end w:w="120" w:type="dxa"/>
            </w:tcMar>
          </w:tcPr>
          <w:p>
            <w:r>
              <w:t>@playwright/mcp 0.0.78 tarball</w:t>
            </w:r>
          </w:p>
        </w:tc>
        <w:tc>
          <w:tcPr>
            <w:tcW w:type="dxa" w:w="2200"/>
            <w:vAlign w:val="center"/>
            <w:tcMar>
              <w:top w:w="80" w:type="dxa"/>
              <w:start w:w="120" w:type="dxa"/>
              <w:bottom w:w="80" w:type="dxa"/>
              <w:end w:w="120" w:type="dxa"/>
            </w:tcMar>
          </w:tcPr>
          <w:p>
            <w:r>
              <w:t>npm cache/mirror; 22,503 bytes; SHA-256 cfff…2562</w:t>
            </w:r>
          </w:p>
        </w:tc>
        <w:tc>
          <w:tcPr>
            <w:tcW w:type="dxa" w:w="3300"/>
            <w:vAlign w:val="center"/>
            <w:tcMar>
              <w:top w:w="80" w:type="dxa"/>
              <w:start w:w="120" w:type="dxa"/>
              <w:bottom w:w="80" w:type="dxa"/>
              <w:end w:w="120" w:type="dxa"/>
            </w:tcMar>
          </w:tcPr>
          <w:p>
            <w:r>
              <w:t>Server entry point; user privilege; package-manager persistence; remove cache/config</w:t>
            </w:r>
          </w:p>
        </w:tc>
        <w:tc>
          <w:tcPr>
            <w:tcW w:type="dxa" w:w="1510"/>
            <w:vAlign w:val="center"/>
            <w:tcMar>
              <w:top w:w="80" w:type="dxa"/>
              <w:start w:w="120" w:type="dxa"/>
              <w:bottom w:w="80" w:type="dxa"/>
              <w:end w:w="120" w:type="dxa"/>
            </w:tcMar>
          </w:tcPr>
          <w:p>
            <w:r>
              <w:t>Verified package; host path expected</w:t>
            </w:r>
          </w:p>
        </w:tc>
      </w:tr>
      <w:tr>
        <w:trPr>
          <w:cantSplit/>
        </w:trPr>
        <w:tc>
          <w:tcPr>
            <w:tcW w:type="dxa" w:w="650"/>
            <w:vAlign w:val="center"/>
            <w:tcMar>
              <w:top w:w="80" w:type="dxa"/>
              <w:start w:w="120" w:type="dxa"/>
              <w:bottom w:w="80" w:type="dxa"/>
              <w:end w:w="120" w:type="dxa"/>
            </w:tcMar>
          </w:tcPr>
          <w:p>
            <w:r>
              <w:t>Both</w:t>
            </w:r>
          </w:p>
        </w:tc>
        <w:tc>
          <w:tcPr>
            <w:tcW w:type="dxa" w:w="1700"/>
            <w:vAlign w:val="center"/>
            <w:tcMar>
              <w:top w:w="80" w:type="dxa"/>
              <w:start w:w="120" w:type="dxa"/>
              <w:bottom w:w="80" w:type="dxa"/>
              <w:end w:w="120" w:type="dxa"/>
            </w:tcMar>
          </w:tcPr>
          <w:p>
            <w:r>
              <w:t>playwright-core exact dependency</w:t>
            </w:r>
          </w:p>
        </w:tc>
        <w:tc>
          <w:tcPr>
            <w:tcW w:type="dxa" w:w="2200"/>
            <w:vAlign w:val="center"/>
            <w:tcMar>
              <w:top w:w="80" w:type="dxa"/>
              <w:start w:w="120" w:type="dxa"/>
              <w:bottom w:w="80" w:type="dxa"/>
              <w:end w:w="120" w:type="dxa"/>
            </w:tcMar>
          </w:tcPr>
          <w:p>
            <w:r>
              <w:t>npm cache/mirror; SHA-256 a541…24c</w:t>
            </w:r>
          </w:p>
        </w:tc>
        <w:tc>
          <w:tcPr>
            <w:tcW w:type="dxa" w:w="3300"/>
            <w:vAlign w:val="center"/>
            <w:tcMar>
              <w:top w:w="80" w:type="dxa"/>
              <w:start w:w="120" w:type="dxa"/>
              <w:bottom w:w="80" w:type="dxa"/>
              <w:end w:w="120" w:type="dxa"/>
            </w:tcMar>
          </w:tcPr>
          <w:p>
            <w:r>
              <w:t>MCP/browser implementation; user privilege; dependency lifecycle</w:t>
            </w:r>
          </w:p>
        </w:tc>
        <w:tc>
          <w:tcPr>
            <w:tcW w:type="dxa" w:w="1510"/>
            <w:vAlign w:val="center"/>
            <w:tcMar>
              <w:top w:w="80" w:type="dxa"/>
              <w:start w:w="120" w:type="dxa"/>
              <w:bottom w:w="80" w:type="dxa"/>
              <w:end w:w="120" w:type="dxa"/>
            </w:tcMar>
          </w:tcPr>
          <w:p>
            <w:r>
              <w:t>Verified package; host path expected</w:t>
            </w:r>
          </w:p>
        </w:tc>
      </w:tr>
      <w:tr>
        <w:trPr>
          <w:cantSplit/>
        </w:trPr>
        <w:tc>
          <w:tcPr>
            <w:tcW w:type="dxa" w:w="650"/>
            <w:vAlign w:val="center"/>
            <w:tcMar>
              <w:top w:w="80" w:type="dxa"/>
              <w:start w:w="120" w:type="dxa"/>
              <w:bottom w:w="80" w:type="dxa"/>
              <w:end w:w="120" w:type="dxa"/>
            </w:tcMar>
          </w:tcPr>
          <w:p>
            <w:r>
              <w:t>Both</w:t>
            </w:r>
          </w:p>
        </w:tc>
        <w:tc>
          <w:tcPr>
            <w:tcW w:type="dxa" w:w="1700"/>
            <w:vAlign w:val="center"/>
            <w:tcMar>
              <w:top w:w="80" w:type="dxa"/>
              <w:start w:w="120" w:type="dxa"/>
              <w:bottom w:w="80" w:type="dxa"/>
              <w:end w:w="120" w:type="dxa"/>
            </w:tcMar>
          </w:tcPr>
          <w:p>
            <w:r>
              <w:t>playwright exact dependency</w:t>
            </w:r>
          </w:p>
        </w:tc>
        <w:tc>
          <w:tcPr>
            <w:tcW w:type="dxa" w:w="2200"/>
            <w:vAlign w:val="center"/>
            <w:tcMar>
              <w:top w:w="80" w:type="dxa"/>
              <w:start w:w="120" w:type="dxa"/>
              <w:bottom w:w="80" w:type="dxa"/>
              <w:end w:w="120" w:type="dxa"/>
            </w:tcMar>
          </w:tcPr>
          <w:p>
            <w:r>
              <w:t>npm cache/mirror; SHA-256 738a…57a</w:t>
            </w:r>
          </w:p>
        </w:tc>
        <w:tc>
          <w:tcPr>
            <w:tcW w:type="dxa" w:w="3300"/>
            <w:vAlign w:val="center"/>
            <w:tcMar>
              <w:top w:w="80" w:type="dxa"/>
              <w:start w:w="120" w:type="dxa"/>
              <w:bottom w:w="80" w:type="dxa"/>
              <w:end w:w="120" w:type="dxa"/>
            </w:tcMar>
          </w:tcPr>
          <w:p>
            <w:r>
              <w:t>Browser automation API; user privilege; dependency lifecycle</w:t>
            </w:r>
          </w:p>
        </w:tc>
        <w:tc>
          <w:tcPr>
            <w:tcW w:type="dxa" w:w="1510"/>
            <w:vAlign w:val="center"/>
            <w:tcMar>
              <w:top w:w="80" w:type="dxa"/>
              <w:start w:w="120" w:type="dxa"/>
              <w:bottom w:w="80" w:type="dxa"/>
              <w:end w:w="120" w:type="dxa"/>
            </w:tcMar>
          </w:tcPr>
          <w:p>
            <w:r>
              <w:t>Verified package; host path expected</w:t>
            </w:r>
          </w:p>
        </w:tc>
      </w:tr>
      <w:tr>
        <w:trPr>
          <w:cantSplit/>
        </w:trPr>
        <w:tc>
          <w:tcPr>
            <w:tcW w:type="dxa" w:w="650"/>
            <w:vAlign w:val="center"/>
            <w:tcMar>
              <w:top w:w="80" w:type="dxa"/>
              <w:start w:w="120" w:type="dxa"/>
              <w:bottom w:w="80" w:type="dxa"/>
              <w:end w:w="120" w:type="dxa"/>
            </w:tcMar>
          </w:tcPr>
          <w:p>
            <w:r>
              <w:t>Both</w:t>
            </w:r>
          </w:p>
        </w:tc>
        <w:tc>
          <w:tcPr>
            <w:tcW w:type="dxa" w:w="1700"/>
            <w:vAlign w:val="center"/>
            <w:tcMar>
              <w:top w:w="80" w:type="dxa"/>
              <w:start w:w="120" w:type="dxa"/>
              <w:bottom w:w="80" w:type="dxa"/>
              <w:end w:w="120" w:type="dxa"/>
            </w:tcMar>
          </w:tcPr>
          <w:p>
            <w:r>
              <w:t>Node and browser processes</w:t>
            </w:r>
          </w:p>
        </w:tc>
        <w:tc>
          <w:tcPr>
            <w:tcW w:type="dxa" w:w="2200"/>
            <w:vAlign w:val="center"/>
            <w:tcMar>
              <w:top w:w="80" w:type="dxa"/>
              <w:start w:w="120" w:type="dxa"/>
              <w:bottom w:w="80" w:type="dxa"/>
              <w:end w:w="120" w:type="dxa"/>
            </w:tcMar>
          </w:tcPr>
          <w:p>
            <w:r>
              <w:t>Host process tree</w:t>
            </w:r>
          </w:p>
        </w:tc>
        <w:tc>
          <w:tcPr>
            <w:tcW w:type="dxa" w:w="3300"/>
            <w:vAlign w:val="center"/>
            <w:tcMar>
              <w:top w:w="80" w:type="dxa"/>
              <w:start w:w="120" w:type="dxa"/>
              <w:bottom w:w="80" w:type="dxa"/>
              <w:end w:w="120" w:type="dxa"/>
            </w:tcMar>
          </w:tcPr>
          <w:p>
            <w:r>
              <w:t>MCP transport and browsing; user privilege; session lifetime</w:t>
            </w:r>
          </w:p>
        </w:tc>
        <w:tc>
          <w:tcPr>
            <w:tcW w:type="dxa" w:w="1510"/>
            <w:vAlign w:val="center"/>
            <w:tcMar>
              <w:top w:w="80" w:type="dxa"/>
              <w:start w:w="120" w:type="dxa"/>
              <w:bottom w:w="80" w:type="dxa"/>
              <w:end w:w="120" w:type="dxa"/>
            </w:tcMar>
          </w:tcPr>
          <w:p>
            <w:r>
              <w:t>Expected, not observed</w:t>
            </w:r>
          </w:p>
        </w:tc>
      </w:tr>
      <w:tr>
        <w:trPr>
          <w:cantSplit/>
        </w:trPr>
        <w:tc>
          <w:tcPr>
            <w:tcW w:type="dxa" w:w="650"/>
            <w:vAlign w:val="center"/>
            <w:tcMar>
              <w:top w:w="80" w:type="dxa"/>
              <w:start w:w="120" w:type="dxa"/>
              <w:bottom w:w="80" w:type="dxa"/>
              <w:end w:w="120" w:type="dxa"/>
            </w:tcMar>
          </w:tcPr>
          <w:p>
            <w:r>
              <w:t>Both</w:t>
            </w:r>
          </w:p>
        </w:tc>
        <w:tc>
          <w:tcPr>
            <w:tcW w:type="dxa" w:w="1700"/>
            <w:vAlign w:val="center"/>
            <w:tcMar>
              <w:top w:w="80" w:type="dxa"/>
              <w:start w:w="120" w:type="dxa"/>
              <w:bottom w:w="80" w:type="dxa"/>
              <w:end w:w="120" w:type="dxa"/>
            </w:tcMar>
          </w:tcPr>
          <w:p>
            <w:r>
              <w:t>MCP configuration</w:t>
            </w:r>
          </w:p>
        </w:tc>
        <w:tc>
          <w:tcPr>
            <w:tcW w:type="dxa" w:w="2200"/>
            <w:vAlign w:val="center"/>
            <w:tcMar>
              <w:top w:w="80" w:type="dxa"/>
              <w:start w:w="120" w:type="dxa"/>
              <w:bottom w:w="80" w:type="dxa"/>
              <w:end w:w="120" w:type="dxa"/>
            </w:tcMar>
          </w:tcPr>
          <w:p>
            <w:r>
              <w:t>User/workspace/solution policy location</w:t>
            </w:r>
          </w:p>
        </w:tc>
        <w:tc>
          <w:tcPr>
            <w:tcW w:type="dxa" w:w="3300"/>
            <w:vAlign w:val="center"/>
            <w:tcMar>
              <w:top w:w="80" w:type="dxa"/>
              <w:start w:w="120" w:type="dxa"/>
              <w:bottom w:w="80" w:type="dxa"/>
              <w:end w:w="120" w:type="dxa"/>
            </w:tcMar>
          </w:tcPr>
          <w:p>
            <w:r>
              <w:t>Command, args, trust and update behavior</w:t>
            </w:r>
          </w:p>
        </w:tc>
        <w:tc>
          <w:tcPr>
            <w:tcW w:type="dxa" w:w="1510"/>
            <w:vAlign w:val="center"/>
            <w:tcMar>
              <w:top w:w="80" w:type="dxa"/>
              <w:start w:w="120" w:type="dxa"/>
              <w:bottom w:w="80" w:type="dxa"/>
              <w:end w:w="120" w:type="dxa"/>
            </w:tcMar>
          </w:tcPr>
          <w:p>
            <w:r>
              <w:t>Host-specific; verify</w:t>
            </w:r>
          </w:p>
        </w:tc>
      </w:tr>
      <w:tr>
        <w:trPr>
          <w:cantSplit/>
        </w:trPr>
        <w:tc>
          <w:tcPr>
            <w:tcW w:type="dxa" w:w="650"/>
            <w:vAlign w:val="center"/>
            <w:tcMar>
              <w:top w:w="80" w:type="dxa"/>
              <w:start w:w="120" w:type="dxa"/>
              <w:bottom w:w="80" w:type="dxa"/>
              <w:end w:w="120" w:type="dxa"/>
            </w:tcMar>
          </w:tcPr>
          <w:p>
            <w:r>
              <w:t>Both</w:t>
            </w:r>
          </w:p>
        </w:tc>
        <w:tc>
          <w:tcPr>
            <w:tcW w:type="dxa" w:w="1700"/>
            <w:vAlign w:val="center"/>
            <w:tcMar>
              <w:top w:w="80" w:type="dxa"/>
              <w:start w:w="120" w:type="dxa"/>
              <w:bottom w:w="80" w:type="dxa"/>
              <w:end w:w="120" w:type="dxa"/>
            </w:tcMar>
          </w:tcPr>
          <w:p>
            <w:r>
              <w:t>Browser profile/storage</w:t>
            </w:r>
          </w:p>
        </w:tc>
        <w:tc>
          <w:tcPr>
            <w:tcW w:type="dxa" w:w="2200"/>
            <w:vAlign w:val="center"/>
            <w:tcMar>
              <w:top w:w="80" w:type="dxa"/>
              <w:start w:w="120" w:type="dxa"/>
              <w:bottom w:w="80" w:type="dxa"/>
              <w:end w:w="120" w:type="dxa"/>
            </w:tcMar>
          </w:tcPr>
          <w:p>
            <w:r>
              <w:t>Temporary or configured user-data/storage-state paths</w:t>
            </w:r>
          </w:p>
        </w:tc>
        <w:tc>
          <w:tcPr>
            <w:tcW w:type="dxa" w:w="3300"/>
            <w:vAlign w:val="center"/>
            <w:tcMar>
              <w:top w:w="80" w:type="dxa"/>
              <w:start w:w="120" w:type="dxa"/>
              <w:bottom w:w="80" w:type="dxa"/>
              <w:end w:w="120" w:type="dxa"/>
            </w:tcMar>
          </w:tcPr>
          <w:p>
            <w:r>
              <w:t>Cookies, tokens and local data; must be isolated</w:t>
            </w:r>
          </w:p>
        </w:tc>
        <w:tc>
          <w:tcPr>
            <w:tcW w:type="dxa" w:w="1510"/>
            <w:vAlign w:val="center"/>
            <w:tcMar>
              <w:top w:w="80" w:type="dxa"/>
              <w:start w:w="120" w:type="dxa"/>
              <w:bottom w:w="80" w:type="dxa"/>
              <w:end w:w="120" w:type="dxa"/>
            </w:tcMar>
          </w:tcPr>
          <w:p>
            <w:r>
              <w:t>Expected, not observed</w:t>
            </w:r>
          </w:p>
        </w:tc>
      </w:tr>
      <w:tr>
        <w:trPr>
          <w:cantSplit/>
        </w:trPr>
        <w:tc>
          <w:tcPr>
            <w:tcW w:type="dxa" w:w="650"/>
            <w:vAlign w:val="center"/>
            <w:tcMar>
              <w:top w:w="80" w:type="dxa"/>
              <w:start w:w="120" w:type="dxa"/>
              <w:bottom w:w="80" w:type="dxa"/>
              <w:end w:w="120" w:type="dxa"/>
            </w:tcMar>
          </w:tcPr>
          <w:p>
            <w:r>
              <w:t>Both</w:t>
            </w:r>
          </w:p>
        </w:tc>
        <w:tc>
          <w:tcPr>
            <w:tcW w:type="dxa" w:w="1700"/>
            <w:vAlign w:val="center"/>
            <w:tcMar>
              <w:top w:w="80" w:type="dxa"/>
              <w:start w:w="120" w:type="dxa"/>
              <w:bottom w:w="80" w:type="dxa"/>
              <w:end w:w="120" w:type="dxa"/>
            </w:tcMar>
          </w:tcPr>
          <w:p>
            <w:r>
              <w:t>Outputs</w:t>
            </w:r>
          </w:p>
        </w:tc>
        <w:tc>
          <w:tcPr>
            <w:tcW w:type="dxa" w:w="2200"/>
            <w:vAlign w:val="center"/>
            <w:tcMar>
              <w:top w:w="80" w:type="dxa"/>
              <w:start w:w="120" w:type="dxa"/>
              <w:bottom w:w="80" w:type="dxa"/>
              <w:end w:w="120" w:type="dxa"/>
            </w:tcMar>
          </w:tcPr>
          <w:p>
            <w:r>
              <w:t>Configured output directory</w:t>
            </w:r>
          </w:p>
        </w:tc>
        <w:tc>
          <w:tcPr>
            <w:tcW w:type="dxa" w:w="3300"/>
            <w:vAlign w:val="center"/>
            <w:tcMar>
              <w:top w:w="80" w:type="dxa"/>
              <w:start w:w="120" w:type="dxa"/>
              <w:bottom w:w="80" w:type="dxa"/>
              <w:end w:w="120" w:type="dxa"/>
            </w:tcMar>
          </w:tcPr>
          <w:p>
            <w:r>
              <w:t>Screenshots, downloads, traces, logs, session data</w:t>
            </w:r>
          </w:p>
        </w:tc>
        <w:tc>
          <w:tcPr>
            <w:tcW w:type="dxa" w:w="1510"/>
            <w:vAlign w:val="center"/>
            <w:tcMar>
              <w:top w:w="80" w:type="dxa"/>
              <w:start w:w="120" w:type="dxa"/>
              <w:bottom w:w="80" w:type="dxa"/>
              <w:end w:w="120" w:type="dxa"/>
            </w:tcMar>
          </w:tcPr>
          <w:p>
            <w:r>
              <w:t>Expected, not observed</w:t>
            </w:r>
          </w:p>
        </w:tc>
      </w:tr>
      <w:tr>
        <w:trPr>
          <w:cantSplit/>
        </w:trPr>
        <w:tc>
          <w:tcPr>
            <w:tcW w:type="dxa" w:w="650"/>
            <w:vAlign w:val="center"/>
            <w:tcMar>
              <w:top w:w="80" w:type="dxa"/>
              <w:start w:w="120" w:type="dxa"/>
              <w:bottom w:w="80" w:type="dxa"/>
              <w:end w:w="120" w:type="dxa"/>
            </w:tcMar>
          </w:tcPr>
          <w:p>
            <w:r>
              <w:t>Both</w:t>
            </w:r>
          </w:p>
        </w:tc>
        <w:tc>
          <w:tcPr>
            <w:tcW w:type="dxa" w:w="1700"/>
            <w:vAlign w:val="center"/>
            <w:tcMar>
              <w:top w:w="80" w:type="dxa"/>
              <w:start w:w="120" w:type="dxa"/>
              <w:bottom w:w="80" w:type="dxa"/>
              <w:end w:w="120" w:type="dxa"/>
            </w:tcMar>
          </w:tcPr>
          <w:p>
            <w:r>
              <w:t>Services/tasks/registry/drivers</w:t>
            </w:r>
          </w:p>
        </w:tc>
        <w:tc>
          <w:tcPr>
            <w:tcW w:type="dxa" w:w="2200"/>
            <w:vAlign w:val="center"/>
            <w:tcMar>
              <w:top w:w="80" w:type="dxa"/>
              <w:start w:w="120" w:type="dxa"/>
              <w:bottom w:w="80" w:type="dxa"/>
              <w:end w:w="120" w:type="dxa"/>
            </w:tcMar>
          </w:tcPr>
          <w:p>
            <w:r>
              <w:t>Host</w:t>
            </w:r>
          </w:p>
        </w:tc>
        <w:tc>
          <w:tcPr>
            <w:tcW w:type="dxa" w:w="3300"/>
            <w:vAlign w:val="center"/>
            <w:tcMar>
              <w:top w:w="80" w:type="dxa"/>
              <w:start w:w="120" w:type="dxa"/>
              <w:bottom w:w="80" w:type="dxa"/>
              <w:end w:w="120" w:type="dxa"/>
            </w:tcMar>
          </w:tcPr>
          <w:p>
            <w:r>
              <w:t>No package evidence of durable system service/driver/task</w:t>
            </w:r>
          </w:p>
        </w:tc>
        <w:tc>
          <w:tcPr>
            <w:tcW w:type="dxa" w:w="1510"/>
            <w:vAlign w:val="center"/>
            <w:tcMar>
              <w:top w:w="80" w:type="dxa"/>
              <w:start w:w="120" w:type="dxa"/>
              <w:bottom w:w="80" w:type="dxa"/>
              <w:end w:w="120" w:type="dxa"/>
            </w:tcMar>
          </w:tcPr>
          <w:p>
            <w:r>
              <w:t>Not observed statically; verify host</w:t>
            </w:r>
          </w:p>
        </w:tc>
      </w:tr>
      <w:tr>
        <w:trPr>
          <w:cantSplit/>
        </w:trPr>
        <w:tc>
          <w:tcPr>
            <w:tcW w:type="dxa" w:w="650"/>
            <w:vAlign w:val="center"/>
            <w:tcMar>
              <w:top w:w="80" w:type="dxa"/>
              <w:start w:w="120" w:type="dxa"/>
              <w:bottom w:w="80" w:type="dxa"/>
              <w:end w:w="120" w:type="dxa"/>
            </w:tcMar>
          </w:tcPr>
          <w:p>
            <w:r>
              <w:t>Both</w:t>
            </w:r>
          </w:p>
        </w:tc>
        <w:tc>
          <w:tcPr>
            <w:tcW w:type="dxa" w:w="1700"/>
            <w:vAlign w:val="center"/>
            <w:tcMar>
              <w:top w:w="80" w:type="dxa"/>
              <w:start w:w="120" w:type="dxa"/>
              <w:bottom w:w="80" w:type="dxa"/>
              <w:end w:w="120" w:type="dxa"/>
            </w:tcMar>
          </w:tcPr>
          <w:p>
            <w:r>
              <w:t>Agent Skills</w:t>
            </w:r>
          </w:p>
        </w:tc>
        <w:tc>
          <w:tcPr>
            <w:tcW w:type="dxa" w:w="2200"/>
            <w:vAlign w:val="center"/>
            <w:tcMar>
              <w:top w:w="80" w:type="dxa"/>
              <w:start w:w="120" w:type="dxa"/>
              <w:bottom w:w="80" w:type="dxa"/>
              <w:end w:w="120" w:type="dxa"/>
            </w:tcMar>
          </w:tcPr>
          <w:p>
            <w:r>
              <w:t>IDE skill locations</w:t>
            </w:r>
          </w:p>
        </w:tc>
        <w:tc>
          <w:tcPr>
            <w:tcW w:type="dxa" w:w="3300"/>
            <w:vAlign w:val="center"/>
            <w:tcMar>
              <w:top w:w="80" w:type="dxa"/>
              <w:start w:w="120" w:type="dxa"/>
              <w:bottom w:w="80" w:type="dxa"/>
              <w:end w:w="120" w:type="dxa"/>
            </w:tcMar>
          </w:tcPr>
          <w:p>
            <w:r>
              <w:t>No MCP-installed skill observed</w:t>
            </w:r>
          </w:p>
        </w:tc>
        <w:tc>
          <w:tcPr>
            <w:tcW w:type="dxa" w:w="1510"/>
            <w:vAlign w:val="center"/>
            <w:tcMar>
              <w:top w:w="80" w:type="dxa"/>
              <w:start w:w="120" w:type="dxa"/>
              <w:bottom w:w="80" w:type="dxa"/>
              <w:end w:w="120" w:type="dxa"/>
            </w:tcMar>
          </w:tcPr>
          <w:p>
            <w:r>
              <w:t>Not applicable; CLI skill separate</w:t>
            </w:r>
          </w:p>
        </w:tc>
      </w:tr>
    </w:tbl>
    <w:p>
      <w:pPr>
        <w:spacing w:after="0"/>
      </w:pPr>
    </w:p>
    <w:p>
      <w:pPr>
        <w:pStyle w:val="Heading1"/>
        <w:keepNext/>
      </w:pPr>
      <w:r>
        <w:t>Appendix B — Host Verification Plan</w:t>
      </w:r>
    </w:p>
    <w:p>
      <w:pPr>
        <w:pStyle w:val="ListNumber"/>
      </w:pPr>
      <w:r>
        <w:t>Prepare separate disposable Windows VM profiles for VS Code and Visual Studio; record OS, IDE/Copilot versions, policies, Node/browser versions, accounts and rollback.</w:t>
      </w:r>
    </w:p>
    <w:p>
      <w:pPr>
        <w:pStyle w:val="ListNumber"/>
      </w:pPr>
      <w:r>
        <w:t>Baseline files, registry, processes, services, scheduled tasks, network, IDE configuration/trust, MCP servers, skills, caches and logs.</w:t>
      </w:r>
    </w:p>
    <w:p>
      <w:pPr>
        <w:pStyle w:val="ListNumber"/>
      </w:pPr>
      <w:r>
        <w:t>Use synthetic repository, identity and web application. Install only the pinned package from the approved mirror after independent authorization.</w:t>
      </w:r>
    </w:p>
    <w:p>
      <w:pPr>
        <w:pStyle w:val="ListNumber"/>
      </w:pPr>
      <w:r>
        <w:t>Verify package integrity/provenance, process ancestry, command line, privileges, filesystem scope and network enforcement.</w:t>
      </w:r>
    </w:p>
    <w:p>
      <w:pPr>
        <w:pStyle w:val="ListNumber"/>
      </w:pPr>
      <w:r>
        <w:t>Enumerate tool schemas and confirm browser_run_code_unsafe is absent or denied. Test per-call approvals, trust reset, policy allowlist and configuration-change prompts.</w:t>
      </w:r>
    </w:p>
    <w:p>
      <w:pPr>
        <w:pStyle w:val="ListNumber"/>
      </w:pPr>
      <w:r>
        <w:t>Test prompt-injection containment using benign injected instructions; confirm no cross-tool action, secret access or unapproved navigation occurs.</w:t>
      </w:r>
    </w:p>
    <w:p>
      <w:pPr>
        <w:pStyle w:val="ListNumber"/>
      </w:pPr>
      <w:r>
        <w:t>Verify isolated contexts, profile deletion, storage/output protection, retention and secure cleanup. Confirm shared/persistent contexts are disabled.</w:t>
      </w:r>
    </w:p>
    <w:p>
      <w:pPr>
        <w:pStyle w:val="ListNumber"/>
      </w:pPr>
      <w:r>
        <w:t>Exercise allowed and denied origins including redirects, loopback, metadata endpoints, private ranges and file URLs; record proxy/DNS evidence.</w:t>
      </w:r>
    </w:p>
    <w:p>
      <w:pPr>
        <w:pStyle w:val="ListNumber"/>
      </w:pPr>
      <w:r>
        <w:t>Uninstall and compare the baseline for residue. Restore the VM snapshot. Retain hashes, logs and screenshots as controlled evidence.</w:t>
      </w:r>
    </w:p>
    <w:p>
      <w:pPr>
        <w:pStyle w:val="ListNumber"/>
      </w:pPr>
      <w:r>
        <w:t>Re-score findings and obtain AI Platform, Security, Data Protection and regulated-business approvals before production.</w:t>
      </w:r>
    </w:p>
    <w:p>
      <w:pPr>
        <w:pStyle w:val="Heading1"/>
      </w:pPr>
      <w:r>
        <w:t>Regenerated Trust-Boundary Diagram</w:t>
      </w:r>
    </w:p>
    <w:p>
      <w:pPr>
        <w:jc w:val="center"/>
      </w:pPr>
      <w:r>
        <w:drawing>
          <wp:inline xmlns:a="http://schemas.openxmlformats.org/drawingml/2006/main" xmlns:pic="http://schemas.openxmlformats.org/drawingml/2006/picture">
            <wp:extent cx="6583680" cy="3127248"/>
            <wp:docPr id="1" name="Picture 1" descr="Trust-boundary diagram for Playwright MCP 0.0.78 showing untrusted inputs crossing the IDE and MCP transport into local or remote authority." title="Playwright MCP 0.0.78 trust boundaries"/>
            <wp:cNvGraphicFramePr>
              <a:graphicFrameLocks noChangeAspect="1"/>
            </wp:cNvGraphicFramePr>
            <a:graphic>
              <a:graphicData uri="http://schemas.openxmlformats.org/drawingml/2006/picture">
                <pic:pic>
                  <pic:nvPicPr>
                    <pic:cNvPr id="0" name="regeneration-trust-boundaries.png"/>
                    <pic:cNvPicPr/>
                  </pic:nvPicPr>
                  <pic:blipFill>
                    <a:blip r:embed="rId31"/>
                    <a:stretch>
                      <a:fillRect/>
                    </a:stretch>
                  </pic:blipFill>
                  <pic:spPr>
                    <a:xfrm>
                      <a:off x="0" y="0"/>
                      <a:ext cx="6583680" cy="3127248"/>
                    </a:xfrm>
                    <a:prstGeom prst="rect"/>
                  </pic:spPr>
                </pic:pic>
              </a:graphicData>
            </a:graphic>
          </wp:inline>
        </w:drawing>
      </w:r>
    </w:p>
    <w:p>
      <w:r>
        <w:br w:type="page"/>
      </w:r>
    </w:p>
    <w:p>
      <w:pPr>
        <w:pStyle w:val="Heading1"/>
      </w:pPr>
      <w:r>
        <w:t>Regeneration Addendum and Current Evidence</w:t>
      </w:r>
    </w:p>
    <w:p>
      <w:r>
        <w:t>This version 1.1 report preserves the previously delivered assessment as comparison evidence and regenerates the authoritative record under the current repository quality gates. Claims from the historical report were reclassified where necessary as historical verified evidence, current verified evidence, inference, not observed, not applicable, or unknown. The preserved baseline was not silently overwritten. The current source and package records were acquired directly from the publisher or official registry, cryptographically hashed, archive-safety checked, statically inspected, malware scanned, and correlated with current advisory data. Scanner output is evidence, not approval.</w:t>
      </w:r>
    </w:p>
    <w:p>
      <w:r>
        <w:t>The exact Microsoft-published 0.0.78 archive remains available with the historical SHA-256, registry signature, and SLSA provenance record. Its exact runtime dependencies are alpha builds of playwright and playwright-core. Current OSV correlation of the generated analysis lock reports one Moderate GHSA-frvp-7c67-39w9 entry in the dev-only @hono/node-server path; it is not a published runtime dependency path, but it is retained as build-supply-chain drift. Representative browser and IDE runtime remains unobserved.</w:t>
      </w:r>
    </w:p>
    <w:tbl>
      <w:tblPr>
        <w:tblStyle w:val="TableGrid"/>
        <w:tblW w:type="auto" w:w="0"/>
        <w:jc w:val="center"/>
        <w:tblLook w:firstColumn="1" w:firstRow="1" w:lastColumn="0" w:lastRow="0" w:noHBand="0" w:noVBand="1" w:val="04A0"/>
      </w:tblPr>
      <w:tblGrid>
        <w:gridCol w:w="2340"/>
        <w:gridCol w:w="2340"/>
        <w:gridCol w:w="2340"/>
        <w:gridCol w:w="2340"/>
      </w:tblGrid>
      <w:tr>
        <w:trPr>
          <w:tblHeader/>
          <w:cantSplit/>
        </w:trPr>
        <w:tc>
          <w:tcPr>
            <w:tcW w:type="dxa" w:w="2340"/>
            <w:shd w:fill="17365D"/>
          </w:tcPr>
          <w:p>
            <w:r>
              <w:rPr>
                <w:b/>
                <w:color w:val="FFFFFF"/>
                <w:sz w:val="16"/>
              </w:rPr>
              <w:t>Evidence item</w:t>
            </w:r>
          </w:p>
        </w:tc>
        <w:tc>
          <w:tcPr>
            <w:tcW w:type="dxa" w:w="2340"/>
            <w:shd w:fill="17365D"/>
          </w:tcPr>
          <w:p>
            <w:r>
              <w:rPr>
                <w:b/>
                <w:color w:val="FFFFFF"/>
                <w:sz w:val="16"/>
              </w:rPr>
              <w:t>Current state</w:t>
            </w:r>
          </w:p>
        </w:tc>
        <w:tc>
          <w:tcPr>
            <w:tcW w:type="dxa" w:w="2340"/>
            <w:shd w:fill="17365D"/>
          </w:tcPr>
          <w:p>
            <w:r>
              <w:rPr>
                <w:b/>
                <w:color w:val="FFFFFF"/>
                <w:sz w:val="16"/>
              </w:rPr>
              <w:t>SHA-256 / result</w:t>
            </w:r>
          </w:p>
        </w:tc>
        <w:tc>
          <w:tcPr>
            <w:tcW w:type="dxa" w:w="2340"/>
            <w:shd w:fill="17365D"/>
          </w:tcPr>
          <w:p>
            <w:r>
              <w:rPr>
                <w:b/>
                <w:color w:val="FFFFFF"/>
                <w:sz w:val="16"/>
              </w:rPr>
              <w:t>Claim status</w:t>
            </w:r>
          </w:p>
        </w:tc>
      </w:tr>
      <w:tr>
        <w:trPr>
          <w:cantSplit/>
        </w:trPr>
        <w:tc>
          <w:tcPr>
            <w:tcW w:type="dxa" w:w="2340"/>
            <w:vAlign w:val="top"/>
          </w:tcPr>
          <w:p>
            <w:pPr>
              <w:spacing w:after="20"/>
            </w:pPr>
            <w:r>
              <w:rPr>
                <w:sz w:val="15"/>
              </w:rPr>
              <w:t>npm archive 0.0.78</w:t>
            </w:r>
          </w:p>
        </w:tc>
        <w:tc>
          <w:tcPr>
            <w:tcW w:type="dxa" w:w="2340"/>
            <w:vAlign w:val="top"/>
          </w:tcPr>
          <w:p>
            <w:pPr>
              <w:spacing w:after="20"/>
            </w:pPr>
            <w:r>
              <w:rPr>
                <w:sz w:val="15"/>
              </w:rPr>
              <w:t>Exact target</w:t>
            </w:r>
          </w:p>
        </w:tc>
        <w:tc>
          <w:tcPr>
            <w:tcW w:type="dxa" w:w="2340"/>
            <w:vAlign w:val="top"/>
          </w:tcPr>
          <w:p>
            <w:pPr>
              <w:spacing w:after="20"/>
            </w:pPr>
            <w:r>
              <w:rPr>
                <w:sz w:val="15"/>
              </w:rPr>
              <w:t>cfff0fd8eae3ac3bcb39827861298cb6b483a8d72e3c558e7991658ed3d22562</w:t>
            </w:r>
          </w:p>
        </w:tc>
        <w:tc>
          <w:tcPr>
            <w:tcW w:type="dxa" w:w="2340"/>
            <w:vAlign w:val="top"/>
          </w:tcPr>
          <w:p>
            <w:pPr>
              <w:spacing w:after="20"/>
            </w:pPr>
            <w:r>
              <w:rPr>
                <w:sz w:val="15"/>
              </w:rPr>
              <w:t>Current verified</w:t>
            </w:r>
          </w:p>
        </w:tc>
      </w:tr>
      <w:tr>
        <w:trPr>
          <w:cantSplit/>
        </w:trPr>
        <w:tc>
          <w:tcPr>
            <w:tcW w:type="dxa" w:w="2340"/>
            <w:vAlign w:val="top"/>
            <w:shd w:fill="EEF4F7"/>
          </w:tcPr>
          <w:p>
            <w:pPr>
              <w:spacing w:after="20"/>
            </w:pPr>
            <w:r>
              <w:rPr>
                <w:sz w:val="15"/>
              </w:rPr>
              <w:t>npm metadata</w:t>
            </w:r>
          </w:p>
        </w:tc>
        <w:tc>
          <w:tcPr>
            <w:tcW w:type="dxa" w:w="2340"/>
            <w:vAlign w:val="top"/>
            <w:shd w:fill="EEF4F7"/>
          </w:tcPr>
          <w:p>
            <w:pPr>
              <w:spacing w:after="20"/>
            </w:pPr>
            <w:r>
              <w:rPr>
                <w:sz w:val="15"/>
              </w:rPr>
              <w:t>Microsoft repository, signature and SLSA link</w:t>
            </w:r>
          </w:p>
        </w:tc>
        <w:tc>
          <w:tcPr>
            <w:tcW w:type="dxa" w:w="2340"/>
            <w:vAlign w:val="top"/>
            <w:shd w:fill="EEF4F7"/>
          </w:tcPr>
          <w:p>
            <w:pPr>
              <w:spacing w:after="20"/>
            </w:pPr>
            <w:r>
              <w:rPr>
                <w:sz w:val="15"/>
              </w:rPr>
              <w:t>8e6bbce53663e1c9488e02a748e2b20e8898fb58cd4ec745e09339bc546599b3</w:t>
            </w:r>
          </w:p>
        </w:tc>
        <w:tc>
          <w:tcPr>
            <w:tcW w:type="dxa" w:w="2340"/>
            <w:vAlign w:val="top"/>
            <w:shd w:fill="EEF4F7"/>
          </w:tcPr>
          <w:p>
            <w:pPr>
              <w:spacing w:after="20"/>
            </w:pPr>
            <w:r>
              <w:rPr>
                <w:sz w:val="15"/>
              </w:rPr>
              <w:t>Current verified</w:t>
            </w:r>
          </w:p>
        </w:tc>
      </w:tr>
      <w:tr>
        <w:trPr>
          <w:cantSplit/>
        </w:trPr>
        <w:tc>
          <w:tcPr>
            <w:tcW w:type="dxa" w:w="2340"/>
            <w:vAlign w:val="top"/>
          </w:tcPr>
          <w:p>
            <w:pPr>
              <w:spacing w:after="20"/>
            </w:pPr>
            <w:r>
              <w:rPr>
                <w:sz w:val="15"/>
              </w:rPr>
              <w:t>Runtime dependencies</w:t>
            </w:r>
          </w:p>
        </w:tc>
        <w:tc>
          <w:tcPr>
            <w:tcW w:type="dxa" w:w="2340"/>
            <w:vAlign w:val="top"/>
          </w:tcPr>
          <w:p>
            <w:pPr>
              <w:spacing w:after="20"/>
            </w:pPr>
            <w:r>
              <w:rPr>
                <w:sz w:val="15"/>
              </w:rPr>
              <w:t>playwright and playwright-core alpha build</w:t>
            </w:r>
          </w:p>
        </w:tc>
        <w:tc>
          <w:tcPr>
            <w:tcW w:type="dxa" w:w="2340"/>
            <w:vAlign w:val="top"/>
          </w:tcPr>
          <w:p>
            <w:pPr>
              <w:spacing w:after="20"/>
            </w:pPr>
            <w:r>
              <w:rPr>
                <w:sz w:val="15"/>
              </w:rPr>
              <w:t>1.62.0-alpha-1783623505000</w:t>
            </w:r>
          </w:p>
        </w:tc>
        <w:tc>
          <w:tcPr>
            <w:tcW w:type="dxa" w:w="2340"/>
            <w:vAlign w:val="top"/>
          </w:tcPr>
          <w:p>
            <w:pPr>
              <w:spacing w:after="20"/>
            </w:pPr>
            <w:r>
              <w:rPr>
                <w:sz w:val="15"/>
              </w:rPr>
              <w:t>Current verified</w:t>
            </w:r>
          </w:p>
        </w:tc>
      </w:tr>
      <w:tr>
        <w:trPr>
          <w:cantSplit/>
        </w:trPr>
        <w:tc>
          <w:tcPr>
            <w:tcW w:type="dxa" w:w="2340"/>
            <w:vAlign w:val="top"/>
            <w:shd w:fill="EEF4F7"/>
          </w:tcPr>
          <w:p>
            <w:pPr>
              <w:spacing w:after="20"/>
            </w:pPr>
            <w:r>
              <w:rPr>
                <w:sz w:val="15"/>
              </w:rPr>
              <w:t>OSV</w:t>
            </w:r>
          </w:p>
        </w:tc>
        <w:tc>
          <w:tcPr>
            <w:tcW w:type="dxa" w:w="2340"/>
            <w:vAlign w:val="top"/>
            <w:shd w:fill="EEF4F7"/>
          </w:tcPr>
          <w:p>
            <w:pPr>
              <w:spacing w:after="20"/>
            </w:pPr>
            <w:r>
              <w:rPr>
                <w:sz w:val="15"/>
              </w:rPr>
              <w:t>1 dev-only Moderate entry</w:t>
            </w:r>
          </w:p>
        </w:tc>
        <w:tc>
          <w:tcPr>
            <w:tcW w:type="dxa" w:w="2340"/>
            <w:vAlign w:val="top"/>
            <w:shd w:fill="EEF4F7"/>
          </w:tcPr>
          <w:p>
            <w:pPr>
              <w:spacing w:after="20"/>
            </w:pPr>
            <w:r>
              <w:rPr>
                <w:sz w:val="15"/>
              </w:rPr>
              <w:t>GHSA-frvp-7c67-39w9</w:t>
            </w:r>
          </w:p>
        </w:tc>
        <w:tc>
          <w:tcPr>
            <w:tcW w:type="dxa" w:w="2340"/>
            <w:vAlign w:val="top"/>
            <w:shd w:fill="EEF4F7"/>
          </w:tcPr>
          <w:p>
            <w:pPr>
              <w:spacing w:after="20"/>
            </w:pPr>
            <w:r>
              <w:rPr>
                <w:sz w:val="15"/>
              </w:rPr>
              <w:t>Current build-supply-chain drift</w:t>
            </w:r>
          </w:p>
        </w:tc>
      </w:tr>
      <w:tr>
        <w:trPr>
          <w:cantSplit/>
        </w:trPr>
        <w:tc>
          <w:tcPr>
            <w:tcW w:type="dxa" w:w="2340"/>
            <w:vAlign w:val="top"/>
          </w:tcPr>
          <w:p>
            <w:pPr>
              <w:spacing w:after="20"/>
            </w:pPr>
            <w:r>
              <w:rPr>
                <w:sz w:val="15"/>
              </w:rPr>
              <w:t>ClamAV / YARA</w:t>
            </w:r>
          </w:p>
        </w:tc>
        <w:tc>
          <w:tcPr>
            <w:tcW w:type="dxa" w:w="2340"/>
            <w:vAlign w:val="top"/>
          </w:tcPr>
          <w:p>
            <w:pPr>
              <w:spacing w:after="20"/>
            </w:pPr>
            <w:r>
              <w:rPr>
                <w:sz w:val="15"/>
              </w:rPr>
              <w:t>7 files; 0 infected; 0 YARA matches</w:t>
            </w:r>
          </w:p>
        </w:tc>
        <w:tc>
          <w:tcPr>
            <w:tcW w:type="dxa" w:w="2340"/>
            <w:vAlign w:val="top"/>
          </w:tcPr>
          <w:p>
            <w:pPr>
              <w:spacing w:after="20"/>
            </w:pPr>
            <w:r>
              <w:rPr>
                <w:sz w:val="15"/>
              </w:rPr>
              <w:t>Engine 1.5.3 / DB 28071</w:t>
            </w:r>
          </w:p>
        </w:tc>
        <w:tc>
          <w:tcPr>
            <w:tcW w:type="dxa" w:w="2340"/>
            <w:vAlign w:val="top"/>
          </w:tcPr>
          <w:p>
            <w:pPr>
              <w:spacing w:after="20"/>
            </w:pPr>
            <w:r>
              <w:rPr>
                <w:sz w:val="15"/>
              </w:rPr>
              <w:t>Current verified within scope</w:t>
            </w:r>
          </w:p>
        </w:tc>
      </w:tr>
    </w:tbl>
    <w:p/>
    <w:p>
      <w:pPr>
        <w:pStyle w:val="Heading1"/>
      </w:pPr>
      <w:r>
        <w:t>Static Analysis and Malware Review</w:t>
      </w:r>
    </w:p>
    <w:p>
      <w:r>
        <w:t>Semgrep 1.171.0 ran 381 rules over all seven published package files and reported zero findings. The scanner logged two internal matching errors for a crypto-js rule against cli.js and index.js because a Pro-engine-only operator was unavailable. Those errors are explicit coverage limitations. Manual inspection and the historical assessment remain necessary for intended high-authority functionality such as browser navigation, file downloads, storage state, arbitrary page interaction, network reach, and the unsafe browser_run_code_unsafe capability.</w:t>
      </w:r>
    </w:p>
    <w:p>
      <w:r>
        <w:t>ClamAV 1.5.3 with database 28071 scanned all seven extracted files and reported zero infected files. The Agent Skill-focused YARA baseline produced zero matches. These results support absence of known signatures in the exact archive but do not reduce the risks created by intended browser automation, unsafe code execution, prompt injection, credential-bearing profiles, or supply-chain compromise.</w:t>
      </w:r>
    </w:p>
    <w:tbl>
      <w:tblPr>
        <w:tblStyle w:val="TableGrid"/>
        <w:tblW w:type="auto" w:w="0"/>
        <w:jc w:val="center"/>
        <w:tblLook w:firstColumn="1" w:firstRow="1" w:lastColumn="0" w:lastRow="0" w:noHBand="0" w:noVBand="1" w:val="04A0"/>
      </w:tblPr>
      <w:tblGrid>
        <w:gridCol w:w="2340"/>
        <w:gridCol w:w="2340"/>
        <w:gridCol w:w="2340"/>
        <w:gridCol w:w="2340"/>
      </w:tblGrid>
      <w:tr>
        <w:trPr>
          <w:tblHeader/>
          <w:cantSplit/>
        </w:trPr>
        <w:tc>
          <w:tcPr>
            <w:tcW w:type="dxa" w:w="2340"/>
            <w:shd w:fill="17365D"/>
          </w:tcPr>
          <w:p>
            <w:r>
              <w:rPr>
                <w:b/>
                <w:color w:val="FFFFFF"/>
                <w:sz w:val="16"/>
              </w:rPr>
              <w:t>Method</w:t>
            </w:r>
          </w:p>
        </w:tc>
        <w:tc>
          <w:tcPr>
            <w:tcW w:type="dxa" w:w="2340"/>
            <w:shd w:fill="17365D"/>
          </w:tcPr>
          <w:p>
            <w:r>
              <w:rPr>
                <w:b/>
                <w:color w:val="FFFFFF"/>
                <w:sz w:val="16"/>
              </w:rPr>
              <w:t>Scope</w:t>
            </w:r>
          </w:p>
        </w:tc>
        <w:tc>
          <w:tcPr>
            <w:tcW w:type="dxa" w:w="2340"/>
            <w:shd w:fill="17365D"/>
          </w:tcPr>
          <w:p>
            <w:r>
              <w:rPr>
                <w:b/>
                <w:color w:val="FFFFFF"/>
                <w:sz w:val="16"/>
              </w:rPr>
              <w:t>Result</w:t>
            </w:r>
          </w:p>
        </w:tc>
        <w:tc>
          <w:tcPr>
            <w:tcW w:type="dxa" w:w="2340"/>
            <w:shd w:fill="17365D"/>
          </w:tcPr>
          <w:p>
            <w:r>
              <w:rPr>
                <w:b/>
                <w:color w:val="FFFFFF"/>
                <w:sz w:val="16"/>
              </w:rPr>
              <w:t>Limitation</w:t>
            </w:r>
          </w:p>
        </w:tc>
      </w:tr>
      <w:tr>
        <w:trPr>
          <w:cantSplit/>
        </w:trPr>
        <w:tc>
          <w:tcPr>
            <w:tcW w:type="dxa" w:w="2340"/>
            <w:vAlign w:val="top"/>
          </w:tcPr>
          <w:p>
            <w:pPr>
              <w:spacing w:after="20"/>
            </w:pPr>
            <w:r>
              <w:rPr>
                <w:sz w:val="15"/>
              </w:rPr>
              <w:t>Archive safety</w:t>
            </w:r>
          </w:p>
        </w:tc>
        <w:tc>
          <w:tcPr>
            <w:tcW w:type="dxa" w:w="2340"/>
            <w:vAlign w:val="top"/>
          </w:tcPr>
          <w:p>
            <w:pPr>
              <w:spacing w:after="20"/>
            </w:pPr>
            <w:r>
              <w:rPr>
                <w:sz w:val="15"/>
              </w:rPr>
              <w:t>7 npm members</w:t>
            </w:r>
          </w:p>
        </w:tc>
        <w:tc>
          <w:tcPr>
            <w:tcW w:type="dxa" w:w="2340"/>
            <w:vAlign w:val="top"/>
          </w:tcPr>
          <w:p>
            <w:pPr>
              <w:spacing w:after="20"/>
            </w:pPr>
            <w:r>
              <w:rPr>
                <w:sz w:val="15"/>
              </w:rPr>
              <w:t>No traversal, links or device entries</w:t>
            </w:r>
          </w:p>
        </w:tc>
        <w:tc>
          <w:tcPr>
            <w:tcW w:type="dxa" w:w="2340"/>
            <w:vAlign w:val="top"/>
          </w:tcPr>
          <w:p>
            <w:pPr>
              <w:spacing w:after="20"/>
            </w:pPr>
            <w:r>
              <w:rPr>
                <w:sz w:val="15"/>
              </w:rPr>
              <w:t>Does not establish runtime safety</w:t>
            </w:r>
          </w:p>
        </w:tc>
      </w:tr>
      <w:tr>
        <w:trPr>
          <w:cantSplit/>
        </w:trPr>
        <w:tc>
          <w:tcPr>
            <w:tcW w:type="dxa" w:w="2340"/>
            <w:vAlign w:val="top"/>
            <w:shd w:fill="EEF4F7"/>
          </w:tcPr>
          <w:p>
            <w:pPr>
              <w:spacing w:after="20"/>
            </w:pPr>
            <w:r>
              <w:rPr>
                <w:sz w:val="15"/>
              </w:rPr>
              <w:t>Semgrep</w:t>
            </w:r>
          </w:p>
        </w:tc>
        <w:tc>
          <w:tcPr>
            <w:tcW w:type="dxa" w:w="2340"/>
            <w:vAlign w:val="top"/>
            <w:shd w:fill="EEF4F7"/>
          </w:tcPr>
          <w:p>
            <w:pPr>
              <w:spacing w:after="20"/>
            </w:pPr>
            <w:r>
              <w:rPr>
                <w:sz w:val="15"/>
              </w:rPr>
              <w:t>7 files; 381 rules</w:t>
            </w:r>
          </w:p>
        </w:tc>
        <w:tc>
          <w:tcPr>
            <w:tcW w:type="dxa" w:w="2340"/>
            <w:vAlign w:val="top"/>
            <w:shd w:fill="EEF4F7"/>
          </w:tcPr>
          <w:p>
            <w:pPr>
              <w:spacing w:after="20"/>
            </w:pPr>
            <w:r>
              <w:rPr>
                <w:sz w:val="15"/>
              </w:rPr>
              <w:t>0 findings</w:t>
            </w:r>
          </w:p>
        </w:tc>
        <w:tc>
          <w:tcPr>
            <w:tcW w:type="dxa" w:w="2340"/>
            <w:vAlign w:val="top"/>
            <w:shd w:fill="EEF4F7"/>
          </w:tcPr>
          <w:p>
            <w:pPr>
              <w:spacing w:after="20"/>
            </w:pPr>
            <w:r>
              <w:rPr>
                <w:sz w:val="15"/>
              </w:rPr>
              <w:t>2 internal matching errors</w:t>
            </w:r>
          </w:p>
        </w:tc>
      </w:tr>
      <w:tr>
        <w:trPr>
          <w:cantSplit/>
        </w:trPr>
        <w:tc>
          <w:tcPr>
            <w:tcW w:type="dxa" w:w="2340"/>
            <w:vAlign w:val="top"/>
          </w:tcPr>
          <w:p>
            <w:pPr>
              <w:spacing w:after="20"/>
            </w:pPr>
            <w:r>
              <w:rPr>
                <w:sz w:val="15"/>
              </w:rPr>
              <w:t>Manual static review</w:t>
            </w:r>
          </w:p>
        </w:tc>
        <w:tc>
          <w:tcPr>
            <w:tcW w:type="dxa" w:w="2340"/>
            <w:vAlign w:val="top"/>
          </w:tcPr>
          <w:p>
            <w:pPr>
              <w:spacing w:after="20"/>
            </w:pPr>
            <w:r>
              <w:rPr>
                <w:sz w:val="15"/>
              </w:rPr>
              <w:t>CLI, MCP entry and declarations</w:t>
            </w:r>
          </w:p>
        </w:tc>
        <w:tc>
          <w:tcPr>
            <w:tcW w:type="dxa" w:w="2340"/>
            <w:vAlign w:val="top"/>
          </w:tcPr>
          <w:p>
            <w:pPr>
              <w:spacing w:after="20"/>
            </w:pPr>
            <w:r>
              <w:rPr>
                <w:sz w:val="15"/>
              </w:rPr>
              <w:t>Browser and unsafe-code authority confirmed</w:t>
            </w:r>
          </w:p>
        </w:tc>
        <w:tc>
          <w:tcPr>
            <w:tcW w:type="dxa" w:w="2340"/>
            <w:vAlign w:val="top"/>
          </w:tcPr>
          <w:p>
            <w:pPr>
              <w:spacing w:after="20"/>
            </w:pPr>
            <w:r>
              <w:rPr>
                <w:sz w:val="15"/>
              </w:rPr>
              <w:t>Bundled dependencies external</w:t>
            </w:r>
          </w:p>
        </w:tc>
      </w:tr>
      <w:tr>
        <w:trPr>
          <w:cantSplit/>
        </w:trPr>
        <w:tc>
          <w:tcPr>
            <w:tcW w:type="dxa" w:w="2340"/>
            <w:vAlign w:val="top"/>
            <w:shd w:fill="EEF4F7"/>
          </w:tcPr>
          <w:p>
            <w:pPr>
              <w:spacing w:after="20"/>
            </w:pPr>
            <w:r>
              <w:rPr>
                <w:sz w:val="15"/>
              </w:rPr>
              <w:t>OSV</w:t>
            </w:r>
          </w:p>
        </w:tc>
        <w:tc>
          <w:tcPr>
            <w:tcW w:type="dxa" w:w="2340"/>
            <w:vAlign w:val="top"/>
            <w:shd w:fill="EEF4F7"/>
          </w:tcPr>
          <w:p>
            <w:pPr>
              <w:spacing w:after="20"/>
            </w:pPr>
            <w:r>
              <w:rPr>
                <w:sz w:val="15"/>
              </w:rPr>
              <w:t>Analysis lock</w:t>
            </w:r>
          </w:p>
        </w:tc>
        <w:tc>
          <w:tcPr>
            <w:tcW w:type="dxa" w:w="2340"/>
            <w:vAlign w:val="top"/>
            <w:shd w:fill="EEF4F7"/>
          </w:tcPr>
          <w:p>
            <w:pPr>
              <w:spacing w:after="20"/>
            </w:pPr>
            <w:r>
              <w:rPr>
                <w:sz w:val="15"/>
              </w:rPr>
              <w:t>1 Moderate dev-only finding</w:t>
            </w:r>
          </w:p>
        </w:tc>
        <w:tc>
          <w:tcPr>
            <w:tcW w:type="dxa" w:w="2340"/>
            <w:vAlign w:val="top"/>
            <w:shd w:fill="EEF4F7"/>
          </w:tcPr>
          <w:p>
            <w:pPr>
              <w:spacing w:after="20"/>
            </w:pPr>
            <w:r>
              <w:rPr>
                <w:sz w:val="15"/>
              </w:rPr>
              <w:t>Not in published runtime path</w:t>
            </w:r>
          </w:p>
        </w:tc>
      </w:tr>
      <w:tr>
        <w:trPr>
          <w:cantSplit/>
        </w:trPr>
        <w:tc>
          <w:tcPr>
            <w:tcW w:type="dxa" w:w="2340"/>
            <w:vAlign w:val="top"/>
          </w:tcPr>
          <w:p>
            <w:pPr>
              <w:spacing w:after="20"/>
            </w:pPr>
            <w:r>
              <w:rPr>
                <w:sz w:val="15"/>
              </w:rPr>
              <w:t>ClamAV</w:t>
            </w:r>
          </w:p>
        </w:tc>
        <w:tc>
          <w:tcPr>
            <w:tcW w:type="dxa" w:w="2340"/>
            <w:vAlign w:val="top"/>
          </w:tcPr>
          <w:p>
            <w:pPr>
              <w:spacing w:after="20"/>
            </w:pPr>
            <w:r>
              <w:rPr>
                <w:sz w:val="15"/>
              </w:rPr>
              <w:t>7 extracted files</w:t>
            </w:r>
          </w:p>
        </w:tc>
        <w:tc>
          <w:tcPr>
            <w:tcW w:type="dxa" w:w="2340"/>
            <w:vAlign w:val="top"/>
          </w:tcPr>
          <w:p>
            <w:pPr>
              <w:spacing w:after="20"/>
            </w:pPr>
            <w:r>
              <w:rPr>
                <w:sz w:val="15"/>
              </w:rPr>
              <w:t>0 infected</w:t>
            </w:r>
          </w:p>
        </w:tc>
        <w:tc>
          <w:tcPr>
            <w:tcW w:type="dxa" w:w="2340"/>
            <w:vAlign w:val="top"/>
          </w:tcPr>
          <w:p>
            <w:pPr>
              <w:spacing w:after="20"/>
            </w:pPr>
            <w:r>
              <w:rPr>
                <w:sz w:val="15"/>
              </w:rPr>
              <w:t>Signature absence is not approval</w:t>
            </w:r>
          </w:p>
        </w:tc>
      </w:tr>
      <w:tr>
        <w:trPr>
          <w:cantSplit/>
        </w:trPr>
        <w:tc>
          <w:tcPr>
            <w:tcW w:type="dxa" w:w="2340"/>
            <w:vAlign w:val="top"/>
            <w:shd w:fill="EEF4F7"/>
          </w:tcPr>
          <w:p>
            <w:pPr>
              <w:spacing w:after="20"/>
            </w:pPr>
            <w:r>
              <w:rPr>
                <w:sz w:val="15"/>
              </w:rPr>
              <w:t>YARA</w:t>
            </w:r>
          </w:p>
        </w:tc>
        <w:tc>
          <w:tcPr>
            <w:tcW w:type="dxa" w:w="2340"/>
            <w:vAlign w:val="top"/>
            <w:shd w:fill="EEF4F7"/>
          </w:tcPr>
          <w:p>
            <w:pPr>
              <w:spacing w:after="20"/>
            </w:pPr>
            <w:r>
              <w:rPr>
                <w:sz w:val="15"/>
              </w:rPr>
              <w:t>7 extracted files</w:t>
            </w:r>
          </w:p>
        </w:tc>
        <w:tc>
          <w:tcPr>
            <w:tcW w:type="dxa" w:w="2340"/>
            <w:vAlign w:val="top"/>
            <w:shd w:fill="EEF4F7"/>
          </w:tcPr>
          <w:p>
            <w:pPr>
              <w:spacing w:after="20"/>
            </w:pPr>
            <w:r>
              <w:rPr>
                <w:sz w:val="15"/>
              </w:rPr>
              <w:t>0 matches</w:t>
            </w:r>
          </w:p>
        </w:tc>
        <w:tc>
          <w:tcPr>
            <w:tcW w:type="dxa" w:w="2340"/>
            <w:vAlign w:val="top"/>
            <w:shd w:fill="EEF4F7"/>
          </w:tcPr>
          <w:p>
            <w:pPr>
              <w:spacing w:after="20"/>
            </w:pPr>
            <w:r>
              <w:rPr>
                <w:sz w:val="15"/>
              </w:rPr>
              <w:t>Heuristic rules are not exhaustive</w:t>
            </w:r>
          </w:p>
        </w:tc>
      </w:tr>
      <w:tr>
        <w:trPr>
          <w:cantSplit/>
        </w:trPr>
        <w:tc>
          <w:tcPr>
            <w:tcW w:type="dxa" w:w="2340"/>
            <w:vAlign w:val="top"/>
          </w:tcPr>
          <w:p>
            <w:pPr>
              <w:spacing w:after="20"/>
            </w:pPr>
            <w:r>
              <w:rPr>
                <w:sz w:val="15"/>
              </w:rPr>
              <w:t>Dynamic analysis</w:t>
            </w:r>
          </w:p>
        </w:tc>
        <w:tc>
          <w:tcPr>
            <w:tcW w:type="dxa" w:w="2340"/>
            <w:vAlign w:val="top"/>
          </w:tcPr>
          <w:p>
            <w:pPr>
              <w:spacing w:after="20"/>
            </w:pPr>
            <w:r>
              <w:rPr>
                <w:sz w:val="15"/>
              </w:rPr>
              <w:t>Requested IDEs and browsers</w:t>
            </w:r>
          </w:p>
        </w:tc>
        <w:tc>
          <w:tcPr>
            <w:tcW w:type="dxa" w:w="2340"/>
            <w:vAlign w:val="top"/>
          </w:tcPr>
          <w:p>
            <w:pPr>
              <w:spacing w:after="20"/>
            </w:pPr>
            <w:r>
              <w:rPr>
                <w:sz w:val="15"/>
              </w:rPr>
              <w:t>Blocked</w:t>
            </w:r>
          </w:p>
        </w:tc>
        <w:tc>
          <w:tcPr>
            <w:tcW w:type="dxa" w:w="2340"/>
            <w:vAlign w:val="top"/>
          </w:tcPr>
          <w:p>
            <w:pPr>
              <w:spacing w:after="20"/>
            </w:pPr>
            <w:r>
              <w:rPr>
                <w:sz w:val="15"/>
              </w:rPr>
              <w:t>No disposable representative hosts</w:t>
            </w:r>
          </w:p>
        </w:tc>
      </w:tr>
    </w:tbl>
    <w:p/>
    <w:p>
      <w:pPr>
        <w:pStyle w:val="Heading1"/>
      </w:pPr>
      <w:r>
        <w:t>Consolidated Supply Chain Assessment Update</w:t>
      </w:r>
    </w:p>
    <w:p>
      <w:r>
        <w:t>The npm registry provides exact integrity, a registry signature, SLSA provenance, and a Microsoft repository link. The archive has only seven files and exact alpha Playwright dependencies. A generated analysis lock contained 98 total production and development package records; current OSV identified one Moderate dev-only Hono adapter issue. Production promotion must reproduce the dependency graph, exclude development-only components, pin exact hashes, generate an SBOM, verify provenance, and reassess on dependency or browser binary drift.</w:t>
      </w:r>
    </w:p>
    <w:p>
      <w:pPr>
        <w:pStyle w:val="Heading1"/>
      </w:pPr>
      <w:r>
        <w:t>Consolidated Privacy and Data Protection Update</w:t>
      </w:r>
    </w:p>
    <w:p>
      <w:r>
        <w:t>A browser automation server can observe page content, DOM accessibility trees, forms, authentication sessions, cookies or storage state, screenshots, downloads, uploads, clipboard-adjacent data, and internal web applications. Returned observations enter the IDE and model context. Persistent profiles and storage-state files are especially sensitive. Enterprise use requires ephemeral profiles, synthetic accounts, deny-by-default network policy, download and upload controls, DLP, retention limits, visible invocation, and a DPIA trigger decision.</w:t>
      </w:r>
    </w:p>
    <w:p>
      <w:pPr>
        <w:pStyle w:val="Heading1"/>
      </w:pPr>
      <w:r>
        <w:t>Cross-IDE Comparison</w:t>
      </w:r>
    </w:p>
    <w:tbl>
      <w:tblPr>
        <w:tblStyle w:val="TableGrid"/>
        <w:tblW w:type="auto" w:w="0"/>
        <w:jc w:val="center"/>
        <w:tblLook w:firstColumn="1" w:firstRow="1" w:lastColumn="0" w:lastRow="0" w:noHBand="0" w:noVBand="1" w:val="04A0"/>
      </w:tblPr>
      <w:tblGrid>
        <w:gridCol w:w="2340"/>
        <w:gridCol w:w="2340"/>
        <w:gridCol w:w="2340"/>
        <w:gridCol w:w="2340"/>
      </w:tblGrid>
      <w:tr>
        <w:trPr>
          <w:tblHeader/>
          <w:cantSplit/>
        </w:trPr>
        <w:tc>
          <w:tcPr>
            <w:tcW w:type="dxa" w:w="2340"/>
            <w:shd w:fill="17365D"/>
          </w:tcPr>
          <w:p>
            <w:r>
              <w:rPr>
                <w:b/>
                <w:color w:val="FFFFFF"/>
                <w:sz w:val="16"/>
              </w:rPr>
              <w:t>Dimension</w:t>
            </w:r>
          </w:p>
        </w:tc>
        <w:tc>
          <w:tcPr>
            <w:tcW w:type="dxa" w:w="2340"/>
            <w:shd w:fill="17365D"/>
          </w:tcPr>
          <w:p>
            <w:r>
              <w:rPr>
                <w:b/>
                <w:color w:val="FFFFFF"/>
                <w:sz w:val="16"/>
              </w:rPr>
              <w:t>VS Code Windows 11</w:t>
            </w:r>
          </w:p>
        </w:tc>
        <w:tc>
          <w:tcPr>
            <w:tcW w:type="dxa" w:w="2340"/>
            <w:shd w:fill="17365D"/>
          </w:tcPr>
          <w:p>
            <w:r>
              <w:rPr>
                <w:b/>
                <w:color w:val="FFFFFF"/>
                <w:sz w:val="16"/>
              </w:rPr>
              <w:t>VS Code macOS</w:t>
            </w:r>
          </w:p>
        </w:tc>
        <w:tc>
          <w:tcPr>
            <w:tcW w:type="dxa" w:w="2340"/>
            <w:shd w:fill="17365D"/>
          </w:tcPr>
          <w:p>
            <w:r>
              <w:rPr>
                <w:b/>
                <w:color w:val="FFFFFF"/>
                <w:sz w:val="16"/>
              </w:rPr>
              <w:t>Visual Studio Windows 11</w:t>
            </w:r>
          </w:p>
        </w:tc>
      </w:tr>
      <w:tr>
        <w:trPr>
          <w:cantSplit/>
        </w:trPr>
        <w:tc>
          <w:tcPr>
            <w:tcW w:type="dxa" w:w="2340"/>
            <w:vAlign w:val="top"/>
          </w:tcPr>
          <w:p>
            <w:pPr>
              <w:spacing w:after="20"/>
            </w:pPr>
            <w:r>
              <w:rPr>
                <w:sz w:val="15"/>
              </w:rPr>
              <w:t>Assessment decision</w:t>
            </w:r>
          </w:p>
        </w:tc>
        <w:tc>
          <w:tcPr>
            <w:tcW w:type="dxa" w:w="2340"/>
            <w:vAlign w:val="top"/>
          </w:tcPr>
          <w:p>
            <w:pPr>
              <w:spacing w:after="20"/>
            </w:pPr>
            <w:r>
              <w:rPr>
                <w:sz w:val="15"/>
              </w:rPr>
              <w:t>As stated in the current recommendation</w:t>
            </w:r>
          </w:p>
        </w:tc>
        <w:tc>
          <w:tcPr>
            <w:tcW w:type="dxa" w:w="2340"/>
            <w:vAlign w:val="top"/>
          </w:tcPr>
          <w:p>
            <w:pPr>
              <w:spacing w:after="20"/>
            </w:pPr>
            <w:r>
              <w:rPr>
                <w:sz w:val="15"/>
              </w:rPr>
              <w:t>As stated in the current recommendation</w:t>
            </w:r>
          </w:p>
        </w:tc>
        <w:tc>
          <w:tcPr>
            <w:tcW w:type="dxa" w:w="2340"/>
            <w:vAlign w:val="top"/>
          </w:tcPr>
          <w:p>
            <w:pPr>
              <w:spacing w:after="20"/>
            </w:pPr>
            <w:r>
              <w:rPr>
                <w:sz w:val="15"/>
              </w:rPr>
              <w:t>As stated in the current recommendation</w:t>
            </w:r>
          </w:p>
        </w:tc>
      </w:tr>
      <w:tr>
        <w:trPr>
          <w:cantSplit/>
        </w:trPr>
        <w:tc>
          <w:tcPr>
            <w:tcW w:type="dxa" w:w="2340"/>
            <w:vAlign w:val="top"/>
            <w:shd w:fill="EEF4F7"/>
          </w:tcPr>
          <w:p>
            <w:pPr>
              <w:spacing w:after="20"/>
            </w:pPr>
            <w:r>
              <w:rPr>
                <w:sz w:val="15"/>
              </w:rPr>
              <w:t>Runtime evidence</w:t>
            </w:r>
          </w:p>
        </w:tc>
        <w:tc>
          <w:tcPr>
            <w:tcW w:type="dxa" w:w="2340"/>
            <w:vAlign w:val="top"/>
            <w:shd w:fill="EEF4F7"/>
          </w:tcPr>
          <w:p>
            <w:pPr>
              <w:spacing w:after="20"/>
            </w:pPr>
            <w:r>
              <w:rPr>
                <w:sz w:val="15"/>
              </w:rPr>
              <w:t>Blocked: no disposable representative Windows 11/macOS VS Code or Windows 11 Visual Studio host was available</w:t>
            </w:r>
          </w:p>
        </w:tc>
        <w:tc>
          <w:tcPr>
            <w:tcW w:type="dxa" w:w="2340"/>
            <w:vAlign w:val="top"/>
            <w:shd w:fill="EEF4F7"/>
          </w:tcPr>
          <w:p>
            <w:pPr>
              <w:spacing w:after="20"/>
            </w:pPr>
            <w:r>
              <w:rPr>
                <w:sz w:val="15"/>
              </w:rPr>
              <w:t>Blocked: no disposable representative Windows 11/macOS VS Code or Windows 11 Visual Studio host was available</w:t>
            </w:r>
          </w:p>
        </w:tc>
        <w:tc>
          <w:tcPr>
            <w:tcW w:type="dxa" w:w="2340"/>
            <w:vAlign w:val="top"/>
            <w:shd w:fill="EEF4F7"/>
          </w:tcPr>
          <w:p>
            <w:pPr>
              <w:spacing w:after="20"/>
            </w:pPr>
            <w:r>
              <w:rPr>
                <w:sz w:val="15"/>
              </w:rPr>
              <w:t>Blocked: no disposable representative Windows 11/macOS VS Code or Windows 11 Visual Studio host was available</w:t>
            </w:r>
          </w:p>
        </w:tc>
      </w:tr>
      <w:tr>
        <w:trPr>
          <w:cantSplit/>
        </w:trPr>
        <w:tc>
          <w:tcPr>
            <w:tcW w:type="dxa" w:w="2340"/>
            <w:vAlign w:val="top"/>
          </w:tcPr>
          <w:p>
            <w:pPr>
              <w:spacing w:after="20"/>
            </w:pPr>
            <w:r>
              <w:rPr>
                <w:sz w:val="15"/>
              </w:rPr>
              <w:t>Required isolation</w:t>
            </w:r>
          </w:p>
        </w:tc>
        <w:tc>
          <w:tcPr>
            <w:tcW w:type="dxa" w:w="2340"/>
            <w:vAlign w:val="top"/>
          </w:tcPr>
          <w:p>
            <w:pPr>
              <w:spacing w:after="20"/>
            </w:pPr>
            <w:r>
              <w:rPr>
                <w:sz w:val="15"/>
              </w:rPr>
              <w:t>Enterprise policy and disposable test host</w:t>
            </w:r>
          </w:p>
        </w:tc>
        <w:tc>
          <w:tcPr>
            <w:tcW w:type="dxa" w:w="2340"/>
            <w:vAlign w:val="top"/>
          </w:tcPr>
          <w:p>
            <w:pPr>
              <w:spacing w:after="20"/>
            </w:pPr>
            <w:r>
              <w:rPr>
                <w:sz w:val="15"/>
              </w:rPr>
              <w:t>Enterprise policy and disposable test host</w:t>
            </w:r>
          </w:p>
        </w:tc>
        <w:tc>
          <w:tcPr>
            <w:tcW w:type="dxa" w:w="2340"/>
            <w:vAlign w:val="top"/>
          </w:tcPr>
          <w:p>
            <w:pPr>
              <w:spacing w:after="20"/>
            </w:pPr>
            <w:r>
              <w:rPr>
                <w:sz w:val="15"/>
              </w:rPr>
              <w:t>Enterprise policy and disposable test host</w:t>
            </w:r>
          </w:p>
        </w:tc>
      </w:tr>
      <w:tr>
        <w:trPr>
          <w:cantSplit/>
        </w:trPr>
        <w:tc>
          <w:tcPr>
            <w:tcW w:type="dxa" w:w="2340"/>
            <w:vAlign w:val="top"/>
            <w:shd w:fill="EEF4F7"/>
          </w:tcPr>
          <w:p>
            <w:pPr>
              <w:spacing w:after="20"/>
            </w:pPr>
            <w:r>
              <w:rPr>
                <w:sz w:val="15"/>
              </w:rPr>
              <w:t>Lifecycle evidence</w:t>
            </w:r>
          </w:p>
        </w:tc>
        <w:tc>
          <w:tcPr>
            <w:tcW w:type="dxa" w:w="2340"/>
            <w:vAlign w:val="top"/>
            <w:shd w:fill="EEF4F7"/>
          </w:tcPr>
          <w:p>
            <w:pPr>
              <w:spacing w:after="20"/>
            </w:pPr>
            <w:r>
              <w:rPr>
                <w:sz w:val="15"/>
              </w:rPr>
              <w:t>Activation, update, rollback and uninstall require verification</w:t>
            </w:r>
          </w:p>
        </w:tc>
        <w:tc>
          <w:tcPr>
            <w:tcW w:type="dxa" w:w="2340"/>
            <w:vAlign w:val="top"/>
            <w:shd w:fill="EEF4F7"/>
          </w:tcPr>
          <w:p>
            <w:pPr>
              <w:spacing w:after="20"/>
            </w:pPr>
            <w:r>
              <w:rPr>
                <w:sz w:val="15"/>
              </w:rPr>
              <w:t>Activation, update, rollback and uninstall require verification</w:t>
            </w:r>
          </w:p>
        </w:tc>
        <w:tc>
          <w:tcPr>
            <w:tcW w:type="dxa" w:w="2340"/>
            <w:vAlign w:val="top"/>
            <w:shd w:fill="EEF4F7"/>
          </w:tcPr>
          <w:p>
            <w:pPr>
              <w:spacing w:after="20"/>
            </w:pPr>
            <w:r>
              <w:rPr>
                <w:sz w:val="15"/>
              </w:rPr>
              <w:t>Activation, update, rollback and uninstall require verification</w:t>
            </w:r>
          </w:p>
        </w:tc>
      </w:tr>
    </w:tbl>
    <w:p/>
    <w:p>
      <w:pPr>
        <w:pStyle w:val="Heading1"/>
      </w:pPr>
      <w:r>
        <w:t>Control Strength and Assurance</w:t>
      </w:r>
    </w:p>
    <w:p>
      <w:r>
        <w:t>Control strength is rated by what is demonstrably enforced, not by policy intent. A strong preventive control blocks an unsafe action at the process, identity, network, package, or tool boundary. A detective control identifies behavior after or during execution and therefore does not replace prevention. Governance and human approval controls are necessary but weaker when attacker-controlled content can influence an agent. Controls marked proposed or unverified do not reduce the current residual score.</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cantSplit/>
        </w:trPr>
        <w:tc>
          <w:tcPr>
            <w:tcW w:type="dxa" w:w="1872"/>
            <w:shd w:fill="17365D"/>
          </w:tcPr>
          <w:p>
            <w:r>
              <w:rPr>
                <w:b/>
                <w:color w:val="FFFFFF"/>
                <w:sz w:val="16"/>
              </w:rPr>
              <w:t>Milestone / target date</w:t>
            </w:r>
          </w:p>
        </w:tc>
        <w:tc>
          <w:tcPr>
            <w:tcW w:type="dxa" w:w="1872"/>
            <w:shd w:fill="17365D"/>
          </w:tcPr>
          <w:p>
            <w:r>
              <w:rPr>
                <w:b/>
                <w:color w:val="FFFFFF"/>
                <w:sz w:val="16"/>
              </w:rPr>
              <w:t>Owner</w:t>
            </w:r>
          </w:p>
        </w:tc>
        <w:tc>
          <w:tcPr>
            <w:tcW w:type="dxa" w:w="1872"/>
            <w:shd w:fill="17365D"/>
          </w:tcPr>
          <w:p>
            <w:r>
              <w:rPr>
                <w:b/>
                <w:color w:val="FFFFFF"/>
                <w:sz w:val="16"/>
              </w:rPr>
              <w:t>Control</w:t>
            </w:r>
          </w:p>
        </w:tc>
        <w:tc>
          <w:tcPr>
            <w:tcW w:type="dxa" w:w="1872"/>
            <w:shd w:fill="17365D"/>
          </w:tcPr>
          <w:p>
            <w:r>
              <w:rPr>
                <w:b/>
                <w:color w:val="FFFFFF"/>
                <w:sz w:val="16"/>
              </w:rPr>
              <w:t>Strength</w:t>
            </w:r>
          </w:p>
        </w:tc>
        <w:tc>
          <w:tcPr>
            <w:tcW w:type="dxa" w:w="1872"/>
            <w:shd w:fill="17365D"/>
          </w:tcPr>
          <w:p>
            <w:r>
              <w:rPr>
                <w:b/>
                <w:color w:val="FFFFFF"/>
                <w:sz w:val="16"/>
              </w:rPr>
              <w:t>Acceptance test</w:t>
            </w:r>
          </w:p>
        </w:tc>
      </w:tr>
      <w:tr>
        <w:trPr>
          <w:cantSplit/>
        </w:trPr>
        <w:tc>
          <w:tcPr>
            <w:tcW w:type="dxa" w:w="1872"/>
            <w:vAlign w:val="top"/>
          </w:tcPr>
          <w:p>
            <w:pPr>
              <w:spacing w:after="20"/>
            </w:pPr>
            <w:r>
              <w:rPr>
                <w:sz w:val="15"/>
              </w:rPr>
              <w:t>Before pilot</w:t>
            </w:r>
          </w:p>
        </w:tc>
        <w:tc>
          <w:tcPr>
            <w:tcW w:type="dxa" w:w="1872"/>
            <w:vAlign w:val="top"/>
          </w:tcPr>
          <w:p>
            <w:pPr>
              <w:spacing w:after="20"/>
            </w:pPr>
            <w:r>
              <w:rPr>
                <w:sz w:val="15"/>
              </w:rPr>
              <w:t>Supply chain</w:t>
            </w:r>
          </w:p>
        </w:tc>
        <w:tc>
          <w:tcPr>
            <w:tcW w:type="dxa" w:w="1872"/>
            <w:vAlign w:val="top"/>
          </w:tcPr>
          <w:p>
            <w:pPr>
              <w:spacing w:after="20"/>
            </w:pPr>
            <w:r>
              <w:rPr>
                <w:sz w:val="15"/>
              </w:rPr>
              <w:t>Mirror exact package and alpha dependencies by hash</w:t>
            </w:r>
          </w:p>
        </w:tc>
        <w:tc>
          <w:tcPr>
            <w:tcW w:type="dxa" w:w="1872"/>
            <w:vAlign w:val="top"/>
          </w:tcPr>
          <w:p>
            <w:pPr>
              <w:spacing w:after="20"/>
            </w:pPr>
            <w:r>
              <w:rPr>
                <w:sz w:val="15"/>
              </w:rPr>
              <w:t>Strong preventive</w:t>
            </w:r>
          </w:p>
        </w:tc>
        <w:tc>
          <w:tcPr>
            <w:tcW w:type="dxa" w:w="1872"/>
            <w:vAlign w:val="top"/>
          </w:tcPr>
          <w:p>
            <w:pPr>
              <w:spacing w:after="20"/>
            </w:pPr>
            <w:r>
              <w:rPr>
                <w:sz w:val="15"/>
              </w:rPr>
              <w:t>Offline integrity and SBOM validation</w:t>
            </w:r>
          </w:p>
        </w:tc>
      </w:tr>
      <w:tr>
        <w:trPr>
          <w:cantSplit/>
        </w:trPr>
        <w:tc>
          <w:tcPr>
            <w:tcW w:type="dxa" w:w="1872"/>
            <w:vAlign w:val="top"/>
            <w:shd w:fill="EEF4F7"/>
          </w:tcPr>
          <w:p>
            <w:pPr>
              <w:spacing w:after="20"/>
            </w:pPr>
            <w:r>
              <w:rPr>
                <w:sz w:val="15"/>
              </w:rPr>
              <w:t>Before pilot</w:t>
            </w:r>
          </w:p>
        </w:tc>
        <w:tc>
          <w:tcPr>
            <w:tcW w:type="dxa" w:w="1872"/>
            <w:vAlign w:val="top"/>
            <w:shd w:fill="EEF4F7"/>
          </w:tcPr>
          <w:p>
            <w:pPr>
              <w:spacing w:after="20"/>
            </w:pPr>
            <w:r>
              <w:rPr>
                <w:sz w:val="15"/>
              </w:rPr>
              <w:t>IDE platform</w:t>
            </w:r>
          </w:p>
        </w:tc>
        <w:tc>
          <w:tcPr>
            <w:tcW w:type="dxa" w:w="1872"/>
            <w:vAlign w:val="top"/>
            <w:shd w:fill="EEF4F7"/>
          </w:tcPr>
          <w:p>
            <w:pPr>
              <w:spacing w:after="20"/>
            </w:pPr>
            <w:r>
              <w:rPr>
                <w:sz w:val="15"/>
              </w:rPr>
              <w:t>Deny browser_run_code_unsafe and unapproved tools</w:t>
            </w:r>
          </w:p>
        </w:tc>
        <w:tc>
          <w:tcPr>
            <w:tcW w:type="dxa" w:w="1872"/>
            <w:vAlign w:val="top"/>
            <w:shd w:fill="EEF4F7"/>
          </w:tcPr>
          <w:p>
            <w:pPr>
              <w:spacing w:after="20"/>
            </w:pPr>
            <w:r>
              <w:rPr>
                <w:sz w:val="15"/>
              </w:rPr>
              <w:t>Strong preventive</w:t>
            </w:r>
          </w:p>
        </w:tc>
        <w:tc>
          <w:tcPr>
            <w:tcW w:type="dxa" w:w="1872"/>
            <w:vAlign w:val="top"/>
            <w:shd w:fill="EEF4F7"/>
          </w:tcPr>
          <w:p>
            <w:pPr>
              <w:spacing w:after="20"/>
            </w:pPr>
            <w:r>
              <w:rPr>
                <w:sz w:val="15"/>
              </w:rPr>
              <w:t>Negative tool-list and invocation tests</w:t>
            </w:r>
          </w:p>
        </w:tc>
      </w:tr>
      <w:tr>
        <w:trPr>
          <w:cantSplit/>
        </w:trPr>
        <w:tc>
          <w:tcPr>
            <w:tcW w:type="dxa" w:w="1872"/>
            <w:vAlign w:val="top"/>
          </w:tcPr>
          <w:p>
            <w:pPr>
              <w:spacing w:after="20"/>
            </w:pPr>
            <w:r>
              <w:rPr>
                <w:sz w:val="15"/>
              </w:rPr>
              <w:t>Before pilot</w:t>
            </w:r>
          </w:p>
        </w:tc>
        <w:tc>
          <w:tcPr>
            <w:tcW w:type="dxa" w:w="1872"/>
            <w:vAlign w:val="top"/>
          </w:tcPr>
          <w:p>
            <w:pPr>
              <w:spacing w:after="20"/>
            </w:pPr>
            <w:r>
              <w:rPr>
                <w:sz w:val="15"/>
              </w:rPr>
              <w:t>Endpoint</w:t>
            </w:r>
          </w:p>
        </w:tc>
        <w:tc>
          <w:tcPr>
            <w:tcW w:type="dxa" w:w="1872"/>
            <w:vAlign w:val="top"/>
          </w:tcPr>
          <w:p>
            <w:pPr>
              <w:spacing w:after="20"/>
            </w:pPr>
            <w:r>
              <w:rPr>
                <w:sz w:val="15"/>
              </w:rPr>
              <w:t>Ephemeral sandboxed browser profile and synthetic identity</w:t>
            </w:r>
          </w:p>
        </w:tc>
        <w:tc>
          <w:tcPr>
            <w:tcW w:type="dxa" w:w="1872"/>
            <w:vAlign w:val="top"/>
          </w:tcPr>
          <w:p>
            <w:pPr>
              <w:spacing w:after="20"/>
            </w:pPr>
            <w:r>
              <w:rPr>
                <w:sz w:val="15"/>
              </w:rPr>
              <w:t>Strong preventive</w:t>
            </w:r>
          </w:p>
        </w:tc>
        <w:tc>
          <w:tcPr>
            <w:tcW w:type="dxa" w:w="1872"/>
            <w:vAlign w:val="top"/>
          </w:tcPr>
          <w:p>
            <w:pPr>
              <w:spacing w:after="20"/>
            </w:pPr>
            <w:r>
              <w:rPr>
                <w:sz w:val="15"/>
              </w:rPr>
              <w:t>Profile residue and process containment pass</w:t>
            </w:r>
          </w:p>
        </w:tc>
      </w:tr>
      <w:tr>
        <w:trPr>
          <w:cantSplit/>
        </w:trPr>
        <w:tc>
          <w:tcPr>
            <w:tcW w:type="dxa" w:w="1872"/>
            <w:vAlign w:val="top"/>
            <w:shd w:fill="EEF4F7"/>
          </w:tcPr>
          <w:p>
            <w:pPr>
              <w:spacing w:after="20"/>
            </w:pPr>
            <w:r>
              <w:rPr>
                <w:sz w:val="15"/>
              </w:rPr>
              <w:t>Before pilot</w:t>
            </w:r>
          </w:p>
        </w:tc>
        <w:tc>
          <w:tcPr>
            <w:tcW w:type="dxa" w:w="1872"/>
            <w:vAlign w:val="top"/>
            <w:shd w:fill="EEF4F7"/>
          </w:tcPr>
          <w:p>
            <w:pPr>
              <w:spacing w:after="20"/>
            </w:pPr>
            <w:r>
              <w:rPr>
                <w:sz w:val="15"/>
              </w:rPr>
              <w:t>Network security</w:t>
            </w:r>
          </w:p>
        </w:tc>
        <w:tc>
          <w:tcPr>
            <w:tcW w:type="dxa" w:w="1872"/>
            <w:vAlign w:val="top"/>
            <w:shd w:fill="EEF4F7"/>
          </w:tcPr>
          <w:p>
            <w:pPr>
              <w:spacing w:after="20"/>
            </w:pPr>
            <w:r>
              <w:rPr>
                <w:sz w:val="15"/>
              </w:rPr>
              <w:t>Deny by default; allowlist test destinations only</w:t>
            </w:r>
          </w:p>
        </w:tc>
        <w:tc>
          <w:tcPr>
            <w:tcW w:type="dxa" w:w="1872"/>
            <w:vAlign w:val="top"/>
            <w:shd w:fill="EEF4F7"/>
          </w:tcPr>
          <w:p>
            <w:pPr>
              <w:spacing w:after="20"/>
            </w:pPr>
            <w:r>
              <w:rPr>
                <w:sz w:val="15"/>
              </w:rPr>
              <w:t>Strong preventive</w:t>
            </w:r>
          </w:p>
        </w:tc>
        <w:tc>
          <w:tcPr>
            <w:tcW w:type="dxa" w:w="1872"/>
            <w:vAlign w:val="top"/>
            <w:shd w:fill="EEF4F7"/>
          </w:tcPr>
          <w:p>
            <w:pPr>
              <w:spacing w:after="20"/>
            </w:pPr>
            <w:r>
              <w:rPr>
                <w:sz w:val="15"/>
              </w:rPr>
              <w:t>Internal, metadata and redirect tests fail</w:t>
            </w:r>
          </w:p>
        </w:tc>
      </w:tr>
      <w:tr>
        <w:trPr>
          <w:cantSplit/>
        </w:trPr>
        <w:tc>
          <w:tcPr>
            <w:tcW w:type="dxa" w:w="1872"/>
            <w:vAlign w:val="top"/>
          </w:tcPr>
          <w:p>
            <w:pPr>
              <w:spacing w:after="20"/>
            </w:pPr>
            <w:r>
              <w:rPr>
                <w:sz w:val="15"/>
              </w:rPr>
              <w:t>Before pilot</w:t>
            </w:r>
          </w:p>
        </w:tc>
        <w:tc>
          <w:tcPr>
            <w:tcW w:type="dxa" w:w="1872"/>
            <w:vAlign w:val="top"/>
          </w:tcPr>
          <w:p>
            <w:pPr>
              <w:spacing w:after="20"/>
            </w:pPr>
            <w:r>
              <w:rPr>
                <w:sz w:val="15"/>
              </w:rPr>
              <w:t>Security testing</w:t>
            </w:r>
          </w:p>
        </w:tc>
        <w:tc>
          <w:tcPr>
            <w:tcW w:type="dxa" w:w="1872"/>
            <w:vAlign w:val="top"/>
          </w:tcPr>
          <w:p>
            <w:pPr>
              <w:spacing w:after="20"/>
            </w:pPr>
            <w:r>
              <w:rPr>
                <w:sz w:val="15"/>
              </w:rPr>
              <w:t>Run disposable Windows/macOS IDE acceptance</w:t>
            </w:r>
          </w:p>
        </w:tc>
        <w:tc>
          <w:tcPr>
            <w:tcW w:type="dxa" w:w="1872"/>
            <w:vAlign w:val="top"/>
          </w:tcPr>
          <w:p>
            <w:pPr>
              <w:spacing w:after="20"/>
            </w:pPr>
            <w:r>
              <w:rPr>
                <w:sz w:val="15"/>
              </w:rPr>
              <w:t>Verification</w:t>
            </w:r>
          </w:p>
        </w:tc>
        <w:tc>
          <w:tcPr>
            <w:tcW w:type="dxa" w:w="1872"/>
            <w:vAlign w:val="top"/>
          </w:tcPr>
          <w:p>
            <w:pPr>
              <w:spacing w:after="20"/>
            </w:pPr>
            <w:r>
              <w:rPr>
                <w:sz w:val="15"/>
              </w:rPr>
              <w:t>Misuse, lifecycle and cleanup protocol passes</w:t>
            </w:r>
          </w:p>
        </w:tc>
      </w:tr>
    </w:tbl>
    <w:p/>
    <w:p>
      <w:pPr>
        <w:pStyle w:val="Heading1"/>
      </w:pPr>
      <w:r>
        <w:t>Finding ID Reconciliation and Current Risk Update</w:t>
      </w:r>
    </w:p>
    <w:p>
      <w:r>
        <w:t>The regenerated report assigns stable F-xxx identifiers so findings can be tracked independently of the historical R-xx labels. Inherent and residual ratings use likelihood × impact on a 1–5 scale: 1–4 Low, 5–9 Moderate, 10–16 High, and 17–25 Critical. Residual ratings only credit controls supported by retained evidence. Findings remain open until remediated or explicitly risk-accepted by an accountable owner.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cantSplit/>
        </w:trPr>
        <w:tc>
          <w:tcPr>
            <w:tcW w:type="dxa" w:w="1560"/>
            <w:shd w:fill="17365D"/>
          </w:tcPr>
          <w:p>
            <w:r>
              <w:rPr>
                <w:b/>
                <w:color w:val="FFFFFF"/>
                <w:sz w:val="16"/>
              </w:rPr>
              <w:t>ID</w:t>
            </w:r>
          </w:p>
        </w:tc>
        <w:tc>
          <w:tcPr>
            <w:tcW w:type="dxa" w:w="1560"/>
            <w:shd w:fill="17365D"/>
          </w:tcPr>
          <w:p>
            <w:r>
              <w:rPr>
                <w:b/>
                <w:color w:val="FFFFFF"/>
                <w:sz w:val="16"/>
              </w:rPr>
              <w:t>Finding</w:t>
            </w:r>
          </w:p>
        </w:tc>
        <w:tc>
          <w:tcPr>
            <w:tcW w:type="dxa" w:w="1560"/>
            <w:shd w:fill="17365D"/>
          </w:tcPr>
          <w:p>
            <w:r>
              <w:rPr>
                <w:b/>
                <w:color w:val="FFFFFF"/>
                <w:sz w:val="16"/>
              </w:rPr>
              <w:t>Inherent</w:t>
            </w:r>
          </w:p>
        </w:tc>
        <w:tc>
          <w:tcPr>
            <w:tcW w:type="dxa" w:w="1560"/>
            <w:shd w:fill="17365D"/>
          </w:tcPr>
          <w:p>
            <w:r>
              <w:rPr>
                <w:b/>
                <w:color w:val="FFFFFF"/>
                <w:sz w:val="16"/>
              </w:rPr>
              <w:t>Residual</w:t>
            </w:r>
          </w:p>
        </w:tc>
        <w:tc>
          <w:tcPr>
            <w:tcW w:type="dxa" w:w="1560"/>
            <w:shd w:fill="17365D"/>
          </w:tcPr>
          <w:p>
            <w:r>
              <w:rPr>
                <w:b/>
                <w:color w:val="FFFFFF"/>
                <w:sz w:val="16"/>
              </w:rPr>
              <w:t>Owner / treatment</w:t>
            </w:r>
          </w:p>
        </w:tc>
        <w:tc>
          <w:tcPr>
            <w:tcW w:type="dxa" w:w="1560"/>
            <w:shd w:fill="17365D"/>
          </w:tcPr>
          <w:p>
            <w:r>
              <w:rPr>
                <w:b/>
                <w:color w:val="FFFFFF"/>
                <w:sz w:val="16"/>
              </w:rPr>
              <w:t>Target date</w:t>
            </w:r>
          </w:p>
        </w:tc>
      </w:tr>
      <w:tr>
        <w:trPr>
          <w:cantSplit/>
        </w:trPr>
        <w:tc>
          <w:tcPr>
            <w:tcW w:type="dxa" w:w="1560"/>
            <w:vAlign w:val="top"/>
          </w:tcPr>
          <w:p>
            <w:pPr>
              <w:spacing w:after="20"/>
            </w:pPr>
            <w:r>
              <w:rPr>
                <w:sz w:val="15"/>
              </w:rPr>
              <w:t>F-001</w:t>
            </w:r>
          </w:p>
        </w:tc>
        <w:tc>
          <w:tcPr>
            <w:tcW w:type="dxa" w:w="1560"/>
            <w:vAlign w:val="top"/>
          </w:tcPr>
          <w:p>
            <w:pPr>
              <w:spacing w:after="20"/>
            </w:pPr>
            <w:r>
              <w:rPr>
                <w:sz w:val="15"/>
              </w:rPr>
              <w:t>Prompt injection in page content can steer browser tools</w:t>
            </w:r>
          </w:p>
        </w:tc>
        <w:tc>
          <w:tcPr>
            <w:tcW w:type="dxa" w:w="1560"/>
            <w:vAlign w:val="top"/>
          </w:tcPr>
          <w:p>
            <w:pPr>
              <w:spacing w:after="20"/>
            </w:pPr>
            <w:r>
              <w:rPr>
                <w:sz w:val="15"/>
              </w:rPr>
              <w:t>4×5=20 Critical</w:t>
            </w:r>
          </w:p>
        </w:tc>
        <w:tc>
          <w:tcPr>
            <w:tcW w:type="dxa" w:w="1560"/>
            <w:vAlign w:val="top"/>
          </w:tcPr>
          <w:p>
            <w:pPr>
              <w:spacing w:after="20"/>
            </w:pPr>
            <w:r>
              <w:rPr>
                <w:sz w:val="15"/>
              </w:rPr>
              <w:t>3×5=15 High</w:t>
            </w:r>
          </w:p>
        </w:tc>
        <w:tc>
          <w:tcPr>
            <w:tcW w:type="dxa" w:w="1560"/>
            <w:vAlign w:val="top"/>
          </w:tcPr>
          <w:p>
            <w:pPr>
              <w:spacing w:after="20"/>
            </w:pPr>
            <w:r>
              <w:rPr>
                <w:sz w:val="15"/>
              </w:rPr>
              <w:t>IDE platform / mitigate</w:t>
            </w:r>
          </w:p>
        </w:tc>
        <w:tc>
          <w:tcPr>
            <w:tcW w:type="dxa" w:w="1560"/>
            <w:vAlign w:val="top"/>
          </w:tcPr>
          <w:p>
            <w:pPr>
              <w:spacing w:after="20"/>
            </w:pPr>
            <w:r>
              <w:rPr>
                <w:sz w:val="15"/>
              </w:rPr>
              <w:t>Before pilot</w:t>
            </w:r>
          </w:p>
        </w:tc>
      </w:tr>
      <w:tr>
        <w:trPr>
          <w:cantSplit/>
        </w:trPr>
        <w:tc>
          <w:tcPr>
            <w:tcW w:type="dxa" w:w="1560"/>
            <w:vAlign w:val="top"/>
            <w:shd w:fill="EEF4F7"/>
          </w:tcPr>
          <w:p>
            <w:pPr>
              <w:spacing w:after="20"/>
            </w:pPr>
            <w:r>
              <w:rPr>
                <w:sz w:val="15"/>
              </w:rPr>
              <w:t>F-002</w:t>
            </w:r>
          </w:p>
        </w:tc>
        <w:tc>
          <w:tcPr>
            <w:tcW w:type="dxa" w:w="1560"/>
            <w:vAlign w:val="top"/>
            <w:shd w:fill="EEF4F7"/>
          </w:tcPr>
          <w:p>
            <w:pPr>
              <w:spacing w:after="20"/>
            </w:pPr>
            <w:r>
              <w:rPr>
                <w:sz w:val="15"/>
              </w:rPr>
              <w:t>Broad browser network reach can expose internal applications</w:t>
            </w:r>
          </w:p>
        </w:tc>
        <w:tc>
          <w:tcPr>
            <w:tcW w:type="dxa" w:w="1560"/>
            <w:vAlign w:val="top"/>
            <w:shd w:fill="EEF4F7"/>
          </w:tcPr>
          <w:p>
            <w:pPr>
              <w:spacing w:after="20"/>
            </w:pPr>
            <w:r>
              <w:rPr>
                <w:sz w:val="15"/>
              </w:rPr>
              <w:t>4×5=20 Critical</w:t>
            </w:r>
          </w:p>
        </w:tc>
        <w:tc>
          <w:tcPr>
            <w:tcW w:type="dxa" w:w="1560"/>
            <w:vAlign w:val="top"/>
            <w:shd w:fill="EEF4F7"/>
          </w:tcPr>
          <w:p>
            <w:pPr>
              <w:spacing w:after="20"/>
            </w:pPr>
            <w:r>
              <w:rPr>
                <w:sz w:val="15"/>
              </w:rPr>
              <w:t>3×5=15 High</w:t>
            </w:r>
          </w:p>
        </w:tc>
        <w:tc>
          <w:tcPr>
            <w:tcW w:type="dxa" w:w="1560"/>
            <w:vAlign w:val="top"/>
            <w:shd w:fill="EEF4F7"/>
          </w:tcPr>
          <w:p>
            <w:pPr>
              <w:spacing w:after="20"/>
            </w:pPr>
            <w:r>
              <w:rPr>
                <w:sz w:val="15"/>
              </w:rPr>
              <w:t>Network / mitigate</w:t>
            </w:r>
          </w:p>
        </w:tc>
        <w:tc>
          <w:tcPr>
            <w:tcW w:type="dxa" w:w="1560"/>
            <w:vAlign w:val="top"/>
            <w:shd w:fill="EEF4F7"/>
          </w:tcPr>
          <w:p>
            <w:pPr>
              <w:spacing w:after="20"/>
            </w:pPr>
            <w:r>
              <w:rPr>
                <w:sz w:val="15"/>
              </w:rPr>
              <w:t>Before pilot</w:t>
            </w:r>
          </w:p>
        </w:tc>
      </w:tr>
      <w:tr>
        <w:trPr>
          <w:cantSplit/>
        </w:trPr>
        <w:tc>
          <w:tcPr>
            <w:tcW w:type="dxa" w:w="1560"/>
            <w:vAlign w:val="top"/>
          </w:tcPr>
          <w:p>
            <w:pPr>
              <w:spacing w:after="20"/>
            </w:pPr>
            <w:r>
              <w:rPr>
                <w:sz w:val="15"/>
              </w:rPr>
              <w:t>F-003</w:t>
            </w:r>
          </w:p>
        </w:tc>
        <w:tc>
          <w:tcPr>
            <w:tcW w:type="dxa" w:w="1560"/>
            <w:vAlign w:val="top"/>
          </w:tcPr>
          <w:p>
            <w:pPr>
              <w:spacing w:after="20"/>
            </w:pPr>
            <w:r>
              <w:rPr>
                <w:sz w:val="15"/>
              </w:rPr>
              <w:t>Profiles, cookies, storage state and downloads can retain sensitive data</w:t>
            </w:r>
          </w:p>
        </w:tc>
        <w:tc>
          <w:tcPr>
            <w:tcW w:type="dxa" w:w="1560"/>
            <w:vAlign w:val="top"/>
          </w:tcPr>
          <w:p>
            <w:pPr>
              <w:spacing w:after="20"/>
            </w:pPr>
            <w:r>
              <w:rPr>
                <w:sz w:val="15"/>
              </w:rPr>
              <w:t>4×5=20 Critical</w:t>
            </w:r>
          </w:p>
        </w:tc>
        <w:tc>
          <w:tcPr>
            <w:tcW w:type="dxa" w:w="1560"/>
            <w:vAlign w:val="top"/>
          </w:tcPr>
          <w:p>
            <w:pPr>
              <w:spacing w:after="20"/>
            </w:pPr>
            <w:r>
              <w:rPr>
                <w:sz w:val="15"/>
              </w:rPr>
              <w:t>3×5=15 High</w:t>
            </w:r>
          </w:p>
        </w:tc>
        <w:tc>
          <w:tcPr>
            <w:tcW w:type="dxa" w:w="1560"/>
            <w:vAlign w:val="top"/>
          </w:tcPr>
          <w:p>
            <w:pPr>
              <w:spacing w:after="20"/>
            </w:pPr>
            <w:r>
              <w:rPr>
                <w:sz w:val="15"/>
              </w:rPr>
              <w:t>Endpoint / mitigate</w:t>
            </w:r>
          </w:p>
        </w:tc>
        <w:tc>
          <w:tcPr>
            <w:tcW w:type="dxa" w:w="1560"/>
            <w:vAlign w:val="top"/>
          </w:tcPr>
          <w:p>
            <w:pPr>
              <w:spacing w:after="20"/>
            </w:pPr>
            <w:r>
              <w:rPr>
                <w:sz w:val="15"/>
              </w:rPr>
              <w:t>Before pilot</w:t>
            </w:r>
          </w:p>
        </w:tc>
      </w:tr>
      <w:tr>
        <w:trPr>
          <w:cantSplit/>
        </w:trPr>
        <w:tc>
          <w:tcPr>
            <w:tcW w:type="dxa" w:w="1560"/>
            <w:vAlign w:val="top"/>
            <w:shd w:fill="EEF4F7"/>
          </w:tcPr>
          <w:p>
            <w:pPr>
              <w:spacing w:after="20"/>
            </w:pPr>
            <w:r>
              <w:rPr>
                <w:sz w:val="15"/>
              </w:rPr>
              <w:t>F-004</w:t>
            </w:r>
          </w:p>
        </w:tc>
        <w:tc>
          <w:tcPr>
            <w:tcW w:type="dxa" w:w="1560"/>
            <w:vAlign w:val="top"/>
            <w:shd w:fill="EEF4F7"/>
          </w:tcPr>
          <w:p>
            <w:pPr>
              <w:spacing w:after="20"/>
            </w:pPr>
            <w:r>
              <w:rPr>
                <w:sz w:val="15"/>
              </w:rPr>
              <w:t>browser_run_code_unsafe is equivalent to high-authority code execution</w:t>
            </w:r>
          </w:p>
        </w:tc>
        <w:tc>
          <w:tcPr>
            <w:tcW w:type="dxa" w:w="1560"/>
            <w:vAlign w:val="top"/>
            <w:shd w:fill="EEF4F7"/>
          </w:tcPr>
          <w:p>
            <w:pPr>
              <w:spacing w:after="20"/>
            </w:pPr>
            <w:r>
              <w:rPr>
                <w:sz w:val="15"/>
              </w:rPr>
              <w:t>4×5=20 Critical</w:t>
            </w:r>
          </w:p>
        </w:tc>
        <w:tc>
          <w:tcPr>
            <w:tcW w:type="dxa" w:w="1560"/>
            <w:vAlign w:val="top"/>
            <w:shd w:fill="EEF4F7"/>
          </w:tcPr>
          <w:p>
            <w:pPr>
              <w:spacing w:after="20"/>
            </w:pPr>
            <w:r>
              <w:rPr>
                <w:sz w:val="15"/>
              </w:rPr>
              <w:t>2×5=10 High</w:t>
            </w:r>
          </w:p>
        </w:tc>
        <w:tc>
          <w:tcPr>
            <w:tcW w:type="dxa" w:w="1560"/>
            <w:vAlign w:val="top"/>
            <w:shd w:fill="EEF4F7"/>
          </w:tcPr>
          <w:p>
            <w:pPr>
              <w:spacing w:after="20"/>
            </w:pPr>
            <w:r>
              <w:rPr>
                <w:sz w:val="15"/>
              </w:rPr>
              <w:t>IDE platform / avoid</w:t>
            </w:r>
          </w:p>
        </w:tc>
        <w:tc>
          <w:tcPr>
            <w:tcW w:type="dxa" w:w="1560"/>
            <w:vAlign w:val="top"/>
            <w:shd w:fill="EEF4F7"/>
          </w:tcPr>
          <w:p>
            <w:pPr>
              <w:spacing w:after="20"/>
            </w:pPr>
            <w:r>
              <w:rPr>
                <w:sz w:val="15"/>
              </w:rPr>
              <w:t>Before pilot</w:t>
            </w:r>
          </w:p>
        </w:tc>
      </w:tr>
      <w:tr>
        <w:trPr>
          <w:cantSplit/>
        </w:trPr>
        <w:tc>
          <w:tcPr>
            <w:tcW w:type="dxa" w:w="1560"/>
            <w:vAlign w:val="top"/>
          </w:tcPr>
          <w:p>
            <w:pPr>
              <w:spacing w:after="20"/>
            </w:pPr>
            <w:r>
              <w:rPr>
                <w:sz w:val="15"/>
              </w:rPr>
              <w:t>F-005</w:t>
            </w:r>
          </w:p>
        </w:tc>
        <w:tc>
          <w:tcPr>
            <w:tcW w:type="dxa" w:w="1560"/>
            <w:vAlign w:val="top"/>
          </w:tcPr>
          <w:p>
            <w:pPr>
              <w:spacing w:after="20"/>
            </w:pPr>
            <w:r>
              <w:rPr>
                <w:sz w:val="15"/>
              </w:rPr>
              <w:t>Alpha runtime dependencies and mutable ecosystem increase supply-chain risk</w:t>
            </w:r>
          </w:p>
        </w:tc>
        <w:tc>
          <w:tcPr>
            <w:tcW w:type="dxa" w:w="1560"/>
            <w:vAlign w:val="top"/>
          </w:tcPr>
          <w:p>
            <w:pPr>
              <w:spacing w:after="20"/>
            </w:pPr>
            <w:r>
              <w:rPr>
                <w:sz w:val="15"/>
              </w:rPr>
              <w:t>4×4=16 High</w:t>
            </w:r>
          </w:p>
        </w:tc>
        <w:tc>
          <w:tcPr>
            <w:tcW w:type="dxa" w:w="1560"/>
            <w:vAlign w:val="top"/>
          </w:tcPr>
          <w:p>
            <w:pPr>
              <w:spacing w:after="20"/>
            </w:pPr>
            <w:r>
              <w:rPr>
                <w:sz w:val="15"/>
              </w:rPr>
              <w:t>3×4=12 High</w:t>
            </w:r>
          </w:p>
        </w:tc>
        <w:tc>
          <w:tcPr>
            <w:tcW w:type="dxa" w:w="1560"/>
            <w:vAlign w:val="top"/>
          </w:tcPr>
          <w:p>
            <w:pPr>
              <w:spacing w:after="20"/>
            </w:pPr>
            <w:r>
              <w:rPr>
                <w:sz w:val="15"/>
              </w:rPr>
              <w:t>Supply chain / mitigate</w:t>
            </w:r>
          </w:p>
        </w:tc>
        <w:tc>
          <w:tcPr>
            <w:tcW w:type="dxa" w:w="1560"/>
            <w:vAlign w:val="top"/>
          </w:tcPr>
          <w:p>
            <w:pPr>
              <w:spacing w:after="20"/>
            </w:pPr>
            <w:r>
              <w:rPr>
                <w:sz w:val="15"/>
              </w:rPr>
              <w:t>Before pilot</w:t>
            </w:r>
          </w:p>
        </w:tc>
      </w:tr>
      <w:tr>
        <w:trPr>
          <w:cantSplit/>
        </w:trPr>
        <w:tc>
          <w:tcPr>
            <w:tcW w:type="dxa" w:w="1560"/>
            <w:vAlign w:val="top"/>
            <w:shd w:fill="EEF4F7"/>
          </w:tcPr>
          <w:p>
            <w:pPr>
              <w:spacing w:after="20"/>
            </w:pPr>
            <w:r>
              <w:rPr>
                <w:sz w:val="15"/>
              </w:rPr>
              <w:t>F-006</w:t>
            </w:r>
          </w:p>
        </w:tc>
        <w:tc>
          <w:tcPr>
            <w:tcW w:type="dxa" w:w="1560"/>
            <w:vAlign w:val="top"/>
            <w:shd w:fill="EEF4F7"/>
          </w:tcPr>
          <w:p>
            <w:pPr>
              <w:spacing w:after="20"/>
            </w:pPr>
            <w:r>
              <w:rPr>
                <w:sz w:val="15"/>
              </w:rPr>
              <w:t>Shared browser context can cross-contaminate users or tasks</w:t>
            </w:r>
          </w:p>
        </w:tc>
        <w:tc>
          <w:tcPr>
            <w:tcW w:type="dxa" w:w="1560"/>
            <w:vAlign w:val="top"/>
            <w:shd w:fill="EEF4F7"/>
          </w:tcPr>
          <w:p>
            <w:pPr>
              <w:spacing w:after="20"/>
            </w:pPr>
            <w:r>
              <w:rPr>
                <w:sz w:val="15"/>
              </w:rPr>
              <w:t>4×4=16 High</w:t>
            </w:r>
          </w:p>
        </w:tc>
        <w:tc>
          <w:tcPr>
            <w:tcW w:type="dxa" w:w="1560"/>
            <w:vAlign w:val="top"/>
            <w:shd w:fill="EEF4F7"/>
          </w:tcPr>
          <w:p>
            <w:pPr>
              <w:spacing w:after="20"/>
            </w:pPr>
            <w:r>
              <w:rPr>
                <w:sz w:val="15"/>
              </w:rPr>
              <w:t>2×4=8 Moderate</w:t>
            </w:r>
          </w:p>
        </w:tc>
        <w:tc>
          <w:tcPr>
            <w:tcW w:type="dxa" w:w="1560"/>
            <w:vAlign w:val="top"/>
            <w:shd w:fill="EEF4F7"/>
          </w:tcPr>
          <w:p>
            <w:pPr>
              <w:spacing w:after="20"/>
            </w:pPr>
            <w:r>
              <w:rPr>
                <w:sz w:val="15"/>
              </w:rPr>
              <w:t>Endpoint / mitigate</w:t>
            </w:r>
          </w:p>
        </w:tc>
        <w:tc>
          <w:tcPr>
            <w:tcW w:type="dxa" w:w="1560"/>
            <w:vAlign w:val="top"/>
            <w:shd w:fill="EEF4F7"/>
          </w:tcPr>
          <w:p>
            <w:pPr>
              <w:spacing w:after="20"/>
            </w:pPr>
            <w:r>
              <w:rPr>
                <w:sz w:val="15"/>
              </w:rPr>
              <w:t>Before pilot</w:t>
            </w:r>
          </w:p>
        </w:tc>
      </w:tr>
      <w:tr>
        <w:trPr>
          <w:cantSplit/>
        </w:trPr>
        <w:tc>
          <w:tcPr>
            <w:tcW w:type="dxa" w:w="1560"/>
            <w:vAlign w:val="top"/>
          </w:tcPr>
          <w:p>
            <w:pPr>
              <w:spacing w:after="20"/>
            </w:pPr>
            <w:r>
              <w:rPr>
                <w:sz w:val="15"/>
              </w:rPr>
              <w:t>F-007</w:t>
            </w:r>
          </w:p>
        </w:tc>
        <w:tc>
          <w:tcPr>
            <w:tcW w:type="dxa" w:w="1560"/>
            <w:vAlign w:val="top"/>
          </w:tcPr>
          <w:p>
            <w:pPr>
              <w:spacing w:after="20"/>
            </w:pPr>
            <w:r>
              <w:rPr>
                <w:sz w:val="15"/>
              </w:rPr>
              <w:t>Audit evidence may omit page content or causality needed for response</w:t>
            </w:r>
          </w:p>
        </w:tc>
        <w:tc>
          <w:tcPr>
            <w:tcW w:type="dxa" w:w="1560"/>
            <w:vAlign w:val="top"/>
          </w:tcPr>
          <w:p>
            <w:pPr>
              <w:spacing w:after="20"/>
            </w:pPr>
            <w:r>
              <w:rPr>
                <w:sz w:val="15"/>
              </w:rPr>
              <w:t>3×4=12 High</w:t>
            </w:r>
          </w:p>
        </w:tc>
        <w:tc>
          <w:tcPr>
            <w:tcW w:type="dxa" w:w="1560"/>
            <w:vAlign w:val="top"/>
          </w:tcPr>
          <w:p>
            <w:pPr>
              <w:spacing w:after="20"/>
            </w:pPr>
            <w:r>
              <w:rPr>
                <w:sz w:val="15"/>
              </w:rPr>
              <w:t>3×4=12 High</w:t>
            </w:r>
          </w:p>
        </w:tc>
        <w:tc>
          <w:tcPr>
            <w:tcW w:type="dxa" w:w="1560"/>
            <w:vAlign w:val="top"/>
          </w:tcPr>
          <w:p>
            <w:pPr>
              <w:spacing w:after="20"/>
            </w:pPr>
            <w:r>
              <w:rPr>
                <w:sz w:val="15"/>
              </w:rPr>
              <w:t>Security operations / mitigate</w:t>
            </w:r>
          </w:p>
        </w:tc>
        <w:tc>
          <w:tcPr>
            <w:tcW w:type="dxa" w:w="1560"/>
            <w:vAlign w:val="top"/>
          </w:tcPr>
          <w:p>
            <w:pPr>
              <w:spacing w:after="20"/>
            </w:pPr>
            <w:r>
              <w:rPr>
                <w:sz w:val="15"/>
              </w:rPr>
              <w:t>Before pilot</w:t>
            </w:r>
          </w:p>
        </w:tc>
      </w:tr>
      <w:tr>
        <w:trPr>
          <w:cantSplit/>
        </w:trPr>
        <w:tc>
          <w:tcPr>
            <w:tcW w:type="dxa" w:w="1560"/>
            <w:vAlign w:val="top"/>
            <w:shd w:fill="EEF4F7"/>
          </w:tcPr>
          <w:p>
            <w:pPr>
              <w:spacing w:after="20"/>
            </w:pPr>
            <w:r>
              <w:rPr>
                <w:sz w:val="15"/>
              </w:rPr>
              <w:t>F-008</w:t>
            </w:r>
          </w:p>
        </w:tc>
        <w:tc>
          <w:tcPr>
            <w:tcW w:type="dxa" w:w="1560"/>
            <w:vAlign w:val="top"/>
            <w:shd w:fill="EEF4F7"/>
          </w:tcPr>
          <w:p>
            <w:pPr>
              <w:spacing w:after="20"/>
            </w:pPr>
            <w:r>
              <w:rPr>
                <w:sz w:val="15"/>
              </w:rPr>
              <w:t>VS Code and Visual Studio control parity and lifecycle are unverified</w:t>
            </w:r>
          </w:p>
        </w:tc>
        <w:tc>
          <w:tcPr>
            <w:tcW w:type="dxa" w:w="1560"/>
            <w:vAlign w:val="top"/>
            <w:shd w:fill="EEF4F7"/>
          </w:tcPr>
          <w:p>
            <w:pPr>
              <w:spacing w:after="20"/>
            </w:pPr>
            <w:r>
              <w:rPr>
                <w:sz w:val="15"/>
              </w:rPr>
              <w:t>3×4=12 High</w:t>
            </w:r>
          </w:p>
        </w:tc>
        <w:tc>
          <w:tcPr>
            <w:tcW w:type="dxa" w:w="1560"/>
            <w:vAlign w:val="top"/>
            <w:shd w:fill="EEF4F7"/>
          </w:tcPr>
          <w:p>
            <w:pPr>
              <w:spacing w:after="20"/>
            </w:pPr>
            <w:r>
              <w:rPr>
                <w:sz w:val="15"/>
              </w:rPr>
              <w:t>3×4=12 High</w:t>
            </w:r>
          </w:p>
        </w:tc>
        <w:tc>
          <w:tcPr>
            <w:tcW w:type="dxa" w:w="1560"/>
            <w:vAlign w:val="top"/>
            <w:shd w:fill="EEF4F7"/>
          </w:tcPr>
          <w:p>
            <w:pPr>
              <w:spacing w:after="20"/>
            </w:pPr>
            <w:r>
              <w:rPr>
                <w:sz w:val="15"/>
              </w:rPr>
              <w:t>Security testing / defer</w:t>
            </w:r>
          </w:p>
        </w:tc>
        <w:tc>
          <w:tcPr>
            <w:tcW w:type="dxa" w:w="1560"/>
            <w:vAlign w:val="top"/>
            <w:shd w:fill="EEF4F7"/>
          </w:tcPr>
          <w:p>
            <w:pPr>
              <w:spacing w:after="20"/>
            </w:pPr>
            <w:r>
              <w:rPr>
                <w:sz w:val="15"/>
              </w:rPr>
              <w:t>Before pilot</w:t>
            </w:r>
          </w:p>
        </w:tc>
      </w:tr>
      <w:tr>
        <w:trPr>
          <w:cantSplit/>
        </w:trPr>
        <w:tc>
          <w:tcPr>
            <w:tcW w:type="dxa" w:w="1560"/>
            <w:vAlign w:val="top"/>
          </w:tcPr>
          <w:p>
            <w:pPr>
              <w:spacing w:after="20"/>
            </w:pPr>
            <w:r>
              <w:rPr>
                <w:sz w:val="15"/>
              </w:rPr>
              <w:t>F-009</w:t>
            </w:r>
          </w:p>
        </w:tc>
        <w:tc>
          <w:tcPr>
            <w:tcW w:type="dxa" w:w="1560"/>
            <w:vAlign w:val="top"/>
          </w:tcPr>
          <w:p>
            <w:pPr>
              <w:spacing w:after="20"/>
            </w:pPr>
            <w:r>
              <w:rPr>
                <w:sz w:val="15"/>
              </w:rPr>
              <w:t>Dev-only Hono adapter has a current Windows path-authorization advisory</w:t>
            </w:r>
          </w:p>
        </w:tc>
        <w:tc>
          <w:tcPr>
            <w:tcW w:type="dxa" w:w="1560"/>
            <w:vAlign w:val="top"/>
          </w:tcPr>
          <w:p>
            <w:pPr>
              <w:spacing w:after="20"/>
            </w:pPr>
            <w:r>
              <w:rPr>
                <w:sz w:val="15"/>
              </w:rPr>
              <w:t>2×3=6 Moderate</w:t>
            </w:r>
          </w:p>
        </w:tc>
        <w:tc>
          <w:tcPr>
            <w:tcW w:type="dxa" w:w="1560"/>
            <w:vAlign w:val="top"/>
          </w:tcPr>
          <w:p>
            <w:pPr>
              <w:spacing w:after="20"/>
            </w:pPr>
            <w:r>
              <w:rPr>
                <w:sz w:val="15"/>
              </w:rPr>
              <w:t>2×3=6 Moderate</w:t>
            </w:r>
          </w:p>
        </w:tc>
        <w:tc>
          <w:tcPr>
            <w:tcW w:type="dxa" w:w="1560"/>
            <w:vAlign w:val="top"/>
          </w:tcPr>
          <w:p>
            <w:pPr>
              <w:spacing w:after="20"/>
            </w:pPr>
            <w:r>
              <w:rPr>
                <w:sz w:val="15"/>
              </w:rPr>
              <w:t>Supply chain / mitigate</w:t>
            </w:r>
          </w:p>
        </w:tc>
        <w:tc>
          <w:tcPr>
            <w:tcW w:type="dxa" w:w="1560"/>
            <w:vAlign w:val="top"/>
          </w:tcPr>
          <w:p>
            <w:pPr>
              <w:spacing w:after="20"/>
            </w:pPr>
            <w:r>
              <w:rPr>
                <w:sz w:val="15"/>
              </w:rPr>
              <w:t>Before build promotion</w:t>
            </w:r>
          </w:p>
        </w:tc>
      </w:tr>
    </w:tbl>
    <w:p/>
    <w:p>
      <w:pPr>
        <w:pStyle w:val="Heading1"/>
      </w:pPr>
      <w:r>
        <w:t>Detection Opportunities and Monitoring Plan</w:t>
      </w:r>
    </w:p>
    <w:tbl>
      <w:tblPr>
        <w:tblStyle w:val="TableGrid"/>
        <w:tblW w:type="auto" w:w="0"/>
        <w:jc w:val="center"/>
        <w:tblLook w:firstColumn="1" w:firstRow="1" w:lastColumn="0" w:lastRow="0" w:noHBand="0" w:noVBand="1" w:val="04A0"/>
      </w:tblPr>
      <w:tblGrid>
        <w:gridCol w:w="2340"/>
        <w:gridCol w:w="2340"/>
        <w:gridCol w:w="2340"/>
        <w:gridCol w:w="2340"/>
      </w:tblGrid>
      <w:tr>
        <w:trPr>
          <w:tblHeader/>
          <w:cantSplit/>
        </w:trPr>
        <w:tc>
          <w:tcPr>
            <w:tcW w:type="dxa" w:w="2340"/>
            <w:shd w:fill="17365D"/>
          </w:tcPr>
          <w:p>
            <w:r>
              <w:rPr>
                <w:b/>
                <w:color w:val="FFFFFF"/>
                <w:sz w:val="16"/>
              </w:rPr>
              <w:t>Signal</w:t>
            </w:r>
          </w:p>
        </w:tc>
        <w:tc>
          <w:tcPr>
            <w:tcW w:type="dxa" w:w="2340"/>
            <w:shd w:fill="17365D"/>
          </w:tcPr>
          <w:p>
            <w:r>
              <w:rPr>
                <w:b/>
                <w:color w:val="FFFFFF"/>
                <w:sz w:val="16"/>
              </w:rPr>
              <w:t>Detection opportunity</w:t>
            </w:r>
          </w:p>
        </w:tc>
        <w:tc>
          <w:tcPr>
            <w:tcW w:type="dxa" w:w="2340"/>
            <w:shd w:fill="17365D"/>
          </w:tcPr>
          <w:p>
            <w:r>
              <w:rPr>
                <w:b/>
                <w:color w:val="FFFFFF"/>
                <w:sz w:val="16"/>
              </w:rPr>
              <w:t>Response</w:t>
            </w:r>
          </w:p>
        </w:tc>
        <w:tc>
          <w:tcPr>
            <w:tcW w:type="dxa" w:w="2340"/>
            <w:shd w:fill="17365D"/>
          </w:tcPr>
          <w:p>
            <w:r>
              <w:rPr>
                <w:b/>
                <w:color w:val="FFFFFF"/>
                <w:sz w:val="16"/>
              </w:rPr>
              <w:t>Control strength</w:t>
            </w:r>
          </w:p>
        </w:tc>
      </w:tr>
      <w:tr>
        <w:trPr>
          <w:cantSplit/>
        </w:trPr>
        <w:tc>
          <w:tcPr>
            <w:tcW w:type="dxa" w:w="2340"/>
            <w:vAlign w:val="top"/>
          </w:tcPr>
          <w:p>
            <w:pPr>
              <w:spacing w:after="20"/>
            </w:pPr>
            <w:r>
              <w:rPr>
                <w:sz w:val="15"/>
              </w:rPr>
              <w:t>Tool</w:t>
            </w:r>
          </w:p>
        </w:tc>
        <w:tc>
          <w:tcPr>
            <w:tcW w:type="dxa" w:w="2340"/>
            <w:vAlign w:val="top"/>
          </w:tcPr>
          <w:p>
            <w:pPr>
              <w:spacing w:after="20"/>
            </w:pPr>
            <w:r>
              <w:rPr>
                <w:sz w:val="15"/>
              </w:rPr>
              <w:t>Unsafe code, download, upload or unapproved invocation</w:t>
            </w:r>
          </w:p>
        </w:tc>
        <w:tc>
          <w:tcPr>
            <w:tcW w:type="dxa" w:w="2340"/>
            <w:vAlign w:val="top"/>
          </w:tcPr>
          <w:p>
            <w:pPr>
              <w:spacing w:after="20"/>
            </w:pPr>
            <w:r>
              <w:rPr>
                <w:sz w:val="15"/>
              </w:rPr>
              <w:t>Block and alert</w:t>
            </w:r>
          </w:p>
        </w:tc>
        <w:tc>
          <w:tcPr>
            <w:tcW w:type="dxa" w:w="2340"/>
            <w:vAlign w:val="top"/>
          </w:tcPr>
          <w:p>
            <w:pPr>
              <w:spacing w:after="20"/>
            </w:pPr>
            <w:r>
              <w:rPr>
                <w:sz w:val="15"/>
              </w:rPr>
              <w:t>Preventive</w:t>
            </w:r>
          </w:p>
        </w:tc>
      </w:tr>
      <w:tr>
        <w:trPr>
          <w:cantSplit/>
        </w:trPr>
        <w:tc>
          <w:tcPr>
            <w:tcW w:type="dxa" w:w="2340"/>
            <w:vAlign w:val="top"/>
            <w:shd w:fill="EEF4F7"/>
          </w:tcPr>
          <w:p>
            <w:pPr>
              <w:spacing w:after="20"/>
            </w:pPr>
            <w:r>
              <w:rPr>
                <w:sz w:val="15"/>
              </w:rPr>
              <w:t>Network</w:t>
            </w:r>
          </w:p>
        </w:tc>
        <w:tc>
          <w:tcPr>
            <w:tcW w:type="dxa" w:w="2340"/>
            <w:vAlign w:val="top"/>
            <w:shd w:fill="EEF4F7"/>
          </w:tcPr>
          <w:p>
            <w:pPr>
              <w:spacing w:after="20"/>
            </w:pPr>
            <w:r>
              <w:rPr>
                <w:sz w:val="15"/>
              </w:rPr>
              <w:t>Internal, metadata, private or unapproved destination</w:t>
            </w:r>
          </w:p>
        </w:tc>
        <w:tc>
          <w:tcPr>
            <w:tcW w:type="dxa" w:w="2340"/>
            <w:vAlign w:val="top"/>
            <w:shd w:fill="EEF4F7"/>
          </w:tcPr>
          <w:p>
            <w:pPr>
              <w:spacing w:after="20"/>
            </w:pPr>
            <w:r>
              <w:rPr>
                <w:sz w:val="15"/>
              </w:rPr>
              <w:t>Block and investigate</w:t>
            </w:r>
          </w:p>
        </w:tc>
        <w:tc>
          <w:tcPr>
            <w:tcW w:type="dxa" w:w="2340"/>
            <w:vAlign w:val="top"/>
            <w:shd w:fill="EEF4F7"/>
          </w:tcPr>
          <w:p>
            <w:pPr>
              <w:spacing w:after="20"/>
            </w:pPr>
            <w:r>
              <w:rPr>
                <w:sz w:val="15"/>
              </w:rPr>
              <w:t>Preventive</w:t>
            </w:r>
          </w:p>
        </w:tc>
      </w:tr>
      <w:tr>
        <w:trPr>
          <w:cantSplit/>
        </w:trPr>
        <w:tc>
          <w:tcPr>
            <w:tcW w:type="dxa" w:w="2340"/>
            <w:vAlign w:val="top"/>
          </w:tcPr>
          <w:p>
            <w:pPr>
              <w:spacing w:after="20"/>
            </w:pPr>
            <w:r>
              <w:rPr>
                <w:sz w:val="15"/>
              </w:rPr>
              <w:t>Profile</w:t>
            </w:r>
          </w:p>
        </w:tc>
        <w:tc>
          <w:tcPr>
            <w:tcW w:type="dxa" w:w="2340"/>
            <w:vAlign w:val="top"/>
          </w:tcPr>
          <w:p>
            <w:pPr>
              <w:spacing w:after="20"/>
            </w:pPr>
            <w:r>
              <w:rPr>
                <w:sz w:val="15"/>
              </w:rPr>
              <w:t>Persistent profile, cookie or storage-state creation</w:t>
            </w:r>
          </w:p>
        </w:tc>
        <w:tc>
          <w:tcPr>
            <w:tcW w:type="dxa" w:w="2340"/>
            <w:vAlign w:val="top"/>
          </w:tcPr>
          <w:p>
            <w:pPr>
              <w:spacing w:after="20"/>
            </w:pPr>
            <w:r>
              <w:rPr>
                <w:sz w:val="15"/>
              </w:rPr>
              <w:t>Terminate and dispose</w:t>
            </w:r>
          </w:p>
        </w:tc>
        <w:tc>
          <w:tcPr>
            <w:tcW w:type="dxa" w:w="2340"/>
            <w:vAlign w:val="top"/>
          </w:tcPr>
          <w:p>
            <w:pPr>
              <w:spacing w:after="20"/>
            </w:pPr>
            <w:r>
              <w:rPr>
                <w:sz w:val="15"/>
              </w:rPr>
              <w:t>Preventive + detective</w:t>
            </w:r>
          </w:p>
        </w:tc>
      </w:tr>
      <w:tr>
        <w:trPr>
          <w:cantSplit/>
        </w:trPr>
        <w:tc>
          <w:tcPr>
            <w:tcW w:type="dxa" w:w="2340"/>
            <w:vAlign w:val="top"/>
            <w:shd w:fill="EEF4F7"/>
          </w:tcPr>
          <w:p>
            <w:pPr>
              <w:spacing w:after="20"/>
            </w:pPr>
            <w:r>
              <w:rPr>
                <w:sz w:val="15"/>
              </w:rPr>
              <w:t>Process</w:t>
            </w:r>
          </w:p>
        </w:tc>
        <w:tc>
          <w:tcPr>
            <w:tcW w:type="dxa" w:w="2340"/>
            <w:vAlign w:val="top"/>
            <w:shd w:fill="EEF4F7"/>
          </w:tcPr>
          <w:p>
            <w:pPr>
              <w:spacing w:after="20"/>
            </w:pPr>
            <w:r>
              <w:rPr>
                <w:sz w:val="15"/>
              </w:rPr>
              <w:t>Unexpected browser child process, extension or executable</w:t>
            </w:r>
          </w:p>
        </w:tc>
        <w:tc>
          <w:tcPr>
            <w:tcW w:type="dxa" w:w="2340"/>
            <w:vAlign w:val="top"/>
            <w:shd w:fill="EEF4F7"/>
          </w:tcPr>
          <w:p>
            <w:pPr>
              <w:spacing w:after="20"/>
            </w:pPr>
            <w:r>
              <w:rPr>
                <w:sz w:val="15"/>
              </w:rPr>
              <w:t>Isolate host</w:t>
            </w:r>
          </w:p>
        </w:tc>
        <w:tc>
          <w:tcPr>
            <w:tcW w:type="dxa" w:w="2340"/>
            <w:vAlign w:val="top"/>
            <w:shd w:fill="EEF4F7"/>
          </w:tcPr>
          <w:p>
            <w:pPr>
              <w:spacing w:after="20"/>
            </w:pPr>
            <w:r>
              <w:rPr>
                <w:sz w:val="15"/>
              </w:rPr>
              <w:t>Detective</w:t>
            </w:r>
          </w:p>
        </w:tc>
      </w:tr>
      <w:tr>
        <w:trPr>
          <w:cantSplit/>
        </w:trPr>
        <w:tc>
          <w:tcPr>
            <w:tcW w:type="dxa" w:w="2340"/>
            <w:vAlign w:val="top"/>
          </w:tcPr>
          <w:p>
            <w:pPr>
              <w:spacing w:after="20"/>
            </w:pPr>
            <w:r>
              <w:rPr>
                <w:sz w:val="15"/>
              </w:rPr>
              <w:t>Supply chain</w:t>
            </w:r>
          </w:p>
        </w:tc>
        <w:tc>
          <w:tcPr>
            <w:tcW w:type="dxa" w:w="2340"/>
            <w:vAlign w:val="top"/>
          </w:tcPr>
          <w:p>
            <w:pPr>
              <w:spacing w:after="20"/>
            </w:pPr>
            <w:r>
              <w:rPr>
                <w:sz w:val="15"/>
              </w:rPr>
              <w:t>Hash, signature, provenance, alpha dependency or advisory drift</w:t>
            </w:r>
          </w:p>
        </w:tc>
        <w:tc>
          <w:tcPr>
            <w:tcW w:type="dxa" w:w="2340"/>
            <w:vAlign w:val="top"/>
          </w:tcPr>
          <w:p>
            <w:pPr>
              <w:spacing w:after="20"/>
            </w:pPr>
            <w:r>
              <w:rPr>
                <w:sz w:val="15"/>
              </w:rPr>
              <w:t>Quarantine</w:t>
            </w:r>
          </w:p>
        </w:tc>
        <w:tc>
          <w:tcPr>
            <w:tcW w:type="dxa" w:w="2340"/>
            <w:vAlign w:val="top"/>
          </w:tcPr>
          <w:p>
            <w:pPr>
              <w:spacing w:after="20"/>
            </w:pPr>
            <w:r>
              <w:rPr>
                <w:sz w:val="15"/>
              </w:rPr>
              <w:t>Preventive</w:t>
            </w:r>
          </w:p>
        </w:tc>
      </w:tr>
    </w:tbl>
    <w:p/>
    <w:p>
      <w:pPr>
        <w:pStyle w:val="Heading1"/>
      </w:pPr>
      <w:r>
        <w:t>Residual Risk and Approval Recommendation Update</w:t>
      </w:r>
    </w:p>
    <w:p>
      <w:r>
        <w:t>Decision: APPROVE WITH CONDITIONS only for a time-limited, non-production pilot using synthetic accounts, ephemeral isolated browser profiles, exact pinned artifacts, deny-by-default network policy, explicit tool approval, downloads and uploads disabled unless separately authorised, and browser_run_code_unsafe prohibited. Production, internal-confidential data, shared or real user profiles, unrestricted internal network access, and unattended agent operation remain not approved. Current residual risk is High because runtime and lifecycle controls were not observed.</w:t>
      </w:r>
    </w:p>
    <w:p>
      <w:pPr>
        <w:pStyle w:val="Heading1"/>
      </w:pPr>
      <w:r>
        <w:t>Regeneration Limitations and Confidence</w:t>
      </w:r>
    </w:p>
    <w:p>
      <w:r>
        <w:t>Confidence is High for publisher identity, archive hash, contents, registry signature, provenance, dependency metadata, ClamAV, YARA, and current advisory query; Medium for static and architecture conclusions; and Low for browser process behavior, network reach, authentication state, persistence, telemetry, IDE activation, update, and uninstall residue. Dynamic analysis was selected but blocked because disposable representative hosts were unavailable.</w:t>
      </w:r>
    </w:p>
    <w:p>
      <w:pPr>
        <w:pStyle w:val="Heading1"/>
      </w:pPr>
      <w:r>
        <w:t>Evidence Register Update</w:t>
      </w:r>
    </w:p>
    <w:tbl>
      <w:tblPr>
        <w:tblStyle w:val="TableGrid"/>
        <w:tblW w:type="auto" w:w="0"/>
        <w:jc w:val="center"/>
        <w:tblLook w:firstColumn="1" w:firstRow="1" w:lastColumn="0" w:lastRow="0" w:noHBand="0" w:noVBand="1" w:val="04A0"/>
      </w:tblPr>
      <w:tblGrid>
        <w:gridCol w:w="2340"/>
        <w:gridCol w:w="2340"/>
        <w:gridCol w:w="2340"/>
        <w:gridCol w:w="2340"/>
      </w:tblGrid>
      <w:tr>
        <w:trPr>
          <w:tblHeader/>
          <w:cantSplit/>
        </w:trPr>
        <w:tc>
          <w:tcPr>
            <w:tcW w:type="dxa" w:w="2340"/>
            <w:shd w:fill="17365D"/>
          </w:tcPr>
          <w:p>
            <w:r>
              <w:rPr>
                <w:b/>
                <w:color w:val="FFFFFF"/>
                <w:sz w:val="16"/>
              </w:rPr>
              <w:t>Evidence ID</w:t>
            </w:r>
          </w:p>
        </w:tc>
        <w:tc>
          <w:tcPr>
            <w:tcW w:type="dxa" w:w="2340"/>
            <w:shd w:fill="17365D"/>
          </w:tcPr>
          <w:p>
            <w:r>
              <w:rPr>
                <w:b/>
                <w:color w:val="FFFFFF"/>
                <w:sz w:val="16"/>
              </w:rPr>
              <w:t>Evidence</w:t>
            </w:r>
          </w:p>
        </w:tc>
        <w:tc>
          <w:tcPr>
            <w:tcW w:type="dxa" w:w="2340"/>
            <w:shd w:fill="17365D"/>
          </w:tcPr>
          <w:p>
            <w:r>
              <w:rPr>
                <w:b/>
                <w:color w:val="FFFFFF"/>
                <w:sz w:val="16"/>
              </w:rPr>
              <w:t>State</w:t>
            </w:r>
          </w:p>
        </w:tc>
        <w:tc>
          <w:tcPr>
            <w:tcW w:type="dxa" w:w="2340"/>
            <w:shd w:fill="17365D"/>
          </w:tcPr>
          <w:p>
            <w:r>
              <w:rPr>
                <w:b/>
                <w:color w:val="FFFFFF"/>
                <w:sz w:val="16"/>
              </w:rPr>
              <w:t>Retention / verification</w:t>
            </w:r>
          </w:p>
        </w:tc>
      </w:tr>
      <w:tr>
        <w:trPr>
          <w:cantSplit/>
        </w:trPr>
        <w:tc>
          <w:tcPr>
            <w:tcW w:type="dxa" w:w="2340"/>
            <w:vAlign w:val="top"/>
          </w:tcPr>
          <w:p>
            <w:pPr>
              <w:spacing w:after="20"/>
            </w:pPr>
            <w:r>
              <w:rPr>
                <w:sz w:val="15"/>
              </w:rPr>
              <w:t>EV-001</w:t>
            </w:r>
          </w:p>
        </w:tc>
        <w:tc>
          <w:tcPr>
            <w:tcW w:type="dxa" w:w="2340"/>
            <w:vAlign w:val="top"/>
          </w:tcPr>
          <w:p>
            <w:pPr>
              <w:spacing w:after="20"/>
            </w:pPr>
            <w:r>
              <w:rPr>
                <w:sz w:val="15"/>
              </w:rPr>
              <w:t>Historical baseline v1.0</w:t>
            </w:r>
          </w:p>
        </w:tc>
        <w:tc>
          <w:tcPr>
            <w:tcW w:type="dxa" w:w="2340"/>
            <w:vAlign w:val="top"/>
          </w:tcPr>
          <w:p>
            <w:pPr>
              <w:spacing w:after="20"/>
            </w:pPr>
            <w:r>
              <w:rPr>
                <w:sz w:val="15"/>
              </w:rPr>
              <w:t>Preserved</w:t>
            </w:r>
          </w:p>
        </w:tc>
        <w:tc>
          <w:tcPr>
            <w:tcW w:type="dxa" w:w="2340"/>
            <w:vAlign w:val="top"/>
          </w:tcPr>
          <w:p>
            <w:pPr>
              <w:spacing w:after="20"/>
            </w:pPr>
            <w:r>
              <w:rPr>
                <w:sz w:val="15"/>
              </w:rPr>
              <w:t>SHA-256 in migration provenance</w:t>
            </w:r>
          </w:p>
        </w:tc>
      </w:tr>
      <w:tr>
        <w:trPr>
          <w:cantSplit/>
        </w:trPr>
        <w:tc>
          <w:tcPr>
            <w:tcW w:type="dxa" w:w="2340"/>
            <w:vAlign w:val="top"/>
            <w:shd w:fill="EEF4F7"/>
          </w:tcPr>
          <w:p>
            <w:pPr>
              <w:spacing w:after="20"/>
            </w:pPr>
            <w:r>
              <w:rPr>
                <w:sz w:val="15"/>
              </w:rPr>
              <w:t>EV-002</w:t>
            </w:r>
          </w:p>
        </w:tc>
        <w:tc>
          <w:tcPr>
            <w:tcW w:type="dxa" w:w="2340"/>
            <w:vAlign w:val="top"/>
            <w:shd w:fill="EEF4F7"/>
          </w:tcPr>
          <w:p>
            <w:pPr>
              <w:spacing w:after="20"/>
            </w:pPr>
            <w:r>
              <w:rPr>
                <w:sz w:val="15"/>
              </w:rPr>
              <w:t>npm 0.0.78 archive and metadata</w:t>
            </w:r>
          </w:p>
        </w:tc>
        <w:tc>
          <w:tcPr>
            <w:tcW w:type="dxa" w:w="2340"/>
            <w:vAlign w:val="top"/>
            <w:shd w:fill="EEF4F7"/>
          </w:tcPr>
          <w:p>
            <w:pPr>
              <w:spacing w:after="20"/>
            </w:pPr>
            <w:r>
              <w:rPr>
                <w:sz w:val="15"/>
              </w:rPr>
              <w:t>Current verified</w:t>
            </w:r>
          </w:p>
        </w:tc>
        <w:tc>
          <w:tcPr>
            <w:tcW w:type="dxa" w:w="2340"/>
            <w:vAlign w:val="top"/>
            <w:shd w:fill="EEF4F7"/>
          </w:tcPr>
          <w:p>
            <w:pPr>
              <w:spacing w:after="20"/>
            </w:pPr>
            <w:r>
              <w:rPr>
                <w:sz w:val="15"/>
              </w:rPr>
              <w:t>Retained exact artifact and registry JSON</w:t>
            </w:r>
          </w:p>
        </w:tc>
      </w:tr>
      <w:tr>
        <w:trPr>
          <w:cantSplit/>
        </w:trPr>
        <w:tc>
          <w:tcPr>
            <w:tcW w:type="dxa" w:w="2340"/>
            <w:vAlign w:val="top"/>
          </w:tcPr>
          <w:p>
            <w:pPr>
              <w:spacing w:after="20"/>
            </w:pPr>
            <w:r>
              <w:rPr>
                <w:sz w:val="15"/>
              </w:rPr>
              <w:t>EV-003</w:t>
            </w:r>
          </w:p>
        </w:tc>
        <w:tc>
          <w:tcPr>
            <w:tcW w:type="dxa" w:w="2340"/>
            <w:vAlign w:val="top"/>
          </w:tcPr>
          <w:p>
            <w:pPr>
              <w:spacing w:after="20"/>
            </w:pPr>
            <w:r>
              <w:rPr>
                <w:sz w:val="15"/>
              </w:rPr>
              <w:t>Semgrep, OSV, ClamAV and YARA</w:t>
            </w:r>
          </w:p>
        </w:tc>
        <w:tc>
          <w:tcPr>
            <w:tcW w:type="dxa" w:w="2340"/>
            <w:vAlign w:val="top"/>
          </w:tcPr>
          <w:p>
            <w:pPr>
              <w:spacing w:after="20"/>
            </w:pPr>
            <w:r>
              <w:rPr>
                <w:sz w:val="15"/>
              </w:rPr>
              <w:t>Current verified with limitations</w:t>
            </w:r>
          </w:p>
        </w:tc>
        <w:tc>
          <w:tcPr>
            <w:tcW w:type="dxa" w:w="2340"/>
            <w:vAlign w:val="top"/>
          </w:tcPr>
          <w:p>
            <w:pPr>
              <w:spacing w:after="20"/>
            </w:pPr>
            <w:r>
              <w:rPr>
                <w:sz w:val="15"/>
              </w:rPr>
              <w:t>Retained machine-readable output</w:t>
            </w:r>
          </w:p>
        </w:tc>
      </w:tr>
      <w:tr>
        <w:trPr>
          <w:cantSplit/>
        </w:trPr>
        <w:tc>
          <w:tcPr>
            <w:tcW w:type="dxa" w:w="2340"/>
            <w:vAlign w:val="top"/>
            <w:shd w:fill="EEF4F7"/>
          </w:tcPr>
          <w:p>
            <w:pPr>
              <w:spacing w:after="20"/>
            </w:pPr>
            <w:r>
              <w:rPr>
                <w:sz w:val="15"/>
              </w:rPr>
              <w:t>EV-004</w:t>
            </w:r>
          </w:p>
        </w:tc>
        <w:tc>
          <w:tcPr>
            <w:tcW w:type="dxa" w:w="2340"/>
            <w:vAlign w:val="top"/>
            <w:shd w:fill="EEF4F7"/>
          </w:tcPr>
          <w:p>
            <w:pPr>
              <w:spacing w:after="20"/>
            </w:pPr>
            <w:r>
              <w:rPr>
                <w:sz w:val="15"/>
              </w:rPr>
              <w:t>Trust-boundary figure</w:t>
            </w:r>
          </w:p>
        </w:tc>
        <w:tc>
          <w:tcPr>
            <w:tcW w:type="dxa" w:w="2340"/>
            <w:vAlign w:val="top"/>
            <w:shd w:fill="EEF4F7"/>
          </w:tcPr>
          <w:p>
            <w:pPr>
              <w:spacing w:after="20"/>
            </w:pPr>
            <w:r>
              <w:rPr>
                <w:sz w:val="15"/>
              </w:rPr>
              <w:t>Generated</w:t>
            </w:r>
          </w:p>
        </w:tc>
        <w:tc>
          <w:tcPr>
            <w:tcW w:type="dxa" w:w="2340"/>
            <w:vAlign w:val="top"/>
            <w:shd w:fill="EEF4F7"/>
          </w:tcPr>
          <w:p>
            <w:pPr>
              <w:spacing w:after="20"/>
            </w:pPr>
            <w:r>
              <w:rPr>
                <w:sz w:val="15"/>
              </w:rPr>
              <w:t>Embedded with alt text</w:t>
            </w:r>
          </w:p>
        </w:tc>
      </w:tr>
      <w:tr>
        <w:trPr>
          <w:cantSplit/>
        </w:trPr>
        <w:tc>
          <w:tcPr>
            <w:tcW w:type="dxa" w:w="2340"/>
            <w:vAlign w:val="top"/>
          </w:tcPr>
          <w:p>
            <w:pPr>
              <w:spacing w:after="20"/>
            </w:pPr>
            <w:r>
              <w:rPr>
                <w:sz w:val="15"/>
              </w:rPr>
              <w:t>EV-005</w:t>
            </w:r>
          </w:p>
        </w:tc>
        <w:tc>
          <w:tcPr>
            <w:tcW w:type="dxa" w:w="2340"/>
            <w:vAlign w:val="top"/>
          </w:tcPr>
          <w:p>
            <w:pPr>
              <w:spacing w:after="20"/>
            </w:pPr>
            <w:r>
              <w:rPr>
                <w:sz w:val="15"/>
              </w:rPr>
              <w:t>Representative runtime</w:t>
            </w:r>
          </w:p>
        </w:tc>
        <w:tc>
          <w:tcPr>
            <w:tcW w:type="dxa" w:w="2340"/>
            <w:vAlign w:val="top"/>
          </w:tcPr>
          <w:p>
            <w:pPr>
              <w:spacing w:after="20"/>
            </w:pPr>
            <w:r>
              <w:rPr>
                <w:sz w:val="15"/>
              </w:rPr>
              <w:t>Blocked</w:t>
            </w:r>
          </w:p>
        </w:tc>
        <w:tc>
          <w:tcPr>
            <w:tcW w:type="dxa" w:w="2340"/>
            <w:vAlign w:val="top"/>
          </w:tcPr>
          <w:p>
            <w:pPr>
              <w:spacing w:after="20"/>
            </w:pPr>
            <w:r>
              <w:rPr>
                <w:sz w:val="15"/>
              </w:rPr>
              <w:t>Acceptance protocol retained</w:t>
            </w:r>
          </w:p>
        </w:tc>
      </w:tr>
    </w:tbl>
    <w:p/>
    <w:p>
      <w:pPr>
        <w:pStyle w:val="Heading1"/>
      </w:pPr>
      <w:r>
        <w:t>Revision History Update</w:t>
      </w:r>
    </w:p>
    <w:tbl>
      <w:tblPr>
        <w:tblStyle w:val="TableGrid"/>
        <w:tblW w:type="auto" w:w="0"/>
        <w:jc w:val="center"/>
        <w:tblLook w:firstColumn="1" w:firstRow="1" w:lastColumn="0" w:lastRow="0" w:noHBand="0" w:noVBand="1" w:val="04A0"/>
      </w:tblPr>
      <w:tblGrid>
        <w:gridCol w:w="2340"/>
        <w:gridCol w:w="2340"/>
        <w:gridCol w:w="2340"/>
        <w:gridCol w:w="2340"/>
      </w:tblGrid>
      <w:tr>
        <w:trPr>
          <w:tblHeader/>
          <w:cantSplit/>
        </w:trPr>
        <w:tc>
          <w:tcPr>
            <w:tcW w:type="dxa" w:w="2340"/>
            <w:shd w:fill="17365D"/>
          </w:tcPr>
          <w:p>
            <w:r>
              <w:rPr>
                <w:b/>
                <w:color w:val="FFFFFF"/>
                <w:sz w:val="16"/>
              </w:rPr>
              <w:t>Version</w:t>
            </w:r>
          </w:p>
        </w:tc>
        <w:tc>
          <w:tcPr>
            <w:tcW w:type="dxa" w:w="2340"/>
            <w:shd w:fill="17365D"/>
          </w:tcPr>
          <w:p>
            <w:r>
              <w:rPr>
                <w:b/>
                <w:color w:val="FFFFFF"/>
                <w:sz w:val="16"/>
              </w:rPr>
              <w:t>Date</w:t>
            </w:r>
          </w:p>
        </w:tc>
        <w:tc>
          <w:tcPr>
            <w:tcW w:type="dxa" w:w="2340"/>
            <w:shd w:fill="17365D"/>
          </w:tcPr>
          <w:p>
            <w:r>
              <w:rPr>
                <w:b/>
                <w:color w:val="FFFFFF"/>
                <w:sz w:val="16"/>
              </w:rPr>
              <w:t>Change</w:t>
            </w:r>
          </w:p>
        </w:tc>
        <w:tc>
          <w:tcPr>
            <w:tcW w:type="dxa" w:w="2340"/>
            <w:shd w:fill="17365D"/>
          </w:tcPr>
          <w:p>
            <w:r>
              <w:rPr>
                <w:b/>
                <w:color w:val="FFFFFF"/>
                <w:sz w:val="16"/>
              </w:rPr>
              <w:t>Approval state</w:t>
            </w:r>
          </w:p>
        </w:tc>
      </w:tr>
      <w:tr>
        <w:trPr>
          <w:cantSplit/>
        </w:trPr>
        <w:tc>
          <w:tcPr>
            <w:tcW w:type="dxa" w:w="2340"/>
            <w:vAlign w:val="top"/>
          </w:tcPr>
          <w:p>
            <w:pPr>
              <w:spacing w:after="20"/>
            </w:pPr>
            <w:r>
              <w:rPr>
                <w:sz w:val="15"/>
              </w:rPr>
              <w:t>1.0</w:t>
            </w:r>
          </w:p>
        </w:tc>
        <w:tc>
          <w:tcPr>
            <w:tcW w:type="dxa" w:w="2340"/>
            <w:vAlign w:val="top"/>
          </w:tcPr>
          <w:p>
            <w:pPr>
              <w:spacing w:after="20"/>
            </w:pPr>
            <w:r>
              <w:rPr>
                <w:sz w:val="15"/>
              </w:rPr>
              <w:t>15 July 2026</w:t>
            </w:r>
          </w:p>
        </w:tc>
        <w:tc>
          <w:tcPr>
            <w:tcW w:type="dxa" w:w="2340"/>
            <w:vAlign w:val="top"/>
          </w:tcPr>
          <w:p>
            <w:pPr>
              <w:spacing w:after="20"/>
            </w:pPr>
            <w:r>
              <w:rPr>
                <w:sz w:val="15"/>
              </w:rPr>
              <w:t>Historical delivered assessment preserved as baseline evidence</w:t>
            </w:r>
          </w:p>
        </w:tc>
        <w:tc>
          <w:tcPr>
            <w:tcW w:type="dxa" w:w="2340"/>
            <w:vAlign w:val="top"/>
          </w:tcPr>
          <w:p>
            <w:pPr>
              <w:spacing w:after="20"/>
            </w:pPr>
            <w:r>
              <w:rPr>
                <w:sz w:val="15"/>
              </w:rPr>
              <w:t>Superseded</w:t>
            </w:r>
          </w:p>
        </w:tc>
      </w:tr>
      <w:tr>
        <w:trPr>
          <w:cantSplit/>
        </w:trPr>
        <w:tc>
          <w:tcPr>
            <w:tcW w:type="dxa" w:w="2340"/>
            <w:vAlign w:val="top"/>
            <w:shd w:fill="EEF4F7"/>
          </w:tcPr>
          <w:p>
            <w:pPr>
              <w:spacing w:after="20"/>
            </w:pPr>
            <w:r>
              <w:rPr>
                <w:sz w:val="15"/>
              </w:rPr>
              <w:t>1.1</w:t>
            </w:r>
          </w:p>
        </w:tc>
        <w:tc>
          <w:tcPr>
            <w:tcW w:type="dxa" w:w="2340"/>
            <w:vAlign w:val="top"/>
            <w:shd w:fill="EEF4F7"/>
          </w:tcPr>
          <w:p>
            <w:pPr>
              <w:spacing w:after="20"/>
            </w:pPr>
            <w:r>
              <w:rPr>
                <w:sz w:val="15"/>
              </w:rPr>
              <w:t>25 July 2026</w:t>
            </w:r>
          </w:p>
        </w:tc>
        <w:tc>
          <w:tcPr>
            <w:tcW w:type="dxa" w:w="2340"/>
            <w:vAlign w:val="top"/>
            <w:shd w:fill="EEF4F7"/>
          </w:tcPr>
          <w:p>
            <w:pPr>
              <w:spacing w:after="20"/>
            </w:pPr>
            <w:r>
              <w:rPr>
                <w:sz w:val="15"/>
              </w:rPr>
              <w:t>Repository regeneration, current source drift, static, malware, advisory and quality-gate review</w:t>
            </w:r>
          </w:p>
        </w:tc>
        <w:tc>
          <w:tcPr>
            <w:tcW w:type="dxa" w:w="2340"/>
            <w:vAlign w:val="top"/>
            <w:shd w:fill="EEF4F7"/>
          </w:tcPr>
          <w:p>
            <w:pPr>
              <w:spacing w:after="20"/>
            </w:pPr>
            <w:r>
              <w:rPr>
                <w:sz w:val="15"/>
              </w:rPr>
              <w:t>Candidate / draft PR</w:t>
            </w:r>
          </w:p>
        </w:tc>
      </w:tr>
    </w:tbl>
    <w:p/>
    <w:p>
      <w:pPr>
        <w:pStyle w:val="Heading1"/>
      </w:pPr>
      <w:r>
        <w:t>Document Control Update</w:t>
      </w:r>
    </w:p>
    <w:tbl>
      <w:tblPr>
        <w:tblStyle w:val="TableGrid"/>
        <w:tblW w:type="auto" w:w="0"/>
        <w:jc w:val="center"/>
        <w:tblLook w:firstColumn="1" w:firstRow="1" w:lastColumn="0" w:lastRow="0" w:noHBand="0" w:noVBand="1" w:val="04A0"/>
      </w:tblPr>
      <w:tblGrid>
        <w:gridCol w:w="4680"/>
        <w:gridCol w:w="4680"/>
      </w:tblGrid>
      <w:tr>
        <w:trPr>
          <w:tblHeader/>
          <w:cantSplit/>
        </w:trPr>
        <w:tc>
          <w:tcPr>
            <w:tcW w:type="dxa" w:w="4680"/>
            <w:shd w:fill="17365D"/>
          </w:tcPr>
          <w:p>
            <w:r>
              <w:rPr>
                <w:b/>
                <w:color w:val="FFFFFF"/>
                <w:sz w:val="16"/>
              </w:rPr>
              <w:t>Field</w:t>
            </w:r>
          </w:p>
        </w:tc>
        <w:tc>
          <w:tcPr>
            <w:tcW w:type="dxa" w:w="4680"/>
            <w:shd w:fill="17365D"/>
          </w:tcPr>
          <w:p>
            <w:r>
              <w:rPr>
                <w:b/>
                <w:color w:val="FFFFFF"/>
                <w:sz w:val="16"/>
              </w:rPr>
              <w:t>Value</w:t>
            </w:r>
          </w:p>
        </w:tc>
      </w:tr>
      <w:tr>
        <w:trPr>
          <w:cantSplit/>
        </w:trPr>
        <w:tc>
          <w:tcPr>
            <w:tcW w:type="dxa" w:w="4680"/>
            <w:vAlign w:val="top"/>
          </w:tcPr>
          <w:p>
            <w:pPr>
              <w:spacing w:after="20"/>
            </w:pPr>
            <w:r>
              <w:rPr>
                <w:sz w:val="15"/>
              </w:rPr>
              <w:t>Classification</w:t>
            </w:r>
          </w:p>
        </w:tc>
        <w:tc>
          <w:tcPr>
            <w:tcW w:type="dxa" w:w="4680"/>
            <w:vAlign w:val="top"/>
          </w:tcPr>
          <w:p>
            <w:pPr>
              <w:spacing w:after="20"/>
            </w:pPr>
            <w:r>
              <w:rPr>
                <w:sz w:val="15"/>
              </w:rPr>
              <w:t>PUBLIC</w:t>
            </w:r>
          </w:p>
        </w:tc>
      </w:tr>
      <w:tr>
        <w:trPr>
          <w:cantSplit/>
        </w:trPr>
        <w:tc>
          <w:tcPr>
            <w:tcW w:type="dxa" w:w="4680"/>
            <w:vAlign w:val="top"/>
            <w:shd w:fill="EEF4F7"/>
          </w:tcPr>
          <w:p>
            <w:pPr>
              <w:spacing w:after="20"/>
            </w:pPr>
            <w:r>
              <w:rPr>
                <w:sz w:val="15"/>
              </w:rPr>
              <w:t>Audience</w:t>
            </w:r>
          </w:p>
        </w:tc>
        <w:tc>
          <w:tcPr>
            <w:tcW w:type="dxa" w:w="4680"/>
            <w:vAlign w:val="top"/>
            <w:shd w:fill="EEF4F7"/>
          </w:tcPr>
          <w:p>
            <w:pPr>
              <w:spacing w:after="20"/>
            </w:pPr>
            <w:r>
              <w:rPr>
                <w:sz w:val="15"/>
              </w:rPr>
              <w:t>UK financial-services security, engineering, privacy and risk owners</w:t>
            </w:r>
          </w:p>
        </w:tc>
      </w:tr>
      <w:tr>
        <w:trPr>
          <w:cantSplit/>
        </w:trPr>
        <w:tc>
          <w:tcPr>
            <w:tcW w:type="dxa" w:w="4680"/>
            <w:vAlign w:val="top"/>
          </w:tcPr>
          <w:p>
            <w:pPr>
              <w:spacing w:after="20"/>
            </w:pPr>
            <w:r>
              <w:rPr>
                <w:sz w:val="15"/>
              </w:rPr>
              <w:t>Authority</w:t>
            </w:r>
          </w:p>
        </w:tc>
        <w:tc>
          <w:tcPr>
            <w:tcW w:type="dxa" w:w="4680"/>
            <w:vAlign w:val="top"/>
          </w:tcPr>
          <w:p>
            <w:pPr>
              <w:spacing w:after="20"/>
            </w:pPr>
            <w:r>
              <w:rPr>
                <w:sz w:val="15"/>
              </w:rPr>
              <w:t>Candidate until reviewed PR is approved and merged</w:t>
            </w:r>
          </w:p>
        </w:tc>
      </w:tr>
      <w:tr>
        <w:trPr>
          <w:cantSplit/>
        </w:trPr>
        <w:tc>
          <w:tcPr>
            <w:tcW w:type="dxa" w:w="4680"/>
            <w:vAlign w:val="top"/>
            <w:shd w:fill="EEF4F7"/>
          </w:tcPr>
          <w:p>
            <w:pPr>
              <w:spacing w:after="20"/>
            </w:pPr>
            <w:r>
              <w:rPr>
                <w:sz w:val="15"/>
              </w:rPr>
              <w:t>Source baseline</w:t>
            </w:r>
          </w:p>
        </w:tc>
        <w:tc>
          <w:tcPr>
            <w:tcW w:type="dxa" w:w="4680"/>
            <w:vAlign w:val="top"/>
            <w:shd w:fill="EEF4F7"/>
          </w:tcPr>
          <w:p>
            <w:pPr>
              <w:spacing w:after="20"/>
            </w:pPr>
            <w:r>
              <w:rPr>
                <w:sz w:val="15"/>
              </w:rPr>
              <w:t>historical-baseline-v1.0.docx</w:t>
            </w:r>
          </w:p>
        </w:tc>
      </w:tr>
      <w:tr>
        <w:trPr>
          <w:cantSplit/>
        </w:trPr>
        <w:tc>
          <w:tcPr>
            <w:tcW w:type="dxa" w:w="4680"/>
            <w:vAlign w:val="top"/>
          </w:tcPr>
          <w:p>
            <w:pPr>
              <w:spacing w:after="20"/>
            </w:pPr>
            <w:r>
              <w:rPr>
                <w:sz w:val="15"/>
              </w:rPr>
              <w:t>Repository run key</w:t>
            </w:r>
          </w:p>
        </w:tc>
        <w:tc>
          <w:tcPr>
            <w:tcW w:type="dxa" w:w="4680"/>
            <w:vAlign w:val="top"/>
          </w:tcPr>
          <w:p>
            <w:pPr>
              <w:spacing w:after="20"/>
            </w:pPr>
            <w:r>
              <w:rPr>
                <w:sz w:val="15"/>
              </w:rPr>
              <w:t>2026-07-25-v1.1</w:t>
            </w:r>
          </w:p>
        </w:tc>
      </w:tr>
    </w:tbl>
    <w:p/>
    <w:p>
      <w:pPr>
        <w:pStyle w:val="Heading1"/>
      </w:pPr>
      <w:r>
        <w:t>Glossary Update</w:t>
      </w:r>
    </w:p>
    <w:tbl>
      <w:tblPr>
        <w:tblStyle w:val="TableGrid"/>
        <w:tblW w:type="auto" w:w="0"/>
        <w:jc w:val="center"/>
        <w:tblLook w:firstColumn="1" w:firstRow="1" w:lastColumn="0" w:lastRow="0" w:noHBand="0" w:noVBand="1" w:val="04A0"/>
      </w:tblPr>
      <w:tblGrid>
        <w:gridCol w:w="4680"/>
        <w:gridCol w:w="4680"/>
      </w:tblGrid>
      <w:tr>
        <w:trPr>
          <w:tblHeader/>
          <w:cantSplit/>
        </w:trPr>
        <w:tc>
          <w:tcPr>
            <w:tcW w:type="dxa" w:w="4680"/>
            <w:shd w:fill="17365D"/>
          </w:tcPr>
          <w:p>
            <w:r>
              <w:rPr>
                <w:b/>
                <w:color w:val="FFFFFF"/>
                <w:sz w:val="16"/>
              </w:rPr>
              <w:t>Term</w:t>
            </w:r>
          </w:p>
        </w:tc>
        <w:tc>
          <w:tcPr>
            <w:tcW w:type="dxa" w:w="4680"/>
            <w:shd w:fill="17365D"/>
          </w:tcPr>
          <w:p>
            <w:r>
              <w:rPr>
                <w:b/>
                <w:color w:val="FFFFFF"/>
                <w:sz w:val="16"/>
              </w:rPr>
              <w:t>Meaning</w:t>
            </w:r>
          </w:p>
        </w:tc>
      </w:tr>
      <w:tr>
        <w:trPr>
          <w:cantSplit/>
        </w:trPr>
        <w:tc>
          <w:tcPr>
            <w:tcW w:type="dxa" w:w="4680"/>
            <w:vAlign w:val="top"/>
          </w:tcPr>
          <w:p>
            <w:pPr>
              <w:spacing w:after="20"/>
            </w:pPr>
            <w:r>
              <w:rPr>
                <w:sz w:val="15"/>
              </w:rPr>
              <w:t>Current verified</w:t>
            </w:r>
          </w:p>
        </w:tc>
        <w:tc>
          <w:tcPr>
            <w:tcW w:type="dxa" w:w="4680"/>
            <w:vAlign w:val="top"/>
          </w:tcPr>
          <w:p>
            <w:pPr>
              <w:spacing w:after="20"/>
            </w:pPr>
            <w:r>
              <w:rPr>
                <w:sz w:val="15"/>
              </w:rPr>
              <w:t>Supported by evidence acquired during the 25 July 2026 regeneration</w:t>
            </w:r>
          </w:p>
        </w:tc>
      </w:tr>
      <w:tr>
        <w:trPr>
          <w:cantSplit/>
        </w:trPr>
        <w:tc>
          <w:tcPr>
            <w:tcW w:type="dxa" w:w="4680"/>
            <w:vAlign w:val="top"/>
            <w:shd w:fill="EEF4F7"/>
          </w:tcPr>
          <w:p>
            <w:pPr>
              <w:spacing w:after="20"/>
            </w:pPr>
            <w:r>
              <w:rPr>
                <w:sz w:val="15"/>
              </w:rPr>
              <w:t>Historical verified</w:t>
            </w:r>
          </w:p>
        </w:tc>
        <w:tc>
          <w:tcPr>
            <w:tcW w:type="dxa" w:w="4680"/>
            <w:vAlign w:val="top"/>
            <w:shd w:fill="EEF4F7"/>
          </w:tcPr>
          <w:p>
            <w:pPr>
              <w:spacing w:after="20"/>
            </w:pPr>
            <w:r>
              <w:rPr>
                <w:sz w:val="15"/>
              </w:rPr>
              <w:t>Supported by retained evidence from the original assessment but not repeated on a current representative host</w:t>
            </w:r>
          </w:p>
        </w:tc>
      </w:tr>
      <w:tr>
        <w:trPr>
          <w:cantSplit/>
        </w:trPr>
        <w:tc>
          <w:tcPr>
            <w:tcW w:type="dxa" w:w="4680"/>
            <w:vAlign w:val="top"/>
          </w:tcPr>
          <w:p>
            <w:pPr>
              <w:spacing w:after="20"/>
            </w:pPr>
            <w:r>
              <w:rPr>
                <w:sz w:val="15"/>
              </w:rPr>
              <w:t>Not observed</w:t>
            </w:r>
          </w:p>
        </w:tc>
        <w:tc>
          <w:tcPr>
            <w:tcW w:type="dxa" w:w="4680"/>
            <w:vAlign w:val="top"/>
          </w:tcPr>
          <w:p>
            <w:pPr>
              <w:spacing w:after="20"/>
            </w:pPr>
            <w:r>
              <w:rPr>
                <w:sz w:val="15"/>
              </w:rPr>
              <w:t>No representative runtime evidence was obtained</w:t>
            </w:r>
          </w:p>
        </w:tc>
      </w:tr>
      <w:tr>
        <w:trPr>
          <w:cantSplit/>
        </w:trPr>
        <w:tc>
          <w:tcPr>
            <w:tcW w:type="dxa" w:w="4680"/>
            <w:vAlign w:val="top"/>
            <w:shd w:fill="EEF4F7"/>
          </w:tcPr>
          <w:p>
            <w:pPr>
              <w:spacing w:after="20"/>
            </w:pPr>
            <w:r>
              <w:rPr>
                <w:sz w:val="15"/>
              </w:rPr>
              <w:t>Blocked</w:t>
            </w:r>
          </w:p>
        </w:tc>
        <w:tc>
          <w:tcPr>
            <w:tcW w:type="dxa" w:w="4680"/>
            <w:vAlign w:val="top"/>
            <w:shd w:fill="EEF4F7"/>
          </w:tcPr>
          <w:p>
            <w:pPr>
              <w:spacing w:after="20"/>
            </w:pPr>
            <w:r>
              <w:rPr>
                <w:sz w:val="15"/>
              </w:rPr>
              <w:t>Selected analysis could not run because a required disposable host, account, or credential was unavailable</w:t>
            </w:r>
          </w:p>
        </w:tc>
      </w:tr>
      <w:tr>
        <w:trPr>
          <w:cantSplit/>
        </w:trPr>
        <w:tc>
          <w:tcPr>
            <w:tcW w:type="dxa" w:w="4680"/>
            <w:vAlign w:val="top"/>
          </w:tcPr>
          <w:p>
            <w:pPr>
              <w:spacing w:after="20"/>
            </w:pPr>
            <w:r>
              <w:rPr>
                <w:sz w:val="15"/>
              </w:rPr>
              <w:t>Control strength</w:t>
            </w:r>
          </w:p>
        </w:tc>
        <w:tc>
          <w:tcPr>
            <w:tcW w:type="dxa" w:w="4680"/>
            <w:vAlign w:val="top"/>
          </w:tcPr>
          <w:p>
            <w:pPr>
              <w:spacing w:after="20"/>
            </w:pPr>
            <w:r>
              <w:rPr>
                <w:sz w:val="15"/>
              </w:rPr>
              <w:t>Assurance rating based on enforcement and verification rather than intent</w:t>
            </w:r>
          </w:p>
        </w:tc>
      </w:tr>
    </w:tbl>
    <w:p/>
    <w:p>
      <w:pPr>
        <w:pStyle w:val="Heading1"/>
      </w:pPr>
      <w:r>
        <w:t>Current Primary References</w:t>
      </w:r>
    </w:p>
    <w:p>
      <w:r>
        <w:t xml:space="preserve">REF-P01 — Microsoft Playwright MCP repository: </w:t>
      </w:r>
      <w:hyperlink r:id="rId11">
        <w:r>
          <w:rPr>
            <w:color w:val="0563C1"/>
            <w:u w:val="single"/>
          </w:rPr>
          <w:t>open primary source</w:t>
        </w:r>
      </w:hyperlink>
      <w:r>
        <w:t xml:space="preserve"> (accessed 25 July 2026).</w:t>
      </w:r>
    </w:p>
    <w:p>
      <w:r>
        <w:t xml:space="preserve">REF-P02 — npm package 0.0.78: </w:t>
      </w:r>
      <w:hyperlink r:id="rId12">
        <w:r>
          <w:rPr>
            <w:color w:val="0563C1"/>
            <w:u w:val="single"/>
          </w:rPr>
          <w:t>open primary source</w:t>
        </w:r>
      </w:hyperlink>
      <w:r>
        <w:t xml:space="preserve"> (accessed 25 July 2026).</w:t>
      </w:r>
    </w:p>
    <w:p>
      <w:r>
        <w:t xml:space="preserve">REF-P03 — Hono node-server advisory: </w:t>
      </w:r>
      <w:hyperlink r:id="rId32">
        <w:r>
          <w:rPr>
            <w:color w:val="0563C1"/>
            <w:u w:val="single"/>
          </w:rPr>
          <w:t>open primary source</w:t>
        </w:r>
      </w:hyperlink>
      <w:r>
        <w:t xml:space="preserve"> (accessed 25 July 2026).</w:t>
      </w:r>
    </w:p>
    <w:p>
      <w:r>
        <w:t xml:space="preserve">REF-C01 — VS Code MCP servers: </w:t>
      </w:r>
      <w:hyperlink r:id="rId13">
        <w:r>
          <w:rPr>
            <w:color w:val="0563C1"/>
            <w:u w:val="single"/>
          </w:rPr>
          <w:t>open primary source</w:t>
        </w:r>
      </w:hyperlink>
      <w:r>
        <w:t xml:space="preserve"> (accessed 25 July 2026).</w:t>
      </w:r>
    </w:p>
    <w:p>
      <w:r>
        <w:t xml:space="preserve">REF-C02 — Visual Studio MCP servers: </w:t>
      </w:r>
      <w:hyperlink r:id="rId15">
        <w:r>
          <w:rPr>
            <w:color w:val="0563C1"/>
            <w:u w:val="single"/>
          </w:rPr>
          <w:t>open primary source</w:t>
        </w:r>
      </w:hyperlink>
      <w:r>
        <w:t xml:space="preserve"> (accessed 25 July 2026).</w:t>
      </w:r>
    </w:p>
    <w:p>
      <w:r>
        <w:t xml:space="preserve">REF-C03 — OWASP Top 10 for LLM Applications 2025: </w:t>
      </w:r>
      <w:hyperlink r:id="rId16">
        <w:r>
          <w:rPr>
            <w:color w:val="0563C1"/>
            <w:u w:val="single"/>
          </w:rPr>
          <w:t>open primary source</w:t>
        </w:r>
      </w:hyperlink>
      <w:r>
        <w:t xml:space="preserve"> (accessed 25 July 2026).</w:t>
      </w:r>
    </w:p>
    <w:p>
      <w:r>
        <w:t xml:space="preserve">REF-C04 — OWASP MCP Top 10: </w:t>
      </w:r>
      <w:hyperlink r:id="rId18">
        <w:r>
          <w:rPr>
            <w:color w:val="0563C1"/>
            <w:u w:val="single"/>
          </w:rPr>
          <w:t>open primary source</w:t>
        </w:r>
      </w:hyperlink>
      <w:r>
        <w:t xml:space="preserve"> (accessed 25 July 2026).</w:t>
      </w:r>
    </w:p>
    <w:p>
      <w:r>
        <w:t xml:space="preserve">REF-C05 — NIST AI Risk Management Framework: </w:t>
      </w:r>
      <w:hyperlink r:id="rId20">
        <w:r>
          <w:rPr>
            <w:color w:val="0563C1"/>
            <w:u w:val="single"/>
          </w:rPr>
          <w:t>open primary source</w:t>
        </w:r>
      </w:hyperlink>
      <w:r>
        <w:t xml:space="preserve"> (accessed 25 July 2026).</w:t>
      </w:r>
    </w:p>
    <w:p>
      <w:r>
        <w:t xml:space="preserve">REF-C06 — NCSC secure AI system development: </w:t>
      </w:r>
      <w:hyperlink r:id="rId24">
        <w:r>
          <w:rPr>
            <w:color w:val="0563C1"/>
            <w:u w:val="single"/>
          </w:rPr>
          <w:t>open primary source</w:t>
        </w:r>
      </w:hyperlink>
      <w:r>
        <w:t xml:space="preserve"> (accessed 25 July 2026).</w:t>
      </w:r>
    </w:p>
    <w:p>
      <w:r>
        <w:t xml:space="preserve">REF-C07 — ICO AI and data-protection guidance: </w:t>
      </w:r>
      <w:hyperlink r:id="rId33">
        <w:r>
          <w:rPr>
            <w:color w:val="0563C1"/>
            <w:u w:val="single"/>
          </w:rPr>
          <w:t>open primary source</w:t>
        </w:r>
      </w:hyperlink>
      <w:r>
        <w:t xml:space="preserve"> (accessed 25 July 2026).</w:t>
      </w:r>
    </w:p>
    <w:p>
      <w:r>
        <w:t xml:space="preserve">REF-C08 — FCA operational resilience: </w:t>
      </w:r>
      <w:hyperlink r:id="rId34">
        <w:r>
          <w:rPr>
            <w:color w:val="0563C1"/>
            <w:u w:val="single"/>
          </w:rPr>
          <w:t>open primary source</w:t>
        </w:r>
      </w:hyperlink>
      <w:r>
        <w:t xml:space="preserve"> (accessed 25 July 2026).</w:t>
      </w:r>
    </w:p>
    <w:p>
      <w:r>
        <w:t xml:space="preserve">REF-C09 — PRA SS2/21 third-party risk: </w:t>
      </w:r>
      <w:hyperlink r:id="rId27">
        <w:r>
          <w:rPr>
            <w:color w:val="0563C1"/>
            <w:u w:val="single"/>
          </w:rPr>
          <w:t>open primary source</w:t>
        </w:r>
      </w:hyperlink>
      <w:r>
        <w:t xml:space="preserve"> (accessed 25 July 2026).</w:t>
      </w:r>
    </w:p>
    <w:sectPr>
      <w:headerReference w:type="default" r:id="rId9"/>
      <w:footerReference w:type="default" r:id="rId10"/>
      <w:headerReference w:type="even" r:id="rId29"/>
      <w:footerReference w:type="even" r:id="rId3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SoloSentry Assessment Environment  |  25 July 2026  |  Page </w:t>
    </w:r>
    <w:r>
      <w:fldChar w:fldCharType="begin"/>
      <w:instrText xml:space="preserve"> PAGE </w:instrText>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SoloSentry Assessment Environment  |  25 July 2026  |  Page </w:t>
    </w:r>
    <w:r>
      <w:fldChar w:fldCharType="begin"/>
      <w:instrText xml:space="preserve"> PAGE </w:instrText>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PUBLIC  |  Playwright MCP 0.0.78 Security Assessment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PUBLIC  |  Playwright MCP 0.0.78 Security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color w:val="0B25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Calibri" w:hAnsi="Calibri"/>
      <w:i/>
      <w:iCs/>
      <w:color w:val="55555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microsoft/playwright-mcp" TargetMode="External"/><Relationship Id="rId12" Type="http://schemas.openxmlformats.org/officeDocument/2006/relationships/hyperlink" Target="https://www.npmjs.com/package/@playwright/mcp/v/0.0.78" TargetMode="External"/><Relationship Id="rId13" Type="http://schemas.openxmlformats.org/officeDocument/2006/relationships/hyperlink" Target="https://code.visualstudio.com/docs/agent-customization/mcp-servers" TargetMode="External"/><Relationship Id="rId14" Type="http://schemas.openxmlformats.org/officeDocument/2006/relationships/hyperlink" Target="https://code.visualstudio.com/docs/agents/security" TargetMode="External"/><Relationship Id="rId15" Type="http://schemas.openxmlformats.org/officeDocument/2006/relationships/hyperlink" Target="https://learn.microsoft.com/en-us/visualstudio/ide/mcp-servers?view=visualstudio" TargetMode="External"/><Relationship Id="rId16" Type="http://schemas.openxmlformats.org/officeDocument/2006/relationships/hyperlink" Target="https://genai.owasp.org/resource/owasp-top-10-for-llm-applications-2025/" TargetMode="External"/><Relationship Id="rId17" Type="http://schemas.openxmlformats.org/officeDocument/2006/relationships/hyperlink" Target="https://genai.owasp.org/resource/owasp-top-10-for-agentic-applications-for-2026/" TargetMode="External"/><Relationship Id="rId18" Type="http://schemas.openxmlformats.org/officeDocument/2006/relationships/hyperlink" Target="https://owasp.org/www-project-mcp-top-10/" TargetMode="External"/><Relationship Id="rId19" Type="http://schemas.openxmlformats.org/officeDocument/2006/relationships/hyperlink" Target="https://owasp.org/www-project-application-security-verification-standard/" TargetMode="External"/><Relationship Id="rId20" Type="http://schemas.openxmlformats.org/officeDocument/2006/relationships/hyperlink" Target="https://www.nist.gov/itl/ai-risk-management-framework" TargetMode="External"/><Relationship Id="rId21" Type="http://schemas.openxmlformats.org/officeDocument/2006/relationships/hyperlink" Target="https://atlas.mitre.org/" TargetMode="External"/><Relationship Id="rId22" Type="http://schemas.openxmlformats.org/officeDocument/2006/relationships/hyperlink" Target="https://www.cisecurity.org/controls/v8-1" TargetMode="External"/><Relationship Id="rId23" Type="http://schemas.openxmlformats.org/officeDocument/2006/relationships/hyperlink" Target="https://www.iso.org/standard/27001" TargetMode="External"/><Relationship Id="rId24" Type="http://schemas.openxmlformats.org/officeDocument/2006/relationships/hyperlink" Target="https://www.ncsc.gov.uk/collection/guidelines-secure-ai-system-development" TargetMode="External"/><Relationship Id="rId25" Type="http://schemas.openxmlformats.org/officeDocument/2006/relationships/hyperlink" Target="https://ico.org.uk/for-organisations/uk-gdpr-guidance-and-resources/artificial-intelligence/guidance-on-ai-and-data-protection/ai-and-data-protection-risk-toolkit/" TargetMode="External"/><Relationship Id="rId26" Type="http://schemas.openxmlformats.org/officeDocument/2006/relationships/hyperlink" Target="https://www.fca.org.uk/firms/outsourcing-and-operational-resilience" TargetMode="External"/><Relationship Id="rId27" Type="http://schemas.openxmlformats.org/officeDocument/2006/relationships/hyperlink" Target="https://www.bankofengland.co.uk/prudential-regulation/publication/2021/march/outsourcing-and-third-party-risk-management-ss" TargetMode="External"/><Relationship Id="rId28" Type="http://schemas.openxmlformats.org/officeDocument/2006/relationships/hyperlink" Target="https://www.bankofengland.co.uk/prudential-regulation/publication/2026/march/operational-incident-and-third-party-reporting-policy-statement" TargetMode="External"/><Relationship Id="rId29" Type="http://schemas.openxmlformats.org/officeDocument/2006/relationships/header" Target="header2.xml"/><Relationship Id="rId30" Type="http://schemas.openxmlformats.org/officeDocument/2006/relationships/footer" Target="footer2.xml"/><Relationship Id="rId31" Type="http://schemas.openxmlformats.org/officeDocument/2006/relationships/image" Target="media/image1.png"/><Relationship Id="rId32" Type="http://schemas.openxmlformats.org/officeDocument/2006/relationships/hyperlink" Target="https://github.com/advisories/GHSA-frvp-7c67-39w9" TargetMode="External"/><Relationship Id="rId33" Type="http://schemas.openxmlformats.org/officeDocument/2006/relationships/hyperlink" Target="https://ico.org.uk/for-organisations/uk-gdpr-guidance-and-resources/artificial-intelligence/" TargetMode="External"/><Relationship Id="rId34" Type="http://schemas.openxmlformats.org/officeDocument/2006/relationships/hyperlink" Target="https://www.fca.org.uk/firms/operational-resili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Playwright MCP 0.0.78 Security Assessment</dc:title>
  <dc:subject>VS Code and Visual Studio MCP security assessment</dc:subject>
  <dc:creator>SoloSentry Assessment Environment</dc:creator>
  <cp:keywords>MCP, VS Code, Visual Studio, security assessment, UK financial services</cp:keywords>
  <dc:description>generated by python-docx</dc:description>
  <cp:lastModifiedBy>SoloSentry Assessment Environment</cp:lastModifiedBy>
  <cp:revision>1</cp:revision>
  <dcterms:created xsi:type="dcterms:W3CDTF">2013-12-23T23:15:00Z</dcterms:created>
  <dcterms:modified xsi:type="dcterms:W3CDTF">2013-12-23T23:15:00Z</dcterms:modified>
  <cp:category/>
</cp:coreProperties>
</file>