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b/>
          <w:color w:val="0F6B78"/>
          <w:sz w:val="32"/>
        </w:rPr>
        <w:t>NETDATA  /  MCP</w:t>
      </w:r>
    </w:p>
    <w:p>
      <w:pPr>
        <w:pStyle w:val="Title"/>
      </w:pPr>
      <w:r>
        <w:t>Security Assessment</w:t>
      </w:r>
    </w:p>
    <w:p>
      <w:pPr>
        <w:spacing w:before="360"/>
      </w:pPr>
      <w:r>
        <w:rPr>
          <w:b/>
        </w:rPr>
        <w:t>VS Code and Visual Studio</w:t>
        <w:br/>
        <w:t>Large UK Insurance enterprise context</w:t>
      </w:r>
    </w:p>
    <w:p>
      <w:pPr>
        <w:spacing w:before="480"/>
      </w:pPr>
      <w:r>
        <w:rPr>
          <w:color w:val="0F6B78"/>
        </w:rPr>
        <w:t>━━━━━━━━━━━━━━━━━━━━━━━━━━━━━━━━━━━━━━━━</w:t>
      </w:r>
    </w:p>
    <w:p>
      <w:pPr>
        <w:spacing w:before="360"/>
      </w:pPr>
      <w:r>
        <w:rPr>
          <w:b/>
          <w:color w:val="C00000"/>
          <w:sz w:val="36"/>
        </w:rPr>
        <w:t>DECISION  /  DEFER PENDING EVIDENCE</w:t>
      </w:r>
    </w:p>
    <w:p>
      <w:r>
        <w:t>Production and regulated-data use is not approved. A time-limited synthetic pilot may proceed only after the preconditions in this report are met.</w:t>
      </w:r>
    </w:p>
    <w:p>
      <w:pPr>
        <w:spacing w:before="720"/>
      </w:pPr>
      <w:r>
        <w:t>Target: io.github.netdata/mcp-server</w:t>
        <w:br/>
        <w:t>Publisher: Netdata</w:t>
        <w:br/>
        <w:t>Assessed Registry version: 2.10.4</w:t>
        <w:br/>
        <w:t>Run key: 2026-07-25-v1.0</w:t>
        <w:br/>
        <w:t>Assessment date: 25 July 2026</w:t>
        <w:br/>
        <w:t>Classification: PUBLIC</w:t>
        <w:br/>
        <w:t>Report version: 1.0</w:t>
      </w:r>
    </w:p>
    <w:p>
      <w:r>
        <w:br w:type="page"/>
      </w:r>
    </w:p>
    <w:p>
      <w:pPr>
        <w:pStyle w:val="Heading1"/>
      </w:pPr>
      <w:r>
        <w:t>Document Control</w:t>
      </w:r>
    </w:p>
    <w:tbl>
      <w:tblPr>
        <w:tblStyle w:val="TableGrid"/>
        <w:tblW w:type="dxa" w:w="9360"/>
        <w:jc w:val="center"/>
        <w:tblLook w:firstColumn="1" w:firstRow="1" w:lastColumn="0" w:lastRow="0" w:noHBand="0" w:noVBand="1" w:val="04A0"/>
        <w:tblInd w:w="120" w:type="dxa"/>
        <w:tblLayout w:type="fixed"/>
      </w:tblPr>
      <w:tblGrid>
        <w:gridCol w:w="2500"/>
        <w:gridCol w:w="6860"/>
      </w:tblGrid>
      <w:tr>
        <w:trPr>
          <w:tblHeader w:val="true"/>
          <w:cantSplit/>
        </w:trPr>
        <w:tc>
          <w:tcPr>
            <w:tcW w:type="dxa" w:w="2500"/>
            <w:shd w:fill="17365D"/>
            <w:vAlign w:val="center"/>
          </w:tcPr>
          <w:p>
            <w:r>
              <w:rPr>
                <w:b/>
                <w:color w:val="FFFFFF"/>
                <w:sz w:val="16"/>
              </w:rPr>
              <w:t>Field</w:t>
            </w:r>
          </w:p>
        </w:tc>
        <w:tc>
          <w:tcPr>
            <w:tcW w:type="dxa" w:w="6860"/>
            <w:shd w:fill="17365D"/>
            <w:vAlign w:val="center"/>
          </w:tcPr>
          <w:p>
            <w:r>
              <w:rPr>
                <w:b/>
                <w:color w:val="FFFFFF"/>
                <w:sz w:val="16"/>
              </w:rPr>
              <w:t>Value</w:t>
            </w:r>
          </w:p>
        </w:tc>
      </w:tr>
      <w:tr>
        <w:trPr>
          <w:trHeight w:hRule="atLeast"/>
          <w:cantSplit/>
        </w:trPr>
        <w:tc>
          <w:tcPr>
            <w:tcW w:type="dxa" w:w="2500"/>
            <w:vAlign w:val="top"/>
          </w:tcPr>
          <w:p>
            <w:pPr>
              <w:spacing w:after="20"/>
            </w:pPr>
            <w:r>
              <w:rPr>
                <w:sz w:val="15"/>
              </w:rPr>
              <w:t>Title</w:t>
            </w:r>
          </w:p>
        </w:tc>
        <w:tc>
          <w:tcPr>
            <w:tcW w:type="dxa" w:w="6860"/>
            <w:vAlign w:val="top"/>
          </w:tcPr>
          <w:p>
            <w:pPr>
              <w:spacing w:after="20"/>
            </w:pPr>
            <w:r>
              <w:rPr>
                <w:sz w:val="15"/>
              </w:rPr>
              <w:t>Netdata MCP Security Assessment</w:t>
            </w:r>
          </w:p>
        </w:tc>
      </w:tr>
      <w:tr>
        <w:trPr>
          <w:trHeight w:hRule="atLeast"/>
          <w:cantSplit/>
        </w:trPr>
        <w:tc>
          <w:tcPr>
            <w:tcW w:type="dxa" w:w="2500"/>
            <w:vAlign w:val="top"/>
            <w:shd w:fill="EEF4F7"/>
          </w:tcPr>
          <w:p>
            <w:pPr>
              <w:spacing w:after="20"/>
            </w:pPr>
            <w:r>
              <w:rPr>
                <w:sz w:val="15"/>
              </w:rPr>
              <w:t>Target</w:t>
            </w:r>
          </w:p>
        </w:tc>
        <w:tc>
          <w:tcPr>
            <w:tcW w:type="dxa" w:w="6860"/>
            <w:vAlign w:val="top"/>
            <w:shd w:fill="EEF4F7"/>
          </w:tcPr>
          <w:p>
            <w:pPr>
              <w:spacing w:after="20"/>
            </w:pPr>
            <w:r>
              <w:rPr>
                <w:sz w:val="15"/>
              </w:rPr>
              <w:t>io.github.netdata/mcp-server / Netdata / Registry version 2.10.4</w:t>
            </w:r>
          </w:p>
        </w:tc>
      </w:tr>
      <w:tr>
        <w:trPr>
          <w:trHeight w:hRule="atLeast"/>
          <w:cantSplit/>
        </w:trPr>
        <w:tc>
          <w:tcPr>
            <w:tcW w:type="dxa" w:w="2500"/>
            <w:vAlign w:val="top"/>
          </w:tcPr>
          <w:p>
            <w:pPr>
              <w:spacing w:after="20"/>
            </w:pPr>
            <w:r>
              <w:rPr>
                <w:sz w:val="15"/>
              </w:rPr>
              <w:t>Run key</w:t>
            </w:r>
          </w:p>
        </w:tc>
        <w:tc>
          <w:tcPr>
            <w:tcW w:type="dxa" w:w="6860"/>
            <w:vAlign w:val="top"/>
          </w:tcPr>
          <w:p>
            <w:pPr>
              <w:spacing w:after="20"/>
            </w:pPr>
            <w:r>
              <w:rPr>
                <w:sz w:val="15"/>
              </w:rPr>
              <w:t>2026-07-25-v1.0</w:t>
            </w:r>
          </w:p>
        </w:tc>
      </w:tr>
      <w:tr>
        <w:trPr>
          <w:trHeight w:hRule="atLeast"/>
          <w:cantSplit/>
        </w:trPr>
        <w:tc>
          <w:tcPr>
            <w:tcW w:type="dxa" w:w="2500"/>
            <w:vAlign w:val="top"/>
            <w:shd w:fill="EEF4F7"/>
          </w:tcPr>
          <w:p>
            <w:pPr>
              <w:spacing w:after="20"/>
            </w:pPr>
            <w:r>
              <w:rPr>
                <w:sz w:val="15"/>
              </w:rPr>
              <w:t>Decision</w:t>
            </w:r>
          </w:p>
        </w:tc>
        <w:tc>
          <w:tcPr>
            <w:tcW w:type="dxa" w:w="6860"/>
            <w:vAlign w:val="top"/>
            <w:shd w:fill="EEF4F7"/>
          </w:tcPr>
          <w:p>
            <w:pPr>
              <w:spacing w:after="20"/>
            </w:pPr>
            <w:r>
              <w:rPr>
                <w:sz w:val="15"/>
              </w:rPr>
              <w:t>Defer pending evidence; production and regulated-data use not approved</w:t>
            </w:r>
          </w:p>
        </w:tc>
      </w:tr>
      <w:tr>
        <w:trPr>
          <w:trHeight w:hRule="atLeast"/>
          <w:cantSplit/>
        </w:trPr>
        <w:tc>
          <w:tcPr>
            <w:tcW w:type="dxa" w:w="2500"/>
            <w:vAlign w:val="top"/>
          </w:tcPr>
          <w:p>
            <w:pPr>
              <w:spacing w:after="20"/>
            </w:pPr>
            <w:r>
              <w:rPr>
                <w:sz w:val="15"/>
              </w:rPr>
              <w:t>Context</w:t>
            </w:r>
          </w:p>
        </w:tc>
        <w:tc>
          <w:tcPr>
            <w:tcW w:type="dxa" w:w="6860"/>
            <w:vAlign w:val="top"/>
          </w:tcPr>
          <w:p>
            <w:pPr>
              <w:spacing w:after="20"/>
            </w:pPr>
            <w:r>
              <w:rPr>
                <w:sz w:val="15"/>
              </w:rPr>
              <w:t>Large UK Insurance; VS Code and Visual Studio assessed independently</w:t>
            </w:r>
          </w:p>
        </w:tc>
      </w:tr>
      <w:tr>
        <w:trPr>
          <w:trHeight w:hRule="atLeast"/>
          <w:cantSplit/>
        </w:trPr>
        <w:tc>
          <w:tcPr>
            <w:tcW w:type="dxa" w:w="2500"/>
            <w:vAlign w:val="top"/>
            <w:shd w:fill="EEF4F7"/>
          </w:tcPr>
          <w:p>
            <w:pPr>
              <w:spacing w:after="20"/>
            </w:pPr>
            <w:r>
              <w:rPr>
                <w:sz w:val="15"/>
              </w:rPr>
              <w:t>Classification</w:t>
            </w:r>
          </w:p>
        </w:tc>
        <w:tc>
          <w:tcPr>
            <w:tcW w:type="dxa" w:w="6860"/>
            <w:vAlign w:val="top"/>
            <w:shd w:fill="EEF4F7"/>
          </w:tcPr>
          <w:p>
            <w:pPr>
              <w:spacing w:after="20"/>
            </w:pPr>
            <w:r>
              <w:rPr>
                <w:sz w:val="15"/>
              </w:rPr>
              <w:t>PUBLIC</w:t>
            </w:r>
          </w:p>
        </w:tc>
      </w:tr>
      <w:tr>
        <w:trPr>
          <w:trHeight w:hRule="atLeast"/>
          <w:cantSplit/>
        </w:trPr>
        <w:tc>
          <w:tcPr>
            <w:tcW w:type="dxa" w:w="2500"/>
            <w:vAlign w:val="top"/>
          </w:tcPr>
          <w:p>
            <w:pPr>
              <w:spacing w:after="20"/>
            </w:pPr>
            <w:r>
              <w:rPr>
                <w:sz w:val="15"/>
              </w:rPr>
              <w:t>Authoritative status</w:t>
            </w:r>
          </w:p>
        </w:tc>
        <w:tc>
          <w:tcPr>
            <w:tcW w:type="dxa" w:w="6860"/>
            <w:vAlign w:val="top"/>
          </w:tcPr>
          <w:p>
            <w:pPr>
              <w:spacing w:after="20"/>
            </w:pPr>
            <w:r>
              <w:rPr>
                <w:sz w:val="15"/>
              </w:rPr>
              <w:t>Authoritative only after all automated and native Microsoft Word gates pass</w:t>
            </w:r>
          </w:p>
        </w:tc>
      </w:tr>
    </w:tbl>
    <w:p/>
    <w:p>
      <w:pPr>
        <w:pStyle w:val="Heading1"/>
      </w:pPr>
      <w:r>
        <w:t>Revision History</w:t>
      </w:r>
    </w:p>
    <w:tbl>
      <w:tblPr>
        <w:tblStyle w:val="TableGrid"/>
        <w:tblW w:type="dxa" w:w="9360"/>
        <w:jc w:val="center"/>
        <w:tblLook w:firstColumn="1" w:firstRow="1" w:lastColumn="0" w:lastRow="0" w:noHBand="0" w:noVBand="1" w:val="04A0"/>
        <w:tblInd w:w="120" w:type="dxa"/>
        <w:tblLayout w:type="fixed"/>
      </w:tblPr>
      <w:tblGrid>
        <w:gridCol w:w="1200"/>
        <w:gridCol w:w="1700"/>
        <w:gridCol w:w="2200"/>
        <w:gridCol w:w="4260"/>
      </w:tblGrid>
      <w:tr>
        <w:trPr>
          <w:tblHeader w:val="true"/>
          <w:cantSplit/>
        </w:trPr>
        <w:tc>
          <w:tcPr>
            <w:tcW w:type="dxa" w:w="1200"/>
            <w:shd w:fill="17365D"/>
            <w:vAlign w:val="center"/>
          </w:tcPr>
          <w:p>
            <w:r>
              <w:rPr>
                <w:b/>
                <w:color w:val="FFFFFF"/>
                <w:sz w:val="16"/>
              </w:rPr>
              <w:t>Version</w:t>
            </w:r>
          </w:p>
        </w:tc>
        <w:tc>
          <w:tcPr>
            <w:tcW w:type="dxa" w:w="1700"/>
            <w:shd w:fill="17365D"/>
            <w:vAlign w:val="center"/>
          </w:tcPr>
          <w:p>
            <w:r>
              <w:rPr>
                <w:b/>
                <w:color w:val="FFFFFF"/>
                <w:sz w:val="16"/>
              </w:rPr>
              <w:t>Date</w:t>
            </w:r>
          </w:p>
        </w:tc>
        <w:tc>
          <w:tcPr>
            <w:tcW w:type="dxa" w:w="2200"/>
            <w:shd w:fill="17365D"/>
            <w:vAlign w:val="center"/>
          </w:tcPr>
          <w:p>
            <w:r>
              <w:rPr>
                <w:b/>
                <w:color w:val="FFFFFF"/>
                <w:sz w:val="16"/>
              </w:rPr>
              <w:t>Status</w:t>
            </w:r>
          </w:p>
        </w:tc>
        <w:tc>
          <w:tcPr>
            <w:tcW w:type="dxa" w:w="4260"/>
            <w:shd w:fill="17365D"/>
            <w:vAlign w:val="center"/>
          </w:tcPr>
          <w:p>
            <w:r>
              <w:rPr>
                <w:b/>
                <w:color w:val="FFFFFF"/>
                <w:sz w:val="16"/>
              </w:rPr>
              <w:t>Change</w:t>
            </w:r>
          </w:p>
        </w:tc>
      </w:tr>
      <w:tr>
        <w:trPr>
          <w:trHeight w:hRule="atLeast"/>
          <w:cantSplit/>
        </w:trPr>
        <w:tc>
          <w:tcPr>
            <w:tcW w:type="dxa" w:w="1200"/>
            <w:vAlign w:val="top"/>
          </w:tcPr>
          <w:p>
            <w:pPr>
              <w:spacing w:after="20"/>
            </w:pPr>
            <w:r>
              <w:rPr>
                <w:sz w:val="15"/>
              </w:rPr>
              <w:t>1.0</w:t>
            </w:r>
          </w:p>
        </w:tc>
        <w:tc>
          <w:tcPr>
            <w:tcW w:type="dxa" w:w="1700"/>
            <w:vAlign w:val="top"/>
          </w:tcPr>
          <w:p>
            <w:pPr>
              <w:spacing w:after="20"/>
            </w:pPr>
            <w:r>
              <w:rPr>
                <w:sz w:val="15"/>
              </w:rPr>
              <w:t>25 July 2026</w:t>
            </w:r>
          </w:p>
        </w:tc>
        <w:tc>
          <w:tcPr>
            <w:tcW w:type="dxa" w:w="2200"/>
            <w:vAlign w:val="top"/>
          </w:tcPr>
          <w:p>
            <w:pPr>
              <w:spacing w:after="20"/>
            </w:pPr>
            <w:r>
              <w:rPr>
                <w:sz w:val="15"/>
              </w:rPr>
              <w:t>Authoritative after QA</w:t>
            </w:r>
          </w:p>
        </w:tc>
        <w:tc>
          <w:tcPr>
            <w:tcW w:type="dxa" w:w="4260"/>
            <w:vAlign w:val="top"/>
          </w:tcPr>
          <w:p>
            <w:pPr>
              <w:spacing w:after="20"/>
            </w:pPr>
            <w:r>
              <w:rPr>
                <w:sz w:val="15"/>
              </w:rPr>
              <w:t>Initial assessment from retained 15-stage evidence</w:t>
            </w:r>
          </w:p>
        </w:tc>
      </w:tr>
    </w:tbl>
    <w:p/>
    <w:p>
      <w:pPr>
        <w:pStyle w:val="Heading1"/>
      </w:pPr>
      <w:r>
        <w:t>Contents</w:t>
      </w:r>
    </w:p>
    <w:p>
      <w:pPr>
        <w:pStyle w:val="ListBullet"/>
      </w:pPr>
      <w:r>
        <w:t>Executive Summary; Purpose and Function Overview; Scope, Assumptions and Methodology; Product Identity and Version.</w:t>
      </w:r>
    </w:p>
    <w:p>
      <w:pPr>
        <w:pStyle w:val="ListBullet"/>
      </w:pPr>
      <w:r>
        <w:t>Part I – VS Code Assessment; Part II – Visual Studio Assessment; Part III – Installed Agent Skills.</w:t>
      </w:r>
    </w:p>
    <w:p>
      <w:pPr>
        <w:pStyle w:val="ListBullet"/>
      </w:pPr>
      <w:r>
        <w:t>Cross-IDE Comparison; Consolidated Supply Chain; Privacy and Data Protection Assessment.</w:t>
      </w:r>
    </w:p>
    <w:p>
      <w:pPr>
        <w:pStyle w:val="ListBullet"/>
      </w:pPr>
      <w:r>
        <w:t>Enterprise Controls Roadmap; Detection Opportunities and Monitoring Plan; Consolidated Risk Register.</w:t>
      </w:r>
    </w:p>
    <w:p>
      <w:pPr>
        <w:pStyle w:val="ListBullet"/>
      </w:pPr>
      <w:r>
        <w:t>Residual Risk and Approval Recommendation; Limitations and Confidence; Evidence; References; Appendices; Glossary.</w:t>
      </w:r>
    </w:p>
    <w:p>
      <w:pPr>
        <w:pStyle w:val="Heading1"/>
      </w:pPr>
      <w:r>
        <w:t>Executive Summary</w:t>
      </w:r>
    </w:p>
    <w:p>
      <w:pPr>
        <w:pStyle w:val="ListBullet"/>
      </w:pPr>
      <w:r>
        <w:t>Decision: Defer pending evidence. Production, customer-data and live-incident use is not approved; only a tightly bounded synthetic pilot can be considered after prerequisites are met.</w:t>
      </w:r>
    </w:p>
    <w:p>
      <w:pPr>
        <w:pStyle w:val="ListBullet"/>
      </w:pPr>
      <w:r>
        <w:t>The official latest Registry identity is Netdata 2.10.4, backed by tag v2.10.4 and commit 245283237171400672a9ad914f5785ba8bc0fa5c; the source archive SHA-256 is 4096ca1a3999254c511d02f140f2e02aa8781c79280a176cce53fa39b0a502ea.</w:t>
      </w:r>
    </w:p>
    <w:p>
      <w:pPr>
        <w:pStyle w:val="ListBullet"/>
      </w:pPr>
      <w:r>
        <w:t>The hosted endpoint failed closed without credentials (HTTP/2 401), but authenticated tenant, node, tool, telemetry, retention and IDE lifecycle controls remain unverified.</w:t>
      </w:r>
    </w:p>
    <w:p>
      <w:pPr>
        <w:pStyle w:val="ListBullet"/>
      </w:pPr>
      <w:r>
        <w:t>Local Agent/Parent deployment creates material risk: anonymous metadata remains available; a single key can map to administrator/GOD authority; query-string and argument credentials are supported; cleartext HTTP/ws examples remain documented.</w:t>
      </w:r>
    </w:p>
    <w:p>
      <w:pPr>
        <w:pStyle w:val="ListBullet"/>
      </w:pPr>
      <w:r>
        <w:t>Thirteen read-oriented tools include execute_function for processes, connections, services, logs and events. Read-only does not mean low impact: prompt injection can still cause sensitive operational-data disclosure and excessive agency.</w:t>
      </w:r>
    </w:p>
    <w:p>
      <w:r>
        <w:t>Risk posture: five findings have Critical inherent risk and the proposed-control residual register contains multiple High risks. The enterprise must not treat IDE trust prompts as a substitute for server-side authorisation, data minimisation or supplier evidence. The fastest safe path is a hosted-HTTPS synthetic pilot with execute_function disabled, exact tool/schema allowlists, a dedicated low-scope token, controlled egress, DLP, full telemetry and documented cleanup.</w:t>
      </w:r>
    </w:p>
    <w:p>
      <w:pPr>
        <w:pStyle w:val="Heading1"/>
      </w:pPr>
      <w:r>
        <w:t>Purpose Function Overview</w:t>
      </w:r>
    </w:p>
    <w:p>
      <w:r>
        <w:t>Netdata MCP connects AI assistants to real-time infrastructure monitoring: metrics, nodes, alerts, machine-learning analysis and functions that can expose processes, network connections, services, logs and operating-system events. Its intended value is faster observability exploration and diagnostic context. In a Large UK Insurance business, it may influence response to important business-service incidents and can process data whose confidentiality and accuracy are regulated or operationally material.</w:t>
      </w:r>
      <w:r>
        <w:t xml:space="preserve"> </w:t>
      </w:r>
      <w:hyperlink w:anchor="REF_003">
        <w:r>
          <w:rPr>
            <w:color w:val="0563C1"/>
            <w:u w:val="single"/>
          </w:rPr>
          <w:t>[REF-003]</w:t>
        </w:r>
      </w:hyperlink>
    </w:p>
    <w:p>
      <w:pPr>
        <w:pStyle w:val="Heading1"/>
      </w:pPr>
      <w:r>
        <w:t>Scope Assumptions Methodology</w:t>
      </w:r>
    </w:p>
    <w:tbl>
      <w:tblPr>
        <w:tblStyle w:val="TableGrid"/>
        <w:tblW w:type="dxa" w:w="9360"/>
        <w:jc w:val="center"/>
        <w:tblLook w:firstColumn="1" w:firstRow="1" w:lastColumn="0" w:lastRow="0" w:noHBand="0" w:noVBand="1" w:val="04A0"/>
        <w:tblInd w:w="120" w:type="dxa"/>
        <w:tblLayout w:type="fixed"/>
      </w:tblPr>
      <w:tblGrid>
        <w:gridCol w:w="1800"/>
        <w:gridCol w:w="3900"/>
        <w:gridCol w:w="3660"/>
      </w:tblGrid>
      <w:tr>
        <w:trPr>
          <w:tblHeader w:val="true"/>
          <w:cantSplit/>
        </w:trPr>
        <w:tc>
          <w:tcPr>
            <w:tcW w:type="dxa" w:w="1800"/>
            <w:shd w:fill="17365D"/>
            <w:vAlign w:val="center"/>
          </w:tcPr>
          <w:p>
            <w:r>
              <w:rPr>
                <w:b/>
                <w:color w:val="FFFFFF"/>
                <w:sz w:val="16"/>
              </w:rPr>
              <w:t>Dimension</w:t>
            </w:r>
          </w:p>
        </w:tc>
        <w:tc>
          <w:tcPr>
            <w:tcW w:type="dxa" w:w="3900"/>
            <w:shd w:fill="17365D"/>
            <w:vAlign w:val="center"/>
          </w:tcPr>
          <w:p>
            <w:r>
              <w:rPr>
                <w:b/>
                <w:color w:val="FFFFFF"/>
                <w:sz w:val="16"/>
              </w:rPr>
              <w:t>In scope</w:t>
            </w:r>
          </w:p>
        </w:tc>
        <w:tc>
          <w:tcPr>
            <w:tcW w:type="dxa" w:w="3660"/>
            <w:shd w:fill="17365D"/>
            <w:vAlign w:val="center"/>
          </w:tcPr>
          <w:p>
            <w:r>
              <w:rPr>
                <w:b/>
                <w:color w:val="FFFFFF"/>
                <w:sz w:val="16"/>
              </w:rPr>
              <w:t>Exclusion or assumption</w:t>
            </w:r>
          </w:p>
        </w:tc>
      </w:tr>
      <w:tr>
        <w:trPr>
          <w:trHeight w:hRule="atLeast"/>
          <w:cantSplit/>
        </w:trPr>
        <w:tc>
          <w:tcPr>
            <w:tcW w:type="dxa" w:w="1800"/>
            <w:vAlign w:val="top"/>
          </w:tcPr>
          <w:p>
            <w:pPr>
              <w:spacing w:after="20"/>
            </w:pPr>
            <w:r>
              <w:rPr>
                <w:sz w:val="15"/>
              </w:rPr>
              <w:t>Target</w:t>
            </w:r>
          </w:p>
        </w:tc>
        <w:tc>
          <w:tcPr>
            <w:tcW w:type="dxa" w:w="3900"/>
            <w:vAlign w:val="top"/>
          </w:tcPr>
          <w:p>
            <w:pPr>
              <w:spacing w:after="20"/>
            </w:pPr>
            <w:r>
              <w:rPr>
                <w:sz w:val="15"/>
              </w:rPr>
              <w:t>Official Registry server and v2.10.4 repository MCP implementation</w:t>
            </w:r>
          </w:p>
        </w:tc>
        <w:tc>
          <w:tcPr>
            <w:tcW w:type="dxa" w:w="3660"/>
            <w:vAlign w:val="top"/>
          </w:tcPr>
          <w:p>
            <w:pPr>
              <w:spacing w:after="20"/>
            </w:pPr>
            <w:r>
              <w:rPr>
                <w:sz w:val="15"/>
              </w:rPr>
              <w:t>Hosted source-to-build attestation unavailable</w:t>
            </w:r>
          </w:p>
        </w:tc>
      </w:tr>
      <w:tr>
        <w:trPr>
          <w:trHeight w:hRule="atLeast"/>
          <w:cantSplit/>
        </w:trPr>
        <w:tc>
          <w:tcPr>
            <w:tcW w:type="dxa" w:w="1800"/>
            <w:vAlign w:val="top"/>
            <w:shd w:fill="EEF4F7"/>
          </w:tcPr>
          <w:p>
            <w:pPr>
              <w:spacing w:after="20"/>
            </w:pPr>
            <w:r>
              <w:rPr>
                <w:sz w:val="15"/>
              </w:rPr>
              <w:t>Clients</w:t>
            </w:r>
          </w:p>
        </w:tc>
        <w:tc>
          <w:tcPr>
            <w:tcW w:type="dxa" w:w="3900"/>
            <w:vAlign w:val="top"/>
            <w:shd w:fill="EEF4F7"/>
          </w:tcPr>
          <w:p>
            <w:pPr>
              <w:spacing w:after="20"/>
            </w:pPr>
            <w:r>
              <w:rPr>
                <w:sz w:val="15"/>
              </w:rPr>
              <w:t>VS Code Windows/macOS; Visual Studio Windows</w:t>
            </w:r>
          </w:p>
        </w:tc>
        <w:tc>
          <w:tcPr>
            <w:tcW w:type="dxa" w:w="3660"/>
            <w:vAlign w:val="top"/>
            <w:shd w:fill="EEF4F7"/>
          </w:tcPr>
          <w:p>
            <w:pPr>
              <w:spacing w:after="20"/>
            </w:pPr>
            <w:r>
              <w:rPr>
                <w:sz w:val="15"/>
              </w:rPr>
              <w:t>Representative disposable clients unavailable</w:t>
            </w:r>
          </w:p>
        </w:tc>
      </w:tr>
      <w:tr>
        <w:trPr>
          <w:trHeight w:hRule="atLeast"/>
          <w:cantSplit/>
        </w:trPr>
        <w:tc>
          <w:tcPr>
            <w:tcW w:type="dxa" w:w="1800"/>
            <w:vAlign w:val="top"/>
          </w:tcPr>
          <w:p>
            <w:pPr>
              <w:spacing w:after="20"/>
            </w:pPr>
            <w:r>
              <w:rPr>
                <w:sz w:val="15"/>
              </w:rPr>
              <w:t>Analysis</w:t>
            </w:r>
          </w:p>
        </w:tc>
        <w:tc>
          <w:tcPr>
            <w:tcW w:type="dxa" w:w="3900"/>
            <w:vAlign w:val="top"/>
          </w:tcPr>
          <w:p>
            <w:pPr>
              <w:spacing w:after="20"/>
            </w:pPr>
            <w:r>
              <w:rPr>
                <w:sz w:val="15"/>
              </w:rPr>
              <w:t>Static, malware, supply chain, privacy, bounded unauthenticated runtime</w:t>
            </w:r>
          </w:p>
        </w:tc>
        <w:tc>
          <w:tcPr>
            <w:tcW w:type="dxa" w:w="3660"/>
            <w:vAlign w:val="top"/>
          </w:tcPr>
          <w:p>
            <w:pPr>
              <w:spacing w:after="20"/>
            </w:pPr>
            <w:r>
              <w:rPr>
                <w:sz w:val="15"/>
              </w:rPr>
              <w:t>No detonation, persistence or production access</w:t>
            </w:r>
          </w:p>
        </w:tc>
      </w:tr>
      <w:tr>
        <w:trPr>
          <w:trHeight w:hRule="atLeast"/>
          <w:cantSplit/>
        </w:trPr>
        <w:tc>
          <w:tcPr>
            <w:tcW w:type="dxa" w:w="1800"/>
            <w:vAlign w:val="top"/>
            <w:shd w:fill="EEF4F7"/>
          </w:tcPr>
          <w:p>
            <w:pPr>
              <w:spacing w:after="20"/>
            </w:pPr>
            <w:r>
              <w:rPr>
                <w:sz w:val="15"/>
              </w:rPr>
              <w:t>Deployment</w:t>
            </w:r>
          </w:p>
        </w:tc>
        <w:tc>
          <w:tcPr>
            <w:tcW w:type="dxa" w:w="3900"/>
            <w:vAlign w:val="top"/>
            <w:shd w:fill="EEF4F7"/>
          </w:tcPr>
          <w:p>
            <w:pPr>
              <w:spacing w:after="20"/>
            </w:pPr>
            <w:r>
              <w:rPr>
                <w:sz w:val="15"/>
              </w:rPr>
              <w:t>Hosted HTTPS plus documented optional Agent/Parent path</w:t>
            </w:r>
          </w:p>
        </w:tc>
        <w:tc>
          <w:tcPr>
            <w:tcW w:type="dxa" w:w="3660"/>
            <w:vAlign w:val="top"/>
            <w:shd w:fill="EEF4F7"/>
          </w:tcPr>
          <w:p>
            <w:pPr>
              <w:spacing w:after="20"/>
            </w:pPr>
            <w:r>
              <w:rPr>
                <w:sz w:val="15"/>
              </w:rPr>
              <w:t>Auxiliary mcp-web-client/test client excluded</w:t>
            </w:r>
          </w:p>
        </w:tc>
      </w:tr>
      <w:tr>
        <w:trPr>
          <w:trHeight w:hRule="atLeast"/>
          <w:cantSplit/>
        </w:trPr>
        <w:tc>
          <w:tcPr>
            <w:tcW w:type="dxa" w:w="1800"/>
            <w:vAlign w:val="top"/>
          </w:tcPr>
          <w:p>
            <w:pPr>
              <w:spacing w:after="20"/>
            </w:pPr>
            <w:r>
              <w:rPr>
                <w:sz w:val="15"/>
              </w:rPr>
              <w:t>Data</w:t>
            </w:r>
          </w:p>
        </w:tc>
        <w:tc>
          <w:tcPr>
            <w:tcW w:type="dxa" w:w="3900"/>
            <w:vAlign w:val="top"/>
          </w:tcPr>
          <w:p>
            <w:pPr>
              <w:spacing w:after="20"/>
            </w:pPr>
            <w:r>
              <w:rPr>
                <w:sz w:val="15"/>
              </w:rPr>
              <w:t>Synthetic-only design and regulated-data impact</w:t>
            </w:r>
          </w:p>
        </w:tc>
        <w:tc>
          <w:tcPr>
            <w:tcW w:type="dxa" w:w="3660"/>
            <w:vAlign w:val="top"/>
          </w:tcPr>
          <w:p>
            <w:pPr>
              <w:spacing w:after="20"/>
            </w:pPr>
            <w:r>
              <w:rPr>
                <w:sz w:val="15"/>
              </w:rPr>
              <w:t>No customer, claim, staff or production credentials</w:t>
            </w:r>
          </w:p>
        </w:tc>
      </w:tr>
    </w:tbl>
    <w:p/>
    <w:p>
      <w:r>
        <w:t>Methods followed the repository assessment skill: identity resolution, immutable acquisition, archive safety, full unlinked snapshot, manual source review, Semgrep, YARA, ClamAV, Syft, OSV, Trivy, protocol/endpoint probing, IDE documentation review, privacy/regulatory analysis, OWASP-led threat mapping, finding validation, risk scoring and Word-first report QA. Static analysis, malware review, runtime analysis and privacy assessment were all selected Yes. Missing runtime prerequisites produced explicit blocked/deferred states, not silent scope reduction.</w:t>
      </w:r>
    </w:p>
    <w:p>
      <w:pPr>
        <w:pStyle w:val="Heading2"/>
      </w:pPr>
      <w:r>
        <w:t>Evidence State Vocabulary</w:t>
      </w:r>
    </w:p>
    <w:tbl>
      <w:tblPr>
        <w:tblStyle w:val="TableGrid"/>
        <w:tblW w:type="dxa" w:w="9360"/>
        <w:jc w:val="center"/>
        <w:tblLook w:firstColumn="1" w:firstRow="1" w:lastColumn="0" w:lastRow="0" w:noHBand="0" w:noVBand="1" w:val="04A0"/>
        <w:tblInd w:w="120" w:type="dxa"/>
        <w:tblLayout w:type="fixed"/>
      </w:tblPr>
      <w:tblGrid>
        <w:gridCol w:w="2000"/>
        <w:gridCol w:w="7360"/>
      </w:tblGrid>
      <w:tr>
        <w:trPr>
          <w:tblHeader w:val="true"/>
          <w:cantSplit/>
        </w:trPr>
        <w:tc>
          <w:tcPr>
            <w:tcW w:type="dxa" w:w="2000"/>
            <w:shd w:fill="17365D"/>
            <w:vAlign w:val="center"/>
          </w:tcPr>
          <w:p>
            <w:r>
              <w:rPr>
                <w:b/>
                <w:color w:val="FFFFFF"/>
                <w:sz w:val="16"/>
              </w:rPr>
              <w:t>State</w:t>
            </w:r>
          </w:p>
        </w:tc>
        <w:tc>
          <w:tcPr>
            <w:tcW w:type="dxa" w:w="7360"/>
            <w:shd w:fill="17365D"/>
            <w:vAlign w:val="center"/>
          </w:tcPr>
          <w:p>
            <w:r>
              <w:rPr>
                <w:b/>
                <w:color w:val="FFFFFF"/>
                <w:sz w:val="16"/>
              </w:rPr>
              <w:t>Meaning</w:t>
            </w:r>
          </w:p>
        </w:tc>
      </w:tr>
      <w:tr>
        <w:trPr>
          <w:trHeight w:hRule="atLeast"/>
          <w:cantSplit/>
        </w:trPr>
        <w:tc>
          <w:tcPr>
            <w:tcW w:type="dxa" w:w="2000"/>
            <w:vAlign w:val="top"/>
          </w:tcPr>
          <w:p>
            <w:pPr>
              <w:spacing w:after="20"/>
            </w:pPr>
            <w:r>
              <w:rPr>
                <w:sz w:val="15"/>
              </w:rPr>
              <w:t>Verified</w:t>
            </w:r>
          </w:p>
        </w:tc>
        <w:tc>
          <w:tcPr>
            <w:tcW w:type="dxa" w:w="7360"/>
            <w:vAlign w:val="top"/>
          </w:tcPr>
          <w:p>
            <w:pPr>
              <w:spacing w:after="20"/>
            </w:pPr>
            <w:r>
              <w:rPr>
                <w:sz w:val="15"/>
              </w:rPr>
              <w:t>Directly supported by retained evidence or observed bounded test</w:t>
            </w:r>
          </w:p>
        </w:tc>
      </w:tr>
      <w:tr>
        <w:trPr>
          <w:trHeight w:hRule="atLeast"/>
          <w:cantSplit/>
        </w:trPr>
        <w:tc>
          <w:tcPr>
            <w:tcW w:type="dxa" w:w="2000"/>
            <w:vAlign w:val="top"/>
            <w:shd w:fill="EEF4F7"/>
          </w:tcPr>
          <w:p>
            <w:pPr>
              <w:spacing w:after="20"/>
            </w:pPr>
            <w:r>
              <w:rPr>
                <w:sz w:val="15"/>
              </w:rPr>
              <w:t>Inferred</w:t>
            </w:r>
          </w:p>
        </w:tc>
        <w:tc>
          <w:tcPr>
            <w:tcW w:type="dxa" w:w="7360"/>
            <w:vAlign w:val="top"/>
            <w:shd w:fill="EEF4F7"/>
          </w:tcPr>
          <w:p>
            <w:pPr>
              <w:spacing w:after="20"/>
            </w:pPr>
            <w:r>
              <w:rPr>
                <w:sz w:val="15"/>
              </w:rPr>
              <w:t>Reasoned from verified architecture/source without representative runtime</w:t>
            </w:r>
          </w:p>
        </w:tc>
      </w:tr>
      <w:tr>
        <w:trPr>
          <w:trHeight w:hRule="atLeast"/>
          <w:cantSplit/>
        </w:trPr>
        <w:tc>
          <w:tcPr>
            <w:tcW w:type="dxa" w:w="2000"/>
            <w:vAlign w:val="top"/>
          </w:tcPr>
          <w:p>
            <w:pPr>
              <w:spacing w:after="20"/>
            </w:pPr>
            <w:r>
              <w:rPr>
                <w:sz w:val="15"/>
              </w:rPr>
              <w:t>Not observed</w:t>
            </w:r>
          </w:p>
        </w:tc>
        <w:tc>
          <w:tcPr>
            <w:tcW w:type="dxa" w:w="7360"/>
            <w:vAlign w:val="top"/>
          </w:tcPr>
          <w:p>
            <w:pPr>
              <w:spacing w:after="20"/>
            </w:pPr>
            <w:r>
              <w:rPr>
                <w:sz w:val="15"/>
              </w:rPr>
              <w:t>Within scope but not witnessed on a representative host</w:t>
            </w:r>
          </w:p>
        </w:tc>
      </w:tr>
      <w:tr>
        <w:trPr>
          <w:trHeight w:hRule="atLeast"/>
          <w:cantSplit/>
        </w:trPr>
        <w:tc>
          <w:tcPr>
            <w:tcW w:type="dxa" w:w="2000"/>
            <w:vAlign w:val="top"/>
            <w:shd w:fill="EEF4F7"/>
          </w:tcPr>
          <w:p>
            <w:pPr>
              <w:spacing w:after="20"/>
            </w:pPr>
            <w:r>
              <w:rPr>
                <w:sz w:val="15"/>
              </w:rPr>
              <w:t>Not applicable</w:t>
            </w:r>
          </w:p>
        </w:tc>
        <w:tc>
          <w:tcPr>
            <w:tcW w:type="dxa" w:w="7360"/>
            <w:vAlign w:val="top"/>
            <w:shd w:fill="EEF4F7"/>
          </w:tcPr>
          <w:p>
            <w:pPr>
              <w:spacing w:after="20"/>
            </w:pPr>
            <w:r>
              <w:rPr>
                <w:sz w:val="15"/>
              </w:rPr>
              <w:t>The target does not ship or use the component in the stated branch</w:t>
            </w:r>
          </w:p>
        </w:tc>
      </w:tr>
      <w:tr>
        <w:trPr>
          <w:trHeight w:hRule="atLeast"/>
          <w:cantSplit/>
        </w:trPr>
        <w:tc>
          <w:tcPr>
            <w:tcW w:type="dxa" w:w="2000"/>
            <w:vAlign w:val="top"/>
          </w:tcPr>
          <w:p>
            <w:pPr>
              <w:spacing w:after="20"/>
            </w:pPr>
            <w:r>
              <w:rPr>
                <w:sz w:val="15"/>
              </w:rPr>
              <w:t>Unknown</w:t>
            </w:r>
          </w:p>
        </w:tc>
        <w:tc>
          <w:tcPr>
            <w:tcW w:type="dxa" w:w="7360"/>
            <w:vAlign w:val="top"/>
          </w:tcPr>
          <w:p>
            <w:pPr>
              <w:spacing w:after="20"/>
            </w:pPr>
            <w:r>
              <w:rPr>
                <w:sz w:val="15"/>
              </w:rPr>
              <w:t>Evidence is insufficient to conclude</w:t>
            </w:r>
          </w:p>
        </w:tc>
      </w:tr>
    </w:tbl>
    <w:p/>
    <w:p>
      <w:pPr>
        <w:pStyle w:val="Heading2"/>
      </w:pPr>
      <w:r>
        <w:t>Risk Method and Legend</w:t>
      </w:r>
    </w:p>
    <w:p>
      <w:r>
        <w:t>Risk is likelihood × impact on a 1–5 scale. Bands: 1–4 Low; 5–9 Moderate; 10–16 High; 17–25 Critical. Inherent risk assumes no effective controls. Residual risk credits only proposed controls for planning and does not represent current approval. Each record includes treatment, owner, milestone, control strength and verification test.</w:t>
      </w:r>
    </w:p>
    <w:p>
      <w:pPr>
        <w:pStyle w:val="Heading1"/>
      </w:pPr>
      <w:r>
        <w:t>Product Identity and Version</w:t>
      </w:r>
    </w:p>
    <w:tbl>
      <w:tblPr>
        <w:tblStyle w:val="TableGrid"/>
        <w:tblW w:type="dxa" w:w="9360"/>
        <w:jc w:val="center"/>
        <w:tblLook w:firstColumn="1" w:firstRow="1" w:lastColumn="0" w:lastRow="0" w:noHBand="0" w:noVBand="1" w:val="04A0"/>
        <w:tblInd w:w="120" w:type="dxa"/>
        <w:tblLayout w:type="fixed"/>
      </w:tblPr>
      <w:tblGrid>
        <w:gridCol w:w="2200"/>
        <w:gridCol w:w="5160"/>
        <w:gridCol w:w="2000"/>
      </w:tblGrid>
      <w:tr>
        <w:trPr>
          <w:tblHeader w:val="true"/>
          <w:cantSplit/>
        </w:trPr>
        <w:tc>
          <w:tcPr>
            <w:tcW w:type="dxa" w:w="2200"/>
            <w:shd w:fill="17365D"/>
            <w:vAlign w:val="center"/>
          </w:tcPr>
          <w:p>
            <w:r>
              <w:rPr>
                <w:b/>
                <w:color w:val="FFFFFF"/>
                <w:sz w:val="16"/>
              </w:rPr>
              <w:t>Attribute</w:t>
            </w:r>
          </w:p>
        </w:tc>
        <w:tc>
          <w:tcPr>
            <w:tcW w:type="dxa" w:w="5160"/>
            <w:shd w:fill="17365D"/>
            <w:vAlign w:val="center"/>
          </w:tcPr>
          <w:p>
            <w:r>
              <w:rPr>
                <w:b/>
                <w:color w:val="FFFFFF"/>
                <w:sz w:val="16"/>
              </w:rPr>
              <w:t>Verified value</w:t>
            </w:r>
          </w:p>
        </w:tc>
        <w:tc>
          <w:tcPr>
            <w:tcW w:type="dxa" w:w="2000"/>
            <w:shd w:fill="17365D"/>
            <w:vAlign w:val="center"/>
          </w:tcPr>
          <w:p>
            <w:r>
              <w:rPr>
                <w:b/>
                <w:color w:val="FFFFFF"/>
                <w:sz w:val="16"/>
              </w:rPr>
              <w:t>Evidence state</w:t>
            </w:r>
          </w:p>
        </w:tc>
      </w:tr>
      <w:tr>
        <w:trPr>
          <w:trHeight w:hRule="atLeast"/>
          <w:cantSplit/>
        </w:trPr>
        <w:tc>
          <w:tcPr>
            <w:tcW w:type="dxa" w:w="2200"/>
            <w:vAlign w:val="top"/>
          </w:tcPr>
          <w:p>
            <w:pPr>
              <w:spacing w:after="20"/>
            </w:pPr>
            <w:r>
              <w:rPr>
                <w:sz w:val="15"/>
              </w:rPr>
              <w:t>Marketplace/Registry</w:t>
            </w:r>
          </w:p>
        </w:tc>
        <w:tc>
          <w:tcPr>
            <w:tcW w:type="dxa" w:w="5160"/>
            <w:vAlign w:val="top"/>
          </w:tcPr>
          <w:p>
            <w:pPr>
              <w:spacing w:after="20"/>
            </w:pPr>
            <w:r>
              <w:rPr>
                <w:sz w:val="15"/>
              </w:rPr>
              <w:t>Official MCP Registry</w:t>
            </w:r>
          </w:p>
        </w:tc>
        <w:tc>
          <w:tcPr>
            <w:tcW w:type="dxa" w:w="2000"/>
            <w:vAlign w:val="top"/>
          </w:tcPr>
          <w:p>
            <w:pPr>
              <w:spacing w:after="20"/>
            </w:pPr>
            <w:r>
              <w:rPr>
                <w:sz w:val="15"/>
              </w:rPr>
              <w:t>Verified</w:t>
            </w:r>
          </w:p>
        </w:tc>
      </w:tr>
      <w:tr>
        <w:trPr>
          <w:trHeight w:hRule="atLeast"/>
          <w:cantSplit/>
        </w:trPr>
        <w:tc>
          <w:tcPr>
            <w:tcW w:type="dxa" w:w="2200"/>
            <w:vAlign w:val="top"/>
            <w:shd w:fill="EEF4F7"/>
          </w:tcPr>
          <w:p>
            <w:pPr>
              <w:spacing w:after="20"/>
            </w:pPr>
            <w:r>
              <w:rPr>
                <w:sz w:val="15"/>
              </w:rPr>
              <w:t>Title / publisher</w:t>
            </w:r>
          </w:p>
        </w:tc>
        <w:tc>
          <w:tcPr>
            <w:tcW w:type="dxa" w:w="5160"/>
            <w:vAlign w:val="top"/>
            <w:shd w:fill="EEF4F7"/>
          </w:tcPr>
          <w:p>
            <w:pPr>
              <w:spacing w:after="20"/>
            </w:pPr>
            <w:r>
              <w:rPr>
                <w:sz w:val="15"/>
              </w:rPr>
              <w:t>Netdata / Netdata</w:t>
            </w:r>
          </w:p>
        </w:tc>
        <w:tc>
          <w:tcPr>
            <w:tcW w:type="dxa" w:w="2000"/>
            <w:vAlign w:val="top"/>
            <w:shd w:fill="EEF4F7"/>
          </w:tcPr>
          <w:p>
            <w:pPr>
              <w:spacing w:after="20"/>
            </w:pPr>
            <w:r>
              <w:rPr>
                <w:sz w:val="15"/>
              </w:rPr>
              <w:t>Verified</w:t>
            </w:r>
          </w:p>
        </w:tc>
      </w:tr>
      <w:tr>
        <w:trPr>
          <w:trHeight w:hRule="atLeast"/>
          <w:cantSplit/>
        </w:trPr>
        <w:tc>
          <w:tcPr>
            <w:tcW w:type="dxa" w:w="2200"/>
            <w:vAlign w:val="top"/>
          </w:tcPr>
          <w:p>
            <w:pPr>
              <w:spacing w:after="20"/>
            </w:pPr>
            <w:r>
              <w:rPr>
                <w:sz w:val="15"/>
              </w:rPr>
              <w:t>Identifier</w:t>
            </w:r>
          </w:p>
        </w:tc>
        <w:tc>
          <w:tcPr>
            <w:tcW w:type="dxa" w:w="5160"/>
            <w:vAlign w:val="top"/>
          </w:tcPr>
          <w:p>
            <w:pPr>
              <w:spacing w:after="20"/>
            </w:pPr>
            <w:r>
              <w:rPr>
                <w:sz w:val="15"/>
              </w:rPr>
              <w:t>io.github.netdata/mcp-server</w:t>
            </w:r>
          </w:p>
        </w:tc>
        <w:tc>
          <w:tcPr>
            <w:tcW w:type="dxa" w:w="2000"/>
            <w:vAlign w:val="top"/>
          </w:tcPr>
          <w:p>
            <w:pPr>
              <w:spacing w:after="20"/>
            </w:pPr>
            <w:r>
              <w:rPr>
                <w:sz w:val="15"/>
              </w:rPr>
              <w:t>Verified</w:t>
            </w:r>
          </w:p>
        </w:tc>
      </w:tr>
      <w:tr>
        <w:trPr>
          <w:trHeight w:hRule="atLeast"/>
          <w:cantSplit/>
        </w:trPr>
        <w:tc>
          <w:tcPr>
            <w:tcW w:type="dxa" w:w="2200"/>
            <w:vAlign w:val="top"/>
            <w:shd w:fill="EEF4F7"/>
          </w:tcPr>
          <w:p>
            <w:pPr>
              <w:spacing w:after="20"/>
            </w:pPr>
            <w:r>
              <w:rPr>
                <w:sz w:val="15"/>
              </w:rPr>
              <w:t>Latest assessed version</w:t>
            </w:r>
          </w:p>
        </w:tc>
        <w:tc>
          <w:tcPr>
            <w:tcW w:type="dxa" w:w="5160"/>
            <w:vAlign w:val="top"/>
            <w:shd w:fill="EEF4F7"/>
          </w:tcPr>
          <w:p>
            <w:pPr>
              <w:spacing w:after="20"/>
            </w:pPr>
            <w:r>
              <w:rPr>
                <w:sz w:val="15"/>
              </w:rPr>
              <w:t>2.10.4; published/updated 15 July 2026; isLatest=true</w:t>
            </w:r>
          </w:p>
        </w:tc>
        <w:tc>
          <w:tcPr>
            <w:tcW w:type="dxa" w:w="2000"/>
            <w:vAlign w:val="top"/>
            <w:shd w:fill="EEF4F7"/>
          </w:tcPr>
          <w:p>
            <w:pPr>
              <w:spacing w:after="20"/>
            </w:pPr>
            <w:r>
              <w:rPr>
                <w:sz w:val="15"/>
              </w:rPr>
              <w:t>Verified</w:t>
            </w:r>
          </w:p>
        </w:tc>
      </w:tr>
      <w:tr>
        <w:trPr>
          <w:trHeight w:hRule="atLeast"/>
          <w:cantSplit/>
        </w:trPr>
        <w:tc>
          <w:tcPr>
            <w:tcW w:type="dxa" w:w="2200"/>
            <w:vAlign w:val="top"/>
          </w:tcPr>
          <w:p>
            <w:pPr>
              <w:spacing w:after="20"/>
            </w:pPr>
            <w:r>
              <w:rPr>
                <w:sz w:val="15"/>
              </w:rPr>
              <w:t>Repository / subfolder</w:t>
            </w:r>
          </w:p>
        </w:tc>
        <w:tc>
          <w:tcPr>
            <w:tcW w:type="dxa" w:w="5160"/>
            <w:vAlign w:val="top"/>
          </w:tcPr>
          <w:p>
            <w:pPr>
              <w:spacing w:after="20"/>
            </w:pPr>
            <w:r>
              <w:rPr>
                <w:sz w:val="15"/>
              </w:rPr>
              <w:t>github.com/netdata/netdata / docs/netdata-ai/mcp</w:t>
            </w:r>
          </w:p>
        </w:tc>
        <w:tc>
          <w:tcPr>
            <w:tcW w:type="dxa" w:w="2000"/>
            <w:vAlign w:val="top"/>
          </w:tcPr>
          <w:p>
            <w:pPr>
              <w:spacing w:after="20"/>
            </w:pPr>
            <w:r>
              <w:rPr>
                <w:sz w:val="15"/>
              </w:rPr>
              <w:t>Verified</w:t>
            </w:r>
          </w:p>
        </w:tc>
      </w:tr>
      <w:tr>
        <w:trPr>
          <w:trHeight w:hRule="atLeast"/>
          <w:cantSplit/>
        </w:trPr>
        <w:tc>
          <w:tcPr>
            <w:tcW w:type="dxa" w:w="2200"/>
            <w:vAlign w:val="top"/>
            <w:shd w:fill="EEF4F7"/>
          </w:tcPr>
          <w:p>
            <w:pPr>
              <w:spacing w:after="20"/>
            </w:pPr>
            <w:r>
              <w:rPr>
                <w:sz w:val="15"/>
              </w:rPr>
              <w:t>Tag / commit</w:t>
            </w:r>
          </w:p>
        </w:tc>
        <w:tc>
          <w:tcPr>
            <w:tcW w:type="dxa" w:w="5160"/>
            <w:vAlign w:val="top"/>
            <w:shd w:fill="EEF4F7"/>
          </w:tcPr>
          <w:p>
            <w:pPr>
              <w:spacing w:after="20"/>
            </w:pPr>
            <w:r>
              <w:rPr>
                <w:sz w:val="15"/>
              </w:rPr>
              <w:t>v2.10.4 / 245283237171400672a9ad914f5785ba8bc0fa5c</w:t>
            </w:r>
          </w:p>
        </w:tc>
        <w:tc>
          <w:tcPr>
            <w:tcW w:type="dxa" w:w="2000"/>
            <w:vAlign w:val="top"/>
            <w:shd w:fill="EEF4F7"/>
          </w:tcPr>
          <w:p>
            <w:pPr>
              <w:spacing w:after="20"/>
            </w:pPr>
            <w:r>
              <w:rPr>
                <w:sz w:val="15"/>
              </w:rPr>
              <w:t>Verified</w:t>
            </w:r>
          </w:p>
        </w:tc>
      </w:tr>
      <w:tr>
        <w:trPr>
          <w:trHeight w:hRule="atLeast"/>
          <w:cantSplit/>
        </w:trPr>
        <w:tc>
          <w:tcPr>
            <w:tcW w:type="dxa" w:w="2200"/>
            <w:vAlign w:val="top"/>
          </w:tcPr>
          <w:p>
            <w:pPr>
              <w:spacing w:after="20"/>
            </w:pPr>
            <w:r>
              <w:rPr>
                <w:sz w:val="15"/>
              </w:rPr>
              <w:t>Hosted endpoint</w:t>
            </w:r>
          </w:p>
        </w:tc>
        <w:tc>
          <w:tcPr>
            <w:tcW w:type="dxa" w:w="5160"/>
            <w:vAlign w:val="top"/>
          </w:tcPr>
          <w:p>
            <w:pPr>
              <w:spacing w:after="20"/>
            </w:pPr>
            <w:r>
              <w:rPr>
                <w:sz w:val="15"/>
              </w:rPr>
              <w:t>https://app.netdata.cloud/api/v1/mcp</w:t>
            </w:r>
          </w:p>
        </w:tc>
        <w:tc>
          <w:tcPr>
            <w:tcW w:type="dxa" w:w="2000"/>
            <w:vAlign w:val="top"/>
          </w:tcPr>
          <w:p>
            <w:pPr>
              <w:spacing w:after="20"/>
            </w:pPr>
            <w:r>
              <w:rPr>
                <w:sz w:val="15"/>
              </w:rPr>
              <w:t>Verified descriptor; mutable service</w:t>
            </w:r>
          </w:p>
        </w:tc>
      </w:tr>
      <w:tr>
        <w:trPr>
          <w:trHeight w:hRule="atLeast"/>
          <w:cantSplit/>
        </w:trPr>
        <w:tc>
          <w:tcPr>
            <w:tcW w:type="dxa" w:w="2200"/>
            <w:vAlign w:val="top"/>
            <w:shd w:fill="EEF4F7"/>
          </w:tcPr>
          <w:p>
            <w:pPr>
              <w:spacing w:after="20"/>
            </w:pPr>
            <w:r>
              <w:rPr>
                <w:sz w:val="15"/>
              </w:rPr>
              <w:t>Authentication descriptor</w:t>
            </w:r>
          </w:p>
        </w:tc>
        <w:tc>
          <w:tcPr>
            <w:tcW w:type="dxa" w:w="5160"/>
            <w:vAlign w:val="top"/>
            <w:shd w:fill="EEF4F7"/>
          </w:tcPr>
          <w:p>
            <w:pPr>
              <w:spacing w:after="20"/>
            </w:pPr>
            <w:r>
              <w:rPr>
                <w:sz w:val="15"/>
              </w:rPr>
              <w:t>Authorization bearer with scope:mcp</w:t>
            </w:r>
          </w:p>
        </w:tc>
        <w:tc>
          <w:tcPr>
            <w:tcW w:type="dxa" w:w="2000"/>
            <w:vAlign w:val="top"/>
            <w:shd w:fill="EEF4F7"/>
          </w:tcPr>
          <w:p>
            <w:pPr>
              <w:spacing w:after="20"/>
            </w:pPr>
            <w:r>
              <w:rPr>
                <w:sz w:val="15"/>
              </w:rPr>
              <w:t>Verified descriptor; enforcement partly Unknown</w:t>
            </w:r>
          </w:p>
        </w:tc>
      </w:tr>
      <w:tr>
        <w:trPr>
          <w:trHeight w:hRule="atLeast"/>
          <w:cantSplit/>
        </w:trPr>
        <w:tc>
          <w:tcPr>
            <w:tcW w:type="dxa" w:w="2200"/>
            <w:vAlign w:val="top"/>
          </w:tcPr>
          <w:p>
            <w:pPr>
              <w:spacing w:after="20"/>
            </w:pPr>
            <w:r>
              <w:rPr>
                <w:sz w:val="15"/>
              </w:rPr>
              <w:t>Similar item excluded</w:t>
            </w:r>
          </w:p>
        </w:tc>
        <w:tc>
          <w:tcPr>
            <w:tcW w:type="dxa" w:w="5160"/>
            <w:vAlign w:val="top"/>
          </w:tcPr>
          <w:p>
            <w:pPr>
              <w:spacing w:after="20"/>
            </w:pPr>
            <w:r>
              <w:rPr>
                <w:sz w:val="15"/>
              </w:rPr>
              <w:t>jaroboro.netdata Net.Data language extension</w:t>
            </w:r>
          </w:p>
        </w:tc>
        <w:tc>
          <w:tcPr>
            <w:tcW w:type="dxa" w:w="2000"/>
            <w:vAlign w:val="top"/>
          </w:tcPr>
          <w:p>
            <w:pPr>
              <w:spacing w:after="20"/>
            </w:pPr>
            <w:r>
              <w:rPr>
                <w:sz w:val="15"/>
              </w:rPr>
              <w:t>Different target</w:t>
            </w:r>
          </w:p>
        </w:tc>
      </w:tr>
    </w:tbl>
    <w:p/>
    <w:p>
      <w:r>
        <w:t>The identity and latest-version determination is based on the official Registry record and the vendor release.</w:t>
      </w:r>
      <w:r>
        <w:t xml:space="preserve"> </w:t>
      </w:r>
      <w:hyperlink w:anchor="REF_001">
        <w:r>
          <w:rPr>
            <w:color w:val="0563C1"/>
            <w:u w:val="single"/>
          </w:rPr>
          <w:t>[REF-001]</w:t>
        </w:r>
      </w:hyperlink>
    </w:p>
    <w:p>
      <w:r>
        <w:t>The assessed release resolves to the retained immutable tag and source archive.</w:t>
      </w:r>
      <w:r>
        <w:t xml:space="preserve"> </w:t>
      </w:r>
      <w:hyperlink w:anchor="REF_002">
        <w:r>
          <w:rPr>
            <w:color w:val="0563C1"/>
            <w:u w:val="single"/>
          </w:rPr>
          <w:t>[REF-002]</w:t>
        </w:r>
      </w:hyperlink>
    </w:p>
    <w:p>
      <w:pPr>
        <w:pStyle w:val="Heading2"/>
      </w:pPr>
      <w:r>
        <w:t>Architecture and Data-Flow Figure</w:t>
      </w:r>
    </w:p>
    <w:p>
      <w:r>
        <w:drawing>
          <wp:inline xmlns:a="http://schemas.openxmlformats.org/drawingml/2006/main" xmlns:pic="http://schemas.openxmlformats.org/drawingml/2006/picture">
            <wp:extent cx="5943600" cy="3343275"/>
            <wp:docPr id="1" name="Picture 1" descr="Diagram showing untrusted workspace and model inputs passing through VS Code or Visual Studio to hosted or local Netdata MCP paths, thirteen tools, and operational data stores."/>
            <wp:cNvGraphicFramePr>
              <a:graphicFrameLocks noChangeAspect="1"/>
            </wp:cNvGraphicFramePr>
            <a:graphic>
              <a:graphicData uri="http://schemas.openxmlformats.org/drawingml/2006/picture">
                <pic:pic>
                  <pic:nvPicPr>
                    <pic:cNvPr id="0" name="netdata-mcp-trust-boundaries.png"/>
                    <pic:cNvPicPr/>
                  </pic:nvPicPr>
                  <pic:blipFill>
                    <a:blip r:embed="rId11"/>
                    <a:stretch>
                      <a:fillRect/>
                    </a:stretch>
                  </pic:blipFill>
                  <pic:spPr>
                    <a:xfrm>
                      <a:off x="0" y="0"/>
                      <a:ext cx="5943600" cy="3343275"/>
                    </a:xfrm>
                    <a:prstGeom prst="rect"/>
                  </pic:spPr>
                </pic:pic>
              </a:graphicData>
            </a:graphic>
          </wp:inline>
        </w:drawing>
      </w:r>
    </w:p>
    <w:p>
      <w:pPr>
        <w:jc w:val="center"/>
      </w:pPr>
      <w:r>
        <w:t>Figure 1. Netdata MCP trust boundaries and regulated-data flow.</w:t>
      </w:r>
    </w:p>
    <w:p>
      <w:pPr>
        <w:pStyle w:val="Heading1"/>
      </w:pPr>
      <w:r>
        <w:t>Part I – VS Code Assessment</w:t>
      </w:r>
    </w:p>
    <w:p>
      <w:pPr>
        <w:pStyle w:val="Heading2"/>
      </w:pPr>
      <w:r>
        <w:t>VS Code Decision and Approval</w:t>
      </w:r>
    </w:p>
    <w:p>
      <w:r>
        <w:t>Decision for VS Code: Defer pending evidence. Do not approve production, customer-data or operational-incident use. The hosted HTTPS endpoint may enter a tightly bounded synthetic pilot only after exact tool allowlisting, a dedicated low-privilege token, supplier/privacy evidence, egress controls and telemetry are in place. The local HTTP/SSE/WebSocket path and execute_function remain disabled.</w:t>
      </w:r>
    </w:p>
    <w:p>
      <w:pPr>
        <w:pStyle w:val="Heading2"/>
      </w:pPr>
      <w:r>
        <w:t>VS Code Purpose and Function</w:t>
      </w:r>
    </w:p>
    <w:p>
      <w:r>
        <w:t>In VS Code, Netdata MCP gives an AI agent access to infrastructure metrics, nodes, alerts, anomaly analysis and discovered functions. The business value is faster diagnostic context and incident exploration. The same capability can reveal regulated operational data and can influence decisions during an outage, so it must be treated as a privileged diagnostic integration rather than a low-risk read-only convenience.</w:t>
      </w:r>
      <w:r>
        <w:t xml:space="preserve"> </w:t>
      </w:r>
      <w:hyperlink w:anchor="REF_007">
        <w:r>
          <w:rPr>
            <w:color w:val="0563C1"/>
            <w:u w:val="single"/>
          </w:rPr>
          <w:t>[REF-007]</w:t>
        </w:r>
      </w:hyperlink>
    </w:p>
    <w:p>
      <w:pPr>
        <w:pStyle w:val="Heading2"/>
      </w:pPr>
      <w:r>
        <w:t>VS Code Architecture and Trust Boundaries</w:t>
      </w:r>
    </w:p>
    <w:p>
      <w:r>
        <w:t>The trust chain is user and workspace → VS Code agent → MCP client policy and consent → hosted HTTPS endpoint or optional bridge/local endpoint → Netdata Cloud/Agent/Parent → connected nodes and observability stores → model response. On Windows 11 and macOS, the integration inherits the user's IDE session, model entitlement and MCP configuration. Workspace files, issues, prompts, tool descriptions and returned logs are attacker-influenceable inputs. A tool marked read-only can still cross confidentiality and decision-integrity boundaries.</w:t>
      </w:r>
    </w:p>
    <w:p>
      <w:pPr>
        <w:pStyle w:val="Heading2"/>
      </w:pPr>
      <w:r>
        <w:t>VS Code Data Flows and Privacy</w:t>
      </w:r>
    </w:p>
    <w:p>
      <w:r>
        <w:t>Requests can name metrics, nodes, time ranges, functions, filters and alert states. Responses can contain hostnames, labels, IP addresses, incident history, process command lines, connections, services and log/event records. The data crosses from an observability purpose into an IDE/model purpose and may be retained in chat history, diagnostics, proxy logs or supplier systems. Data minimisation must be enforced before the model boundary; a policy promise not to ask for sensitive data is insufficient.</w:t>
      </w:r>
    </w:p>
    <w:p>
      <w:pPr>
        <w:pStyle w:val="Heading2"/>
      </w:pPr>
      <w:r>
        <w:t>VS Code Installation Manifest and Uninstall</w:t>
      </w:r>
    </w:p>
    <w:tbl>
      <w:tblPr>
        <w:tblStyle w:val="TableGrid"/>
        <w:tblW w:type="dxa" w:w="9360"/>
        <w:jc w:val="center"/>
        <w:tblLook w:firstColumn="1" w:firstRow="1" w:lastColumn="0" w:lastRow="0" w:noHBand="0" w:noVBand="1" w:val="04A0"/>
        <w:tblInd w:w="120" w:type="dxa"/>
        <w:tblLayout w:type="fixed"/>
      </w:tblPr>
      <w:tblGrid>
        <w:gridCol w:w="1600"/>
        <w:gridCol w:w="4050"/>
        <w:gridCol w:w="3710"/>
      </w:tblGrid>
      <w:tr>
        <w:trPr>
          <w:tblHeader w:val="true"/>
          <w:cantSplit/>
        </w:trPr>
        <w:tc>
          <w:tcPr>
            <w:tcW w:type="dxa" w:w="1600"/>
            <w:shd w:fill="17365D"/>
            <w:vAlign w:val="center"/>
          </w:tcPr>
          <w:p>
            <w:r>
              <w:rPr>
                <w:b/>
                <w:color w:val="FFFFFF"/>
                <w:sz w:val="16"/>
              </w:rPr>
              <w:t>Element</w:t>
            </w:r>
          </w:p>
        </w:tc>
        <w:tc>
          <w:tcPr>
            <w:tcW w:type="dxa" w:w="4050"/>
            <w:shd w:fill="17365D"/>
            <w:vAlign w:val="center"/>
          </w:tcPr>
          <w:p>
            <w:r>
              <w:rPr>
                <w:b/>
                <w:color w:val="FFFFFF"/>
                <w:sz w:val="16"/>
              </w:rPr>
              <w:t>Approved pilot state</w:t>
            </w:r>
          </w:p>
        </w:tc>
        <w:tc>
          <w:tcPr>
            <w:tcW w:type="dxa" w:w="3710"/>
            <w:shd w:fill="17365D"/>
            <w:vAlign w:val="center"/>
          </w:tcPr>
          <w:p>
            <w:r>
              <w:rPr>
                <w:b/>
                <w:color w:val="FFFFFF"/>
                <w:sz w:val="16"/>
              </w:rPr>
              <w:t>Uninstall/rollback verification</w:t>
            </w:r>
          </w:p>
        </w:tc>
      </w:tr>
      <w:tr>
        <w:trPr>
          <w:trHeight w:hRule="atLeast"/>
          <w:cantSplit/>
        </w:trPr>
        <w:tc>
          <w:tcPr>
            <w:tcW w:type="dxa" w:w="1600"/>
            <w:vAlign w:val="top"/>
          </w:tcPr>
          <w:p>
            <w:pPr>
              <w:spacing w:after="20"/>
            </w:pPr>
            <w:r>
              <w:rPr>
                <w:sz w:val="15"/>
              </w:rPr>
              <w:t>MCP definition</w:t>
            </w:r>
          </w:p>
        </w:tc>
        <w:tc>
          <w:tcPr>
            <w:tcW w:type="dxa" w:w="4050"/>
            <w:vAlign w:val="top"/>
          </w:tcPr>
          <w:p>
            <w:pPr>
              <w:spacing w:after="20"/>
            </w:pPr>
            <w:r>
              <w:rPr>
                <w:sz w:val="15"/>
              </w:rPr>
              <w:t>User-managed, policy-allowlisted hosted HTTPS URL only</w:t>
            </w:r>
          </w:p>
        </w:tc>
        <w:tc>
          <w:tcPr>
            <w:tcW w:type="dxa" w:w="3710"/>
            <w:vAlign w:val="top"/>
          </w:tcPr>
          <w:p>
            <w:pPr>
              <w:spacing w:after="20"/>
            </w:pPr>
            <w:r>
              <w:rPr>
                <w:sz w:val="15"/>
              </w:rPr>
              <w:t>Remove all user, workspace and policy definitions; restart; tools absent</w:t>
            </w:r>
          </w:p>
        </w:tc>
      </w:tr>
      <w:tr>
        <w:trPr>
          <w:trHeight w:hRule="atLeast"/>
          <w:cantSplit/>
        </w:trPr>
        <w:tc>
          <w:tcPr>
            <w:tcW w:type="dxa" w:w="1600"/>
            <w:vAlign w:val="top"/>
            <w:shd w:fill="EEF4F7"/>
          </w:tcPr>
          <w:p>
            <w:pPr>
              <w:spacing w:after="20"/>
            </w:pPr>
            <w:r>
              <w:rPr>
                <w:sz w:val="15"/>
              </w:rPr>
              <w:t>Credential</w:t>
            </w:r>
          </w:p>
        </w:tc>
        <w:tc>
          <w:tcPr>
            <w:tcW w:type="dxa" w:w="4050"/>
            <w:vAlign w:val="top"/>
            <w:shd w:fill="EEF4F7"/>
          </w:tcPr>
          <w:p>
            <w:pPr>
              <w:spacing w:after="20"/>
            </w:pPr>
            <w:r>
              <w:rPr>
                <w:sz w:val="15"/>
              </w:rPr>
              <w:t>Dedicated synthetic tenant token in approved secret store</w:t>
            </w:r>
          </w:p>
        </w:tc>
        <w:tc>
          <w:tcPr>
            <w:tcW w:type="dxa" w:w="3710"/>
            <w:vAlign w:val="top"/>
            <w:shd w:fill="EEF4F7"/>
          </w:tcPr>
          <w:p>
            <w:pPr>
              <w:spacing w:after="20"/>
            </w:pPr>
            <w:r>
              <w:rPr>
                <w:sz w:val="15"/>
              </w:rPr>
              <w:t>Revoke server-side; delete client reference; denial verified</w:t>
            </w:r>
          </w:p>
        </w:tc>
      </w:tr>
      <w:tr>
        <w:trPr>
          <w:trHeight w:hRule="atLeast"/>
          <w:cantSplit/>
        </w:trPr>
        <w:tc>
          <w:tcPr>
            <w:tcW w:type="dxa" w:w="1600"/>
            <w:vAlign w:val="top"/>
          </w:tcPr>
          <w:p>
            <w:pPr>
              <w:spacing w:after="20"/>
            </w:pPr>
            <w:r>
              <w:rPr>
                <w:sz w:val="15"/>
              </w:rPr>
              <w:t>Bridge</w:t>
            </w:r>
          </w:p>
        </w:tc>
        <w:tc>
          <w:tcPr>
            <w:tcW w:type="dxa" w:w="4050"/>
            <w:vAlign w:val="top"/>
          </w:tcPr>
          <w:p>
            <w:pPr>
              <w:spacing w:after="20"/>
            </w:pPr>
            <w:r>
              <w:rPr>
                <w:sz w:val="15"/>
              </w:rPr>
              <w:t>Not installed; if exception, exact internally promoted digest</w:t>
            </w:r>
          </w:p>
        </w:tc>
        <w:tc>
          <w:tcPr>
            <w:tcW w:type="dxa" w:w="3710"/>
            <w:vAlign w:val="top"/>
          </w:tcPr>
          <w:p>
            <w:pPr>
              <w:spacing w:after="20"/>
            </w:pPr>
            <w:r>
              <w:rPr>
                <w:sz w:val="15"/>
              </w:rPr>
              <w:t>Process/package/cache absent; registry access denied</w:t>
            </w:r>
          </w:p>
        </w:tc>
      </w:tr>
      <w:tr>
        <w:trPr>
          <w:trHeight w:hRule="atLeast"/>
          <w:cantSplit/>
        </w:trPr>
        <w:tc>
          <w:tcPr>
            <w:tcW w:type="dxa" w:w="1600"/>
            <w:vAlign w:val="top"/>
            <w:shd w:fill="EEF4F7"/>
          </w:tcPr>
          <w:p>
            <w:pPr>
              <w:spacing w:after="20"/>
            </w:pPr>
            <w:r>
              <w:rPr>
                <w:sz w:val="15"/>
              </w:rPr>
              <w:t>Tools</w:t>
            </w:r>
          </w:p>
        </w:tc>
        <w:tc>
          <w:tcPr>
            <w:tcW w:type="dxa" w:w="4050"/>
            <w:vAlign w:val="top"/>
            <w:shd w:fill="EEF4F7"/>
          </w:tcPr>
          <w:p>
            <w:pPr>
              <w:spacing w:after="20"/>
            </w:pPr>
            <w:r>
              <w:rPr>
                <w:sz w:val="15"/>
              </w:rPr>
              <w:t>Metadata/query subset; execute_function disabled</w:t>
            </w:r>
          </w:p>
        </w:tc>
        <w:tc>
          <w:tcPr>
            <w:tcW w:type="dxa" w:w="3710"/>
            <w:vAlign w:val="top"/>
            <w:shd w:fill="EEF4F7"/>
          </w:tcPr>
          <w:p>
            <w:pPr>
              <w:spacing w:after="20"/>
            </w:pPr>
            <w:r>
              <w:rPr>
                <w:sz w:val="15"/>
              </w:rPr>
              <w:t>Tool allowlist removed and schema snapshot archived</w:t>
            </w:r>
          </w:p>
        </w:tc>
      </w:tr>
      <w:tr>
        <w:trPr>
          <w:trHeight w:hRule="atLeast"/>
          <w:cantSplit/>
        </w:trPr>
        <w:tc>
          <w:tcPr>
            <w:tcW w:type="dxa" w:w="1600"/>
            <w:vAlign w:val="top"/>
          </w:tcPr>
          <w:p>
            <w:pPr>
              <w:spacing w:after="20"/>
            </w:pPr>
            <w:r>
              <w:rPr>
                <w:sz w:val="15"/>
              </w:rPr>
              <w:t>Logs/content</w:t>
            </w:r>
          </w:p>
        </w:tc>
        <w:tc>
          <w:tcPr>
            <w:tcW w:type="dxa" w:w="4050"/>
            <w:vAlign w:val="top"/>
          </w:tcPr>
          <w:p>
            <w:pPr>
              <w:spacing w:after="20"/>
            </w:pPr>
            <w:r>
              <w:rPr>
                <w:sz w:val="15"/>
              </w:rPr>
              <w:t>Synthetic only; bounded retention</w:t>
            </w:r>
          </w:p>
        </w:tc>
        <w:tc>
          <w:tcPr>
            <w:tcW w:type="dxa" w:w="3710"/>
            <w:vAlign w:val="top"/>
          </w:tcPr>
          <w:p>
            <w:pPr>
              <w:spacing w:after="20"/>
            </w:pPr>
            <w:r>
              <w:rPr>
                <w:sz w:val="15"/>
              </w:rPr>
              <w:t>IDE/model/proxy retention and deletion verified</w:t>
            </w:r>
          </w:p>
        </w:tc>
      </w:tr>
    </w:tbl>
    <w:p/>
    <w:p>
      <w:pPr>
        <w:pStyle w:val="Heading2"/>
      </w:pPr>
      <w:r>
        <w:t>VS Code Runtime, Activation and Network</w:t>
      </w:r>
    </w:p>
    <w:p>
      <w:r>
        <w:t>Activation begins when the MCP configuration is trusted and the client connects or invokes a tool. The hosted path should use certificate-validated HTTPS with destination allowlisting, explicit proxy policy, timeouts, rate limits and no redirects to unapproved origins. The local path can add an npm/Go bridge, port 19999 and cleartext examples; it is prohibited for the initial pilot. Runtime evidence must capture process ancestry, DNS, sockets, HTTP status, schema changes, retries, cancellation and recovery.</w:t>
      </w:r>
    </w:p>
    <w:p>
      <w:pPr>
        <w:pStyle w:val="Heading2"/>
      </w:pPr>
      <w:r>
        <w:t>VS Code Authentication and Authorization</w:t>
      </w:r>
    </w:p>
    <w:p>
      <w:r>
        <w:t>The Registry descriptor requires a bearer token with `scope:mcp`. The unauthenticated gateway returned 401, but tenant, node and function object authorisation were not tested. The local server's single UUID can grant administrative/GOD authority for protected functions and is accepted in leakage-prone compatibility forms. Enterprise approval requires short-lived audience-bound identity, separation by environment, per-tool/per-node scope, rapid revocation and audit evidence.</w:t>
      </w:r>
    </w:p>
    <w:p>
      <w:pPr>
        <w:pStyle w:val="Heading2"/>
      </w:pPr>
      <w:r>
        <w:t>VS Code Telemetry, Logging and Detection</w:t>
      </w:r>
    </w:p>
    <w:p>
      <w:r>
        <w:t>No representative runtime telemetry was observed. Required logs should record identity, tenant/node category, tool, schema version, policy decision, timing, response size, cancellation and outcome without bearer tokens, query strings, raw command lines or customer content. Detection must cover new server definitions, unapproved endpoints/bridges, tool-list drift, execute_function use, cross-node access, long or concurrent calls, authentication failures and data-loss-prevention signals.</w:t>
      </w:r>
    </w:p>
    <w:p>
      <w:pPr>
        <w:pStyle w:val="Heading2"/>
      </w:pPr>
      <w:r>
        <w:t>VS Code MCP and Agent Skills</w:t>
      </w:r>
    </w:p>
    <w:p>
      <w:r>
        <w:t>The integration is an MCP server and does not bundle an Agent Skill. Separately installed skills and repository instructions can still induce calls, so they are untrusted instruction sources. All thirteen tools require explicit inventory; execute_function should be denied by default. Tool descriptions and readOnlyHint/openWorldHint are metadata, not an authorisation boundary. A changed tools/list or schema must invalidate prior trust.</w:t>
      </w:r>
    </w:p>
    <w:p>
      <w:pPr>
        <w:pStyle w:val="Heading2"/>
      </w:pPr>
      <w:r>
        <w:t>VS Code Supply Chain and Dependencies</w:t>
      </w:r>
    </w:p>
    <w:p>
      <w:r>
        <w:t>The official Registry entry and v2.10.4 source establish identity and a reviewable local implementation. They do not attest the exact hosted service build. The vendor's `mcp-remote@latest` examples add mutable npm resolution. A regulated deployment requires exact versions/digests, controlled promotion, a resolved SBOM, signed provenance, admission scanning, change notification, schema snapshots, rollback and continuous vulnerability monitoring.</w:t>
      </w:r>
    </w:p>
    <w:p>
      <w:pPr>
        <w:pStyle w:val="Heading2"/>
      </w:pPr>
      <w:r>
        <w:t>VS Code Threats, Findings and Residual Risk</w:t>
      </w:r>
    </w:p>
    <w:p>
      <w:r>
        <w:t>The applicable validated findings are F-001 through F-010. The most material are coarse local administrative authority, cleartext local transport, broad function data, unknown Cloud object authorisation and regulated-data flow into model context. Residual risk remains High even after proposed controls because representative host evidence and supplier/tenant controls are incomplete. Read-only semantics do not reduce confidentiality or operational-decision impact.</w:t>
      </w:r>
    </w:p>
    <w:p>
      <w:pPr>
        <w:pStyle w:val="Heading2"/>
      </w:pPr>
      <w:r>
        <w:t>VS Code Framework Disposition</w:t>
      </w:r>
    </w:p>
    <w:tbl>
      <w:tblPr>
        <w:tblStyle w:val="TableGrid"/>
        <w:tblW w:type="dxa" w:w="9360"/>
        <w:jc w:val="center"/>
        <w:tblLook w:firstColumn="1" w:firstRow="1" w:lastColumn="0" w:lastRow="0" w:noHBand="0" w:noVBand="1" w:val="04A0"/>
        <w:tblInd w:w="120" w:type="dxa"/>
        <w:tblLayout w:type="fixed"/>
      </w:tblPr>
      <w:tblGrid>
        <w:gridCol w:w="2350"/>
        <w:gridCol w:w="1700"/>
        <w:gridCol w:w="5310"/>
      </w:tblGrid>
      <w:tr>
        <w:trPr>
          <w:tblHeader w:val="true"/>
          <w:cantSplit/>
        </w:trPr>
        <w:tc>
          <w:tcPr>
            <w:tcW w:type="dxa" w:w="2350"/>
            <w:shd w:fill="17365D"/>
            <w:vAlign w:val="center"/>
          </w:tcPr>
          <w:p>
            <w:r>
              <w:rPr>
                <w:b/>
                <w:color w:val="FFFFFF"/>
                <w:sz w:val="16"/>
              </w:rPr>
              <w:t>Framework</w:t>
            </w:r>
          </w:p>
        </w:tc>
        <w:tc>
          <w:tcPr>
            <w:tcW w:type="dxa" w:w="1700"/>
            <w:shd w:fill="17365D"/>
            <w:vAlign w:val="center"/>
          </w:tcPr>
          <w:p>
            <w:r>
              <w:rPr>
                <w:b/>
                <w:color w:val="FFFFFF"/>
                <w:sz w:val="16"/>
              </w:rPr>
              <w:t>Disposition</w:t>
            </w:r>
          </w:p>
        </w:tc>
        <w:tc>
          <w:tcPr>
            <w:tcW w:type="dxa" w:w="5310"/>
            <w:shd w:fill="17365D"/>
            <w:vAlign w:val="center"/>
          </w:tcPr>
          <w:p>
            <w:r>
              <w:rPr>
                <w:b/>
                <w:color w:val="FFFFFF"/>
                <w:sz w:val="16"/>
              </w:rPr>
              <w:t>Application</w:t>
            </w:r>
          </w:p>
        </w:tc>
      </w:tr>
      <w:tr>
        <w:trPr>
          <w:trHeight w:hRule="atLeast"/>
          <w:cantSplit/>
        </w:trPr>
        <w:tc>
          <w:tcPr>
            <w:tcW w:type="dxa" w:w="2350"/>
            <w:vAlign w:val="top"/>
          </w:tcPr>
          <w:p>
            <w:pPr>
              <w:spacing w:after="20"/>
            </w:pPr>
            <w:r>
              <w:rPr>
                <w:sz w:val="15"/>
              </w:rPr>
              <w:t>OWASP LLM 2025</w:t>
            </w:r>
          </w:p>
        </w:tc>
        <w:tc>
          <w:tcPr>
            <w:tcW w:type="dxa" w:w="1700"/>
            <w:vAlign w:val="top"/>
          </w:tcPr>
          <w:p>
            <w:pPr>
              <w:spacing w:after="20"/>
            </w:pPr>
            <w:r>
              <w:rPr>
                <w:sz w:val="15"/>
              </w:rPr>
              <w:t>Applicable</w:t>
            </w:r>
          </w:p>
        </w:tc>
        <w:tc>
          <w:tcPr>
            <w:tcW w:type="dxa" w:w="5310"/>
            <w:vAlign w:val="top"/>
          </w:tcPr>
          <w:p>
            <w:pPr>
              <w:spacing w:after="20"/>
            </w:pPr>
            <w:r>
              <w:rPr>
                <w:sz w:val="15"/>
              </w:rPr>
              <w:t>Prompt injection, sensitive disclosure, supply chain, excessive agency, unbounded consumption</w:t>
            </w:r>
          </w:p>
        </w:tc>
      </w:tr>
      <w:tr>
        <w:trPr>
          <w:trHeight w:hRule="atLeast"/>
          <w:cantSplit/>
        </w:trPr>
        <w:tc>
          <w:tcPr>
            <w:tcW w:type="dxa" w:w="2350"/>
            <w:vAlign w:val="top"/>
            <w:shd w:fill="EEF4F7"/>
          </w:tcPr>
          <w:p>
            <w:pPr>
              <w:spacing w:after="20"/>
            </w:pPr>
            <w:r>
              <w:rPr>
                <w:sz w:val="15"/>
              </w:rPr>
              <w:t>OWASP MCP Top 10</w:t>
            </w:r>
          </w:p>
        </w:tc>
        <w:tc>
          <w:tcPr>
            <w:tcW w:type="dxa" w:w="1700"/>
            <w:vAlign w:val="top"/>
            <w:shd w:fill="EEF4F7"/>
          </w:tcPr>
          <w:p>
            <w:pPr>
              <w:spacing w:after="20"/>
            </w:pPr>
            <w:r>
              <w:rPr>
                <w:sz w:val="15"/>
              </w:rPr>
              <w:t>Applicable</w:t>
            </w:r>
          </w:p>
        </w:tc>
        <w:tc>
          <w:tcPr>
            <w:tcW w:type="dxa" w:w="5310"/>
            <w:vAlign w:val="top"/>
            <w:shd w:fill="EEF4F7"/>
          </w:tcPr>
          <w:p>
            <w:pPr>
              <w:spacing w:after="20"/>
            </w:pPr>
            <w:r>
              <w:rPr>
                <w:sz w:val="15"/>
              </w:rPr>
              <w:t>Token handling, scope creep, tool poisoning, audit and supply chain</w:t>
            </w:r>
          </w:p>
        </w:tc>
      </w:tr>
      <w:tr>
        <w:trPr>
          <w:trHeight w:hRule="atLeast"/>
          <w:cantSplit/>
        </w:trPr>
        <w:tc>
          <w:tcPr>
            <w:tcW w:type="dxa" w:w="2350"/>
            <w:vAlign w:val="top"/>
          </w:tcPr>
          <w:p>
            <w:pPr>
              <w:spacing w:after="20"/>
            </w:pPr>
            <w:r>
              <w:rPr>
                <w:sz w:val="15"/>
              </w:rPr>
              <w:t>OWASP ASVS 5.0 Level 2</w:t>
            </w:r>
          </w:p>
        </w:tc>
        <w:tc>
          <w:tcPr>
            <w:tcW w:type="dxa" w:w="1700"/>
            <w:vAlign w:val="top"/>
          </w:tcPr>
          <w:p>
            <w:pPr>
              <w:spacing w:after="20"/>
            </w:pPr>
            <w:r>
              <w:rPr>
                <w:sz w:val="15"/>
              </w:rPr>
              <w:t>Applicable baseline</w:t>
            </w:r>
          </w:p>
        </w:tc>
        <w:tc>
          <w:tcPr>
            <w:tcW w:type="dxa" w:w="5310"/>
            <w:vAlign w:val="top"/>
          </w:tcPr>
          <w:p>
            <w:pPr>
              <w:spacing w:after="20"/>
            </w:pPr>
            <w:r>
              <w:rPr>
                <w:sz w:val="15"/>
              </w:rPr>
              <w:t>Hosted/local HTTP authentication, access, validation, communications and logging</w:t>
            </w:r>
          </w:p>
        </w:tc>
      </w:tr>
      <w:tr>
        <w:trPr>
          <w:trHeight w:hRule="atLeast"/>
          <w:cantSplit/>
        </w:trPr>
        <w:tc>
          <w:tcPr>
            <w:tcW w:type="dxa" w:w="2350"/>
            <w:vAlign w:val="top"/>
            <w:shd w:fill="EEF4F7"/>
          </w:tcPr>
          <w:p>
            <w:pPr>
              <w:spacing w:after="20"/>
            </w:pPr>
            <w:r>
              <w:rPr>
                <w:sz w:val="15"/>
              </w:rPr>
              <w:t>MITRE ATLAS / OWASP Agentic</w:t>
            </w:r>
          </w:p>
        </w:tc>
        <w:tc>
          <w:tcPr>
            <w:tcW w:type="dxa" w:w="1700"/>
            <w:vAlign w:val="top"/>
            <w:shd w:fill="EEF4F7"/>
          </w:tcPr>
          <w:p>
            <w:pPr>
              <w:spacing w:after="20"/>
            </w:pPr>
            <w:r>
              <w:rPr>
                <w:sz w:val="15"/>
              </w:rPr>
              <w:t>Applicable</w:t>
            </w:r>
          </w:p>
        </w:tc>
        <w:tc>
          <w:tcPr>
            <w:tcW w:type="dxa" w:w="5310"/>
            <w:vAlign w:val="top"/>
            <w:shd w:fill="EEF4F7"/>
          </w:tcPr>
          <w:p>
            <w:pPr>
              <w:spacing w:after="20"/>
            </w:pPr>
            <w:r>
              <w:rPr>
                <w:sz w:val="15"/>
              </w:rPr>
              <w:t>Agent/tool abuse and exfiltration scenarios</w:t>
            </w:r>
          </w:p>
        </w:tc>
      </w:tr>
      <w:tr>
        <w:trPr>
          <w:trHeight w:hRule="atLeast"/>
          <w:cantSplit/>
        </w:trPr>
        <w:tc>
          <w:tcPr>
            <w:tcW w:type="dxa" w:w="2350"/>
            <w:vAlign w:val="top"/>
          </w:tcPr>
          <w:p>
            <w:pPr>
              <w:spacing w:after="20"/>
            </w:pPr>
            <w:r>
              <w:rPr>
                <w:sz w:val="15"/>
              </w:rPr>
              <w:t>NIST AI RMF / AI 600-1</w:t>
            </w:r>
          </w:p>
        </w:tc>
        <w:tc>
          <w:tcPr>
            <w:tcW w:type="dxa" w:w="1700"/>
            <w:vAlign w:val="top"/>
          </w:tcPr>
          <w:p>
            <w:pPr>
              <w:spacing w:after="20"/>
            </w:pPr>
            <w:r>
              <w:rPr>
                <w:sz w:val="15"/>
              </w:rPr>
              <w:t>Applicable</w:t>
            </w:r>
          </w:p>
        </w:tc>
        <w:tc>
          <w:tcPr>
            <w:tcW w:type="dxa" w:w="5310"/>
            <w:vAlign w:val="top"/>
          </w:tcPr>
          <w:p>
            <w:pPr>
              <w:spacing w:after="20"/>
            </w:pPr>
            <w:r>
              <w:rPr>
                <w:sz w:val="15"/>
              </w:rPr>
              <w:t>Govern, Map, Measure and Manage evidence</w:t>
            </w:r>
          </w:p>
        </w:tc>
      </w:tr>
      <w:tr>
        <w:trPr>
          <w:trHeight w:hRule="atLeast"/>
          <w:cantSplit/>
        </w:trPr>
        <w:tc>
          <w:tcPr>
            <w:tcW w:type="dxa" w:w="2350"/>
            <w:vAlign w:val="top"/>
            <w:shd w:fill="EEF4F7"/>
          </w:tcPr>
          <w:p>
            <w:pPr>
              <w:spacing w:after="20"/>
            </w:pPr>
            <w:r>
              <w:rPr>
                <w:sz w:val="15"/>
              </w:rPr>
              <w:t>NCSC / CIS / ISO 27001</w:t>
            </w:r>
          </w:p>
        </w:tc>
        <w:tc>
          <w:tcPr>
            <w:tcW w:type="dxa" w:w="1700"/>
            <w:vAlign w:val="top"/>
            <w:shd w:fill="EEF4F7"/>
          </w:tcPr>
          <w:p>
            <w:pPr>
              <w:spacing w:after="20"/>
            </w:pPr>
            <w:r>
              <w:rPr>
                <w:sz w:val="15"/>
              </w:rPr>
              <w:t>Applicable</w:t>
            </w:r>
          </w:p>
        </w:tc>
        <w:tc>
          <w:tcPr>
            <w:tcW w:type="dxa" w:w="5310"/>
            <w:vAlign w:val="top"/>
            <w:shd w:fill="EEF4F7"/>
          </w:tcPr>
          <w:p>
            <w:pPr>
              <w:spacing w:after="20"/>
            </w:pPr>
            <w:r>
              <w:rPr>
                <w:sz w:val="15"/>
              </w:rPr>
              <w:t>Lifecycle, configuration, identity, monitoring, incident and supplier controls</w:t>
            </w:r>
          </w:p>
        </w:tc>
      </w:tr>
    </w:tbl>
    <w:p/>
    <w:p>
      <w:pPr>
        <w:pStyle w:val="Heading2"/>
      </w:pPr>
      <w:r>
        <w:t>VS Code Controls and Detection</w:t>
      </w:r>
    </w:p>
    <w:p>
      <w:pPr>
        <w:pStyle w:val="ListBullet"/>
      </w:pPr>
      <w:r>
        <w:t>Prevent: hosted HTTPS only; exact endpoint and tool allowlist; dedicated synthetic identity; execute_function disabled; no query/argument secrets; controlled bridge promotion; DLP and egress policy.</w:t>
      </w:r>
    </w:p>
    <w:p>
      <w:pPr>
        <w:pStyle w:val="ListBullet"/>
      </w:pPr>
      <w:r>
        <w:t>Detect: server-definition and schema drift; unexpected port 19999 or cleartext MCP; bearer exposure; abnormal tool, node, duration or response volume; authentication and policy denials.</w:t>
      </w:r>
    </w:p>
    <w:p>
      <w:pPr>
        <w:pStyle w:val="ListBullet"/>
      </w:pPr>
      <w:r>
        <w:t>Respond: disable the MCP definition, revoke tokens, terminate bridge processes, preserve sanitized evidence, assess model/chat/log disclosure, rotate affected credentials and invoke supplier/incident procedures.</w:t>
      </w:r>
    </w:p>
    <w:p>
      <w:pPr>
        <w:pStyle w:val="Heading2"/>
      </w:pPr>
      <w:r>
        <w:t>VS Code Residual Risk, Confidence, Limitations, Evidence and Verification</w:t>
      </w:r>
    </w:p>
    <w:p>
      <w:r>
        <w:t>Residual risk: High. Confidence is High for Registry identity, release/archive digest, local-source behaviour, scanner/malware results and the observed unauthenticated 401. Confidence is Medium for architecture inference and low/Unknown for hosted implementation, authenticated authorisation, telemetry, retention and lifecycle. Representative runtime is Not observed. Verification procedure: provision disposable Windows 11 and macOS; use a synthetic tenant and nodes; capture configuration, trust, process, network, tool/schema, consent, token storage, logs, benign/adversarial calls, rate/cancellation, update and uninstall evidence; restore the host and independently review the record.</w:t>
      </w:r>
    </w:p>
    <w:p>
      <w:pPr>
        <w:pStyle w:val="Heading2"/>
      </w:pPr>
      <w:r>
        <w:t>VS Code Installation Manifest</w:t>
      </w:r>
    </w:p>
    <w:tbl>
      <w:tblPr>
        <w:tblStyle w:val="TableGrid"/>
        <w:tblW w:type="dxa" w:w="9360"/>
        <w:jc w:val="center"/>
        <w:tblLook w:firstColumn="1" w:firstRow="1" w:lastColumn="0" w:lastRow="0" w:noHBand="0" w:noVBand="1" w:val="04A0"/>
        <w:tblInd w:w="120" w:type="dxa"/>
        <w:tblLayout w:type="fixed"/>
      </w:tblPr>
      <w:tblGrid>
        <w:gridCol w:w="1400"/>
        <w:gridCol w:w="1900"/>
        <w:gridCol w:w="3860"/>
        <w:gridCol w:w="2200"/>
      </w:tblGrid>
      <w:tr>
        <w:trPr>
          <w:tblHeader w:val="true"/>
          <w:cantSplit/>
        </w:trPr>
        <w:tc>
          <w:tcPr>
            <w:tcW w:type="dxa" w:w="1400"/>
            <w:shd w:fill="17365D"/>
            <w:vAlign w:val="center"/>
          </w:tcPr>
          <w:p>
            <w:r>
              <w:rPr>
                <w:b/>
                <w:color w:val="FFFFFF"/>
                <w:sz w:val="16"/>
              </w:rPr>
              <w:t>Scope</w:t>
            </w:r>
          </w:p>
        </w:tc>
        <w:tc>
          <w:tcPr>
            <w:tcW w:type="dxa" w:w="1900"/>
            <w:shd w:fill="17365D"/>
            <w:vAlign w:val="center"/>
          </w:tcPr>
          <w:p>
            <w:r>
              <w:rPr>
                <w:b/>
                <w:color w:val="FFFFFF"/>
                <w:sz w:val="16"/>
              </w:rPr>
              <w:t>Component</w:t>
            </w:r>
          </w:p>
        </w:tc>
        <w:tc>
          <w:tcPr>
            <w:tcW w:type="dxa" w:w="3860"/>
            <w:shd w:fill="17365D"/>
            <w:vAlign w:val="center"/>
          </w:tcPr>
          <w:p>
            <w:r>
              <w:rPr>
                <w:b/>
                <w:color w:val="FFFFFF"/>
                <w:sz w:val="16"/>
              </w:rPr>
              <w:t>Expected pilot state</w:t>
            </w:r>
          </w:p>
        </w:tc>
        <w:tc>
          <w:tcPr>
            <w:tcW w:type="dxa" w:w="2200"/>
            <w:shd w:fill="17365D"/>
            <w:vAlign w:val="center"/>
          </w:tcPr>
          <w:p>
            <w:r>
              <w:rPr>
                <w:b/>
                <w:color w:val="FFFFFF"/>
                <w:sz w:val="16"/>
              </w:rPr>
              <w:t>Evidence</w:t>
            </w:r>
          </w:p>
        </w:tc>
      </w:tr>
      <w:tr>
        <w:trPr>
          <w:trHeight w:hRule="atLeast"/>
          <w:cantSplit/>
        </w:trPr>
        <w:tc>
          <w:tcPr>
            <w:tcW w:type="dxa" w:w="1400"/>
            <w:vAlign w:val="top"/>
          </w:tcPr>
          <w:p>
            <w:pPr>
              <w:spacing w:after="20"/>
            </w:pPr>
            <w:r>
              <w:rPr>
                <w:sz w:val="15"/>
              </w:rPr>
              <w:t>User/profile</w:t>
            </w:r>
          </w:p>
        </w:tc>
        <w:tc>
          <w:tcPr>
            <w:tcW w:type="dxa" w:w="1900"/>
            <w:vAlign w:val="top"/>
          </w:tcPr>
          <w:p>
            <w:pPr>
              <w:spacing w:after="20"/>
            </w:pPr>
            <w:r>
              <w:rPr>
                <w:sz w:val="15"/>
              </w:rPr>
              <w:t>MCP server definition</w:t>
            </w:r>
          </w:p>
        </w:tc>
        <w:tc>
          <w:tcPr>
            <w:tcW w:type="dxa" w:w="3860"/>
            <w:vAlign w:val="top"/>
          </w:tcPr>
          <w:p>
            <w:pPr>
              <w:spacing w:after="20"/>
            </w:pPr>
            <w:r>
              <w:rPr>
                <w:sz w:val="15"/>
              </w:rPr>
              <w:t>Hosted URL allowlisted; no workspace override</w:t>
            </w:r>
          </w:p>
        </w:tc>
        <w:tc>
          <w:tcPr>
            <w:tcW w:type="dxa" w:w="2200"/>
            <w:vAlign w:val="top"/>
          </w:tcPr>
          <w:p>
            <w:pPr>
              <w:spacing w:after="20"/>
            </w:pPr>
            <w:r>
              <w:rPr>
                <w:sz w:val="15"/>
              </w:rPr>
              <w:t>Runtime required</w:t>
            </w:r>
          </w:p>
        </w:tc>
      </w:tr>
      <w:tr>
        <w:trPr>
          <w:trHeight w:hRule="atLeast"/>
          <w:cantSplit/>
        </w:trPr>
        <w:tc>
          <w:tcPr>
            <w:tcW w:type="dxa" w:w="1400"/>
            <w:vAlign w:val="top"/>
            <w:shd w:fill="EEF4F7"/>
          </w:tcPr>
          <w:p>
            <w:pPr>
              <w:spacing w:after="20"/>
            </w:pPr>
            <w:r>
              <w:rPr>
                <w:sz w:val="15"/>
              </w:rPr>
              <w:t>Credential</w:t>
            </w:r>
          </w:p>
        </w:tc>
        <w:tc>
          <w:tcPr>
            <w:tcW w:type="dxa" w:w="1900"/>
            <w:vAlign w:val="top"/>
            <w:shd w:fill="EEF4F7"/>
          </w:tcPr>
          <w:p>
            <w:pPr>
              <w:spacing w:after="20"/>
            </w:pPr>
            <w:r>
              <w:rPr>
                <w:sz w:val="15"/>
              </w:rPr>
              <w:t>NETDATA_CLOUD_API_TOKEN</w:t>
            </w:r>
          </w:p>
        </w:tc>
        <w:tc>
          <w:tcPr>
            <w:tcW w:type="dxa" w:w="3860"/>
            <w:vAlign w:val="top"/>
            <w:shd w:fill="EEF4F7"/>
          </w:tcPr>
          <w:p>
            <w:pPr>
              <w:spacing w:after="20"/>
            </w:pPr>
            <w:r>
              <w:rPr>
                <w:sz w:val="15"/>
              </w:rPr>
              <w:t>Secret store reference; synthetic scope only</w:t>
            </w:r>
          </w:p>
        </w:tc>
        <w:tc>
          <w:tcPr>
            <w:tcW w:type="dxa" w:w="2200"/>
            <w:vAlign w:val="top"/>
            <w:shd w:fill="EEF4F7"/>
          </w:tcPr>
          <w:p>
            <w:pPr>
              <w:spacing w:after="20"/>
            </w:pPr>
            <w:r>
              <w:rPr>
                <w:sz w:val="15"/>
              </w:rPr>
              <w:t>Runtime required</w:t>
            </w:r>
          </w:p>
        </w:tc>
      </w:tr>
      <w:tr>
        <w:trPr>
          <w:trHeight w:hRule="atLeast"/>
          <w:cantSplit/>
        </w:trPr>
        <w:tc>
          <w:tcPr>
            <w:tcW w:type="dxa" w:w="1400"/>
            <w:vAlign w:val="top"/>
          </w:tcPr>
          <w:p>
            <w:pPr>
              <w:spacing w:after="20"/>
            </w:pPr>
            <w:r>
              <w:rPr>
                <w:sz w:val="15"/>
              </w:rPr>
              <w:t>Tool policy</w:t>
            </w:r>
          </w:p>
        </w:tc>
        <w:tc>
          <w:tcPr>
            <w:tcW w:type="dxa" w:w="1900"/>
            <w:vAlign w:val="top"/>
          </w:tcPr>
          <w:p>
            <w:pPr>
              <w:spacing w:after="20"/>
            </w:pPr>
            <w:r>
              <w:rPr>
                <w:sz w:val="15"/>
              </w:rPr>
              <w:t>Thirteen server tools</w:t>
            </w:r>
          </w:p>
        </w:tc>
        <w:tc>
          <w:tcPr>
            <w:tcW w:type="dxa" w:w="3860"/>
            <w:vAlign w:val="top"/>
          </w:tcPr>
          <w:p>
            <w:pPr>
              <w:spacing w:after="20"/>
            </w:pPr>
            <w:r>
              <w:rPr>
                <w:sz w:val="15"/>
              </w:rPr>
              <w:t>Minimal allowlist; execute_function disabled</w:t>
            </w:r>
          </w:p>
        </w:tc>
        <w:tc>
          <w:tcPr>
            <w:tcW w:type="dxa" w:w="2200"/>
            <w:vAlign w:val="top"/>
          </w:tcPr>
          <w:p>
            <w:pPr>
              <w:spacing w:after="20"/>
            </w:pPr>
            <w:r>
              <w:rPr>
                <w:sz w:val="15"/>
              </w:rPr>
              <w:t>Schema verified from source</w:t>
            </w:r>
          </w:p>
        </w:tc>
      </w:tr>
      <w:tr>
        <w:trPr>
          <w:trHeight w:hRule="atLeast"/>
          <w:cantSplit/>
        </w:trPr>
        <w:tc>
          <w:tcPr>
            <w:tcW w:type="dxa" w:w="1400"/>
            <w:vAlign w:val="top"/>
            <w:shd w:fill="EEF4F7"/>
          </w:tcPr>
          <w:p>
            <w:pPr>
              <w:spacing w:after="20"/>
            </w:pPr>
            <w:r>
              <w:rPr>
                <w:sz w:val="15"/>
              </w:rPr>
              <w:t>Bridge</w:t>
            </w:r>
          </w:p>
        </w:tc>
        <w:tc>
          <w:tcPr>
            <w:tcW w:type="dxa" w:w="1900"/>
            <w:vAlign w:val="top"/>
            <w:shd w:fill="EEF4F7"/>
          </w:tcPr>
          <w:p>
            <w:pPr>
              <w:spacing w:after="20"/>
            </w:pPr>
            <w:r>
              <w:rPr>
                <w:sz w:val="15"/>
              </w:rPr>
              <w:t>mcp-remote</w:t>
            </w:r>
          </w:p>
        </w:tc>
        <w:tc>
          <w:tcPr>
            <w:tcW w:type="dxa" w:w="3860"/>
            <w:vAlign w:val="top"/>
            <w:shd w:fill="EEF4F7"/>
          </w:tcPr>
          <w:p>
            <w:pPr>
              <w:spacing w:after="20"/>
            </w:pPr>
            <w:r>
              <w:rPr>
                <w:sz w:val="15"/>
              </w:rPr>
              <w:t>Absent unless exact promoted exception</w:t>
            </w:r>
          </w:p>
        </w:tc>
        <w:tc>
          <w:tcPr>
            <w:tcW w:type="dxa" w:w="2200"/>
            <w:vAlign w:val="top"/>
            <w:shd w:fill="EEF4F7"/>
          </w:tcPr>
          <w:p>
            <w:pPr>
              <w:spacing w:after="20"/>
            </w:pPr>
            <w:r>
              <w:rPr>
                <w:sz w:val="15"/>
              </w:rPr>
              <w:t>Documentation verified</w:t>
            </w:r>
          </w:p>
        </w:tc>
      </w:tr>
      <w:tr>
        <w:trPr>
          <w:trHeight w:hRule="atLeast"/>
          <w:cantSplit/>
        </w:trPr>
        <w:tc>
          <w:tcPr>
            <w:tcW w:type="dxa" w:w="1400"/>
            <w:vAlign w:val="top"/>
          </w:tcPr>
          <w:p>
            <w:pPr>
              <w:spacing w:after="20"/>
            </w:pPr>
            <w:r>
              <w:rPr>
                <w:sz w:val="15"/>
              </w:rPr>
              <w:t>Network</w:t>
            </w:r>
          </w:p>
        </w:tc>
        <w:tc>
          <w:tcPr>
            <w:tcW w:type="dxa" w:w="1900"/>
            <w:vAlign w:val="top"/>
          </w:tcPr>
          <w:p>
            <w:pPr>
              <w:spacing w:after="20"/>
            </w:pPr>
            <w:r>
              <w:rPr>
                <w:sz w:val="15"/>
              </w:rPr>
              <w:t>app.netdata.cloud</w:t>
            </w:r>
          </w:p>
        </w:tc>
        <w:tc>
          <w:tcPr>
            <w:tcW w:type="dxa" w:w="3860"/>
            <w:vAlign w:val="top"/>
          </w:tcPr>
          <w:p>
            <w:pPr>
              <w:spacing w:after="20"/>
            </w:pPr>
            <w:r>
              <w:rPr>
                <w:sz w:val="15"/>
              </w:rPr>
              <w:t>TLS and proxy allowlist; no port 19999</w:t>
            </w:r>
          </w:p>
        </w:tc>
        <w:tc>
          <w:tcPr>
            <w:tcW w:type="dxa" w:w="2200"/>
            <w:vAlign w:val="top"/>
          </w:tcPr>
          <w:p>
            <w:pPr>
              <w:spacing w:after="20"/>
            </w:pPr>
            <w:r>
              <w:rPr>
                <w:sz w:val="15"/>
              </w:rPr>
              <w:t>401 gateway verified</w:t>
            </w:r>
          </w:p>
        </w:tc>
      </w:tr>
    </w:tbl>
    <w:p/>
    <w:p>
      <w:pPr>
        <w:pStyle w:val="Heading1"/>
      </w:pPr>
      <w:r>
        <w:t>Part II – Visual Studio Assessment</w:t>
      </w:r>
    </w:p>
    <w:p>
      <w:pPr>
        <w:pStyle w:val="Heading2"/>
      </w:pPr>
      <w:r>
        <w:t>Visual Studio Decision and Approval</w:t>
      </w:r>
    </w:p>
    <w:p>
      <w:r>
        <w:t>Decision for Visual Studio: Defer pending evidence. Do not approve production, customer-data or operational-incident use. The hosted HTTPS endpoint may enter a tightly bounded synthetic pilot only after exact tool allowlisting, a dedicated low-privilege token, supplier/privacy evidence, egress controls and telemetry are in place. The local HTTP/SSE/WebSocket path and execute_function remain disabled.</w:t>
      </w:r>
    </w:p>
    <w:p>
      <w:pPr>
        <w:pStyle w:val="Heading2"/>
      </w:pPr>
      <w:r>
        <w:t>Visual Studio Purpose and Function</w:t>
      </w:r>
    </w:p>
    <w:p>
      <w:r>
        <w:t>In Visual Studio, Netdata MCP gives an AI agent access to infrastructure metrics, nodes, alerts, anomaly analysis and discovered functions. The business value is faster diagnostic context and incident exploration. The same capability can reveal regulated operational data and can influence decisions during an outage, so it must be treated as a privileged diagnostic integration rather than a low-risk read-only convenience.</w:t>
      </w:r>
      <w:r>
        <w:t xml:space="preserve"> </w:t>
      </w:r>
      <w:hyperlink w:anchor="REF_008">
        <w:r>
          <w:rPr>
            <w:color w:val="0563C1"/>
            <w:u w:val="single"/>
          </w:rPr>
          <w:t>[REF-008]</w:t>
        </w:r>
      </w:hyperlink>
    </w:p>
    <w:p>
      <w:pPr>
        <w:pStyle w:val="Heading2"/>
      </w:pPr>
      <w:r>
        <w:t>Visual Studio Architecture and Trust Boundaries</w:t>
      </w:r>
    </w:p>
    <w:p>
      <w:r>
        <w:t>The trust chain is user and workspace → Visual Studio agent → MCP client policy and consent → hosted HTTPS endpoint or optional bridge/local endpoint → Netdata Cloud/Agent/Parent → connected nodes and observability stores → model response. On Windows 11 with Visual Studio 2026 or supported Visual Studio 2022 servicing, the integration inherits the user's IDE session, model entitlement and MCP configuration. Workspace files, issues, prompts, tool descriptions and returned logs are attacker-influenceable inputs. A tool marked read-only can still cross confidentiality and decision-integrity boundaries.</w:t>
      </w:r>
    </w:p>
    <w:p>
      <w:pPr>
        <w:pStyle w:val="Heading2"/>
      </w:pPr>
      <w:r>
        <w:t>Visual Studio Data Flows and Privacy</w:t>
      </w:r>
    </w:p>
    <w:p>
      <w:r>
        <w:t>Requests can name metrics, nodes, time ranges, functions, filters and alert states. Responses can contain hostnames, labels, IP addresses, incident history, process command lines, connections, services and log/event records. The data crosses from an observability purpose into an IDE/model purpose and may be retained in chat history, diagnostics, proxy logs or supplier systems. Data minimisation must be enforced before the model boundary; a policy promise not to ask for sensitive data is insufficient.</w:t>
      </w:r>
    </w:p>
    <w:p>
      <w:pPr>
        <w:pStyle w:val="Heading2"/>
      </w:pPr>
      <w:r>
        <w:t>Visual Studio Installation Manifest and Uninstall</w:t>
      </w:r>
    </w:p>
    <w:tbl>
      <w:tblPr>
        <w:tblStyle w:val="TableGrid"/>
        <w:tblW w:type="dxa" w:w="9360"/>
        <w:jc w:val="center"/>
        <w:tblLook w:firstColumn="1" w:firstRow="1" w:lastColumn="0" w:lastRow="0" w:noHBand="0" w:noVBand="1" w:val="04A0"/>
        <w:tblInd w:w="120" w:type="dxa"/>
        <w:tblLayout w:type="fixed"/>
      </w:tblPr>
      <w:tblGrid>
        <w:gridCol w:w="1600"/>
        <w:gridCol w:w="4050"/>
        <w:gridCol w:w="3710"/>
      </w:tblGrid>
      <w:tr>
        <w:trPr>
          <w:tblHeader w:val="true"/>
          <w:cantSplit/>
        </w:trPr>
        <w:tc>
          <w:tcPr>
            <w:tcW w:type="dxa" w:w="1600"/>
            <w:shd w:fill="17365D"/>
            <w:vAlign w:val="center"/>
          </w:tcPr>
          <w:p>
            <w:r>
              <w:rPr>
                <w:b/>
                <w:color w:val="FFFFFF"/>
                <w:sz w:val="16"/>
              </w:rPr>
              <w:t>Element</w:t>
            </w:r>
          </w:p>
        </w:tc>
        <w:tc>
          <w:tcPr>
            <w:tcW w:type="dxa" w:w="4050"/>
            <w:shd w:fill="17365D"/>
            <w:vAlign w:val="center"/>
          </w:tcPr>
          <w:p>
            <w:r>
              <w:rPr>
                <w:b/>
                <w:color w:val="FFFFFF"/>
                <w:sz w:val="16"/>
              </w:rPr>
              <w:t>Approved pilot state</w:t>
            </w:r>
          </w:p>
        </w:tc>
        <w:tc>
          <w:tcPr>
            <w:tcW w:type="dxa" w:w="3710"/>
            <w:shd w:fill="17365D"/>
            <w:vAlign w:val="center"/>
          </w:tcPr>
          <w:p>
            <w:r>
              <w:rPr>
                <w:b/>
                <w:color w:val="FFFFFF"/>
                <w:sz w:val="16"/>
              </w:rPr>
              <w:t>Uninstall/rollback verification</w:t>
            </w:r>
          </w:p>
        </w:tc>
      </w:tr>
      <w:tr>
        <w:trPr>
          <w:trHeight w:hRule="atLeast"/>
          <w:cantSplit/>
        </w:trPr>
        <w:tc>
          <w:tcPr>
            <w:tcW w:type="dxa" w:w="1600"/>
            <w:vAlign w:val="top"/>
          </w:tcPr>
          <w:p>
            <w:pPr>
              <w:spacing w:after="20"/>
            </w:pPr>
            <w:r>
              <w:rPr>
                <w:sz w:val="15"/>
              </w:rPr>
              <w:t>MCP definition</w:t>
            </w:r>
          </w:p>
        </w:tc>
        <w:tc>
          <w:tcPr>
            <w:tcW w:type="dxa" w:w="4050"/>
            <w:vAlign w:val="top"/>
          </w:tcPr>
          <w:p>
            <w:pPr>
              <w:spacing w:after="20"/>
            </w:pPr>
            <w:r>
              <w:rPr>
                <w:sz w:val="15"/>
              </w:rPr>
              <w:t>User-managed, policy-allowlisted hosted HTTPS URL only</w:t>
            </w:r>
          </w:p>
        </w:tc>
        <w:tc>
          <w:tcPr>
            <w:tcW w:type="dxa" w:w="3710"/>
            <w:vAlign w:val="top"/>
          </w:tcPr>
          <w:p>
            <w:pPr>
              <w:spacing w:after="20"/>
            </w:pPr>
            <w:r>
              <w:rPr>
                <w:sz w:val="15"/>
              </w:rPr>
              <w:t>Remove all user, workspace and policy definitions; restart; tools absent</w:t>
            </w:r>
          </w:p>
        </w:tc>
      </w:tr>
      <w:tr>
        <w:trPr>
          <w:trHeight w:hRule="atLeast"/>
          <w:cantSplit/>
        </w:trPr>
        <w:tc>
          <w:tcPr>
            <w:tcW w:type="dxa" w:w="1600"/>
            <w:vAlign w:val="top"/>
            <w:shd w:fill="EEF4F7"/>
          </w:tcPr>
          <w:p>
            <w:pPr>
              <w:spacing w:after="20"/>
            </w:pPr>
            <w:r>
              <w:rPr>
                <w:sz w:val="15"/>
              </w:rPr>
              <w:t>Credential</w:t>
            </w:r>
          </w:p>
        </w:tc>
        <w:tc>
          <w:tcPr>
            <w:tcW w:type="dxa" w:w="4050"/>
            <w:vAlign w:val="top"/>
            <w:shd w:fill="EEF4F7"/>
          </w:tcPr>
          <w:p>
            <w:pPr>
              <w:spacing w:after="20"/>
            </w:pPr>
            <w:r>
              <w:rPr>
                <w:sz w:val="15"/>
              </w:rPr>
              <w:t>Dedicated synthetic tenant token in approved secret store</w:t>
            </w:r>
          </w:p>
        </w:tc>
        <w:tc>
          <w:tcPr>
            <w:tcW w:type="dxa" w:w="3710"/>
            <w:vAlign w:val="top"/>
            <w:shd w:fill="EEF4F7"/>
          </w:tcPr>
          <w:p>
            <w:pPr>
              <w:spacing w:after="20"/>
            </w:pPr>
            <w:r>
              <w:rPr>
                <w:sz w:val="15"/>
              </w:rPr>
              <w:t>Revoke server-side; delete client reference; denial verified</w:t>
            </w:r>
          </w:p>
        </w:tc>
      </w:tr>
      <w:tr>
        <w:trPr>
          <w:trHeight w:hRule="atLeast"/>
          <w:cantSplit/>
        </w:trPr>
        <w:tc>
          <w:tcPr>
            <w:tcW w:type="dxa" w:w="1600"/>
            <w:vAlign w:val="top"/>
          </w:tcPr>
          <w:p>
            <w:pPr>
              <w:spacing w:after="20"/>
            </w:pPr>
            <w:r>
              <w:rPr>
                <w:sz w:val="15"/>
              </w:rPr>
              <w:t>Bridge</w:t>
            </w:r>
          </w:p>
        </w:tc>
        <w:tc>
          <w:tcPr>
            <w:tcW w:type="dxa" w:w="4050"/>
            <w:vAlign w:val="top"/>
          </w:tcPr>
          <w:p>
            <w:pPr>
              <w:spacing w:after="20"/>
            </w:pPr>
            <w:r>
              <w:rPr>
                <w:sz w:val="15"/>
              </w:rPr>
              <w:t>Not installed; if exception, exact internally promoted digest</w:t>
            </w:r>
          </w:p>
        </w:tc>
        <w:tc>
          <w:tcPr>
            <w:tcW w:type="dxa" w:w="3710"/>
            <w:vAlign w:val="top"/>
          </w:tcPr>
          <w:p>
            <w:pPr>
              <w:spacing w:after="20"/>
            </w:pPr>
            <w:r>
              <w:rPr>
                <w:sz w:val="15"/>
              </w:rPr>
              <w:t>Process/package/cache absent; registry access denied</w:t>
            </w:r>
          </w:p>
        </w:tc>
      </w:tr>
      <w:tr>
        <w:trPr>
          <w:trHeight w:hRule="atLeast"/>
          <w:cantSplit/>
        </w:trPr>
        <w:tc>
          <w:tcPr>
            <w:tcW w:type="dxa" w:w="1600"/>
            <w:vAlign w:val="top"/>
            <w:shd w:fill="EEF4F7"/>
          </w:tcPr>
          <w:p>
            <w:pPr>
              <w:spacing w:after="20"/>
            </w:pPr>
            <w:r>
              <w:rPr>
                <w:sz w:val="15"/>
              </w:rPr>
              <w:t>Tools</w:t>
            </w:r>
          </w:p>
        </w:tc>
        <w:tc>
          <w:tcPr>
            <w:tcW w:type="dxa" w:w="4050"/>
            <w:vAlign w:val="top"/>
            <w:shd w:fill="EEF4F7"/>
          </w:tcPr>
          <w:p>
            <w:pPr>
              <w:spacing w:after="20"/>
            </w:pPr>
            <w:r>
              <w:rPr>
                <w:sz w:val="15"/>
              </w:rPr>
              <w:t>Metadata/query subset; execute_function disabled</w:t>
            </w:r>
          </w:p>
        </w:tc>
        <w:tc>
          <w:tcPr>
            <w:tcW w:type="dxa" w:w="3710"/>
            <w:vAlign w:val="top"/>
            <w:shd w:fill="EEF4F7"/>
          </w:tcPr>
          <w:p>
            <w:pPr>
              <w:spacing w:after="20"/>
            </w:pPr>
            <w:r>
              <w:rPr>
                <w:sz w:val="15"/>
              </w:rPr>
              <w:t>Tool allowlist removed and schema snapshot archived</w:t>
            </w:r>
          </w:p>
        </w:tc>
      </w:tr>
      <w:tr>
        <w:trPr>
          <w:trHeight w:hRule="atLeast"/>
          <w:cantSplit/>
        </w:trPr>
        <w:tc>
          <w:tcPr>
            <w:tcW w:type="dxa" w:w="1600"/>
            <w:vAlign w:val="top"/>
          </w:tcPr>
          <w:p>
            <w:pPr>
              <w:spacing w:after="20"/>
            </w:pPr>
            <w:r>
              <w:rPr>
                <w:sz w:val="15"/>
              </w:rPr>
              <w:t>Logs/content</w:t>
            </w:r>
          </w:p>
        </w:tc>
        <w:tc>
          <w:tcPr>
            <w:tcW w:type="dxa" w:w="4050"/>
            <w:vAlign w:val="top"/>
          </w:tcPr>
          <w:p>
            <w:pPr>
              <w:spacing w:after="20"/>
            </w:pPr>
            <w:r>
              <w:rPr>
                <w:sz w:val="15"/>
              </w:rPr>
              <w:t>Synthetic only; bounded retention</w:t>
            </w:r>
          </w:p>
        </w:tc>
        <w:tc>
          <w:tcPr>
            <w:tcW w:type="dxa" w:w="3710"/>
            <w:vAlign w:val="top"/>
          </w:tcPr>
          <w:p>
            <w:pPr>
              <w:spacing w:after="20"/>
            </w:pPr>
            <w:r>
              <w:rPr>
                <w:sz w:val="15"/>
              </w:rPr>
              <w:t>IDE/model/proxy retention and deletion verified</w:t>
            </w:r>
          </w:p>
        </w:tc>
      </w:tr>
    </w:tbl>
    <w:p/>
    <w:p>
      <w:pPr>
        <w:pStyle w:val="Heading2"/>
      </w:pPr>
      <w:r>
        <w:t>Visual Studio Runtime, Activation and Network</w:t>
      </w:r>
    </w:p>
    <w:p>
      <w:r>
        <w:t>Activation begins when the MCP configuration is trusted and the client connects or invokes a tool. The hosted path should use certificate-validated HTTPS with destination allowlisting, explicit proxy policy, timeouts, rate limits and no redirects to unapproved origins. The local path can add an npm/Go bridge, port 19999 and cleartext examples; it is prohibited for the initial pilot. Runtime evidence must capture process ancestry, DNS, sockets, HTTP status, schema changes, retries, cancellation and recovery.</w:t>
      </w:r>
    </w:p>
    <w:p>
      <w:pPr>
        <w:pStyle w:val="Heading2"/>
      </w:pPr>
      <w:r>
        <w:t>Visual Studio Authentication and Authorization</w:t>
      </w:r>
    </w:p>
    <w:p>
      <w:r>
        <w:t>The Registry descriptor requires a bearer token with `scope:mcp`. The unauthenticated gateway returned 401, but tenant, node and function object authorisation were not tested. The local server's single UUID can grant administrative/GOD authority for protected functions and is accepted in leakage-prone compatibility forms. Enterprise approval requires short-lived audience-bound identity, separation by environment, per-tool/per-node scope, rapid revocation and audit evidence.</w:t>
      </w:r>
    </w:p>
    <w:p>
      <w:pPr>
        <w:pStyle w:val="Heading2"/>
      </w:pPr>
      <w:r>
        <w:t>Visual Studio Telemetry, Logging and Detection</w:t>
      </w:r>
    </w:p>
    <w:p>
      <w:r>
        <w:t>No representative runtime telemetry was observed. Required logs should record identity, tenant/node category, tool, schema version, policy decision, timing, response size, cancellation and outcome without bearer tokens, query strings, raw command lines or customer content. Detection must cover new server definitions, unapproved endpoints/bridges, tool-list drift, execute_function use, cross-node access, long or concurrent calls, authentication failures and data-loss-prevention signals.</w:t>
      </w:r>
    </w:p>
    <w:p>
      <w:pPr>
        <w:pStyle w:val="Heading2"/>
      </w:pPr>
      <w:r>
        <w:t>Visual Studio MCP and Agent Skills</w:t>
      </w:r>
    </w:p>
    <w:p>
      <w:r>
        <w:t>The integration is an MCP server and does not bundle an Agent Skill. Separately installed skills and repository instructions can still induce calls, so they are untrusted instruction sources. All thirteen tools require explicit inventory; execute_function should be denied by default. Tool descriptions and readOnlyHint/openWorldHint are metadata, not an authorisation boundary. A changed tools/list or schema must invalidate prior trust.</w:t>
      </w:r>
    </w:p>
    <w:p>
      <w:pPr>
        <w:pStyle w:val="Heading2"/>
      </w:pPr>
      <w:r>
        <w:t>Visual Studio Supply Chain and Dependencies</w:t>
      </w:r>
    </w:p>
    <w:p>
      <w:r>
        <w:t>The official Registry entry and v2.10.4 source establish identity and a reviewable local implementation. They do not attest the exact hosted service build. The vendor's `mcp-remote@latest` examples add mutable npm resolution. A regulated deployment requires exact versions/digests, controlled promotion, a resolved SBOM, signed provenance, admission scanning, change notification, schema snapshots, rollback and continuous vulnerability monitoring.</w:t>
      </w:r>
    </w:p>
    <w:p>
      <w:pPr>
        <w:pStyle w:val="Heading2"/>
      </w:pPr>
      <w:r>
        <w:t>Visual Studio Threats, Findings and Residual Risk</w:t>
      </w:r>
    </w:p>
    <w:p>
      <w:r>
        <w:t>The applicable validated findings are F-001 through F-010. The most material are coarse local administrative authority, cleartext local transport, broad function data, unknown Cloud object authorisation and regulated-data flow into model context. Residual risk remains High even after proposed controls because representative host evidence and supplier/tenant controls are incomplete. Read-only semantics do not reduce confidentiality or operational-decision impact.</w:t>
      </w:r>
    </w:p>
    <w:p>
      <w:pPr>
        <w:pStyle w:val="Heading2"/>
      </w:pPr>
      <w:r>
        <w:t>Visual Studio Framework Disposition</w:t>
      </w:r>
    </w:p>
    <w:tbl>
      <w:tblPr>
        <w:tblStyle w:val="TableGrid"/>
        <w:tblW w:type="dxa" w:w="9360"/>
        <w:jc w:val="center"/>
        <w:tblLook w:firstColumn="1" w:firstRow="1" w:lastColumn="0" w:lastRow="0" w:noHBand="0" w:noVBand="1" w:val="04A0"/>
        <w:tblInd w:w="120" w:type="dxa"/>
        <w:tblLayout w:type="fixed"/>
      </w:tblPr>
      <w:tblGrid>
        <w:gridCol w:w="2350"/>
        <w:gridCol w:w="1700"/>
        <w:gridCol w:w="5310"/>
      </w:tblGrid>
      <w:tr>
        <w:trPr>
          <w:tblHeader w:val="true"/>
          <w:cantSplit/>
        </w:trPr>
        <w:tc>
          <w:tcPr>
            <w:tcW w:type="dxa" w:w="2350"/>
            <w:shd w:fill="17365D"/>
            <w:vAlign w:val="center"/>
          </w:tcPr>
          <w:p>
            <w:r>
              <w:rPr>
                <w:b/>
                <w:color w:val="FFFFFF"/>
                <w:sz w:val="16"/>
              </w:rPr>
              <w:t>Framework</w:t>
            </w:r>
          </w:p>
        </w:tc>
        <w:tc>
          <w:tcPr>
            <w:tcW w:type="dxa" w:w="1700"/>
            <w:shd w:fill="17365D"/>
            <w:vAlign w:val="center"/>
          </w:tcPr>
          <w:p>
            <w:r>
              <w:rPr>
                <w:b/>
                <w:color w:val="FFFFFF"/>
                <w:sz w:val="16"/>
              </w:rPr>
              <w:t>Disposition</w:t>
            </w:r>
          </w:p>
        </w:tc>
        <w:tc>
          <w:tcPr>
            <w:tcW w:type="dxa" w:w="5310"/>
            <w:shd w:fill="17365D"/>
            <w:vAlign w:val="center"/>
          </w:tcPr>
          <w:p>
            <w:r>
              <w:rPr>
                <w:b/>
                <w:color w:val="FFFFFF"/>
                <w:sz w:val="16"/>
              </w:rPr>
              <w:t>Application</w:t>
            </w:r>
          </w:p>
        </w:tc>
      </w:tr>
      <w:tr>
        <w:trPr>
          <w:trHeight w:hRule="atLeast"/>
          <w:cantSplit/>
        </w:trPr>
        <w:tc>
          <w:tcPr>
            <w:tcW w:type="dxa" w:w="2350"/>
            <w:vAlign w:val="top"/>
          </w:tcPr>
          <w:p>
            <w:pPr>
              <w:spacing w:after="20"/>
            </w:pPr>
            <w:r>
              <w:rPr>
                <w:sz w:val="15"/>
              </w:rPr>
              <w:t>OWASP LLM 2025</w:t>
            </w:r>
          </w:p>
        </w:tc>
        <w:tc>
          <w:tcPr>
            <w:tcW w:type="dxa" w:w="1700"/>
            <w:vAlign w:val="top"/>
          </w:tcPr>
          <w:p>
            <w:pPr>
              <w:spacing w:after="20"/>
            </w:pPr>
            <w:r>
              <w:rPr>
                <w:sz w:val="15"/>
              </w:rPr>
              <w:t>Applicable</w:t>
            </w:r>
          </w:p>
        </w:tc>
        <w:tc>
          <w:tcPr>
            <w:tcW w:type="dxa" w:w="5310"/>
            <w:vAlign w:val="top"/>
          </w:tcPr>
          <w:p>
            <w:pPr>
              <w:spacing w:after="20"/>
            </w:pPr>
            <w:r>
              <w:rPr>
                <w:sz w:val="15"/>
              </w:rPr>
              <w:t>Prompt injection, sensitive disclosure, supply chain, excessive agency, unbounded consumption</w:t>
            </w:r>
          </w:p>
        </w:tc>
      </w:tr>
      <w:tr>
        <w:trPr>
          <w:trHeight w:hRule="atLeast"/>
          <w:cantSplit/>
        </w:trPr>
        <w:tc>
          <w:tcPr>
            <w:tcW w:type="dxa" w:w="2350"/>
            <w:vAlign w:val="top"/>
            <w:shd w:fill="EEF4F7"/>
          </w:tcPr>
          <w:p>
            <w:pPr>
              <w:spacing w:after="20"/>
            </w:pPr>
            <w:r>
              <w:rPr>
                <w:sz w:val="15"/>
              </w:rPr>
              <w:t>OWASP MCP Top 10</w:t>
            </w:r>
          </w:p>
        </w:tc>
        <w:tc>
          <w:tcPr>
            <w:tcW w:type="dxa" w:w="1700"/>
            <w:vAlign w:val="top"/>
            <w:shd w:fill="EEF4F7"/>
          </w:tcPr>
          <w:p>
            <w:pPr>
              <w:spacing w:after="20"/>
            </w:pPr>
            <w:r>
              <w:rPr>
                <w:sz w:val="15"/>
              </w:rPr>
              <w:t>Applicable</w:t>
            </w:r>
          </w:p>
        </w:tc>
        <w:tc>
          <w:tcPr>
            <w:tcW w:type="dxa" w:w="5310"/>
            <w:vAlign w:val="top"/>
            <w:shd w:fill="EEF4F7"/>
          </w:tcPr>
          <w:p>
            <w:pPr>
              <w:spacing w:after="20"/>
            </w:pPr>
            <w:r>
              <w:rPr>
                <w:sz w:val="15"/>
              </w:rPr>
              <w:t>Token handling, scope creep, tool poisoning, audit and supply chain</w:t>
            </w:r>
          </w:p>
        </w:tc>
      </w:tr>
      <w:tr>
        <w:trPr>
          <w:trHeight w:hRule="atLeast"/>
          <w:cantSplit/>
        </w:trPr>
        <w:tc>
          <w:tcPr>
            <w:tcW w:type="dxa" w:w="2350"/>
            <w:vAlign w:val="top"/>
          </w:tcPr>
          <w:p>
            <w:pPr>
              <w:spacing w:after="20"/>
            </w:pPr>
            <w:r>
              <w:rPr>
                <w:sz w:val="15"/>
              </w:rPr>
              <w:t>OWASP ASVS 5.0 Level 2</w:t>
            </w:r>
          </w:p>
        </w:tc>
        <w:tc>
          <w:tcPr>
            <w:tcW w:type="dxa" w:w="1700"/>
            <w:vAlign w:val="top"/>
          </w:tcPr>
          <w:p>
            <w:pPr>
              <w:spacing w:after="20"/>
            </w:pPr>
            <w:r>
              <w:rPr>
                <w:sz w:val="15"/>
              </w:rPr>
              <w:t>Applicable baseline</w:t>
            </w:r>
          </w:p>
        </w:tc>
        <w:tc>
          <w:tcPr>
            <w:tcW w:type="dxa" w:w="5310"/>
            <w:vAlign w:val="top"/>
          </w:tcPr>
          <w:p>
            <w:pPr>
              <w:spacing w:after="20"/>
            </w:pPr>
            <w:r>
              <w:rPr>
                <w:sz w:val="15"/>
              </w:rPr>
              <w:t>Hosted/local HTTP authentication, access, validation, communications and logging</w:t>
            </w:r>
          </w:p>
        </w:tc>
      </w:tr>
      <w:tr>
        <w:trPr>
          <w:trHeight w:hRule="atLeast"/>
          <w:cantSplit/>
        </w:trPr>
        <w:tc>
          <w:tcPr>
            <w:tcW w:type="dxa" w:w="2350"/>
            <w:vAlign w:val="top"/>
            <w:shd w:fill="EEF4F7"/>
          </w:tcPr>
          <w:p>
            <w:pPr>
              <w:spacing w:after="20"/>
            </w:pPr>
            <w:r>
              <w:rPr>
                <w:sz w:val="15"/>
              </w:rPr>
              <w:t>MITRE ATLAS / OWASP Agentic</w:t>
            </w:r>
          </w:p>
        </w:tc>
        <w:tc>
          <w:tcPr>
            <w:tcW w:type="dxa" w:w="1700"/>
            <w:vAlign w:val="top"/>
            <w:shd w:fill="EEF4F7"/>
          </w:tcPr>
          <w:p>
            <w:pPr>
              <w:spacing w:after="20"/>
            </w:pPr>
            <w:r>
              <w:rPr>
                <w:sz w:val="15"/>
              </w:rPr>
              <w:t>Applicable</w:t>
            </w:r>
          </w:p>
        </w:tc>
        <w:tc>
          <w:tcPr>
            <w:tcW w:type="dxa" w:w="5310"/>
            <w:vAlign w:val="top"/>
            <w:shd w:fill="EEF4F7"/>
          </w:tcPr>
          <w:p>
            <w:pPr>
              <w:spacing w:after="20"/>
            </w:pPr>
            <w:r>
              <w:rPr>
                <w:sz w:val="15"/>
              </w:rPr>
              <w:t>Agent/tool abuse and exfiltration scenarios</w:t>
            </w:r>
          </w:p>
        </w:tc>
      </w:tr>
      <w:tr>
        <w:trPr>
          <w:trHeight w:hRule="atLeast"/>
          <w:cantSplit/>
        </w:trPr>
        <w:tc>
          <w:tcPr>
            <w:tcW w:type="dxa" w:w="2350"/>
            <w:vAlign w:val="top"/>
          </w:tcPr>
          <w:p>
            <w:pPr>
              <w:spacing w:after="20"/>
            </w:pPr>
            <w:r>
              <w:rPr>
                <w:sz w:val="15"/>
              </w:rPr>
              <w:t>NIST AI RMF / AI 600-1</w:t>
            </w:r>
          </w:p>
        </w:tc>
        <w:tc>
          <w:tcPr>
            <w:tcW w:type="dxa" w:w="1700"/>
            <w:vAlign w:val="top"/>
          </w:tcPr>
          <w:p>
            <w:pPr>
              <w:spacing w:after="20"/>
            </w:pPr>
            <w:r>
              <w:rPr>
                <w:sz w:val="15"/>
              </w:rPr>
              <w:t>Applicable</w:t>
            </w:r>
          </w:p>
        </w:tc>
        <w:tc>
          <w:tcPr>
            <w:tcW w:type="dxa" w:w="5310"/>
            <w:vAlign w:val="top"/>
          </w:tcPr>
          <w:p>
            <w:pPr>
              <w:spacing w:after="20"/>
            </w:pPr>
            <w:r>
              <w:rPr>
                <w:sz w:val="15"/>
              </w:rPr>
              <w:t>Govern, Map, Measure and Manage evidence</w:t>
            </w:r>
          </w:p>
        </w:tc>
      </w:tr>
      <w:tr>
        <w:trPr>
          <w:trHeight w:hRule="atLeast"/>
          <w:cantSplit/>
        </w:trPr>
        <w:tc>
          <w:tcPr>
            <w:tcW w:type="dxa" w:w="2350"/>
            <w:vAlign w:val="top"/>
            <w:shd w:fill="EEF4F7"/>
          </w:tcPr>
          <w:p>
            <w:pPr>
              <w:spacing w:after="20"/>
            </w:pPr>
            <w:r>
              <w:rPr>
                <w:sz w:val="15"/>
              </w:rPr>
              <w:t>NCSC / CIS / ISO 27001</w:t>
            </w:r>
          </w:p>
        </w:tc>
        <w:tc>
          <w:tcPr>
            <w:tcW w:type="dxa" w:w="1700"/>
            <w:vAlign w:val="top"/>
            <w:shd w:fill="EEF4F7"/>
          </w:tcPr>
          <w:p>
            <w:pPr>
              <w:spacing w:after="20"/>
            </w:pPr>
            <w:r>
              <w:rPr>
                <w:sz w:val="15"/>
              </w:rPr>
              <w:t>Applicable</w:t>
            </w:r>
          </w:p>
        </w:tc>
        <w:tc>
          <w:tcPr>
            <w:tcW w:type="dxa" w:w="5310"/>
            <w:vAlign w:val="top"/>
            <w:shd w:fill="EEF4F7"/>
          </w:tcPr>
          <w:p>
            <w:pPr>
              <w:spacing w:after="20"/>
            </w:pPr>
            <w:r>
              <w:rPr>
                <w:sz w:val="15"/>
              </w:rPr>
              <w:t>Lifecycle, configuration, identity, monitoring, incident and supplier controls</w:t>
            </w:r>
          </w:p>
        </w:tc>
      </w:tr>
    </w:tbl>
    <w:p/>
    <w:p>
      <w:pPr>
        <w:pStyle w:val="Heading2"/>
      </w:pPr>
      <w:r>
        <w:t>Visual Studio Controls and Detection</w:t>
      </w:r>
    </w:p>
    <w:p>
      <w:pPr>
        <w:pStyle w:val="ListBullet"/>
      </w:pPr>
      <w:r>
        <w:t>Prevent: hosted HTTPS only; exact endpoint and tool allowlist; dedicated synthetic identity; execute_function disabled; no query/argument secrets; controlled bridge promotion; DLP and egress policy.</w:t>
      </w:r>
    </w:p>
    <w:p>
      <w:pPr>
        <w:pStyle w:val="ListBullet"/>
      </w:pPr>
      <w:r>
        <w:t>Detect: server-definition and schema drift; unexpected port 19999 or cleartext MCP; bearer exposure; abnormal tool, node, duration or response volume; authentication and policy denials.</w:t>
      </w:r>
    </w:p>
    <w:p>
      <w:pPr>
        <w:pStyle w:val="ListBullet"/>
      </w:pPr>
      <w:r>
        <w:t>Respond: disable the MCP definition, revoke tokens, terminate bridge processes, preserve sanitized evidence, assess model/chat/log disclosure, rotate affected credentials and invoke supplier/incident procedures.</w:t>
      </w:r>
    </w:p>
    <w:p>
      <w:pPr>
        <w:pStyle w:val="Heading2"/>
      </w:pPr>
      <w:r>
        <w:t>Visual Studio Residual Risk, Confidence, Limitations, Evidence and Verification</w:t>
      </w:r>
    </w:p>
    <w:p>
      <w:r>
        <w:t>Residual risk: High. Confidence is High for Registry identity, release/archive digest, local-source behaviour, scanner/malware results and the observed unauthenticated 401. Confidence is Medium for architecture inference and low/Unknown for hosted implementation, authenticated authorisation, telemetry, retention and lifecycle. Representative runtime is Not observed. Verification procedure: provision disposable Windows 11 with Visual Studio 2026 or supported Visual Studio 2022 servicing; use a synthetic tenant and nodes; capture configuration, trust, process, network, tool/schema, consent, token storage, logs, benign/adversarial calls, rate/cancellation, update and uninstall evidence; restore the host and independently review the record.</w:t>
      </w:r>
    </w:p>
    <w:p>
      <w:pPr>
        <w:pStyle w:val="Heading2"/>
      </w:pPr>
      <w:r>
        <w:t>Visual Studio Installation Manifest</w:t>
      </w:r>
    </w:p>
    <w:tbl>
      <w:tblPr>
        <w:tblStyle w:val="TableGrid"/>
        <w:tblW w:type="dxa" w:w="9360"/>
        <w:jc w:val="center"/>
        <w:tblLook w:firstColumn="1" w:firstRow="1" w:lastColumn="0" w:lastRow="0" w:noHBand="0" w:noVBand="1" w:val="04A0"/>
        <w:tblInd w:w="120" w:type="dxa"/>
        <w:tblLayout w:type="fixed"/>
      </w:tblPr>
      <w:tblGrid>
        <w:gridCol w:w="1400"/>
        <w:gridCol w:w="1900"/>
        <w:gridCol w:w="3860"/>
        <w:gridCol w:w="2200"/>
      </w:tblGrid>
      <w:tr>
        <w:trPr>
          <w:tblHeader w:val="true"/>
          <w:cantSplit/>
        </w:trPr>
        <w:tc>
          <w:tcPr>
            <w:tcW w:type="dxa" w:w="1400"/>
            <w:shd w:fill="17365D"/>
            <w:vAlign w:val="center"/>
          </w:tcPr>
          <w:p>
            <w:r>
              <w:rPr>
                <w:b/>
                <w:color w:val="FFFFFF"/>
                <w:sz w:val="16"/>
              </w:rPr>
              <w:t>Scope</w:t>
            </w:r>
          </w:p>
        </w:tc>
        <w:tc>
          <w:tcPr>
            <w:tcW w:type="dxa" w:w="1900"/>
            <w:shd w:fill="17365D"/>
            <w:vAlign w:val="center"/>
          </w:tcPr>
          <w:p>
            <w:r>
              <w:rPr>
                <w:b/>
                <w:color w:val="FFFFFF"/>
                <w:sz w:val="16"/>
              </w:rPr>
              <w:t>Component</w:t>
            </w:r>
          </w:p>
        </w:tc>
        <w:tc>
          <w:tcPr>
            <w:tcW w:type="dxa" w:w="3860"/>
            <w:shd w:fill="17365D"/>
            <w:vAlign w:val="center"/>
          </w:tcPr>
          <w:p>
            <w:r>
              <w:rPr>
                <w:b/>
                <w:color w:val="FFFFFF"/>
                <w:sz w:val="16"/>
              </w:rPr>
              <w:t>Expected pilot state</w:t>
            </w:r>
          </w:p>
        </w:tc>
        <w:tc>
          <w:tcPr>
            <w:tcW w:type="dxa" w:w="2200"/>
            <w:shd w:fill="17365D"/>
            <w:vAlign w:val="center"/>
          </w:tcPr>
          <w:p>
            <w:r>
              <w:rPr>
                <w:b/>
                <w:color w:val="FFFFFF"/>
                <w:sz w:val="16"/>
              </w:rPr>
              <w:t>Evidence</w:t>
            </w:r>
          </w:p>
        </w:tc>
      </w:tr>
      <w:tr>
        <w:trPr>
          <w:trHeight w:hRule="atLeast"/>
          <w:cantSplit/>
        </w:trPr>
        <w:tc>
          <w:tcPr>
            <w:tcW w:type="dxa" w:w="1400"/>
            <w:vAlign w:val="top"/>
          </w:tcPr>
          <w:p>
            <w:pPr>
              <w:spacing w:after="20"/>
            </w:pPr>
            <w:r>
              <w:rPr>
                <w:sz w:val="15"/>
              </w:rPr>
              <w:t>IDE configuration</w:t>
            </w:r>
          </w:p>
        </w:tc>
        <w:tc>
          <w:tcPr>
            <w:tcW w:type="dxa" w:w="1900"/>
            <w:vAlign w:val="top"/>
          </w:tcPr>
          <w:p>
            <w:pPr>
              <w:spacing w:after="20"/>
            </w:pPr>
            <w:r>
              <w:rPr>
                <w:sz w:val="15"/>
              </w:rPr>
              <w:t>Registry/web MCP server</w:t>
            </w:r>
          </w:p>
        </w:tc>
        <w:tc>
          <w:tcPr>
            <w:tcW w:type="dxa" w:w="3860"/>
            <w:vAlign w:val="top"/>
          </w:tcPr>
          <w:p>
            <w:pPr>
              <w:spacing w:after="20"/>
            </w:pPr>
            <w:r>
              <w:rPr>
                <w:sz w:val="15"/>
              </w:rPr>
              <w:t>Hosted URL policy-allowlisted</w:t>
            </w:r>
          </w:p>
        </w:tc>
        <w:tc>
          <w:tcPr>
            <w:tcW w:type="dxa" w:w="2200"/>
            <w:vAlign w:val="top"/>
          </w:tcPr>
          <w:p>
            <w:pPr>
              <w:spacing w:after="20"/>
            </w:pPr>
            <w:r>
              <w:rPr>
                <w:sz w:val="15"/>
              </w:rPr>
              <w:t>Documentation verified; runtime required</w:t>
            </w:r>
          </w:p>
        </w:tc>
      </w:tr>
      <w:tr>
        <w:trPr>
          <w:trHeight w:hRule="atLeast"/>
          <w:cantSplit/>
        </w:trPr>
        <w:tc>
          <w:tcPr>
            <w:tcW w:type="dxa" w:w="1400"/>
            <w:vAlign w:val="top"/>
            <w:shd w:fill="EEF4F7"/>
          </w:tcPr>
          <w:p>
            <w:pPr>
              <w:spacing w:after="20"/>
            </w:pPr>
            <w:r>
              <w:rPr>
                <w:sz w:val="15"/>
              </w:rPr>
              <w:t>Trust</w:t>
            </w:r>
          </w:p>
        </w:tc>
        <w:tc>
          <w:tcPr>
            <w:tcW w:type="dxa" w:w="1900"/>
            <w:vAlign w:val="top"/>
            <w:shd w:fill="EEF4F7"/>
          </w:tcPr>
          <w:p>
            <w:pPr>
              <w:spacing w:after="20"/>
            </w:pPr>
            <w:r>
              <w:rPr>
                <w:sz w:val="15"/>
              </w:rPr>
              <w:t>Server and tools</w:t>
            </w:r>
          </w:p>
        </w:tc>
        <w:tc>
          <w:tcPr>
            <w:tcW w:type="dxa" w:w="3860"/>
            <w:vAlign w:val="top"/>
            <w:shd w:fill="EEF4F7"/>
          </w:tcPr>
          <w:p>
            <w:pPr>
              <w:spacing w:after="20"/>
            </w:pPr>
            <w:r>
              <w:rPr>
                <w:sz w:val="15"/>
              </w:rPr>
              <w:t>Explicit trust; tools disabled until approved</w:t>
            </w:r>
          </w:p>
        </w:tc>
        <w:tc>
          <w:tcPr>
            <w:tcW w:type="dxa" w:w="2200"/>
            <w:vAlign w:val="top"/>
            <w:shd w:fill="EEF4F7"/>
          </w:tcPr>
          <w:p>
            <w:pPr>
              <w:spacing w:after="20"/>
            </w:pPr>
            <w:r>
              <w:rPr>
                <w:sz w:val="15"/>
              </w:rPr>
              <w:t>Documentation verified; runtime required</w:t>
            </w:r>
          </w:p>
        </w:tc>
      </w:tr>
      <w:tr>
        <w:trPr>
          <w:trHeight w:hRule="atLeast"/>
          <w:cantSplit/>
        </w:trPr>
        <w:tc>
          <w:tcPr>
            <w:tcW w:type="dxa" w:w="1400"/>
            <w:vAlign w:val="top"/>
          </w:tcPr>
          <w:p>
            <w:pPr>
              <w:spacing w:after="20"/>
            </w:pPr>
            <w:r>
              <w:rPr>
                <w:sz w:val="15"/>
              </w:rPr>
              <w:t>Credential</w:t>
            </w:r>
          </w:p>
        </w:tc>
        <w:tc>
          <w:tcPr>
            <w:tcW w:type="dxa" w:w="1900"/>
            <w:vAlign w:val="top"/>
          </w:tcPr>
          <w:p>
            <w:pPr>
              <w:spacing w:after="20"/>
            </w:pPr>
            <w:r>
              <w:rPr>
                <w:sz w:val="15"/>
              </w:rPr>
              <w:t>Bearer token</w:t>
            </w:r>
          </w:p>
        </w:tc>
        <w:tc>
          <w:tcPr>
            <w:tcW w:type="dxa" w:w="3860"/>
            <w:vAlign w:val="top"/>
          </w:tcPr>
          <w:p>
            <w:pPr>
              <w:spacing w:after="20"/>
            </w:pPr>
            <w:r>
              <w:rPr>
                <w:sz w:val="15"/>
              </w:rPr>
              <w:t>Synthetic, low-scope, revocable secret</w:t>
            </w:r>
          </w:p>
        </w:tc>
        <w:tc>
          <w:tcPr>
            <w:tcW w:type="dxa" w:w="2200"/>
            <w:vAlign w:val="top"/>
          </w:tcPr>
          <w:p>
            <w:pPr>
              <w:spacing w:after="20"/>
            </w:pPr>
            <w:r>
              <w:rPr>
                <w:sz w:val="15"/>
              </w:rPr>
              <w:t>Storage runtime required</w:t>
            </w:r>
          </w:p>
        </w:tc>
      </w:tr>
      <w:tr>
        <w:trPr>
          <w:trHeight w:hRule="atLeast"/>
          <w:cantSplit/>
        </w:trPr>
        <w:tc>
          <w:tcPr>
            <w:tcW w:type="dxa" w:w="1400"/>
            <w:vAlign w:val="top"/>
            <w:shd w:fill="EEF4F7"/>
          </w:tcPr>
          <w:p>
            <w:pPr>
              <w:spacing w:after="20"/>
            </w:pPr>
            <w:r>
              <w:rPr>
                <w:sz w:val="15"/>
              </w:rPr>
              <w:t>Schema change</w:t>
            </w:r>
          </w:p>
        </w:tc>
        <w:tc>
          <w:tcPr>
            <w:tcW w:type="dxa" w:w="1900"/>
            <w:vAlign w:val="top"/>
            <w:shd w:fill="EEF4F7"/>
          </w:tcPr>
          <w:p>
            <w:pPr>
              <w:spacing w:after="20"/>
            </w:pPr>
            <w:r>
              <w:rPr>
                <w:sz w:val="15"/>
              </w:rPr>
              <w:t>list_changed/tool drift</w:t>
            </w:r>
          </w:p>
        </w:tc>
        <w:tc>
          <w:tcPr>
            <w:tcW w:type="dxa" w:w="3860"/>
            <w:vAlign w:val="top"/>
            <w:shd w:fill="EEF4F7"/>
          </w:tcPr>
          <w:p>
            <w:pPr>
              <w:spacing w:after="20"/>
            </w:pPr>
            <w:r>
              <w:rPr>
                <w:sz w:val="15"/>
              </w:rPr>
              <w:t>Acceptance reset and enterprise review</w:t>
            </w:r>
          </w:p>
        </w:tc>
        <w:tc>
          <w:tcPr>
            <w:tcW w:type="dxa" w:w="2200"/>
            <w:vAlign w:val="top"/>
            <w:shd w:fill="EEF4F7"/>
          </w:tcPr>
          <w:p>
            <w:pPr>
              <w:spacing w:after="20"/>
            </w:pPr>
            <w:r>
              <w:rPr>
                <w:sz w:val="15"/>
              </w:rPr>
              <w:t>Documentation verified; runtime required</w:t>
            </w:r>
          </w:p>
        </w:tc>
      </w:tr>
      <w:tr>
        <w:trPr>
          <w:trHeight w:hRule="atLeast"/>
          <w:cantSplit/>
        </w:trPr>
        <w:tc>
          <w:tcPr>
            <w:tcW w:type="dxa" w:w="1400"/>
            <w:vAlign w:val="top"/>
          </w:tcPr>
          <w:p>
            <w:pPr>
              <w:spacing w:after="20"/>
            </w:pPr>
            <w:r>
              <w:rPr>
                <w:sz w:val="15"/>
              </w:rPr>
              <w:t>Removal</w:t>
            </w:r>
          </w:p>
        </w:tc>
        <w:tc>
          <w:tcPr>
            <w:tcW w:type="dxa" w:w="1900"/>
            <w:vAlign w:val="top"/>
          </w:tcPr>
          <w:p>
            <w:pPr>
              <w:spacing w:after="20"/>
            </w:pPr>
            <w:r>
              <w:rPr>
                <w:sz w:val="15"/>
              </w:rPr>
              <w:t>Config, token, logs</w:t>
            </w:r>
          </w:p>
        </w:tc>
        <w:tc>
          <w:tcPr>
            <w:tcW w:type="dxa" w:w="3860"/>
            <w:vAlign w:val="top"/>
          </w:tcPr>
          <w:p>
            <w:pPr>
              <w:spacing w:after="20"/>
            </w:pPr>
            <w:r>
              <w:rPr>
                <w:sz w:val="15"/>
              </w:rPr>
              <w:t>All scopes and residue verified</w:t>
            </w:r>
          </w:p>
        </w:tc>
        <w:tc>
          <w:tcPr>
            <w:tcW w:type="dxa" w:w="2200"/>
            <w:vAlign w:val="top"/>
          </w:tcPr>
          <w:p>
            <w:pPr>
              <w:spacing w:after="20"/>
            </w:pPr>
            <w:r>
              <w:rPr>
                <w:sz w:val="15"/>
              </w:rPr>
              <w:t>Runtime required</w:t>
            </w:r>
          </w:p>
        </w:tc>
      </w:tr>
    </w:tbl>
    <w:p/>
    <w:p>
      <w:pPr>
        <w:pStyle w:val="Heading1"/>
      </w:pPr>
      <w:r>
        <w:t>Part III – Installed Agent Skills</w:t>
      </w:r>
    </w:p>
    <w:p>
      <w:r>
        <w:t>No installed or bundled Agent Skill is part of the official Netdata Registry entry or the scoped MCP server source. This is Not applicable as a shipped component. Netdata documentation and IDE configuration examples are not skills. Separately installed skills, AGENTS files and workspace instructions can nevertheless influence calls and must be treated as untrusted instruction sources.</w:t>
      </w:r>
    </w:p>
    <w:tbl>
      <w:tblPr>
        <w:tblStyle w:val="TableGrid"/>
        <w:tblW w:type="dxa" w:w="9360"/>
        <w:jc w:val="center"/>
        <w:tblLook w:firstColumn="1" w:firstRow="1" w:lastColumn="0" w:lastRow="0" w:noHBand="0" w:noVBand="1" w:val="04A0"/>
        <w:tblInd w:w="120" w:type="dxa"/>
        <w:tblLayout w:type="fixed"/>
      </w:tblPr>
      <w:tblGrid>
        <w:gridCol w:w="2800"/>
        <w:gridCol w:w="2600"/>
        <w:gridCol w:w="3960"/>
      </w:tblGrid>
      <w:tr>
        <w:trPr>
          <w:tblHeader w:val="true"/>
          <w:cantSplit/>
        </w:trPr>
        <w:tc>
          <w:tcPr>
            <w:tcW w:type="dxa" w:w="2800"/>
            <w:shd w:fill="17365D"/>
            <w:vAlign w:val="center"/>
          </w:tcPr>
          <w:p>
            <w:r>
              <w:rPr>
                <w:b/>
                <w:color w:val="FFFFFF"/>
                <w:sz w:val="16"/>
              </w:rPr>
              <w:t>Candidate surface</w:t>
            </w:r>
          </w:p>
        </w:tc>
        <w:tc>
          <w:tcPr>
            <w:tcW w:type="dxa" w:w="2600"/>
            <w:shd w:fill="17365D"/>
            <w:vAlign w:val="center"/>
          </w:tcPr>
          <w:p>
            <w:r>
              <w:rPr>
                <w:b/>
                <w:color w:val="FFFFFF"/>
                <w:sz w:val="16"/>
              </w:rPr>
              <w:t>Classification</w:t>
            </w:r>
          </w:p>
        </w:tc>
        <w:tc>
          <w:tcPr>
            <w:tcW w:type="dxa" w:w="3960"/>
            <w:shd w:fill="17365D"/>
            <w:vAlign w:val="center"/>
          </w:tcPr>
          <w:p>
            <w:r>
              <w:rPr>
                <w:b/>
                <w:color w:val="FFFFFF"/>
                <w:sz w:val="16"/>
              </w:rPr>
              <w:t>Disposition</w:t>
            </w:r>
          </w:p>
        </w:tc>
      </w:tr>
      <w:tr>
        <w:trPr>
          <w:trHeight w:hRule="atLeast"/>
          <w:cantSplit/>
        </w:trPr>
        <w:tc>
          <w:tcPr>
            <w:tcW w:type="dxa" w:w="2800"/>
            <w:vAlign w:val="top"/>
          </w:tcPr>
          <w:p>
            <w:pPr>
              <w:spacing w:after="20"/>
            </w:pPr>
            <w:r>
              <w:rPr>
                <w:sz w:val="15"/>
              </w:rPr>
              <w:t>Official Registry descriptor</w:t>
            </w:r>
          </w:p>
        </w:tc>
        <w:tc>
          <w:tcPr>
            <w:tcW w:type="dxa" w:w="2600"/>
            <w:vAlign w:val="top"/>
          </w:tcPr>
          <w:p>
            <w:pPr>
              <w:spacing w:after="20"/>
            </w:pPr>
            <w:r>
              <w:rPr>
                <w:sz w:val="15"/>
              </w:rPr>
              <w:t>MCP server metadata</w:t>
            </w:r>
          </w:p>
        </w:tc>
        <w:tc>
          <w:tcPr>
            <w:tcW w:type="dxa" w:w="3960"/>
            <w:vAlign w:val="top"/>
          </w:tcPr>
          <w:p>
            <w:pPr>
              <w:spacing w:after="20"/>
            </w:pPr>
            <w:r>
              <w:rPr>
                <w:sz w:val="15"/>
              </w:rPr>
              <w:t>In scope; not a skill</w:t>
            </w:r>
          </w:p>
        </w:tc>
      </w:tr>
      <w:tr>
        <w:trPr>
          <w:trHeight w:hRule="atLeast"/>
          <w:cantSplit/>
        </w:trPr>
        <w:tc>
          <w:tcPr>
            <w:tcW w:type="dxa" w:w="2800"/>
            <w:vAlign w:val="top"/>
            <w:shd w:fill="EEF4F7"/>
          </w:tcPr>
          <w:p>
            <w:pPr>
              <w:spacing w:after="20"/>
            </w:pPr>
            <w:r>
              <w:rPr>
                <w:sz w:val="15"/>
              </w:rPr>
              <w:t>Netdata client documentation</w:t>
            </w:r>
          </w:p>
        </w:tc>
        <w:tc>
          <w:tcPr>
            <w:tcW w:type="dxa" w:w="2600"/>
            <w:vAlign w:val="top"/>
            <w:shd w:fill="EEF4F7"/>
          </w:tcPr>
          <w:p>
            <w:pPr>
              <w:spacing w:after="20"/>
            </w:pPr>
            <w:r>
              <w:rPr>
                <w:sz w:val="15"/>
              </w:rPr>
              <w:t>Operational guidance</w:t>
            </w:r>
          </w:p>
        </w:tc>
        <w:tc>
          <w:tcPr>
            <w:tcW w:type="dxa" w:w="3960"/>
            <w:vAlign w:val="top"/>
            <w:shd w:fill="EEF4F7"/>
          </w:tcPr>
          <w:p>
            <w:pPr>
              <w:spacing w:after="20"/>
            </w:pPr>
            <w:r>
              <w:rPr>
                <w:sz w:val="15"/>
              </w:rPr>
              <w:t>In scope as evidence; not installed instructions</w:t>
            </w:r>
          </w:p>
        </w:tc>
      </w:tr>
      <w:tr>
        <w:trPr>
          <w:trHeight w:hRule="atLeast"/>
          <w:cantSplit/>
        </w:trPr>
        <w:tc>
          <w:tcPr>
            <w:tcW w:type="dxa" w:w="2800"/>
            <w:vAlign w:val="top"/>
          </w:tcPr>
          <w:p>
            <w:pPr>
              <w:spacing w:after="20"/>
            </w:pPr>
            <w:r>
              <w:rPr>
                <w:sz w:val="15"/>
              </w:rPr>
              <w:t>mcp-web-client</w:t>
            </w:r>
          </w:p>
        </w:tc>
        <w:tc>
          <w:tcPr>
            <w:tcW w:type="dxa" w:w="2600"/>
            <w:vAlign w:val="top"/>
          </w:tcPr>
          <w:p>
            <w:pPr>
              <w:spacing w:after="20"/>
            </w:pPr>
            <w:r>
              <w:rPr>
                <w:sz w:val="15"/>
              </w:rPr>
              <w:t>Adjacent web application</w:t>
            </w:r>
          </w:p>
        </w:tc>
        <w:tc>
          <w:tcPr>
            <w:tcW w:type="dxa" w:w="3960"/>
            <w:vAlign w:val="top"/>
          </w:tcPr>
          <w:p>
            <w:pPr>
              <w:spacing w:after="20"/>
            </w:pPr>
            <w:r>
              <w:rPr>
                <w:sz w:val="15"/>
              </w:rPr>
              <w:t>Excluded from official Registry deployment; separate assessment required</w:t>
            </w:r>
          </w:p>
        </w:tc>
      </w:tr>
      <w:tr>
        <w:trPr>
          <w:trHeight w:hRule="atLeast"/>
          <w:cantSplit/>
        </w:trPr>
        <w:tc>
          <w:tcPr>
            <w:tcW w:type="dxa" w:w="2800"/>
            <w:vAlign w:val="top"/>
            <w:shd w:fill="EEF4F7"/>
          </w:tcPr>
          <w:p>
            <w:pPr>
              <w:spacing w:after="20"/>
            </w:pPr>
            <w:r>
              <w:rPr>
                <w:sz w:val="15"/>
              </w:rPr>
              <w:t>Repository/IDE Agent Skills</w:t>
            </w:r>
          </w:p>
        </w:tc>
        <w:tc>
          <w:tcPr>
            <w:tcW w:type="dxa" w:w="2600"/>
            <w:vAlign w:val="top"/>
            <w:shd w:fill="EEF4F7"/>
          </w:tcPr>
          <w:p>
            <w:pPr>
              <w:spacing w:after="20"/>
            </w:pPr>
            <w:r>
              <w:rPr>
                <w:sz w:val="15"/>
              </w:rPr>
              <w:t>External instruction packages</w:t>
            </w:r>
          </w:p>
        </w:tc>
        <w:tc>
          <w:tcPr>
            <w:tcW w:type="dxa" w:w="3960"/>
            <w:vAlign w:val="top"/>
            <w:shd w:fill="EEF4F7"/>
          </w:tcPr>
          <w:p>
            <w:pPr>
              <w:spacing w:after="20"/>
            </w:pPr>
            <w:r>
              <w:rPr>
                <w:sz w:val="15"/>
              </w:rPr>
              <w:t>Not bundled; enterprise skill policy applies</w:t>
            </w:r>
          </w:p>
        </w:tc>
      </w:tr>
    </w:tbl>
    <w:p/>
    <w:p>
      <w:pPr>
        <w:pStyle w:val="Heading1"/>
      </w:pPr>
      <w:r>
        <w:t>Cross-IDE Comparison</w:t>
      </w:r>
    </w:p>
    <w:tbl>
      <w:tblPr>
        <w:tblStyle w:val="TableGrid"/>
        <w:tblW w:type="dxa" w:w="9360"/>
        <w:jc w:val="center"/>
        <w:tblLook w:firstColumn="1" w:firstRow="1" w:lastColumn="0" w:lastRow="0" w:noHBand="0" w:noVBand="1" w:val="04A0"/>
        <w:tblInd w:w="120" w:type="dxa"/>
        <w:tblLayout w:type="fixed"/>
      </w:tblPr>
      <w:tblGrid>
        <w:gridCol w:w="1900"/>
        <w:gridCol w:w="2500"/>
        <w:gridCol w:w="2500"/>
        <w:gridCol w:w="2460"/>
      </w:tblGrid>
      <w:tr>
        <w:trPr>
          <w:tblHeader w:val="true"/>
          <w:cantSplit/>
        </w:trPr>
        <w:tc>
          <w:tcPr>
            <w:tcW w:type="dxa" w:w="1900"/>
            <w:shd w:fill="17365D"/>
            <w:vAlign w:val="center"/>
          </w:tcPr>
          <w:p>
            <w:r>
              <w:rPr>
                <w:b/>
                <w:color w:val="FFFFFF"/>
                <w:sz w:val="16"/>
              </w:rPr>
              <w:t>Control area</w:t>
            </w:r>
          </w:p>
        </w:tc>
        <w:tc>
          <w:tcPr>
            <w:tcW w:type="dxa" w:w="2500"/>
            <w:shd w:fill="17365D"/>
            <w:vAlign w:val="center"/>
          </w:tcPr>
          <w:p>
            <w:r>
              <w:rPr>
                <w:b/>
                <w:color w:val="FFFFFF"/>
                <w:sz w:val="16"/>
              </w:rPr>
              <w:t>VS Code</w:t>
            </w:r>
          </w:p>
        </w:tc>
        <w:tc>
          <w:tcPr>
            <w:tcW w:type="dxa" w:w="2500"/>
            <w:shd w:fill="17365D"/>
            <w:vAlign w:val="center"/>
          </w:tcPr>
          <w:p>
            <w:r>
              <w:rPr>
                <w:b/>
                <w:color w:val="FFFFFF"/>
                <w:sz w:val="16"/>
              </w:rPr>
              <w:t>Visual Studio</w:t>
            </w:r>
          </w:p>
        </w:tc>
        <w:tc>
          <w:tcPr>
            <w:tcW w:type="dxa" w:w="2460"/>
            <w:shd w:fill="17365D"/>
            <w:vAlign w:val="center"/>
          </w:tcPr>
          <w:p>
            <w:r>
              <w:rPr>
                <w:b/>
                <w:color w:val="FFFFFF"/>
                <w:sz w:val="16"/>
              </w:rPr>
              <w:t>Common decision</w:t>
            </w:r>
          </w:p>
        </w:tc>
      </w:tr>
      <w:tr>
        <w:trPr>
          <w:trHeight w:hRule="atLeast"/>
          <w:cantSplit/>
        </w:trPr>
        <w:tc>
          <w:tcPr>
            <w:tcW w:type="dxa" w:w="1900"/>
            <w:vAlign w:val="top"/>
          </w:tcPr>
          <w:p>
            <w:pPr>
              <w:spacing w:after="20"/>
            </w:pPr>
            <w:r>
              <w:rPr>
                <w:sz w:val="15"/>
              </w:rPr>
              <w:t>Server form</w:t>
            </w:r>
          </w:p>
        </w:tc>
        <w:tc>
          <w:tcPr>
            <w:tcW w:type="dxa" w:w="2500"/>
            <w:vAlign w:val="top"/>
          </w:tcPr>
          <w:p>
            <w:pPr>
              <w:spacing w:after="20"/>
            </w:pPr>
            <w:r>
              <w:rPr>
                <w:sz w:val="15"/>
              </w:rPr>
              <w:t>Gallery/config/web MCP</w:t>
            </w:r>
          </w:p>
        </w:tc>
        <w:tc>
          <w:tcPr>
            <w:tcW w:type="dxa" w:w="2500"/>
            <w:vAlign w:val="top"/>
          </w:tcPr>
          <w:p>
            <w:pPr>
              <w:spacing w:after="20"/>
            </w:pPr>
            <w:r>
              <w:rPr>
                <w:sz w:val="15"/>
              </w:rPr>
              <w:t>Registry/web/config MCP</w:t>
            </w:r>
          </w:p>
        </w:tc>
        <w:tc>
          <w:tcPr>
            <w:tcW w:type="dxa" w:w="2460"/>
            <w:vAlign w:val="top"/>
          </w:tcPr>
          <w:p>
            <w:pPr>
              <w:spacing w:after="20"/>
            </w:pPr>
            <w:r>
              <w:rPr>
                <w:sz w:val="15"/>
              </w:rPr>
              <w:t>Hosted HTTPS only for pilot</w:t>
            </w:r>
          </w:p>
        </w:tc>
      </w:tr>
      <w:tr>
        <w:trPr>
          <w:trHeight w:hRule="atLeast"/>
          <w:cantSplit/>
        </w:trPr>
        <w:tc>
          <w:tcPr>
            <w:tcW w:type="dxa" w:w="1900"/>
            <w:vAlign w:val="top"/>
            <w:shd w:fill="EEF4F7"/>
          </w:tcPr>
          <w:p>
            <w:pPr>
              <w:spacing w:after="20"/>
            </w:pPr>
            <w:r>
              <w:rPr>
                <w:sz w:val="15"/>
              </w:rPr>
              <w:t>Trust/tool consent</w:t>
            </w:r>
          </w:p>
        </w:tc>
        <w:tc>
          <w:tcPr>
            <w:tcW w:type="dxa" w:w="2500"/>
            <w:vAlign w:val="top"/>
            <w:shd w:fill="EEF4F7"/>
          </w:tcPr>
          <w:p>
            <w:pPr>
              <w:spacing w:after="20"/>
            </w:pPr>
            <w:r>
              <w:rPr>
                <w:sz w:val="15"/>
              </w:rPr>
              <w:t>Trust and tool toggles; org allowlist</w:t>
            </w:r>
          </w:p>
        </w:tc>
        <w:tc>
          <w:tcPr>
            <w:tcW w:type="dxa" w:w="2500"/>
            <w:vAlign w:val="top"/>
            <w:shd w:fill="EEF4F7"/>
          </w:tcPr>
          <w:p>
            <w:pPr>
              <w:spacing w:after="20"/>
            </w:pPr>
            <w:r>
              <w:rPr>
                <w:sz w:val="15"/>
              </w:rPr>
              <w:t>Trust prompts; tools disabled default; allowlist</w:t>
            </w:r>
          </w:p>
        </w:tc>
        <w:tc>
          <w:tcPr>
            <w:tcW w:type="dxa" w:w="2460"/>
            <w:vAlign w:val="top"/>
            <w:shd w:fill="EEF4F7"/>
          </w:tcPr>
          <w:p>
            <w:pPr>
              <w:spacing w:after="20"/>
            </w:pPr>
            <w:r>
              <w:rPr>
                <w:sz w:val="15"/>
              </w:rPr>
              <w:t>Runtime-verify separately</w:t>
            </w:r>
          </w:p>
        </w:tc>
      </w:tr>
      <w:tr>
        <w:trPr>
          <w:trHeight w:hRule="atLeast"/>
          <w:cantSplit/>
        </w:trPr>
        <w:tc>
          <w:tcPr>
            <w:tcW w:type="dxa" w:w="1900"/>
            <w:vAlign w:val="top"/>
          </w:tcPr>
          <w:p>
            <w:pPr>
              <w:spacing w:after="20"/>
            </w:pPr>
            <w:r>
              <w:rPr>
                <w:sz w:val="15"/>
              </w:rPr>
              <w:t>Platforms</w:t>
            </w:r>
          </w:p>
        </w:tc>
        <w:tc>
          <w:tcPr>
            <w:tcW w:type="dxa" w:w="2500"/>
            <w:vAlign w:val="top"/>
          </w:tcPr>
          <w:p>
            <w:pPr>
              <w:spacing w:after="20"/>
            </w:pPr>
            <w:r>
              <w:rPr>
                <w:sz w:val="15"/>
              </w:rPr>
              <w:t>Windows and macOS in scope</w:t>
            </w:r>
          </w:p>
        </w:tc>
        <w:tc>
          <w:tcPr>
            <w:tcW w:type="dxa" w:w="2500"/>
            <w:vAlign w:val="top"/>
          </w:tcPr>
          <w:p>
            <w:pPr>
              <w:spacing w:after="20"/>
            </w:pPr>
            <w:r>
              <w:rPr>
                <w:sz w:val="15"/>
              </w:rPr>
              <w:t>Windows only</w:t>
            </w:r>
          </w:p>
        </w:tc>
        <w:tc>
          <w:tcPr>
            <w:tcW w:type="dxa" w:w="2460"/>
            <w:vAlign w:val="top"/>
          </w:tcPr>
          <w:p>
            <w:pPr>
              <w:spacing w:after="20"/>
            </w:pPr>
            <w:r>
              <w:rPr>
                <w:sz w:val="15"/>
              </w:rPr>
              <w:t>No evidence copied across clients</w:t>
            </w:r>
          </w:p>
        </w:tc>
      </w:tr>
      <w:tr>
        <w:trPr>
          <w:trHeight w:hRule="atLeast"/>
          <w:cantSplit/>
        </w:trPr>
        <w:tc>
          <w:tcPr>
            <w:tcW w:type="dxa" w:w="1900"/>
            <w:vAlign w:val="top"/>
            <w:shd w:fill="EEF4F7"/>
          </w:tcPr>
          <w:p>
            <w:pPr>
              <w:spacing w:after="20"/>
            </w:pPr>
            <w:r>
              <w:rPr>
                <w:sz w:val="15"/>
              </w:rPr>
              <w:t>Token storage/logging</w:t>
            </w:r>
          </w:p>
        </w:tc>
        <w:tc>
          <w:tcPr>
            <w:tcW w:type="dxa" w:w="2500"/>
            <w:vAlign w:val="top"/>
            <w:shd w:fill="EEF4F7"/>
          </w:tcPr>
          <w:p>
            <w:pPr>
              <w:spacing w:after="20"/>
            </w:pPr>
            <w:r>
              <w:rPr>
                <w:sz w:val="15"/>
              </w:rPr>
              <w:t>Not observed</w:t>
            </w:r>
          </w:p>
        </w:tc>
        <w:tc>
          <w:tcPr>
            <w:tcW w:type="dxa" w:w="2500"/>
            <w:vAlign w:val="top"/>
            <w:shd w:fill="EEF4F7"/>
          </w:tcPr>
          <w:p>
            <w:pPr>
              <w:spacing w:after="20"/>
            </w:pPr>
            <w:r>
              <w:rPr>
                <w:sz w:val="15"/>
              </w:rPr>
              <w:t>Not observed</w:t>
            </w:r>
          </w:p>
        </w:tc>
        <w:tc>
          <w:tcPr>
            <w:tcW w:type="dxa" w:w="2460"/>
            <w:vAlign w:val="top"/>
            <w:shd w:fill="EEF4F7"/>
          </w:tcPr>
          <w:p>
            <w:pPr>
              <w:spacing w:after="20"/>
            </w:pPr>
            <w:r>
              <w:rPr>
                <w:sz w:val="15"/>
              </w:rPr>
              <w:t>Defer pending evidence</w:t>
            </w:r>
          </w:p>
        </w:tc>
      </w:tr>
      <w:tr>
        <w:trPr>
          <w:trHeight w:hRule="atLeast"/>
          <w:cantSplit/>
        </w:trPr>
        <w:tc>
          <w:tcPr>
            <w:tcW w:type="dxa" w:w="1900"/>
            <w:vAlign w:val="top"/>
          </w:tcPr>
          <w:p>
            <w:pPr>
              <w:spacing w:after="20"/>
            </w:pPr>
            <w:r>
              <w:rPr>
                <w:sz w:val="15"/>
              </w:rPr>
              <w:t>Bridge need</w:t>
            </w:r>
          </w:p>
        </w:tc>
        <w:tc>
          <w:tcPr>
            <w:tcW w:type="dxa" w:w="2500"/>
            <w:vAlign w:val="top"/>
          </w:tcPr>
          <w:p>
            <w:pPr>
              <w:spacing w:after="20"/>
            </w:pPr>
            <w:r>
              <w:rPr>
                <w:sz w:val="15"/>
              </w:rPr>
              <w:t>Optional; vendor examples use npx latest</w:t>
            </w:r>
          </w:p>
        </w:tc>
        <w:tc>
          <w:tcPr>
            <w:tcW w:type="dxa" w:w="2500"/>
            <w:vAlign w:val="top"/>
          </w:tcPr>
          <w:p>
            <w:pPr>
              <w:spacing w:after="20"/>
            </w:pPr>
            <w:r>
              <w:rPr>
                <w:sz w:val="15"/>
              </w:rPr>
              <w:t>Native web path documented</w:t>
            </w:r>
          </w:p>
        </w:tc>
        <w:tc>
          <w:tcPr>
            <w:tcW w:type="dxa" w:w="2460"/>
            <w:vAlign w:val="top"/>
          </w:tcPr>
          <w:p>
            <w:pPr>
              <w:spacing w:after="20"/>
            </w:pPr>
            <w:r>
              <w:rPr>
                <w:sz w:val="15"/>
              </w:rPr>
              <w:t>No mutable bridge</w:t>
            </w:r>
          </w:p>
        </w:tc>
      </w:tr>
      <w:tr>
        <w:trPr>
          <w:trHeight w:hRule="atLeast"/>
          <w:cantSplit/>
        </w:trPr>
        <w:tc>
          <w:tcPr>
            <w:tcW w:type="dxa" w:w="1900"/>
            <w:vAlign w:val="top"/>
            <w:shd w:fill="EEF4F7"/>
          </w:tcPr>
          <w:p>
            <w:pPr>
              <w:spacing w:after="20"/>
            </w:pPr>
            <w:r>
              <w:rPr>
                <w:sz w:val="15"/>
              </w:rPr>
              <w:t>Uninstall residue</w:t>
            </w:r>
          </w:p>
        </w:tc>
        <w:tc>
          <w:tcPr>
            <w:tcW w:type="dxa" w:w="2500"/>
            <w:vAlign w:val="top"/>
            <w:shd w:fill="EEF4F7"/>
          </w:tcPr>
          <w:p>
            <w:pPr>
              <w:spacing w:after="20"/>
            </w:pPr>
            <w:r>
              <w:rPr>
                <w:sz w:val="15"/>
              </w:rPr>
              <w:t>Not observed</w:t>
            </w:r>
          </w:p>
        </w:tc>
        <w:tc>
          <w:tcPr>
            <w:tcW w:type="dxa" w:w="2500"/>
            <w:vAlign w:val="top"/>
            <w:shd w:fill="EEF4F7"/>
          </w:tcPr>
          <w:p>
            <w:pPr>
              <w:spacing w:after="20"/>
            </w:pPr>
            <w:r>
              <w:rPr>
                <w:sz w:val="15"/>
              </w:rPr>
              <w:t>Not observed</w:t>
            </w:r>
          </w:p>
        </w:tc>
        <w:tc>
          <w:tcPr>
            <w:tcW w:type="dxa" w:w="2460"/>
            <w:vAlign w:val="top"/>
            <w:shd w:fill="EEF4F7"/>
          </w:tcPr>
          <w:p>
            <w:pPr>
              <w:spacing w:after="20"/>
            </w:pPr>
            <w:r>
              <w:rPr>
                <w:sz w:val="15"/>
              </w:rPr>
              <w:t>Host-specific cleanup test</w:t>
            </w:r>
          </w:p>
        </w:tc>
      </w:tr>
    </w:tbl>
    <w:p/>
    <w:p>
      <w:pPr>
        <w:pStyle w:val="Heading2"/>
      </w:pPr>
      <w:r>
        <w:t>MCP Tool and Authority Inventory</w:t>
      </w:r>
    </w:p>
    <w:tbl>
      <w:tblPr>
        <w:tblStyle w:val="TableGrid"/>
        <w:tblW w:type="dxa" w:w="9360"/>
        <w:jc w:val="center"/>
        <w:tblLook w:firstColumn="1" w:firstRow="1" w:lastColumn="0" w:lastRow="0" w:noHBand="0" w:noVBand="1" w:val="04A0"/>
        <w:tblInd w:w="120" w:type="dxa"/>
        <w:tblLayout w:type="fixed"/>
      </w:tblPr>
      <w:tblGrid>
        <w:gridCol w:w="1900"/>
        <w:gridCol w:w="3000"/>
        <w:gridCol w:w="1600"/>
        <w:gridCol w:w="2860"/>
      </w:tblGrid>
      <w:tr>
        <w:trPr>
          <w:tblHeader w:val="true"/>
          <w:cantSplit/>
        </w:trPr>
        <w:tc>
          <w:tcPr>
            <w:tcW w:type="dxa" w:w="1900"/>
            <w:shd w:fill="17365D"/>
            <w:vAlign w:val="center"/>
          </w:tcPr>
          <w:p>
            <w:r>
              <w:rPr>
                <w:b/>
                <w:color w:val="FFFFFF"/>
                <w:sz w:val="16"/>
              </w:rPr>
              <w:t>Tool</w:t>
            </w:r>
          </w:p>
        </w:tc>
        <w:tc>
          <w:tcPr>
            <w:tcW w:type="dxa" w:w="3000"/>
            <w:shd w:fill="17365D"/>
            <w:vAlign w:val="center"/>
          </w:tcPr>
          <w:p>
            <w:r>
              <w:rPr>
                <w:b/>
                <w:color w:val="FFFFFF"/>
                <w:sz w:val="16"/>
              </w:rPr>
              <w:t>Purpose</w:t>
            </w:r>
          </w:p>
        </w:tc>
        <w:tc>
          <w:tcPr>
            <w:tcW w:type="dxa" w:w="1600"/>
            <w:shd w:fill="17365D"/>
            <w:vAlign w:val="center"/>
          </w:tcPr>
          <w:p>
            <w:r>
              <w:rPr>
                <w:b/>
                <w:color w:val="FFFFFF"/>
                <w:sz w:val="16"/>
              </w:rPr>
              <w:t>Annotation</w:t>
            </w:r>
          </w:p>
        </w:tc>
        <w:tc>
          <w:tcPr>
            <w:tcW w:type="dxa" w:w="2860"/>
            <w:shd w:fill="17365D"/>
            <w:vAlign w:val="center"/>
          </w:tcPr>
          <w:p>
            <w:r>
              <w:rPr>
                <w:b/>
                <w:color w:val="FFFFFF"/>
                <w:sz w:val="16"/>
              </w:rPr>
              <w:t>Material risk</w:t>
            </w:r>
          </w:p>
        </w:tc>
      </w:tr>
      <w:tr>
        <w:trPr>
          <w:trHeight w:hRule="atLeast"/>
          <w:cantSplit/>
        </w:trPr>
        <w:tc>
          <w:tcPr>
            <w:tcW w:type="dxa" w:w="1900"/>
            <w:vAlign w:val="top"/>
          </w:tcPr>
          <w:p>
            <w:pPr>
              <w:spacing w:after="20"/>
            </w:pPr>
            <w:r>
              <w:rPr>
                <w:sz w:val="15"/>
              </w:rPr>
              <w:t>list_metrics</w:t>
            </w:r>
          </w:p>
        </w:tc>
        <w:tc>
          <w:tcPr>
            <w:tcW w:type="dxa" w:w="3000"/>
            <w:vAlign w:val="top"/>
          </w:tcPr>
          <w:p>
            <w:pPr>
              <w:spacing w:after="20"/>
            </w:pPr>
            <w:r>
              <w:rPr>
                <w:sz w:val="15"/>
              </w:rPr>
              <w:t>Discover metric contexts and dimensions</w:t>
            </w:r>
          </w:p>
        </w:tc>
        <w:tc>
          <w:tcPr>
            <w:tcW w:type="dxa" w:w="1600"/>
            <w:vAlign w:val="top"/>
          </w:tcPr>
          <w:p>
            <w:pPr>
              <w:spacing w:after="20"/>
            </w:pPr>
            <w:r>
              <w:rPr>
                <w:sz w:val="15"/>
              </w:rPr>
              <w:t>Read-only</w:t>
            </w:r>
          </w:p>
        </w:tc>
        <w:tc>
          <w:tcPr>
            <w:tcW w:type="dxa" w:w="2860"/>
            <w:vAlign w:val="top"/>
          </w:tcPr>
          <w:p>
            <w:pPr>
              <w:spacing w:after="20"/>
            </w:pPr>
            <w:r>
              <w:rPr>
                <w:sz w:val="15"/>
              </w:rPr>
              <w:t>Infrastructure inventory and topology</w:t>
            </w:r>
          </w:p>
        </w:tc>
      </w:tr>
      <w:tr>
        <w:trPr>
          <w:trHeight w:hRule="atLeast"/>
          <w:cantSplit/>
        </w:trPr>
        <w:tc>
          <w:tcPr>
            <w:tcW w:type="dxa" w:w="1900"/>
            <w:vAlign w:val="top"/>
            <w:shd w:fill="EEF4F7"/>
          </w:tcPr>
          <w:p>
            <w:pPr>
              <w:spacing w:after="20"/>
            </w:pPr>
            <w:r>
              <w:rPr>
                <w:sz w:val="15"/>
              </w:rPr>
              <w:t>get_metrics_details</w:t>
            </w:r>
          </w:p>
        </w:tc>
        <w:tc>
          <w:tcPr>
            <w:tcW w:type="dxa" w:w="3000"/>
            <w:vAlign w:val="top"/>
            <w:shd w:fill="EEF4F7"/>
          </w:tcPr>
          <w:p>
            <w:pPr>
              <w:spacing w:after="20"/>
            </w:pPr>
            <w:r>
              <w:rPr>
                <w:sz w:val="15"/>
              </w:rPr>
              <w:t>Return metric metadata/details</w:t>
            </w:r>
          </w:p>
        </w:tc>
        <w:tc>
          <w:tcPr>
            <w:tcW w:type="dxa" w:w="1600"/>
            <w:vAlign w:val="top"/>
            <w:shd w:fill="EEF4F7"/>
          </w:tcPr>
          <w:p>
            <w:pPr>
              <w:spacing w:after="20"/>
            </w:pPr>
            <w:r>
              <w:rPr>
                <w:sz w:val="15"/>
              </w:rPr>
              <w:t>Read-only</w:t>
            </w:r>
          </w:p>
        </w:tc>
        <w:tc>
          <w:tcPr>
            <w:tcW w:type="dxa" w:w="2860"/>
            <w:vAlign w:val="top"/>
            <w:shd w:fill="EEF4F7"/>
          </w:tcPr>
          <w:p>
            <w:pPr>
              <w:spacing w:after="20"/>
            </w:pPr>
            <w:r>
              <w:rPr>
                <w:sz w:val="15"/>
              </w:rPr>
              <w:t>Labels, instances and operational metadata</w:t>
            </w:r>
          </w:p>
        </w:tc>
      </w:tr>
      <w:tr>
        <w:trPr>
          <w:trHeight w:hRule="atLeast"/>
          <w:cantSplit/>
        </w:trPr>
        <w:tc>
          <w:tcPr>
            <w:tcW w:type="dxa" w:w="1900"/>
            <w:vAlign w:val="top"/>
          </w:tcPr>
          <w:p>
            <w:pPr>
              <w:spacing w:after="20"/>
            </w:pPr>
            <w:r>
              <w:rPr>
                <w:sz w:val="15"/>
              </w:rPr>
              <w:t>list_nodes</w:t>
            </w:r>
          </w:p>
        </w:tc>
        <w:tc>
          <w:tcPr>
            <w:tcW w:type="dxa" w:w="3000"/>
            <w:vAlign w:val="top"/>
          </w:tcPr>
          <w:p>
            <w:pPr>
              <w:spacing w:after="20"/>
            </w:pPr>
            <w:r>
              <w:rPr>
                <w:sz w:val="15"/>
              </w:rPr>
              <w:t>Enumerate available nodes</w:t>
            </w:r>
          </w:p>
        </w:tc>
        <w:tc>
          <w:tcPr>
            <w:tcW w:type="dxa" w:w="1600"/>
            <w:vAlign w:val="top"/>
          </w:tcPr>
          <w:p>
            <w:pPr>
              <w:spacing w:after="20"/>
            </w:pPr>
            <w:r>
              <w:rPr>
                <w:sz w:val="15"/>
              </w:rPr>
              <w:t>Read-only</w:t>
            </w:r>
          </w:p>
        </w:tc>
        <w:tc>
          <w:tcPr>
            <w:tcW w:type="dxa" w:w="2860"/>
            <w:vAlign w:val="top"/>
          </w:tcPr>
          <w:p>
            <w:pPr>
              <w:spacing w:after="20"/>
            </w:pPr>
            <w:r>
              <w:rPr>
                <w:sz w:val="15"/>
              </w:rPr>
              <w:t>Fleet identity and topology</w:t>
            </w:r>
          </w:p>
        </w:tc>
      </w:tr>
      <w:tr>
        <w:trPr>
          <w:trHeight w:hRule="atLeast"/>
          <w:cantSplit/>
        </w:trPr>
        <w:tc>
          <w:tcPr>
            <w:tcW w:type="dxa" w:w="1900"/>
            <w:vAlign w:val="top"/>
            <w:shd w:fill="EEF4F7"/>
          </w:tcPr>
          <w:p>
            <w:pPr>
              <w:spacing w:after="20"/>
            </w:pPr>
            <w:r>
              <w:rPr>
                <w:sz w:val="15"/>
              </w:rPr>
              <w:t>get_nodes_details</w:t>
            </w:r>
          </w:p>
        </w:tc>
        <w:tc>
          <w:tcPr>
            <w:tcW w:type="dxa" w:w="3000"/>
            <w:vAlign w:val="top"/>
            <w:shd w:fill="EEF4F7"/>
          </w:tcPr>
          <w:p>
            <w:pPr>
              <w:spacing w:after="20"/>
            </w:pPr>
            <w:r>
              <w:rPr>
                <w:sz w:val="15"/>
              </w:rPr>
              <w:t>Return node details</w:t>
            </w:r>
          </w:p>
        </w:tc>
        <w:tc>
          <w:tcPr>
            <w:tcW w:type="dxa" w:w="1600"/>
            <w:vAlign w:val="top"/>
            <w:shd w:fill="EEF4F7"/>
          </w:tcPr>
          <w:p>
            <w:pPr>
              <w:spacing w:after="20"/>
            </w:pPr>
            <w:r>
              <w:rPr>
                <w:sz w:val="15"/>
              </w:rPr>
              <w:t>Read-only</w:t>
            </w:r>
          </w:p>
        </w:tc>
        <w:tc>
          <w:tcPr>
            <w:tcW w:type="dxa" w:w="2860"/>
            <w:vAlign w:val="top"/>
            <w:shd w:fill="EEF4F7"/>
          </w:tcPr>
          <w:p>
            <w:pPr>
              <w:spacing w:after="20"/>
            </w:pPr>
            <w:r>
              <w:rPr>
                <w:sz w:val="15"/>
              </w:rPr>
              <w:t>Host, OS and connection metadata</w:t>
            </w:r>
          </w:p>
        </w:tc>
      </w:tr>
      <w:tr>
        <w:trPr>
          <w:trHeight w:hRule="atLeast"/>
          <w:cantSplit/>
        </w:trPr>
        <w:tc>
          <w:tcPr>
            <w:tcW w:type="dxa" w:w="1900"/>
            <w:vAlign w:val="top"/>
          </w:tcPr>
          <w:p>
            <w:pPr>
              <w:spacing w:after="20"/>
            </w:pPr>
            <w:r>
              <w:rPr>
                <w:sz w:val="15"/>
              </w:rPr>
              <w:t>list_functions</w:t>
            </w:r>
          </w:p>
        </w:tc>
        <w:tc>
          <w:tcPr>
            <w:tcW w:type="dxa" w:w="3000"/>
            <w:vAlign w:val="top"/>
          </w:tcPr>
          <w:p>
            <w:pPr>
              <w:spacing w:after="20"/>
            </w:pPr>
            <w:r>
              <w:rPr>
                <w:sz w:val="15"/>
              </w:rPr>
              <w:t>Discover functions</w:t>
            </w:r>
          </w:p>
        </w:tc>
        <w:tc>
          <w:tcPr>
            <w:tcW w:type="dxa" w:w="1600"/>
            <w:vAlign w:val="top"/>
          </w:tcPr>
          <w:p>
            <w:pPr>
              <w:spacing w:after="20"/>
            </w:pPr>
            <w:r>
              <w:rPr>
                <w:sz w:val="15"/>
              </w:rPr>
              <w:t>Read-only</w:t>
            </w:r>
          </w:p>
        </w:tc>
        <w:tc>
          <w:tcPr>
            <w:tcW w:type="dxa" w:w="2860"/>
            <w:vAlign w:val="top"/>
          </w:tcPr>
          <w:p>
            <w:pPr>
              <w:spacing w:after="20"/>
            </w:pPr>
            <w:r>
              <w:rPr>
                <w:sz w:val="15"/>
              </w:rPr>
              <w:t>Advertises privileged data sources</w:t>
            </w:r>
          </w:p>
        </w:tc>
      </w:tr>
      <w:tr>
        <w:trPr>
          <w:trHeight w:hRule="atLeast"/>
          <w:cantSplit/>
        </w:trPr>
        <w:tc>
          <w:tcPr>
            <w:tcW w:type="dxa" w:w="1900"/>
            <w:vAlign w:val="top"/>
            <w:shd w:fill="EEF4F7"/>
          </w:tcPr>
          <w:p>
            <w:pPr>
              <w:spacing w:after="20"/>
            </w:pPr>
            <w:r>
              <w:rPr>
                <w:sz w:val="15"/>
              </w:rPr>
              <w:t>execute_function</w:t>
            </w:r>
          </w:p>
        </w:tc>
        <w:tc>
          <w:tcPr>
            <w:tcW w:type="dxa" w:w="3000"/>
            <w:vAlign w:val="top"/>
            <w:shd w:fill="EEF4F7"/>
          </w:tcPr>
          <w:p>
            <w:pPr>
              <w:spacing w:after="20"/>
            </w:pPr>
            <w:r>
              <w:rPr>
                <w:sz w:val="15"/>
              </w:rPr>
              <w:t>Run a discovered function</w:t>
            </w:r>
          </w:p>
        </w:tc>
        <w:tc>
          <w:tcPr>
            <w:tcW w:type="dxa" w:w="1600"/>
            <w:vAlign w:val="top"/>
            <w:shd w:fill="EEF4F7"/>
          </w:tcPr>
          <w:p>
            <w:pPr>
              <w:spacing w:after="20"/>
            </w:pPr>
            <w:r>
              <w:rPr>
                <w:sz w:val="15"/>
              </w:rPr>
              <w:t>Read-only; open-world</w:t>
            </w:r>
          </w:p>
        </w:tc>
        <w:tc>
          <w:tcPr>
            <w:tcW w:type="dxa" w:w="2860"/>
            <w:vAlign w:val="top"/>
            <w:shd w:fill="EEF4F7"/>
          </w:tcPr>
          <w:p>
            <w:pPr>
              <w:spacing w:after="20"/>
            </w:pPr>
            <w:r>
              <w:rPr>
                <w:sz w:val="15"/>
              </w:rPr>
              <w:t>Processes, connections, services, logs and events</w:t>
            </w:r>
          </w:p>
        </w:tc>
      </w:tr>
      <w:tr>
        <w:trPr>
          <w:trHeight w:hRule="atLeast"/>
          <w:cantSplit/>
        </w:trPr>
        <w:tc>
          <w:tcPr>
            <w:tcW w:type="dxa" w:w="1900"/>
            <w:vAlign w:val="top"/>
          </w:tcPr>
          <w:p>
            <w:pPr>
              <w:spacing w:after="20"/>
            </w:pPr>
            <w:r>
              <w:rPr>
                <w:sz w:val="15"/>
              </w:rPr>
              <w:t>query_metrics</w:t>
            </w:r>
          </w:p>
        </w:tc>
        <w:tc>
          <w:tcPr>
            <w:tcW w:type="dxa" w:w="3000"/>
            <w:vAlign w:val="top"/>
          </w:tcPr>
          <w:p>
            <w:pPr>
              <w:spacing w:after="20"/>
            </w:pPr>
            <w:r>
              <w:rPr>
                <w:sz w:val="15"/>
              </w:rPr>
              <w:t>Query time-series data</w:t>
            </w:r>
          </w:p>
        </w:tc>
        <w:tc>
          <w:tcPr>
            <w:tcW w:type="dxa" w:w="1600"/>
            <w:vAlign w:val="top"/>
          </w:tcPr>
          <w:p>
            <w:pPr>
              <w:spacing w:after="20"/>
            </w:pPr>
            <w:r>
              <w:rPr>
                <w:sz w:val="15"/>
              </w:rPr>
              <w:t>Read-only</w:t>
            </w:r>
          </w:p>
        </w:tc>
        <w:tc>
          <w:tcPr>
            <w:tcW w:type="dxa" w:w="2860"/>
            <w:vAlign w:val="top"/>
          </w:tcPr>
          <w:p>
            <w:pPr>
              <w:spacing w:after="20"/>
            </w:pPr>
            <w:r>
              <w:rPr>
                <w:sz w:val="15"/>
              </w:rPr>
              <w:t>Operational values and trends</w:t>
            </w:r>
          </w:p>
        </w:tc>
      </w:tr>
      <w:tr>
        <w:trPr>
          <w:trHeight w:hRule="atLeast"/>
          <w:cantSplit/>
        </w:trPr>
        <w:tc>
          <w:tcPr>
            <w:tcW w:type="dxa" w:w="1900"/>
            <w:vAlign w:val="top"/>
            <w:shd w:fill="EEF4F7"/>
          </w:tcPr>
          <w:p>
            <w:pPr>
              <w:spacing w:after="20"/>
            </w:pPr>
            <w:r>
              <w:rPr>
                <w:sz w:val="15"/>
              </w:rPr>
              <w:t>find_correlated_metrics</w:t>
            </w:r>
          </w:p>
        </w:tc>
        <w:tc>
          <w:tcPr>
            <w:tcW w:type="dxa" w:w="3000"/>
            <w:vAlign w:val="top"/>
            <w:shd w:fill="EEF4F7"/>
          </w:tcPr>
          <w:p>
            <w:pPr>
              <w:spacing w:after="20"/>
            </w:pPr>
            <w:r>
              <w:rPr>
                <w:sz w:val="15"/>
              </w:rPr>
              <w:t>Correlation analysis</w:t>
            </w:r>
          </w:p>
        </w:tc>
        <w:tc>
          <w:tcPr>
            <w:tcW w:type="dxa" w:w="1600"/>
            <w:vAlign w:val="top"/>
            <w:shd w:fill="EEF4F7"/>
          </w:tcPr>
          <w:p>
            <w:pPr>
              <w:spacing w:after="20"/>
            </w:pPr>
            <w:r>
              <w:rPr>
                <w:sz w:val="15"/>
              </w:rPr>
              <w:t>Read-only</w:t>
            </w:r>
          </w:p>
        </w:tc>
        <w:tc>
          <w:tcPr>
            <w:tcW w:type="dxa" w:w="2860"/>
            <w:vAlign w:val="top"/>
            <w:shd w:fill="EEF4F7"/>
          </w:tcPr>
          <w:p>
            <w:pPr>
              <w:spacing w:after="20"/>
            </w:pPr>
            <w:r>
              <w:rPr>
                <w:sz w:val="15"/>
              </w:rPr>
              <w:t>Cross-system inference and computational load</w:t>
            </w:r>
          </w:p>
        </w:tc>
      </w:tr>
      <w:tr>
        <w:trPr>
          <w:trHeight w:hRule="atLeast"/>
          <w:cantSplit/>
        </w:trPr>
        <w:tc>
          <w:tcPr>
            <w:tcW w:type="dxa" w:w="1900"/>
            <w:vAlign w:val="top"/>
          </w:tcPr>
          <w:p>
            <w:pPr>
              <w:spacing w:after="20"/>
            </w:pPr>
            <w:r>
              <w:rPr>
                <w:sz w:val="15"/>
              </w:rPr>
              <w:t>find_anomalous_metrics</w:t>
            </w:r>
          </w:p>
        </w:tc>
        <w:tc>
          <w:tcPr>
            <w:tcW w:type="dxa" w:w="3000"/>
            <w:vAlign w:val="top"/>
          </w:tcPr>
          <w:p>
            <w:pPr>
              <w:spacing w:after="20"/>
            </w:pPr>
            <w:r>
              <w:rPr>
                <w:sz w:val="15"/>
              </w:rPr>
              <w:t>Anomaly analysis</w:t>
            </w:r>
          </w:p>
        </w:tc>
        <w:tc>
          <w:tcPr>
            <w:tcW w:type="dxa" w:w="1600"/>
            <w:vAlign w:val="top"/>
          </w:tcPr>
          <w:p>
            <w:pPr>
              <w:spacing w:after="20"/>
            </w:pPr>
            <w:r>
              <w:rPr>
                <w:sz w:val="15"/>
              </w:rPr>
              <w:t>Read-only</w:t>
            </w:r>
          </w:p>
        </w:tc>
        <w:tc>
          <w:tcPr>
            <w:tcW w:type="dxa" w:w="2860"/>
            <w:vAlign w:val="top"/>
          </w:tcPr>
          <w:p>
            <w:pPr>
              <w:spacing w:after="20"/>
            </w:pPr>
            <w:r>
              <w:rPr>
                <w:sz w:val="15"/>
              </w:rPr>
              <w:t>Incident and behaviour inference</w:t>
            </w:r>
          </w:p>
        </w:tc>
      </w:tr>
      <w:tr>
        <w:trPr>
          <w:trHeight w:hRule="atLeast"/>
          <w:cantSplit/>
        </w:trPr>
        <w:tc>
          <w:tcPr>
            <w:tcW w:type="dxa" w:w="1900"/>
            <w:vAlign w:val="top"/>
            <w:shd w:fill="EEF4F7"/>
          </w:tcPr>
          <w:p>
            <w:pPr>
              <w:spacing w:after="20"/>
            </w:pPr>
            <w:r>
              <w:rPr>
                <w:sz w:val="15"/>
              </w:rPr>
              <w:t>find_unstable_metrics</w:t>
            </w:r>
          </w:p>
        </w:tc>
        <w:tc>
          <w:tcPr>
            <w:tcW w:type="dxa" w:w="3000"/>
            <w:vAlign w:val="top"/>
            <w:shd w:fill="EEF4F7"/>
          </w:tcPr>
          <w:p>
            <w:pPr>
              <w:spacing w:after="20"/>
            </w:pPr>
            <w:r>
              <w:rPr>
                <w:sz w:val="15"/>
              </w:rPr>
              <w:t>Instability analysis</w:t>
            </w:r>
          </w:p>
        </w:tc>
        <w:tc>
          <w:tcPr>
            <w:tcW w:type="dxa" w:w="1600"/>
            <w:vAlign w:val="top"/>
            <w:shd w:fill="EEF4F7"/>
          </w:tcPr>
          <w:p>
            <w:pPr>
              <w:spacing w:after="20"/>
            </w:pPr>
            <w:r>
              <w:rPr>
                <w:sz w:val="15"/>
              </w:rPr>
              <w:t>Read-only</w:t>
            </w:r>
          </w:p>
        </w:tc>
        <w:tc>
          <w:tcPr>
            <w:tcW w:type="dxa" w:w="2860"/>
            <w:vAlign w:val="top"/>
            <w:shd w:fill="EEF4F7"/>
          </w:tcPr>
          <w:p>
            <w:pPr>
              <w:spacing w:after="20"/>
            </w:pPr>
            <w:r>
              <w:rPr>
                <w:sz w:val="15"/>
              </w:rPr>
              <w:t>Operational risk and computational load</w:t>
            </w:r>
          </w:p>
        </w:tc>
      </w:tr>
      <w:tr>
        <w:trPr>
          <w:trHeight w:hRule="atLeast"/>
          <w:cantSplit/>
        </w:trPr>
        <w:tc>
          <w:tcPr>
            <w:tcW w:type="dxa" w:w="1900"/>
            <w:vAlign w:val="top"/>
          </w:tcPr>
          <w:p>
            <w:pPr>
              <w:spacing w:after="20"/>
            </w:pPr>
            <w:r>
              <w:rPr>
                <w:sz w:val="15"/>
              </w:rPr>
              <w:t>list_raised_alerts</w:t>
            </w:r>
          </w:p>
        </w:tc>
        <w:tc>
          <w:tcPr>
            <w:tcW w:type="dxa" w:w="3000"/>
            <w:vAlign w:val="top"/>
          </w:tcPr>
          <w:p>
            <w:pPr>
              <w:spacing w:after="20"/>
            </w:pPr>
            <w:r>
              <w:rPr>
                <w:sz w:val="15"/>
              </w:rPr>
              <w:t>List raised alerts</w:t>
            </w:r>
          </w:p>
        </w:tc>
        <w:tc>
          <w:tcPr>
            <w:tcW w:type="dxa" w:w="1600"/>
            <w:vAlign w:val="top"/>
          </w:tcPr>
          <w:p>
            <w:pPr>
              <w:spacing w:after="20"/>
            </w:pPr>
            <w:r>
              <w:rPr>
                <w:sz w:val="15"/>
              </w:rPr>
              <w:t>Read-only</w:t>
            </w:r>
          </w:p>
        </w:tc>
        <w:tc>
          <w:tcPr>
            <w:tcW w:type="dxa" w:w="2860"/>
            <w:vAlign w:val="top"/>
          </w:tcPr>
          <w:p>
            <w:pPr>
              <w:spacing w:after="20"/>
            </w:pPr>
            <w:r>
              <w:rPr>
                <w:sz w:val="15"/>
              </w:rPr>
              <w:t>Incidents and control weaknesses</w:t>
            </w:r>
          </w:p>
        </w:tc>
      </w:tr>
      <w:tr>
        <w:trPr>
          <w:trHeight w:hRule="atLeast"/>
          <w:cantSplit/>
        </w:trPr>
        <w:tc>
          <w:tcPr>
            <w:tcW w:type="dxa" w:w="1900"/>
            <w:vAlign w:val="top"/>
            <w:shd w:fill="EEF4F7"/>
          </w:tcPr>
          <w:p>
            <w:pPr>
              <w:spacing w:after="20"/>
            </w:pPr>
            <w:r>
              <w:rPr>
                <w:sz w:val="15"/>
              </w:rPr>
              <w:t>list_running_alerts</w:t>
            </w:r>
          </w:p>
        </w:tc>
        <w:tc>
          <w:tcPr>
            <w:tcW w:type="dxa" w:w="3000"/>
            <w:vAlign w:val="top"/>
            <w:shd w:fill="EEF4F7"/>
          </w:tcPr>
          <w:p>
            <w:pPr>
              <w:spacing w:after="20"/>
            </w:pPr>
            <w:r>
              <w:rPr>
                <w:sz w:val="15"/>
              </w:rPr>
              <w:t>List active alerts</w:t>
            </w:r>
          </w:p>
        </w:tc>
        <w:tc>
          <w:tcPr>
            <w:tcW w:type="dxa" w:w="1600"/>
            <w:vAlign w:val="top"/>
            <w:shd w:fill="EEF4F7"/>
          </w:tcPr>
          <w:p>
            <w:pPr>
              <w:spacing w:after="20"/>
            </w:pPr>
            <w:r>
              <w:rPr>
                <w:sz w:val="15"/>
              </w:rPr>
              <w:t>Read-only</w:t>
            </w:r>
          </w:p>
        </w:tc>
        <w:tc>
          <w:tcPr>
            <w:tcW w:type="dxa" w:w="2860"/>
            <w:vAlign w:val="top"/>
            <w:shd w:fill="EEF4F7"/>
          </w:tcPr>
          <w:p>
            <w:pPr>
              <w:spacing w:after="20"/>
            </w:pPr>
            <w:r>
              <w:rPr>
                <w:sz w:val="15"/>
              </w:rPr>
              <w:t>Current incident state</w:t>
            </w:r>
          </w:p>
        </w:tc>
      </w:tr>
      <w:tr>
        <w:trPr>
          <w:trHeight w:hRule="atLeast"/>
          <w:cantSplit/>
        </w:trPr>
        <w:tc>
          <w:tcPr>
            <w:tcW w:type="dxa" w:w="1900"/>
            <w:vAlign w:val="top"/>
          </w:tcPr>
          <w:p>
            <w:pPr>
              <w:spacing w:after="20"/>
            </w:pPr>
            <w:r>
              <w:rPr>
                <w:sz w:val="15"/>
              </w:rPr>
              <w:t>list_alert_transitions</w:t>
            </w:r>
          </w:p>
        </w:tc>
        <w:tc>
          <w:tcPr>
            <w:tcW w:type="dxa" w:w="3000"/>
            <w:vAlign w:val="top"/>
          </w:tcPr>
          <w:p>
            <w:pPr>
              <w:spacing w:after="20"/>
            </w:pPr>
            <w:r>
              <w:rPr>
                <w:sz w:val="15"/>
              </w:rPr>
              <w:t>Return alert history</w:t>
            </w:r>
          </w:p>
        </w:tc>
        <w:tc>
          <w:tcPr>
            <w:tcW w:type="dxa" w:w="1600"/>
            <w:vAlign w:val="top"/>
          </w:tcPr>
          <w:p>
            <w:pPr>
              <w:spacing w:after="20"/>
            </w:pPr>
            <w:r>
              <w:rPr>
                <w:sz w:val="15"/>
              </w:rPr>
              <w:t>Read-only</w:t>
            </w:r>
          </w:p>
        </w:tc>
        <w:tc>
          <w:tcPr>
            <w:tcW w:type="dxa" w:w="2860"/>
            <w:vAlign w:val="top"/>
          </w:tcPr>
          <w:p>
            <w:pPr>
              <w:spacing w:after="20"/>
            </w:pPr>
            <w:r>
              <w:rPr>
                <w:sz w:val="15"/>
              </w:rPr>
              <w:t>Incident timeline and historical metadata</w:t>
            </w:r>
          </w:p>
        </w:tc>
      </w:tr>
    </w:tbl>
    <w:p/>
    <w:p>
      <w:pPr>
        <w:pStyle w:val="Heading1"/>
      </w:pPr>
      <w:r>
        <w:t>Consolidated Supply Chain Assessment</w:t>
      </w:r>
    </w:p>
    <w:tbl>
      <w:tblPr>
        <w:tblStyle w:val="TableGrid"/>
        <w:tblW w:type="dxa" w:w="9360"/>
        <w:jc w:val="center"/>
        <w:tblLook w:firstColumn="1" w:firstRow="1" w:lastColumn="0" w:lastRow="0" w:noHBand="0" w:noVBand="1" w:val="04A0"/>
        <w:tblInd w:w="120" w:type="dxa"/>
        <w:tblLayout w:type="fixed"/>
      </w:tblPr>
      <w:tblGrid>
        <w:gridCol w:w="1600"/>
        <w:gridCol w:w="2750"/>
        <w:gridCol w:w="2450"/>
        <w:gridCol w:w="2560"/>
      </w:tblGrid>
      <w:tr>
        <w:trPr>
          <w:tblHeader w:val="true"/>
          <w:cantSplit/>
        </w:trPr>
        <w:tc>
          <w:tcPr>
            <w:tcW w:type="dxa" w:w="1600"/>
            <w:shd w:fill="17365D"/>
            <w:vAlign w:val="center"/>
          </w:tcPr>
          <w:p>
            <w:r>
              <w:rPr>
                <w:b/>
                <w:color w:val="FFFFFF"/>
                <w:sz w:val="16"/>
              </w:rPr>
              <w:t>Layer</w:t>
            </w:r>
          </w:p>
        </w:tc>
        <w:tc>
          <w:tcPr>
            <w:tcW w:type="dxa" w:w="2750"/>
            <w:shd w:fill="17365D"/>
            <w:vAlign w:val="center"/>
          </w:tcPr>
          <w:p>
            <w:r>
              <w:rPr>
                <w:b/>
                <w:color w:val="FFFFFF"/>
                <w:sz w:val="16"/>
              </w:rPr>
              <w:t>Identity/provenance</w:t>
            </w:r>
          </w:p>
        </w:tc>
        <w:tc>
          <w:tcPr>
            <w:tcW w:type="dxa" w:w="2450"/>
            <w:shd w:fill="17365D"/>
            <w:vAlign w:val="center"/>
          </w:tcPr>
          <w:p>
            <w:r>
              <w:rPr>
                <w:b/>
                <w:color w:val="FFFFFF"/>
                <w:sz w:val="16"/>
              </w:rPr>
              <w:t>Finding</w:t>
            </w:r>
          </w:p>
        </w:tc>
        <w:tc>
          <w:tcPr>
            <w:tcW w:type="dxa" w:w="2560"/>
            <w:shd w:fill="17365D"/>
            <w:vAlign w:val="center"/>
          </w:tcPr>
          <w:p>
            <w:r>
              <w:rPr>
                <w:b/>
                <w:color w:val="FFFFFF"/>
                <w:sz w:val="16"/>
              </w:rPr>
              <w:t>Required control</w:t>
            </w:r>
          </w:p>
        </w:tc>
      </w:tr>
      <w:tr>
        <w:trPr>
          <w:trHeight w:hRule="atLeast"/>
          <w:cantSplit/>
        </w:trPr>
        <w:tc>
          <w:tcPr>
            <w:tcW w:type="dxa" w:w="1600"/>
            <w:vAlign w:val="top"/>
          </w:tcPr>
          <w:p>
            <w:pPr>
              <w:spacing w:after="20"/>
            </w:pPr>
            <w:r>
              <w:rPr>
                <w:sz w:val="15"/>
              </w:rPr>
              <w:t>Registry descriptor</w:t>
            </w:r>
          </w:p>
        </w:tc>
        <w:tc>
          <w:tcPr>
            <w:tcW w:type="dxa" w:w="2750"/>
            <w:vAlign w:val="top"/>
          </w:tcPr>
          <w:p>
            <w:pPr>
              <w:spacing w:after="20"/>
            </w:pPr>
            <w:r>
              <w:rPr>
                <w:sz w:val="15"/>
              </w:rPr>
              <w:t>Official publisher/version/repository</w:t>
            </w:r>
          </w:p>
        </w:tc>
        <w:tc>
          <w:tcPr>
            <w:tcW w:type="dxa" w:w="2450"/>
            <w:vAlign w:val="top"/>
          </w:tcPr>
          <w:p>
            <w:pPr>
              <w:spacing w:after="20"/>
            </w:pPr>
            <w:r>
              <w:rPr>
                <w:sz w:val="15"/>
              </w:rPr>
              <w:t>Mutable hosted URL; no build digest</w:t>
            </w:r>
          </w:p>
        </w:tc>
        <w:tc>
          <w:tcPr>
            <w:tcW w:type="dxa" w:w="2560"/>
            <w:vAlign w:val="top"/>
          </w:tcPr>
          <w:p>
            <w:pPr>
              <w:spacing w:after="20"/>
            </w:pPr>
            <w:r>
              <w:rPr>
                <w:sz w:val="15"/>
              </w:rPr>
              <w:t>Signed service attestation and schema snapshot</w:t>
            </w:r>
          </w:p>
        </w:tc>
      </w:tr>
      <w:tr>
        <w:trPr>
          <w:trHeight w:hRule="atLeast"/>
          <w:cantSplit/>
        </w:trPr>
        <w:tc>
          <w:tcPr>
            <w:tcW w:type="dxa" w:w="1600"/>
            <w:vAlign w:val="top"/>
            <w:shd w:fill="EEF4F7"/>
          </w:tcPr>
          <w:p>
            <w:pPr>
              <w:spacing w:after="20"/>
            </w:pPr>
            <w:r>
              <w:rPr>
                <w:sz w:val="15"/>
              </w:rPr>
              <w:t>Source release</w:t>
            </w:r>
          </w:p>
        </w:tc>
        <w:tc>
          <w:tcPr>
            <w:tcW w:type="dxa" w:w="2750"/>
            <w:vAlign w:val="top"/>
            <w:shd w:fill="EEF4F7"/>
          </w:tcPr>
          <w:p>
            <w:pPr>
              <w:spacing w:after="20"/>
            </w:pPr>
            <w:r>
              <w:rPr>
                <w:sz w:val="15"/>
              </w:rPr>
              <w:t>Tag/commit/archive digest retained</w:t>
            </w:r>
          </w:p>
        </w:tc>
        <w:tc>
          <w:tcPr>
            <w:tcW w:type="dxa" w:w="2450"/>
            <w:vAlign w:val="top"/>
            <w:shd w:fill="EEF4F7"/>
          </w:tcPr>
          <w:p>
            <w:pPr>
              <w:spacing w:after="20"/>
            </w:pPr>
            <w:r>
              <w:rPr>
                <w:sz w:val="15"/>
              </w:rPr>
              <w:t>Local source reviewable</w:t>
            </w:r>
          </w:p>
        </w:tc>
        <w:tc>
          <w:tcPr>
            <w:tcW w:type="dxa" w:w="2560"/>
            <w:vAlign w:val="top"/>
            <w:shd w:fill="EEF4F7"/>
          </w:tcPr>
          <w:p>
            <w:pPr>
              <w:spacing w:after="20"/>
            </w:pPr>
            <w:r>
              <w:rPr>
                <w:sz w:val="15"/>
              </w:rPr>
              <w:t>Continue immutable acquisition and diff</w:t>
            </w:r>
          </w:p>
        </w:tc>
      </w:tr>
      <w:tr>
        <w:trPr>
          <w:trHeight w:hRule="atLeast"/>
          <w:cantSplit/>
        </w:trPr>
        <w:tc>
          <w:tcPr>
            <w:tcW w:type="dxa" w:w="1600"/>
            <w:vAlign w:val="top"/>
          </w:tcPr>
          <w:p>
            <w:pPr>
              <w:spacing w:after="20"/>
            </w:pPr>
            <w:r>
              <w:rPr>
                <w:sz w:val="15"/>
              </w:rPr>
              <w:t>Hosted service</w:t>
            </w:r>
          </w:p>
        </w:tc>
        <w:tc>
          <w:tcPr>
            <w:tcW w:type="dxa" w:w="2750"/>
            <w:vAlign w:val="top"/>
          </w:tcPr>
          <w:p>
            <w:pPr>
              <w:spacing w:after="20"/>
            </w:pPr>
            <w:r>
              <w:rPr>
                <w:sz w:val="15"/>
              </w:rPr>
              <w:t>Endpoint and vendor statement only</w:t>
            </w:r>
          </w:p>
        </w:tc>
        <w:tc>
          <w:tcPr>
            <w:tcW w:type="dxa" w:w="2450"/>
            <w:vAlign w:val="top"/>
          </w:tcPr>
          <w:p>
            <w:pPr>
              <w:spacing w:after="20"/>
            </w:pPr>
            <w:r>
              <w:rPr>
                <w:sz w:val="15"/>
              </w:rPr>
              <w:t>Source-to-deployment Unknown</w:t>
            </w:r>
          </w:p>
        </w:tc>
        <w:tc>
          <w:tcPr>
            <w:tcW w:type="dxa" w:w="2560"/>
            <w:vAlign w:val="top"/>
          </w:tcPr>
          <w:p>
            <w:pPr>
              <w:spacing w:after="20"/>
            </w:pPr>
            <w:r>
              <w:rPr>
                <w:sz w:val="15"/>
              </w:rPr>
              <w:t>SBOM, provenance, change notice and rollback</w:t>
            </w:r>
          </w:p>
        </w:tc>
      </w:tr>
      <w:tr>
        <w:trPr>
          <w:trHeight w:hRule="atLeast"/>
          <w:cantSplit/>
        </w:trPr>
        <w:tc>
          <w:tcPr>
            <w:tcW w:type="dxa" w:w="1600"/>
            <w:vAlign w:val="top"/>
            <w:shd w:fill="EEF4F7"/>
          </w:tcPr>
          <w:p>
            <w:pPr>
              <w:spacing w:after="20"/>
            </w:pPr>
            <w:r>
              <w:rPr>
                <w:sz w:val="15"/>
              </w:rPr>
              <w:t>mcp-remote bridge</w:t>
            </w:r>
          </w:p>
        </w:tc>
        <w:tc>
          <w:tcPr>
            <w:tcW w:type="dxa" w:w="2750"/>
            <w:vAlign w:val="top"/>
            <w:shd w:fill="EEF4F7"/>
          </w:tcPr>
          <w:p>
            <w:pPr>
              <w:spacing w:after="20"/>
            </w:pPr>
            <w:r>
              <w:rPr>
                <w:sz w:val="15"/>
              </w:rPr>
              <w:t>Latest tag in examples</w:t>
            </w:r>
          </w:p>
        </w:tc>
        <w:tc>
          <w:tcPr>
            <w:tcW w:type="dxa" w:w="2450"/>
            <w:vAlign w:val="top"/>
            <w:shd w:fill="EEF4F7"/>
          </w:tcPr>
          <w:p>
            <w:pPr>
              <w:spacing w:after="20"/>
            </w:pPr>
            <w:r>
              <w:rPr>
                <w:sz w:val="15"/>
              </w:rPr>
              <w:t>Mutable npm execution F-005</w:t>
            </w:r>
          </w:p>
        </w:tc>
        <w:tc>
          <w:tcPr>
            <w:tcW w:type="dxa" w:w="2560"/>
            <w:vAlign w:val="top"/>
            <w:shd w:fill="EEF4F7"/>
          </w:tcPr>
          <w:p>
            <w:pPr>
              <w:spacing w:after="20"/>
            </w:pPr>
            <w:r>
              <w:rPr>
                <w:sz w:val="15"/>
              </w:rPr>
              <w:t>Exact internal promotion or omit</w:t>
            </w:r>
          </w:p>
        </w:tc>
      </w:tr>
      <w:tr>
        <w:trPr>
          <w:trHeight w:hRule="atLeast"/>
          <w:cantSplit/>
        </w:trPr>
        <w:tc>
          <w:tcPr>
            <w:tcW w:type="dxa" w:w="1600"/>
            <w:vAlign w:val="top"/>
          </w:tcPr>
          <w:p>
            <w:pPr>
              <w:spacing w:after="20"/>
            </w:pPr>
            <w:r>
              <w:rPr>
                <w:sz w:val="15"/>
              </w:rPr>
              <w:t>Go bridge module</w:t>
            </w:r>
          </w:p>
        </w:tc>
        <w:tc>
          <w:tcPr>
            <w:tcW w:type="dxa" w:w="2750"/>
            <w:vAlign w:val="top"/>
          </w:tcPr>
          <w:p>
            <w:pPr>
              <w:spacing w:after="20"/>
            </w:pPr>
            <w:r>
              <w:rPr>
                <w:sz w:val="15"/>
              </w:rPr>
              <w:t>coder/websocket v1.8.14 in scoped SBOM</w:t>
            </w:r>
          </w:p>
        </w:tc>
        <w:tc>
          <w:tcPr>
            <w:tcW w:type="dxa" w:w="2450"/>
            <w:vAlign w:val="top"/>
          </w:tcPr>
          <w:p>
            <w:pPr>
              <w:spacing w:after="20"/>
            </w:pPr>
            <w:r>
              <w:rPr>
                <w:sz w:val="15"/>
              </w:rPr>
              <w:t>No OSV record at scan time</w:t>
            </w:r>
          </w:p>
        </w:tc>
        <w:tc>
          <w:tcPr>
            <w:tcW w:type="dxa" w:w="2560"/>
            <w:vAlign w:val="top"/>
          </w:tcPr>
          <w:p>
            <w:pPr>
              <w:spacing w:after="20"/>
            </w:pPr>
            <w:r>
              <w:rPr>
                <w:sz w:val="15"/>
              </w:rPr>
              <w:t>Resolved production SBOM and monitoring</w:t>
            </w:r>
          </w:p>
        </w:tc>
      </w:tr>
      <w:tr>
        <w:trPr>
          <w:trHeight w:hRule="atLeast"/>
          <w:cantSplit/>
        </w:trPr>
        <w:tc>
          <w:tcPr>
            <w:tcW w:type="dxa" w:w="1600"/>
            <w:vAlign w:val="top"/>
            <w:shd w:fill="EEF4F7"/>
          </w:tcPr>
          <w:p>
            <w:pPr>
              <w:spacing w:after="20"/>
            </w:pPr>
            <w:r>
              <w:rPr>
                <w:sz w:val="15"/>
              </w:rPr>
              <w:t>IDE/model</w:t>
            </w:r>
          </w:p>
        </w:tc>
        <w:tc>
          <w:tcPr>
            <w:tcW w:type="dxa" w:w="2750"/>
            <w:vAlign w:val="top"/>
            <w:shd w:fill="EEF4F7"/>
          </w:tcPr>
          <w:p>
            <w:pPr>
              <w:spacing w:after="20"/>
            </w:pPr>
            <w:r>
              <w:rPr>
                <w:sz w:val="15"/>
              </w:rPr>
              <w:t>Microsoft/client policy dependent</w:t>
            </w:r>
          </w:p>
        </w:tc>
        <w:tc>
          <w:tcPr>
            <w:tcW w:type="dxa" w:w="2450"/>
            <w:vAlign w:val="top"/>
            <w:shd w:fill="EEF4F7"/>
          </w:tcPr>
          <w:p>
            <w:pPr>
              <w:spacing w:after="20"/>
            </w:pPr>
            <w:r>
              <w:rPr>
                <w:sz w:val="15"/>
              </w:rPr>
              <w:t>Runtime lifecycle unverified</w:t>
            </w:r>
          </w:p>
        </w:tc>
        <w:tc>
          <w:tcPr>
            <w:tcW w:type="dxa" w:w="2560"/>
            <w:vAlign w:val="top"/>
            <w:shd w:fill="EEF4F7"/>
          </w:tcPr>
          <w:p>
            <w:pPr>
              <w:spacing w:after="20"/>
            </w:pPr>
            <w:r>
              <w:rPr>
                <w:sz w:val="15"/>
              </w:rPr>
              <w:t>Version policy, telemetry and update admission</w:t>
            </w:r>
          </w:p>
        </w:tc>
      </w:tr>
    </w:tbl>
    <w:p/>
    <w:p>
      <w:r>
        <w:t>ClamAV reported zero infections and YARA signals were manually explained; this does not prove benign behaviour. Semgrep found cleartext transport and adjacent web/test-client patterns, with parser/time-out limitations. Syft, OSV and Trivy results cover the scoped source, not the hosted production build or dynamically resolved npm graph. Supply-chain admission must fail closed on missing, stale, unsigned, empty or wrong-target evidence.</w:t>
      </w:r>
    </w:p>
    <w:p>
      <w:r>
        <w:t>Secure supply-chain and lifecycle controls align to NCSC secure AI development guidance.</w:t>
      </w:r>
      <w:r>
        <w:t xml:space="preserve"> </w:t>
      </w:r>
      <w:hyperlink w:anchor="REF_016">
        <w:r>
          <w:rPr>
            <w:color w:val="0563C1"/>
            <w:u w:val="single"/>
          </w:rPr>
          <w:t>[REF-016]</w:t>
        </w:r>
      </w:hyperlink>
    </w:p>
    <w:p>
      <w:pPr>
        <w:pStyle w:val="Heading1"/>
      </w:pPr>
      <w:r>
        <w:t>Consolidated Privacy and Data Protection Assessment</w:t>
      </w:r>
    </w:p>
    <w:tbl>
      <w:tblPr>
        <w:tblStyle w:val="TableGrid"/>
        <w:tblW w:type="dxa" w:w="9360"/>
        <w:jc w:val="center"/>
        <w:tblLook w:firstColumn="1" w:firstRow="1" w:lastColumn="0" w:lastRow="0" w:noHBand="0" w:noVBand="1" w:val="04A0"/>
        <w:tblInd w:w="120" w:type="dxa"/>
        <w:tblLayout w:type="fixed"/>
      </w:tblPr>
      <w:tblGrid>
        <w:gridCol w:w="2000"/>
        <w:gridCol w:w="2450"/>
        <w:gridCol w:w="3310"/>
        <w:gridCol w:w="1600"/>
      </w:tblGrid>
      <w:tr>
        <w:trPr>
          <w:tblHeader w:val="true"/>
          <w:cantSplit/>
        </w:trPr>
        <w:tc>
          <w:tcPr>
            <w:tcW w:type="dxa" w:w="2000"/>
            <w:shd w:fill="17365D"/>
            <w:vAlign w:val="center"/>
          </w:tcPr>
          <w:p>
            <w:r>
              <w:rPr>
                <w:b/>
                <w:color w:val="FFFFFF"/>
                <w:sz w:val="16"/>
              </w:rPr>
              <w:t>Data/process</w:t>
            </w:r>
          </w:p>
        </w:tc>
        <w:tc>
          <w:tcPr>
            <w:tcW w:type="dxa" w:w="2450"/>
            <w:shd w:fill="17365D"/>
            <w:vAlign w:val="center"/>
          </w:tcPr>
          <w:p>
            <w:r>
              <w:rPr>
                <w:b/>
                <w:color w:val="FFFFFF"/>
                <w:sz w:val="16"/>
              </w:rPr>
              <w:t>Risk</w:t>
            </w:r>
          </w:p>
        </w:tc>
        <w:tc>
          <w:tcPr>
            <w:tcW w:type="dxa" w:w="3310"/>
            <w:shd w:fill="17365D"/>
            <w:vAlign w:val="center"/>
          </w:tcPr>
          <w:p>
            <w:r>
              <w:rPr>
                <w:b/>
                <w:color w:val="FFFFFF"/>
                <w:sz w:val="16"/>
              </w:rPr>
              <w:t>Required evidence/control</w:t>
            </w:r>
          </w:p>
        </w:tc>
        <w:tc>
          <w:tcPr>
            <w:tcW w:type="dxa" w:w="1600"/>
            <w:shd w:fill="17365D"/>
            <w:vAlign w:val="center"/>
          </w:tcPr>
          <w:p>
            <w:r>
              <w:rPr>
                <w:b/>
                <w:color w:val="FFFFFF"/>
                <w:sz w:val="16"/>
              </w:rPr>
              <w:t>State</w:t>
            </w:r>
          </w:p>
        </w:tc>
      </w:tr>
      <w:tr>
        <w:trPr>
          <w:trHeight w:hRule="atLeast"/>
          <w:cantSplit/>
        </w:trPr>
        <w:tc>
          <w:tcPr>
            <w:tcW w:type="dxa" w:w="2000"/>
            <w:vAlign w:val="top"/>
          </w:tcPr>
          <w:p>
            <w:pPr>
              <w:spacing w:after="20"/>
            </w:pPr>
            <w:r>
              <w:rPr>
                <w:sz w:val="15"/>
              </w:rPr>
              <w:t>Metrics, node labels, alerts</w:t>
            </w:r>
          </w:p>
        </w:tc>
        <w:tc>
          <w:tcPr>
            <w:tcW w:type="dxa" w:w="2450"/>
            <w:vAlign w:val="top"/>
          </w:tcPr>
          <w:p>
            <w:pPr>
              <w:spacing w:after="20"/>
            </w:pPr>
            <w:r>
              <w:rPr>
                <w:sz w:val="15"/>
              </w:rPr>
              <w:t>Infrastructure and personal-data linkage</w:t>
            </w:r>
          </w:p>
        </w:tc>
        <w:tc>
          <w:tcPr>
            <w:tcW w:type="dxa" w:w="3310"/>
            <w:vAlign w:val="top"/>
          </w:tcPr>
          <w:p>
            <w:pPr>
              <w:spacing w:after="20"/>
            </w:pPr>
            <w:r>
              <w:rPr>
                <w:sz w:val="15"/>
              </w:rPr>
              <w:t>Classification, minimisation, access and retention</w:t>
            </w:r>
          </w:p>
        </w:tc>
        <w:tc>
          <w:tcPr>
            <w:tcW w:type="dxa" w:w="1600"/>
            <w:vAlign w:val="top"/>
          </w:tcPr>
          <w:p>
            <w:pPr>
              <w:spacing w:after="20"/>
            </w:pPr>
            <w:r>
              <w:rPr>
                <w:sz w:val="15"/>
              </w:rPr>
              <w:t>Partly verified</w:t>
            </w:r>
          </w:p>
        </w:tc>
      </w:tr>
      <w:tr>
        <w:trPr>
          <w:trHeight w:hRule="atLeast"/>
          <w:cantSplit/>
        </w:trPr>
        <w:tc>
          <w:tcPr>
            <w:tcW w:type="dxa" w:w="2000"/>
            <w:vAlign w:val="top"/>
            <w:shd w:fill="EEF4F7"/>
          </w:tcPr>
          <w:p>
            <w:pPr>
              <w:spacing w:after="20"/>
            </w:pPr>
            <w:r>
              <w:rPr>
                <w:sz w:val="15"/>
              </w:rPr>
              <w:t>Processes/command lines</w:t>
            </w:r>
          </w:p>
        </w:tc>
        <w:tc>
          <w:tcPr>
            <w:tcW w:type="dxa" w:w="2450"/>
            <w:vAlign w:val="top"/>
            <w:shd w:fill="EEF4F7"/>
          </w:tcPr>
          <w:p>
            <w:pPr>
              <w:spacing w:after="20"/>
            </w:pPr>
            <w:r>
              <w:rPr>
                <w:sz w:val="15"/>
              </w:rPr>
              <w:t>Credentials, staff/customer identifiers</w:t>
            </w:r>
          </w:p>
        </w:tc>
        <w:tc>
          <w:tcPr>
            <w:tcW w:type="dxa" w:w="3310"/>
            <w:vAlign w:val="top"/>
            <w:shd w:fill="EEF4F7"/>
          </w:tcPr>
          <w:p>
            <w:pPr>
              <w:spacing w:after="20"/>
            </w:pPr>
            <w:r>
              <w:rPr>
                <w:sz w:val="15"/>
              </w:rPr>
              <w:t>Server-side redaction; execute_function disabled</w:t>
            </w:r>
          </w:p>
        </w:tc>
        <w:tc>
          <w:tcPr>
            <w:tcW w:type="dxa" w:w="1600"/>
            <w:vAlign w:val="top"/>
            <w:shd w:fill="EEF4F7"/>
          </w:tcPr>
          <w:p>
            <w:pPr>
              <w:spacing w:after="20"/>
            </w:pPr>
            <w:r>
              <w:rPr>
                <w:sz w:val="15"/>
              </w:rPr>
              <w:t>Control absent/unverified</w:t>
            </w:r>
          </w:p>
        </w:tc>
      </w:tr>
      <w:tr>
        <w:trPr>
          <w:trHeight w:hRule="atLeast"/>
          <w:cantSplit/>
        </w:trPr>
        <w:tc>
          <w:tcPr>
            <w:tcW w:type="dxa" w:w="2000"/>
            <w:vAlign w:val="top"/>
          </w:tcPr>
          <w:p>
            <w:pPr>
              <w:spacing w:after="20"/>
            </w:pPr>
            <w:r>
              <w:rPr>
                <w:sz w:val="15"/>
              </w:rPr>
              <w:t>Logs and events</w:t>
            </w:r>
          </w:p>
        </w:tc>
        <w:tc>
          <w:tcPr>
            <w:tcW w:type="dxa" w:w="2450"/>
            <w:vAlign w:val="top"/>
          </w:tcPr>
          <w:p>
            <w:pPr>
              <w:spacing w:after="20"/>
            </w:pPr>
            <w:r>
              <w:rPr>
                <w:sz w:val="15"/>
              </w:rPr>
              <w:t>Claims/customer/special-category context</w:t>
            </w:r>
          </w:p>
        </w:tc>
        <w:tc>
          <w:tcPr>
            <w:tcW w:type="dxa" w:w="3310"/>
            <w:vAlign w:val="top"/>
          </w:tcPr>
          <w:p>
            <w:pPr>
              <w:spacing w:after="20"/>
            </w:pPr>
            <w:r>
              <w:rPr>
                <w:sz w:val="15"/>
              </w:rPr>
              <w:t>DPIA, DLP, synthetic-only pilot</w:t>
            </w:r>
          </w:p>
        </w:tc>
        <w:tc>
          <w:tcPr>
            <w:tcW w:type="dxa" w:w="1600"/>
            <w:vAlign w:val="top"/>
          </w:tcPr>
          <w:p>
            <w:pPr>
              <w:spacing w:after="20"/>
            </w:pPr>
            <w:r>
              <w:rPr>
                <w:sz w:val="15"/>
              </w:rPr>
              <w:t>Defer</w:t>
            </w:r>
          </w:p>
        </w:tc>
      </w:tr>
      <w:tr>
        <w:trPr>
          <w:trHeight w:hRule="atLeast"/>
          <w:cantSplit/>
        </w:trPr>
        <w:tc>
          <w:tcPr>
            <w:tcW w:type="dxa" w:w="2000"/>
            <w:vAlign w:val="top"/>
            <w:shd w:fill="EEF4F7"/>
          </w:tcPr>
          <w:p>
            <w:pPr>
              <w:spacing w:after="20"/>
            </w:pPr>
            <w:r>
              <w:rPr>
                <w:sz w:val="15"/>
              </w:rPr>
              <w:t>IDE/model context</w:t>
            </w:r>
          </w:p>
        </w:tc>
        <w:tc>
          <w:tcPr>
            <w:tcW w:type="dxa" w:w="2450"/>
            <w:vAlign w:val="top"/>
            <w:shd w:fill="EEF4F7"/>
          </w:tcPr>
          <w:p>
            <w:pPr>
              <w:spacing w:after="20"/>
            </w:pPr>
            <w:r>
              <w:rPr>
                <w:sz w:val="15"/>
              </w:rPr>
              <w:t>New recipient, retention and transfer</w:t>
            </w:r>
          </w:p>
        </w:tc>
        <w:tc>
          <w:tcPr>
            <w:tcW w:type="dxa" w:w="3310"/>
            <w:vAlign w:val="top"/>
            <w:shd w:fill="EEF4F7"/>
          </w:tcPr>
          <w:p>
            <w:pPr>
              <w:spacing w:after="20"/>
            </w:pPr>
            <w:r>
              <w:rPr>
                <w:sz w:val="15"/>
              </w:rPr>
              <w:t>Enterprise model terms, no-training, deletion tests</w:t>
            </w:r>
          </w:p>
        </w:tc>
        <w:tc>
          <w:tcPr>
            <w:tcW w:type="dxa" w:w="1600"/>
            <w:vAlign w:val="top"/>
            <w:shd w:fill="EEF4F7"/>
          </w:tcPr>
          <w:p>
            <w:pPr>
              <w:spacing w:after="20"/>
            </w:pPr>
            <w:r>
              <w:rPr>
                <w:sz w:val="15"/>
              </w:rPr>
              <w:t>Unknown</w:t>
            </w:r>
          </w:p>
        </w:tc>
      </w:tr>
      <w:tr>
        <w:trPr>
          <w:trHeight w:hRule="atLeast"/>
          <w:cantSplit/>
        </w:trPr>
        <w:tc>
          <w:tcPr>
            <w:tcW w:type="dxa" w:w="2000"/>
            <w:vAlign w:val="top"/>
          </w:tcPr>
          <w:p>
            <w:pPr>
              <w:spacing w:after="20"/>
            </w:pPr>
            <w:r>
              <w:rPr>
                <w:sz w:val="15"/>
              </w:rPr>
              <w:t>Netdata Cloud</w:t>
            </w:r>
          </w:p>
        </w:tc>
        <w:tc>
          <w:tcPr>
            <w:tcW w:type="dxa" w:w="2450"/>
            <w:vAlign w:val="top"/>
          </w:tcPr>
          <w:p>
            <w:pPr>
              <w:spacing w:after="20"/>
            </w:pPr>
            <w:r>
              <w:rPr>
                <w:sz w:val="15"/>
              </w:rPr>
              <w:t>Metadata, support and supplier processing</w:t>
            </w:r>
          </w:p>
        </w:tc>
        <w:tc>
          <w:tcPr>
            <w:tcW w:type="dxa" w:w="3310"/>
            <w:vAlign w:val="top"/>
          </w:tcPr>
          <w:p>
            <w:pPr>
              <w:spacing w:after="20"/>
            </w:pPr>
            <w:r>
              <w:rPr>
                <w:sz w:val="15"/>
              </w:rPr>
              <w:t>DPA, sub-processors, region, access, backups</w:t>
            </w:r>
          </w:p>
        </w:tc>
        <w:tc>
          <w:tcPr>
            <w:tcW w:type="dxa" w:w="1600"/>
            <w:vAlign w:val="top"/>
          </w:tcPr>
          <w:p>
            <w:pPr>
              <w:spacing w:after="20"/>
            </w:pPr>
            <w:r>
              <w:rPr>
                <w:sz w:val="15"/>
              </w:rPr>
              <w:t>Vendor statements only</w:t>
            </w:r>
          </w:p>
        </w:tc>
      </w:tr>
      <w:tr>
        <w:trPr>
          <w:trHeight w:hRule="atLeast"/>
          <w:cantSplit/>
        </w:trPr>
        <w:tc>
          <w:tcPr>
            <w:tcW w:type="dxa" w:w="2000"/>
            <w:vAlign w:val="top"/>
            <w:shd w:fill="EEF4F7"/>
          </w:tcPr>
          <w:p>
            <w:pPr>
              <w:spacing w:after="20"/>
            </w:pPr>
            <w:r>
              <w:rPr>
                <w:sz w:val="15"/>
              </w:rPr>
              <w:t>Incident response</w:t>
            </w:r>
          </w:p>
        </w:tc>
        <w:tc>
          <w:tcPr>
            <w:tcW w:type="dxa" w:w="2450"/>
            <w:vAlign w:val="top"/>
            <w:shd w:fill="EEF4F7"/>
          </w:tcPr>
          <w:p>
            <w:pPr>
              <w:spacing w:after="20"/>
            </w:pPr>
            <w:r>
              <w:rPr>
                <w:sz w:val="15"/>
              </w:rPr>
              <w:t>Delayed diagnosis or model misinformation</w:t>
            </w:r>
          </w:p>
        </w:tc>
        <w:tc>
          <w:tcPr>
            <w:tcW w:type="dxa" w:w="3310"/>
            <w:vAlign w:val="top"/>
            <w:shd w:fill="EEF4F7"/>
          </w:tcPr>
          <w:p>
            <w:pPr>
              <w:spacing w:after="20"/>
            </w:pPr>
            <w:r>
              <w:rPr>
                <w:sz w:val="15"/>
              </w:rPr>
              <w:t>Operational fallback, evidence preservation, notifications</w:t>
            </w:r>
          </w:p>
        </w:tc>
        <w:tc>
          <w:tcPr>
            <w:tcW w:type="dxa" w:w="1600"/>
            <w:vAlign w:val="top"/>
            <w:shd w:fill="EEF4F7"/>
          </w:tcPr>
          <w:p>
            <w:pPr>
              <w:spacing w:after="20"/>
            </w:pPr>
            <w:r>
              <w:rPr>
                <w:sz w:val="15"/>
              </w:rPr>
              <w:t>Design required</w:t>
            </w:r>
          </w:p>
        </w:tc>
      </w:tr>
    </w:tbl>
    <w:p/>
    <w:p>
      <w:r>
        <w:t>Netdata publishes security/privacy design statements, including claims about local observability data and Cloud metadata; these are vendor assertions and require tenant-specific validation.</w:t>
      </w:r>
      <w:r>
        <w:t xml:space="preserve"> </w:t>
      </w:r>
      <w:hyperlink w:anchor="REF_005">
        <w:r>
          <w:rPr>
            <w:color w:val="0563C1"/>
            <w:u w:val="single"/>
          </w:rPr>
          <w:t>[REF-005]</w:t>
        </w:r>
      </w:hyperlink>
    </w:p>
    <w:p>
      <w:r>
        <w:t>The vendor privacy policy informs controller/processor and personal-data due diligence but does not replace a DPIA or contract review.</w:t>
      </w:r>
      <w:r>
        <w:t xml:space="preserve"> </w:t>
      </w:r>
      <w:hyperlink w:anchor="REF_006">
        <w:r>
          <w:rPr>
            <w:color w:val="0563C1"/>
            <w:u w:val="single"/>
          </w:rPr>
          <w:t>[REF-006]</w:t>
        </w:r>
      </w:hyperlink>
    </w:p>
    <w:p>
      <w:r>
        <w:t>ICO AI guidance supports lifecycle accountability, data minimisation, transparency and rights analysis.</w:t>
      </w:r>
      <w:r>
        <w:t xml:space="preserve"> </w:t>
      </w:r>
      <w:hyperlink w:anchor="REF_019">
        <w:r>
          <w:rPr>
            <w:color w:val="0563C1"/>
            <w:u w:val="single"/>
          </w:rPr>
          <w:t>[REF-019]</w:t>
        </w:r>
      </w:hyperlink>
    </w:p>
    <w:p>
      <w:r>
        <w:t>The Data Protection Act 2018 and UK GDPR context require a firm-specific legal assessment.</w:t>
      </w:r>
      <w:r>
        <w:t xml:space="preserve"> </w:t>
      </w:r>
      <w:hyperlink w:anchor="REF_022">
        <w:r>
          <w:rPr>
            <w:color w:val="0563C1"/>
            <w:u w:val="single"/>
          </w:rPr>
          <w:t>[REF-022]</w:t>
        </w:r>
      </w:hyperlink>
    </w:p>
    <w:p>
      <w:pPr>
        <w:pStyle w:val="Heading2"/>
      </w:pPr>
      <w:r>
        <w:t>UK Insurance Operational Resilience and Third-Party Risk</w:t>
      </w:r>
    </w:p>
    <w:p>
      <w:r>
        <w:t>A large insurer should map any Netdata/MCP dependency to important business services, impact tolerances, testing and incident communications rather than assuming an observability assistant is non-material.</w:t>
      </w:r>
      <w:r>
        <w:t xml:space="preserve"> </w:t>
      </w:r>
      <w:hyperlink w:anchor="REF_020">
        <w:r>
          <w:rPr>
            <w:color w:val="0563C1"/>
            <w:u w:val="single"/>
          </w:rPr>
          <w:t>[REF-020]</w:t>
        </w:r>
      </w:hyperlink>
    </w:p>
    <w:p>
      <w:r>
        <w:t>PRA outsourcing and third-party expectations inform due diligence, access/audit, security, continuity, exit and concentration controls where applicable to the firm and arrangement.</w:t>
      </w:r>
      <w:r>
        <w:t xml:space="preserve"> </w:t>
      </w:r>
      <w:hyperlink w:anchor="REF_021">
        <w:r>
          <w:rPr>
            <w:color w:val="0563C1"/>
            <w:u w:val="single"/>
          </w:rPr>
          <w:t>[REF-021]</w:t>
        </w:r>
      </w:hyperlink>
    </w:p>
    <w:p>
      <w:pPr>
        <w:pStyle w:val="Heading1"/>
      </w:pPr>
      <w:r>
        <w:t>Framework Mapping and Standards Disposition</w:t>
      </w:r>
    </w:p>
    <w:tbl>
      <w:tblPr>
        <w:tblStyle w:val="TableGrid"/>
        <w:tblW w:type="dxa" w:w="9360"/>
        <w:jc w:val="center"/>
        <w:tblLook w:firstColumn="1" w:firstRow="1" w:lastColumn="0" w:lastRow="0" w:noHBand="0" w:noVBand="1" w:val="04A0"/>
        <w:tblInd w:w="120" w:type="dxa"/>
        <w:tblLayout w:type="fixed"/>
      </w:tblPr>
      <w:tblGrid>
        <w:gridCol w:w="1900"/>
        <w:gridCol w:w="2900"/>
        <w:gridCol w:w="2600"/>
        <w:gridCol w:w="1960"/>
      </w:tblGrid>
      <w:tr>
        <w:trPr>
          <w:tblHeader w:val="true"/>
          <w:cantSplit/>
        </w:trPr>
        <w:tc>
          <w:tcPr>
            <w:tcW w:type="dxa" w:w="1900"/>
            <w:shd w:fill="17365D"/>
            <w:vAlign w:val="center"/>
          </w:tcPr>
          <w:p>
            <w:r>
              <w:rPr>
                <w:b/>
                <w:color w:val="FFFFFF"/>
                <w:sz w:val="16"/>
              </w:rPr>
              <w:t>Framework</w:t>
            </w:r>
          </w:p>
        </w:tc>
        <w:tc>
          <w:tcPr>
            <w:tcW w:type="dxa" w:w="2900"/>
            <w:shd w:fill="17365D"/>
            <w:vAlign w:val="center"/>
          </w:tcPr>
          <w:p>
            <w:r>
              <w:rPr>
                <w:b/>
                <w:color w:val="FFFFFF"/>
                <w:sz w:val="16"/>
              </w:rPr>
              <w:t>Application</w:t>
            </w:r>
          </w:p>
        </w:tc>
        <w:tc>
          <w:tcPr>
            <w:tcW w:type="dxa" w:w="2600"/>
            <w:shd w:fill="17365D"/>
            <w:vAlign w:val="center"/>
          </w:tcPr>
          <w:p>
            <w:r>
              <w:rPr>
                <w:b/>
                <w:color w:val="FFFFFF"/>
                <w:sz w:val="16"/>
              </w:rPr>
              <w:t>Mapped findings/controls</w:t>
            </w:r>
          </w:p>
        </w:tc>
        <w:tc>
          <w:tcPr>
            <w:tcW w:type="dxa" w:w="1960"/>
            <w:shd w:fill="17365D"/>
            <w:vAlign w:val="center"/>
          </w:tcPr>
          <w:p>
            <w:r>
              <w:rPr>
                <w:b/>
                <w:color w:val="FFFFFF"/>
                <w:sz w:val="16"/>
              </w:rPr>
              <w:t>Caveat</w:t>
            </w:r>
          </w:p>
        </w:tc>
      </w:tr>
      <w:tr>
        <w:trPr>
          <w:trHeight w:hRule="atLeast"/>
          <w:cantSplit/>
        </w:trPr>
        <w:tc>
          <w:tcPr>
            <w:tcW w:type="dxa" w:w="1900"/>
            <w:vAlign w:val="top"/>
          </w:tcPr>
          <w:p>
            <w:pPr>
              <w:spacing w:after="20"/>
            </w:pPr>
            <w:r>
              <w:rPr>
                <w:sz w:val="15"/>
              </w:rPr>
              <w:t>OWASP LLM Top 10 2025</w:t>
            </w:r>
          </w:p>
        </w:tc>
        <w:tc>
          <w:tcPr>
            <w:tcW w:type="dxa" w:w="2900"/>
            <w:vAlign w:val="top"/>
          </w:tcPr>
          <w:p>
            <w:pPr>
              <w:spacing w:after="20"/>
            </w:pPr>
            <w:r>
              <w:rPr>
                <w:sz w:val="15"/>
              </w:rPr>
              <w:t>Prompt injection, disclosure, supply chain, agency, consumption</w:t>
            </w:r>
          </w:p>
        </w:tc>
        <w:tc>
          <w:tcPr>
            <w:tcW w:type="dxa" w:w="2600"/>
            <w:vAlign w:val="top"/>
          </w:tcPr>
          <w:p>
            <w:pPr>
              <w:spacing w:after="20"/>
            </w:pPr>
            <w:r>
              <w:rPr>
                <w:sz w:val="15"/>
              </w:rPr>
              <w:t>F-004, F-005, F-008, F-009</w:t>
            </w:r>
          </w:p>
        </w:tc>
        <w:tc>
          <w:tcPr>
            <w:tcW w:type="dxa" w:w="1960"/>
            <w:vAlign w:val="top"/>
          </w:tcPr>
          <w:p>
            <w:pPr>
              <w:spacing w:after="20"/>
            </w:pPr>
            <w:r>
              <w:rPr>
                <w:sz w:val="15"/>
              </w:rPr>
              <w:t>Threat mapping, not certification</w:t>
            </w:r>
          </w:p>
        </w:tc>
      </w:tr>
      <w:tr>
        <w:trPr>
          <w:trHeight w:hRule="atLeast"/>
          <w:cantSplit/>
        </w:trPr>
        <w:tc>
          <w:tcPr>
            <w:tcW w:type="dxa" w:w="1900"/>
            <w:vAlign w:val="top"/>
            <w:shd w:fill="EEF4F7"/>
          </w:tcPr>
          <w:p>
            <w:pPr>
              <w:spacing w:after="20"/>
            </w:pPr>
            <w:r>
              <w:rPr>
                <w:sz w:val="15"/>
              </w:rPr>
              <w:t>OWASP MCP Top 10</w:t>
            </w:r>
          </w:p>
        </w:tc>
        <w:tc>
          <w:tcPr>
            <w:tcW w:type="dxa" w:w="2900"/>
            <w:vAlign w:val="top"/>
            <w:shd w:fill="EEF4F7"/>
          </w:tcPr>
          <w:p>
            <w:pPr>
              <w:spacing w:after="20"/>
            </w:pPr>
            <w:r>
              <w:rPr>
                <w:sz w:val="15"/>
              </w:rPr>
              <w:t>Token, scope, tool poisoning, audit, supply chain</w:t>
            </w:r>
          </w:p>
        </w:tc>
        <w:tc>
          <w:tcPr>
            <w:tcW w:type="dxa" w:w="2600"/>
            <w:vAlign w:val="top"/>
            <w:shd w:fill="EEF4F7"/>
          </w:tcPr>
          <w:p>
            <w:pPr>
              <w:spacing w:after="20"/>
            </w:pPr>
            <w:r>
              <w:rPr>
                <w:sz w:val="15"/>
              </w:rPr>
              <w:t>F-002, F-004, F-006, F-007</w:t>
            </w:r>
          </w:p>
        </w:tc>
        <w:tc>
          <w:tcPr>
            <w:tcW w:type="dxa" w:w="1960"/>
            <w:vAlign w:val="top"/>
            <w:shd w:fill="EEF4F7"/>
          </w:tcPr>
          <w:p>
            <w:pPr>
              <w:spacing w:after="20"/>
            </w:pPr>
            <w:r>
              <w:rPr>
                <w:sz w:val="15"/>
              </w:rPr>
              <w:t>Project taxonomy</w:t>
            </w:r>
          </w:p>
        </w:tc>
      </w:tr>
      <w:tr>
        <w:trPr>
          <w:trHeight w:hRule="atLeast"/>
          <w:cantSplit/>
        </w:trPr>
        <w:tc>
          <w:tcPr>
            <w:tcW w:type="dxa" w:w="1900"/>
            <w:vAlign w:val="top"/>
          </w:tcPr>
          <w:p>
            <w:pPr>
              <w:spacing w:after="20"/>
            </w:pPr>
            <w:r>
              <w:rPr>
                <w:sz w:val="15"/>
              </w:rPr>
              <w:t>OWASP ASVS 5.0 L2</w:t>
            </w:r>
          </w:p>
        </w:tc>
        <w:tc>
          <w:tcPr>
            <w:tcW w:type="dxa" w:w="2900"/>
            <w:vAlign w:val="top"/>
          </w:tcPr>
          <w:p>
            <w:pPr>
              <w:spacing w:after="20"/>
            </w:pPr>
            <w:r>
              <w:rPr>
                <w:sz w:val="15"/>
              </w:rPr>
              <w:t>HTTP/API auth, access, validation, transport, logging</w:t>
            </w:r>
          </w:p>
        </w:tc>
        <w:tc>
          <w:tcPr>
            <w:tcW w:type="dxa" w:w="2600"/>
            <w:vAlign w:val="top"/>
          </w:tcPr>
          <w:p>
            <w:pPr>
              <w:spacing w:after="20"/>
            </w:pPr>
            <w:r>
              <w:rPr>
                <w:sz w:val="15"/>
              </w:rPr>
              <w:t>F-001–F-003, F-007–F-008</w:t>
            </w:r>
          </w:p>
        </w:tc>
        <w:tc>
          <w:tcPr>
            <w:tcW w:type="dxa" w:w="1960"/>
            <w:vAlign w:val="top"/>
          </w:tcPr>
          <w:p>
            <w:pPr>
              <w:spacing w:after="20"/>
            </w:pPr>
            <w:r>
              <w:rPr>
                <w:sz w:val="15"/>
              </w:rPr>
              <w:t>Baseline; hosted internals unavailable</w:t>
            </w:r>
          </w:p>
        </w:tc>
      </w:tr>
      <w:tr>
        <w:trPr>
          <w:trHeight w:hRule="atLeast"/>
          <w:cantSplit/>
        </w:trPr>
        <w:tc>
          <w:tcPr>
            <w:tcW w:type="dxa" w:w="1900"/>
            <w:vAlign w:val="top"/>
            <w:shd w:fill="EEF4F7"/>
          </w:tcPr>
          <w:p>
            <w:pPr>
              <w:spacing w:after="20"/>
            </w:pPr>
            <w:r>
              <w:rPr>
                <w:sz w:val="15"/>
              </w:rPr>
              <w:t>MITRE ATLAS</w:t>
            </w:r>
          </w:p>
        </w:tc>
        <w:tc>
          <w:tcPr>
            <w:tcW w:type="dxa" w:w="2900"/>
            <w:vAlign w:val="top"/>
            <w:shd w:fill="EEF4F7"/>
          </w:tcPr>
          <w:p>
            <w:pPr>
              <w:spacing w:after="20"/>
            </w:pPr>
            <w:r>
              <w:rPr>
                <w:sz w:val="15"/>
              </w:rPr>
              <w:t>Agent/tool misuse and exfiltration scenarios</w:t>
            </w:r>
          </w:p>
        </w:tc>
        <w:tc>
          <w:tcPr>
            <w:tcW w:type="dxa" w:w="2600"/>
            <w:vAlign w:val="top"/>
            <w:shd w:fill="EEF4F7"/>
          </w:tcPr>
          <w:p>
            <w:pPr>
              <w:spacing w:after="20"/>
            </w:pPr>
            <w:r>
              <w:rPr>
                <w:sz w:val="15"/>
              </w:rPr>
              <w:t>F-004, F-006, F-009</w:t>
            </w:r>
          </w:p>
        </w:tc>
        <w:tc>
          <w:tcPr>
            <w:tcW w:type="dxa" w:w="1960"/>
            <w:vAlign w:val="top"/>
            <w:shd w:fill="EEF4F7"/>
          </w:tcPr>
          <w:p>
            <w:pPr>
              <w:spacing w:after="20"/>
            </w:pPr>
            <w:r>
              <w:rPr>
                <w:sz w:val="15"/>
              </w:rPr>
              <w:t>Scenario aid</w:t>
            </w:r>
          </w:p>
        </w:tc>
      </w:tr>
      <w:tr>
        <w:trPr>
          <w:trHeight w:hRule="atLeast"/>
          <w:cantSplit/>
        </w:trPr>
        <w:tc>
          <w:tcPr>
            <w:tcW w:type="dxa" w:w="1900"/>
            <w:vAlign w:val="top"/>
          </w:tcPr>
          <w:p>
            <w:pPr>
              <w:spacing w:after="20"/>
            </w:pPr>
            <w:r>
              <w:rPr>
                <w:sz w:val="15"/>
              </w:rPr>
              <w:t>NIST AI RMF / 600-1</w:t>
            </w:r>
          </w:p>
        </w:tc>
        <w:tc>
          <w:tcPr>
            <w:tcW w:type="dxa" w:w="2900"/>
            <w:vAlign w:val="top"/>
          </w:tcPr>
          <w:p>
            <w:pPr>
              <w:spacing w:after="20"/>
            </w:pPr>
            <w:r>
              <w:rPr>
                <w:sz w:val="15"/>
              </w:rPr>
              <w:t>Govern, Map, Measure, Manage</w:t>
            </w:r>
          </w:p>
        </w:tc>
        <w:tc>
          <w:tcPr>
            <w:tcW w:type="dxa" w:w="2600"/>
            <w:vAlign w:val="top"/>
          </w:tcPr>
          <w:p>
            <w:pPr>
              <w:spacing w:after="20"/>
            </w:pPr>
            <w:r>
              <w:rPr>
                <w:sz w:val="15"/>
              </w:rPr>
              <w:t>All governance and evidence controls</w:t>
            </w:r>
          </w:p>
        </w:tc>
        <w:tc>
          <w:tcPr>
            <w:tcW w:type="dxa" w:w="1960"/>
            <w:vAlign w:val="top"/>
          </w:tcPr>
          <w:p>
            <w:pPr>
              <w:spacing w:after="20"/>
            </w:pPr>
            <w:r>
              <w:rPr>
                <w:sz w:val="15"/>
              </w:rPr>
              <w:t>Voluntary framework</w:t>
            </w:r>
          </w:p>
        </w:tc>
      </w:tr>
      <w:tr>
        <w:trPr>
          <w:trHeight w:hRule="atLeast"/>
          <w:cantSplit/>
        </w:trPr>
        <w:tc>
          <w:tcPr>
            <w:tcW w:type="dxa" w:w="1900"/>
            <w:vAlign w:val="top"/>
            <w:shd w:fill="EEF4F7"/>
          </w:tcPr>
          <w:p>
            <w:pPr>
              <w:spacing w:after="20"/>
            </w:pPr>
            <w:r>
              <w:rPr>
                <w:sz w:val="15"/>
              </w:rPr>
              <w:t>NCSC secure AI</w:t>
            </w:r>
          </w:p>
        </w:tc>
        <w:tc>
          <w:tcPr>
            <w:tcW w:type="dxa" w:w="2900"/>
            <w:vAlign w:val="top"/>
            <w:shd w:fill="EEF4F7"/>
          </w:tcPr>
          <w:p>
            <w:pPr>
              <w:spacing w:after="20"/>
            </w:pPr>
            <w:r>
              <w:rPr>
                <w:sz w:val="15"/>
              </w:rPr>
              <w:t>Design, development, deployment, maintenance</w:t>
            </w:r>
          </w:p>
        </w:tc>
        <w:tc>
          <w:tcPr>
            <w:tcW w:type="dxa" w:w="2600"/>
            <w:vAlign w:val="top"/>
            <w:shd w:fill="EEF4F7"/>
          </w:tcPr>
          <w:p>
            <w:pPr>
              <w:spacing w:after="20"/>
            </w:pPr>
            <w:r>
              <w:rPr>
                <w:sz w:val="15"/>
              </w:rPr>
              <w:t>Supply chain, monitoring, incident</w:t>
            </w:r>
          </w:p>
        </w:tc>
        <w:tc>
          <w:tcPr>
            <w:tcW w:type="dxa" w:w="1960"/>
            <w:vAlign w:val="top"/>
            <w:shd w:fill="EEF4F7"/>
          </w:tcPr>
          <w:p>
            <w:pPr>
              <w:spacing w:after="20"/>
            </w:pPr>
            <w:r>
              <w:rPr>
                <w:sz w:val="15"/>
              </w:rPr>
              <w:t>Lifecycle guidance</w:t>
            </w:r>
          </w:p>
        </w:tc>
      </w:tr>
      <w:tr>
        <w:trPr>
          <w:trHeight w:hRule="atLeast"/>
          <w:cantSplit/>
        </w:trPr>
        <w:tc>
          <w:tcPr>
            <w:tcW w:type="dxa" w:w="1900"/>
            <w:vAlign w:val="top"/>
          </w:tcPr>
          <w:p>
            <w:pPr>
              <w:spacing w:after="20"/>
            </w:pPr>
            <w:r>
              <w:rPr>
                <w:sz w:val="15"/>
              </w:rPr>
              <w:t>CIS Controls v8.1</w:t>
            </w:r>
          </w:p>
        </w:tc>
        <w:tc>
          <w:tcPr>
            <w:tcW w:type="dxa" w:w="2900"/>
            <w:vAlign w:val="top"/>
          </w:tcPr>
          <w:p>
            <w:pPr>
              <w:spacing w:after="20"/>
            </w:pPr>
            <w:r>
              <w:rPr>
                <w:sz w:val="15"/>
              </w:rPr>
              <w:t>Inventory, access, logs, data, suppliers</w:t>
            </w:r>
          </w:p>
        </w:tc>
        <w:tc>
          <w:tcPr>
            <w:tcW w:type="dxa" w:w="2600"/>
            <w:vAlign w:val="top"/>
          </w:tcPr>
          <w:p>
            <w:pPr>
              <w:spacing w:after="20"/>
            </w:pPr>
            <w:r>
              <w:rPr>
                <w:sz w:val="15"/>
              </w:rPr>
              <w:t>0–90 day roadmap</w:t>
            </w:r>
          </w:p>
        </w:tc>
        <w:tc>
          <w:tcPr>
            <w:tcW w:type="dxa" w:w="1960"/>
            <w:vAlign w:val="top"/>
          </w:tcPr>
          <w:p>
            <w:pPr>
              <w:spacing w:after="20"/>
            </w:pPr>
            <w:r>
              <w:rPr>
                <w:sz w:val="15"/>
              </w:rPr>
              <w:t>Implementation baseline</w:t>
            </w:r>
          </w:p>
        </w:tc>
      </w:tr>
      <w:tr>
        <w:trPr>
          <w:trHeight w:hRule="atLeast"/>
          <w:cantSplit/>
        </w:trPr>
        <w:tc>
          <w:tcPr>
            <w:tcW w:type="dxa" w:w="1900"/>
            <w:vAlign w:val="top"/>
            <w:shd w:fill="EEF4F7"/>
          </w:tcPr>
          <w:p>
            <w:pPr>
              <w:spacing w:after="20"/>
            </w:pPr>
            <w:r>
              <w:rPr>
                <w:sz w:val="15"/>
              </w:rPr>
              <w:t>ISO/IEC 27001:2022</w:t>
            </w:r>
          </w:p>
        </w:tc>
        <w:tc>
          <w:tcPr>
            <w:tcW w:type="dxa" w:w="2900"/>
            <w:vAlign w:val="top"/>
            <w:shd w:fill="EEF4F7"/>
          </w:tcPr>
          <w:p>
            <w:pPr>
              <w:spacing w:after="20"/>
            </w:pPr>
            <w:r>
              <w:rPr>
                <w:sz w:val="15"/>
              </w:rPr>
              <w:t>ISMS risk and Annex A control context</w:t>
            </w:r>
          </w:p>
        </w:tc>
        <w:tc>
          <w:tcPr>
            <w:tcW w:type="dxa" w:w="2600"/>
            <w:vAlign w:val="top"/>
            <w:shd w:fill="EEF4F7"/>
          </w:tcPr>
          <w:p>
            <w:pPr>
              <w:spacing w:after="20"/>
            </w:pPr>
            <w:r>
              <w:rPr>
                <w:sz w:val="15"/>
              </w:rPr>
              <w:t>Governance, supplier, incident, access</w:t>
            </w:r>
          </w:p>
        </w:tc>
        <w:tc>
          <w:tcPr>
            <w:tcW w:type="dxa" w:w="1960"/>
            <w:vAlign w:val="top"/>
            <w:shd w:fill="EEF4F7"/>
          </w:tcPr>
          <w:p>
            <w:pPr>
              <w:spacing w:after="20"/>
            </w:pPr>
            <w:r>
              <w:rPr>
                <w:sz w:val="15"/>
              </w:rPr>
              <w:t>No certification claim</w:t>
            </w:r>
          </w:p>
        </w:tc>
      </w:tr>
    </w:tbl>
    <w:p/>
    <w:p>
      <w:r>
        <w:t>Framework source used for control-design and threat-mapping context; no compliance or certification conclusion is asserted.</w:t>
      </w:r>
      <w:r>
        <w:t xml:space="preserve"> </w:t>
      </w:r>
      <w:hyperlink w:anchor="REF_009">
        <w:r>
          <w:rPr>
            <w:color w:val="0563C1"/>
            <w:u w:val="single"/>
          </w:rPr>
          <w:t>[REF-009]</w:t>
        </w:r>
      </w:hyperlink>
    </w:p>
    <w:p>
      <w:r>
        <w:t>Framework source used for control-design and threat-mapping context; no compliance or certification conclusion is asserted.</w:t>
      </w:r>
      <w:r>
        <w:t xml:space="preserve"> </w:t>
      </w:r>
      <w:hyperlink w:anchor="REF_010">
        <w:r>
          <w:rPr>
            <w:color w:val="0563C1"/>
            <w:u w:val="single"/>
          </w:rPr>
          <w:t>[REF-010]</w:t>
        </w:r>
      </w:hyperlink>
    </w:p>
    <w:p>
      <w:r>
        <w:t>Framework source used for control-design and threat-mapping context; no compliance or certification conclusion is asserted.</w:t>
      </w:r>
      <w:r>
        <w:t xml:space="preserve"> </w:t>
      </w:r>
      <w:hyperlink w:anchor="REF_011">
        <w:r>
          <w:rPr>
            <w:color w:val="0563C1"/>
            <w:u w:val="single"/>
          </w:rPr>
          <w:t>[REF-011]</w:t>
        </w:r>
      </w:hyperlink>
    </w:p>
    <w:p>
      <w:r>
        <w:t>Framework source used for control-design and threat-mapping context; no compliance or certification conclusion is asserted.</w:t>
      </w:r>
      <w:r>
        <w:t xml:space="preserve"> </w:t>
      </w:r>
      <w:hyperlink w:anchor="REF_012">
        <w:r>
          <w:rPr>
            <w:color w:val="0563C1"/>
            <w:u w:val="single"/>
          </w:rPr>
          <w:t>[REF-012]</w:t>
        </w:r>
      </w:hyperlink>
    </w:p>
    <w:p>
      <w:r>
        <w:t>Framework source used for control-design and threat-mapping context; no compliance or certification conclusion is asserted.</w:t>
      </w:r>
      <w:r>
        <w:t xml:space="preserve"> </w:t>
      </w:r>
      <w:hyperlink w:anchor="REF_013">
        <w:r>
          <w:rPr>
            <w:color w:val="0563C1"/>
            <w:u w:val="single"/>
          </w:rPr>
          <w:t>[REF-013]</w:t>
        </w:r>
      </w:hyperlink>
    </w:p>
    <w:p>
      <w:r>
        <w:t>Framework source used for control-design and threat-mapping context; no compliance or certification conclusion is asserted.</w:t>
      </w:r>
      <w:r>
        <w:t xml:space="preserve"> </w:t>
      </w:r>
      <w:hyperlink w:anchor="REF_014">
        <w:r>
          <w:rPr>
            <w:color w:val="0563C1"/>
            <w:u w:val="single"/>
          </w:rPr>
          <w:t>[REF-014]</w:t>
        </w:r>
      </w:hyperlink>
    </w:p>
    <w:p>
      <w:r>
        <w:t>Framework source used for control-design and threat-mapping context; no compliance or certification conclusion is asserted.</w:t>
      </w:r>
      <w:r>
        <w:t xml:space="preserve"> </w:t>
      </w:r>
      <w:hyperlink w:anchor="REF_015">
        <w:r>
          <w:rPr>
            <w:color w:val="0563C1"/>
            <w:u w:val="single"/>
          </w:rPr>
          <w:t>[REF-015]</w:t>
        </w:r>
      </w:hyperlink>
    </w:p>
    <w:p>
      <w:r>
        <w:t>Framework source used for control-design and threat-mapping context; no compliance or certification conclusion is asserted.</w:t>
      </w:r>
      <w:r>
        <w:t xml:space="preserve"> </w:t>
      </w:r>
      <w:hyperlink w:anchor="REF_016">
        <w:r>
          <w:rPr>
            <w:color w:val="0563C1"/>
            <w:u w:val="single"/>
          </w:rPr>
          <w:t>[REF-016]</w:t>
        </w:r>
      </w:hyperlink>
    </w:p>
    <w:p>
      <w:r>
        <w:t>Framework source used for control-design and threat-mapping context; no compliance or certification conclusion is asserted.</w:t>
      </w:r>
      <w:r>
        <w:t xml:space="preserve"> </w:t>
      </w:r>
      <w:hyperlink w:anchor="REF_017">
        <w:r>
          <w:rPr>
            <w:color w:val="0563C1"/>
            <w:u w:val="single"/>
          </w:rPr>
          <w:t>[REF-017]</w:t>
        </w:r>
      </w:hyperlink>
    </w:p>
    <w:p>
      <w:r>
        <w:t>Framework source used for control-design and threat-mapping context; no compliance or certification conclusion is asserted.</w:t>
      </w:r>
      <w:r>
        <w:t xml:space="preserve"> </w:t>
      </w:r>
      <w:hyperlink w:anchor="REF_018">
        <w:r>
          <w:rPr>
            <w:color w:val="0563C1"/>
            <w:u w:val="single"/>
          </w:rPr>
          <w:t>[REF-018]</w:t>
        </w:r>
      </w:hyperlink>
    </w:p>
    <w:p>
      <w:pPr>
        <w:pStyle w:val="Heading1"/>
      </w:pPr>
      <w:r>
        <w:t>Enterprise Controls Roadmap</w:t>
      </w:r>
    </w:p>
    <w:tbl>
      <w:tblPr>
        <w:tblStyle w:val="TableGrid"/>
        <w:tblW w:type="dxa" w:w="9360"/>
        <w:jc w:val="center"/>
        <w:tblLook w:firstColumn="1" w:firstRow="1" w:lastColumn="0" w:lastRow="0" w:noHBand="0" w:noVBand="1" w:val="04A0"/>
        <w:tblInd w:w="120" w:type="dxa"/>
        <w:tblLayout w:type="fixed"/>
      </w:tblPr>
      <w:tblGrid>
        <w:gridCol w:w="1500"/>
        <w:gridCol w:w="4060"/>
        <w:gridCol w:w="1700"/>
        <w:gridCol w:w="2100"/>
      </w:tblGrid>
      <w:tr>
        <w:trPr>
          <w:tblHeader w:val="true"/>
          <w:cantSplit/>
        </w:trPr>
        <w:tc>
          <w:tcPr>
            <w:tcW w:type="dxa" w:w="1500"/>
            <w:shd w:fill="17365D"/>
            <w:vAlign w:val="center"/>
          </w:tcPr>
          <w:p>
            <w:r>
              <w:rPr>
                <w:b/>
                <w:color w:val="FFFFFF"/>
                <w:sz w:val="16"/>
              </w:rPr>
              <w:t>Milestone</w:t>
            </w:r>
          </w:p>
        </w:tc>
        <w:tc>
          <w:tcPr>
            <w:tcW w:type="dxa" w:w="4060"/>
            <w:shd w:fill="17365D"/>
            <w:vAlign w:val="center"/>
          </w:tcPr>
          <w:p>
            <w:r>
              <w:rPr>
                <w:b/>
                <w:color w:val="FFFFFF"/>
                <w:sz w:val="16"/>
              </w:rPr>
              <w:t>Control</w:t>
            </w:r>
          </w:p>
        </w:tc>
        <w:tc>
          <w:tcPr>
            <w:tcW w:type="dxa" w:w="1700"/>
            <w:shd w:fill="17365D"/>
            <w:vAlign w:val="center"/>
          </w:tcPr>
          <w:p>
            <w:r>
              <w:rPr>
                <w:b/>
                <w:color w:val="FFFFFF"/>
                <w:sz w:val="16"/>
              </w:rPr>
              <w:t>Owner</w:t>
            </w:r>
          </w:p>
        </w:tc>
        <w:tc>
          <w:tcPr>
            <w:tcW w:type="dxa" w:w="2100"/>
            <w:shd w:fill="17365D"/>
            <w:vAlign w:val="center"/>
          </w:tcPr>
          <w:p>
            <w:r>
              <w:rPr>
                <w:b/>
                <w:color w:val="FFFFFF"/>
                <w:sz w:val="16"/>
              </w:rPr>
              <w:t>Evidence of completion</w:t>
            </w:r>
          </w:p>
        </w:tc>
      </w:tr>
      <w:tr>
        <w:trPr>
          <w:trHeight w:hRule="atLeast"/>
          <w:cantSplit/>
        </w:trPr>
        <w:tc>
          <w:tcPr>
            <w:tcW w:type="dxa" w:w="1500"/>
            <w:vAlign w:val="top"/>
          </w:tcPr>
          <w:p>
            <w:pPr>
              <w:spacing w:after="20"/>
            </w:pPr>
            <w:r>
              <w:rPr>
                <w:sz w:val="15"/>
              </w:rPr>
              <w:t>0–7 days</w:t>
            </w:r>
          </w:p>
        </w:tc>
        <w:tc>
          <w:tcPr>
            <w:tcW w:type="dxa" w:w="4060"/>
            <w:vAlign w:val="top"/>
          </w:tcPr>
          <w:p>
            <w:pPr>
              <w:spacing w:after="20"/>
            </w:pPr>
            <w:r>
              <w:rPr>
                <w:sz w:val="15"/>
              </w:rPr>
              <w:t>Block production; prohibit local cleartext/query/argument secrets and mcp-remote@latest</w:t>
            </w:r>
          </w:p>
        </w:tc>
        <w:tc>
          <w:tcPr>
            <w:tcW w:type="dxa" w:w="1700"/>
            <w:vAlign w:val="top"/>
          </w:tcPr>
          <w:p>
            <w:pPr>
              <w:spacing w:after="20"/>
            </w:pPr>
            <w:r>
              <w:rPr>
                <w:sz w:val="15"/>
              </w:rPr>
              <w:t>Security Engineering</w:t>
            </w:r>
          </w:p>
        </w:tc>
        <w:tc>
          <w:tcPr>
            <w:tcW w:type="dxa" w:w="2100"/>
            <w:vAlign w:val="top"/>
          </w:tcPr>
          <w:p>
            <w:pPr>
              <w:spacing w:after="20"/>
            </w:pPr>
            <w:r>
              <w:rPr>
                <w:sz w:val="15"/>
              </w:rPr>
              <w:t>Policy/configuration and denied connection tests</w:t>
            </w:r>
          </w:p>
        </w:tc>
      </w:tr>
      <w:tr>
        <w:trPr>
          <w:trHeight w:hRule="atLeast"/>
          <w:cantSplit/>
        </w:trPr>
        <w:tc>
          <w:tcPr>
            <w:tcW w:type="dxa" w:w="1500"/>
            <w:vAlign w:val="top"/>
            <w:shd w:fill="EEF4F7"/>
          </w:tcPr>
          <w:p>
            <w:pPr>
              <w:spacing w:after="20"/>
            </w:pPr>
            <w:r>
              <w:rPr>
                <w:sz w:val="15"/>
              </w:rPr>
              <w:t>0–30 days</w:t>
            </w:r>
          </w:p>
        </w:tc>
        <w:tc>
          <w:tcPr>
            <w:tcW w:type="dxa" w:w="4060"/>
            <w:vAlign w:val="top"/>
            <w:shd w:fill="EEF4F7"/>
          </w:tcPr>
          <w:p>
            <w:pPr>
              <w:spacing w:after="20"/>
            </w:pPr>
            <w:r>
              <w:rPr>
                <w:sz w:val="15"/>
              </w:rPr>
              <w:t>Synthetic tenant, dedicated token, exact endpoint/tool allowlist, execute_function disabled</w:t>
            </w:r>
          </w:p>
        </w:tc>
        <w:tc>
          <w:tcPr>
            <w:tcW w:type="dxa" w:w="1700"/>
            <w:vAlign w:val="top"/>
            <w:shd w:fill="EEF4F7"/>
          </w:tcPr>
          <w:p>
            <w:pPr>
              <w:spacing w:after="20"/>
            </w:pPr>
            <w:r>
              <w:rPr>
                <w:sz w:val="15"/>
              </w:rPr>
              <w:t>IAM / Service Owner</w:t>
            </w:r>
          </w:p>
        </w:tc>
        <w:tc>
          <w:tcPr>
            <w:tcW w:type="dxa" w:w="2100"/>
            <w:vAlign w:val="top"/>
            <w:shd w:fill="EEF4F7"/>
          </w:tcPr>
          <w:p>
            <w:pPr>
              <w:spacing w:after="20"/>
            </w:pPr>
            <w:r>
              <w:rPr>
                <w:sz w:val="15"/>
              </w:rPr>
              <w:t>Access matrix and negative tests</w:t>
            </w:r>
          </w:p>
        </w:tc>
      </w:tr>
      <w:tr>
        <w:trPr>
          <w:trHeight w:hRule="atLeast"/>
          <w:cantSplit/>
        </w:trPr>
        <w:tc>
          <w:tcPr>
            <w:tcW w:type="dxa" w:w="1500"/>
            <w:vAlign w:val="top"/>
          </w:tcPr>
          <w:p>
            <w:pPr>
              <w:spacing w:after="20"/>
            </w:pPr>
            <w:r>
              <w:rPr>
                <w:sz w:val="15"/>
              </w:rPr>
              <w:t>0–30 days</w:t>
            </w:r>
          </w:p>
        </w:tc>
        <w:tc>
          <w:tcPr>
            <w:tcW w:type="dxa" w:w="4060"/>
            <w:vAlign w:val="top"/>
          </w:tcPr>
          <w:p>
            <w:pPr>
              <w:spacing w:after="20"/>
            </w:pPr>
            <w:r>
              <w:rPr>
                <w:sz w:val="15"/>
              </w:rPr>
              <w:t>Egress, DLP, endpoint/process and MCP telemetry</w:t>
            </w:r>
          </w:p>
        </w:tc>
        <w:tc>
          <w:tcPr>
            <w:tcW w:type="dxa" w:w="1700"/>
            <w:vAlign w:val="top"/>
          </w:tcPr>
          <w:p>
            <w:pPr>
              <w:spacing w:after="20"/>
            </w:pPr>
            <w:r>
              <w:rPr>
                <w:sz w:val="15"/>
              </w:rPr>
              <w:t>SOC / Platform</w:t>
            </w:r>
          </w:p>
        </w:tc>
        <w:tc>
          <w:tcPr>
            <w:tcW w:type="dxa" w:w="2100"/>
            <w:vAlign w:val="top"/>
          </w:tcPr>
          <w:p>
            <w:pPr>
              <w:spacing w:after="20"/>
            </w:pPr>
            <w:r>
              <w:rPr>
                <w:sz w:val="15"/>
              </w:rPr>
              <w:t>Alert tests and sanitized event samples</w:t>
            </w:r>
          </w:p>
        </w:tc>
      </w:tr>
      <w:tr>
        <w:trPr>
          <w:trHeight w:hRule="atLeast"/>
          <w:cantSplit/>
        </w:trPr>
        <w:tc>
          <w:tcPr>
            <w:tcW w:type="dxa" w:w="1500"/>
            <w:vAlign w:val="top"/>
            <w:shd w:fill="EEF4F7"/>
          </w:tcPr>
          <w:p>
            <w:pPr>
              <w:spacing w:after="20"/>
            </w:pPr>
            <w:r>
              <w:rPr>
                <w:sz w:val="15"/>
              </w:rPr>
              <w:t>0–30 days</w:t>
            </w:r>
          </w:p>
        </w:tc>
        <w:tc>
          <w:tcPr>
            <w:tcW w:type="dxa" w:w="4060"/>
            <w:vAlign w:val="top"/>
            <w:shd w:fill="EEF4F7"/>
          </w:tcPr>
          <w:p>
            <w:pPr>
              <w:spacing w:after="20"/>
            </w:pPr>
            <w:r>
              <w:rPr>
                <w:sz w:val="15"/>
              </w:rPr>
              <w:t>DPIA and supplier evidence request</w:t>
            </w:r>
          </w:p>
        </w:tc>
        <w:tc>
          <w:tcPr>
            <w:tcW w:type="dxa" w:w="1700"/>
            <w:vAlign w:val="top"/>
            <w:shd w:fill="EEF4F7"/>
          </w:tcPr>
          <w:p>
            <w:pPr>
              <w:spacing w:after="20"/>
            </w:pPr>
            <w:r>
              <w:rPr>
                <w:sz w:val="15"/>
              </w:rPr>
              <w:t>DPO / Third-Party Risk</w:t>
            </w:r>
          </w:p>
        </w:tc>
        <w:tc>
          <w:tcPr>
            <w:tcW w:type="dxa" w:w="2100"/>
            <w:vAlign w:val="top"/>
            <w:shd w:fill="EEF4F7"/>
          </w:tcPr>
          <w:p>
            <w:pPr>
              <w:spacing w:after="20"/>
            </w:pPr>
            <w:r>
              <w:rPr>
                <w:sz w:val="15"/>
              </w:rPr>
              <w:t>Approved DPIA; DPA/subprocessor/region record</w:t>
            </w:r>
          </w:p>
        </w:tc>
      </w:tr>
      <w:tr>
        <w:trPr>
          <w:trHeight w:hRule="atLeast"/>
          <w:cantSplit/>
        </w:trPr>
        <w:tc>
          <w:tcPr>
            <w:tcW w:type="dxa" w:w="1500"/>
            <w:vAlign w:val="top"/>
          </w:tcPr>
          <w:p>
            <w:pPr>
              <w:spacing w:after="20"/>
            </w:pPr>
            <w:r>
              <w:rPr>
                <w:sz w:val="15"/>
              </w:rPr>
              <w:t>31–60 days</w:t>
            </w:r>
          </w:p>
        </w:tc>
        <w:tc>
          <w:tcPr>
            <w:tcW w:type="dxa" w:w="4060"/>
            <w:vAlign w:val="top"/>
          </w:tcPr>
          <w:p>
            <w:pPr>
              <w:spacing w:after="20"/>
            </w:pPr>
            <w:r>
              <w:rPr>
                <w:sz w:val="15"/>
              </w:rPr>
              <w:t>VS Code Windows/macOS disposable runtime</w:t>
            </w:r>
          </w:p>
        </w:tc>
        <w:tc>
          <w:tcPr>
            <w:tcW w:type="dxa" w:w="1700"/>
            <w:vAlign w:val="top"/>
          </w:tcPr>
          <w:p>
            <w:pPr>
              <w:spacing w:after="20"/>
            </w:pPr>
            <w:r>
              <w:rPr>
                <w:sz w:val="15"/>
              </w:rPr>
              <w:t>IDE Platform Owner</w:t>
            </w:r>
          </w:p>
        </w:tc>
        <w:tc>
          <w:tcPr>
            <w:tcW w:type="dxa" w:w="2100"/>
            <w:vAlign w:val="top"/>
          </w:tcPr>
          <w:p>
            <w:pPr>
              <w:spacing w:after="20"/>
            </w:pPr>
            <w:r>
              <w:rPr>
                <w:sz w:val="15"/>
              </w:rPr>
              <w:t>Signed test pack and cleanup evidence</w:t>
            </w:r>
          </w:p>
        </w:tc>
      </w:tr>
      <w:tr>
        <w:trPr>
          <w:trHeight w:hRule="atLeast"/>
          <w:cantSplit/>
        </w:trPr>
        <w:tc>
          <w:tcPr>
            <w:tcW w:type="dxa" w:w="1500"/>
            <w:vAlign w:val="top"/>
            <w:shd w:fill="EEF4F7"/>
          </w:tcPr>
          <w:p>
            <w:pPr>
              <w:spacing w:after="20"/>
            </w:pPr>
            <w:r>
              <w:rPr>
                <w:sz w:val="15"/>
              </w:rPr>
              <w:t>31–60 days</w:t>
            </w:r>
          </w:p>
        </w:tc>
        <w:tc>
          <w:tcPr>
            <w:tcW w:type="dxa" w:w="4060"/>
            <w:vAlign w:val="top"/>
            <w:shd w:fill="EEF4F7"/>
          </w:tcPr>
          <w:p>
            <w:pPr>
              <w:spacing w:after="20"/>
            </w:pPr>
            <w:r>
              <w:rPr>
                <w:sz w:val="15"/>
              </w:rPr>
              <w:t>Visual Studio Windows disposable runtime</w:t>
            </w:r>
          </w:p>
        </w:tc>
        <w:tc>
          <w:tcPr>
            <w:tcW w:type="dxa" w:w="1700"/>
            <w:vAlign w:val="top"/>
            <w:shd w:fill="EEF4F7"/>
          </w:tcPr>
          <w:p>
            <w:pPr>
              <w:spacing w:after="20"/>
            </w:pPr>
            <w:r>
              <w:rPr>
                <w:sz w:val="15"/>
              </w:rPr>
              <w:t>IDE Platform Owner</w:t>
            </w:r>
          </w:p>
        </w:tc>
        <w:tc>
          <w:tcPr>
            <w:tcW w:type="dxa" w:w="2100"/>
            <w:vAlign w:val="top"/>
            <w:shd w:fill="EEF4F7"/>
          </w:tcPr>
          <w:p>
            <w:pPr>
              <w:spacing w:after="20"/>
            </w:pPr>
            <w:r>
              <w:rPr>
                <w:sz w:val="15"/>
              </w:rPr>
              <w:t>Independent signed test pack</w:t>
            </w:r>
          </w:p>
        </w:tc>
      </w:tr>
      <w:tr>
        <w:trPr>
          <w:trHeight w:hRule="atLeast"/>
          <w:cantSplit/>
        </w:trPr>
        <w:tc>
          <w:tcPr>
            <w:tcW w:type="dxa" w:w="1500"/>
            <w:vAlign w:val="top"/>
          </w:tcPr>
          <w:p>
            <w:pPr>
              <w:spacing w:after="20"/>
            </w:pPr>
            <w:r>
              <w:rPr>
                <w:sz w:val="15"/>
              </w:rPr>
              <w:t>31–90 days</w:t>
            </w:r>
          </w:p>
        </w:tc>
        <w:tc>
          <w:tcPr>
            <w:tcW w:type="dxa" w:w="4060"/>
            <w:vAlign w:val="top"/>
          </w:tcPr>
          <w:p>
            <w:pPr>
              <w:spacing w:after="20"/>
            </w:pPr>
            <w:r>
              <w:rPr>
                <w:sz w:val="15"/>
              </w:rPr>
              <w:t>Tenant/node/object authorisation and load tests</w:t>
            </w:r>
          </w:p>
        </w:tc>
        <w:tc>
          <w:tcPr>
            <w:tcW w:type="dxa" w:w="1700"/>
            <w:vAlign w:val="top"/>
          </w:tcPr>
          <w:p>
            <w:pPr>
              <w:spacing w:after="20"/>
            </w:pPr>
            <w:r>
              <w:rPr>
                <w:sz w:val="15"/>
              </w:rPr>
              <w:t>IAM / SRE</w:t>
            </w:r>
          </w:p>
        </w:tc>
        <w:tc>
          <w:tcPr>
            <w:tcW w:type="dxa" w:w="2100"/>
            <w:vAlign w:val="top"/>
          </w:tcPr>
          <w:p>
            <w:pPr>
              <w:spacing w:after="20"/>
            </w:pPr>
            <w:r>
              <w:rPr>
                <w:sz w:val="15"/>
              </w:rPr>
              <w:t>Cross-tenant denials, quota and recovery evidence</w:t>
            </w:r>
          </w:p>
        </w:tc>
      </w:tr>
      <w:tr>
        <w:trPr>
          <w:trHeight w:hRule="atLeast"/>
          <w:cantSplit/>
        </w:trPr>
        <w:tc>
          <w:tcPr>
            <w:tcW w:type="dxa" w:w="1500"/>
            <w:vAlign w:val="top"/>
            <w:shd w:fill="EEF4F7"/>
          </w:tcPr>
          <w:p>
            <w:pPr>
              <w:spacing w:after="20"/>
            </w:pPr>
            <w:r>
              <w:rPr>
                <w:sz w:val="15"/>
              </w:rPr>
              <w:t>31–90 days</w:t>
            </w:r>
          </w:p>
        </w:tc>
        <w:tc>
          <w:tcPr>
            <w:tcW w:type="dxa" w:w="4060"/>
            <w:vAlign w:val="top"/>
            <w:shd w:fill="EEF4F7"/>
          </w:tcPr>
          <w:p>
            <w:pPr>
              <w:spacing w:after="20"/>
            </w:pPr>
            <w:r>
              <w:rPr>
                <w:sz w:val="15"/>
              </w:rPr>
              <w:t>Provenance, SBOM, schema drift, update/rollback controls</w:t>
            </w:r>
          </w:p>
        </w:tc>
        <w:tc>
          <w:tcPr>
            <w:tcW w:type="dxa" w:w="1700"/>
            <w:vAlign w:val="top"/>
            <w:shd w:fill="EEF4F7"/>
          </w:tcPr>
          <w:p>
            <w:pPr>
              <w:spacing w:after="20"/>
            </w:pPr>
            <w:r>
              <w:rPr>
                <w:sz w:val="15"/>
              </w:rPr>
              <w:t>Supply Chain</w:t>
            </w:r>
          </w:p>
        </w:tc>
        <w:tc>
          <w:tcPr>
            <w:tcW w:type="dxa" w:w="2100"/>
            <w:vAlign w:val="top"/>
            <w:shd w:fill="EEF4F7"/>
          </w:tcPr>
          <w:p>
            <w:pPr>
              <w:spacing w:after="20"/>
            </w:pPr>
            <w:r>
              <w:rPr>
                <w:sz w:val="15"/>
              </w:rPr>
              <w:t>Signed artifacts and drill</w:t>
            </w:r>
          </w:p>
        </w:tc>
      </w:tr>
      <w:tr>
        <w:trPr>
          <w:trHeight w:hRule="atLeast"/>
          <w:cantSplit/>
        </w:trPr>
        <w:tc>
          <w:tcPr>
            <w:tcW w:type="dxa" w:w="1500"/>
            <w:vAlign w:val="top"/>
          </w:tcPr>
          <w:p>
            <w:pPr>
              <w:spacing w:after="20"/>
            </w:pPr>
            <w:r>
              <w:rPr>
                <w:sz w:val="15"/>
              </w:rPr>
              <w:t>Before production</w:t>
            </w:r>
          </w:p>
        </w:tc>
        <w:tc>
          <w:tcPr>
            <w:tcW w:type="dxa" w:w="4060"/>
            <w:vAlign w:val="top"/>
          </w:tcPr>
          <w:p>
            <w:pPr>
              <w:spacing w:after="20"/>
            </w:pPr>
            <w:r>
              <w:rPr>
                <w:sz w:val="15"/>
              </w:rPr>
              <w:t>Risk acceptance and operational resilience/exit test</w:t>
            </w:r>
          </w:p>
        </w:tc>
        <w:tc>
          <w:tcPr>
            <w:tcW w:type="dxa" w:w="1700"/>
            <w:vAlign w:val="top"/>
          </w:tcPr>
          <w:p>
            <w:pPr>
              <w:spacing w:after="20"/>
            </w:pPr>
            <w:r>
              <w:rPr>
                <w:sz w:val="15"/>
              </w:rPr>
              <w:t>Accountable Executive</w:t>
            </w:r>
          </w:p>
        </w:tc>
        <w:tc>
          <w:tcPr>
            <w:tcW w:type="dxa" w:w="2100"/>
            <w:vAlign w:val="top"/>
          </w:tcPr>
          <w:p>
            <w:pPr>
              <w:spacing w:after="20"/>
            </w:pPr>
            <w:r>
              <w:rPr>
                <w:sz w:val="15"/>
              </w:rPr>
              <w:t>Approved exception/decision record; tested fallback</w:t>
            </w:r>
          </w:p>
        </w:tc>
      </w:tr>
    </w:tbl>
    <w:p/>
    <w:p>
      <w:pPr>
        <w:pStyle w:val="Heading2"/>
      </w:pPr>
      <w:r>
        <w:t>Complexity Removed or Justified</w:t>
      </w:r>
    </w:p>
    <w:p>
      <w:r>
        <w:t>The preferred pilot removes the local bridge, local endpoint and execute_function rather than compensating for them. The remaining hosted integration is justified only for synthetic diagnostic evaluation. No new runtime dependency, workflow or production control was introduced by this assessment; deterministic stage/report helpers exist solely to make evidence-to-report regeneration reviewable.</w:t>
      </w:r>
    </w:p>
    <w:p>
      <w:pPr>
        <w:pStyle w:val="Heading1"/>
      </w:pPr>
      <w:r>
        <w:t>Detection Opportunities and Monitoring Plan</w:t>
      </w:r>
    </w:p>
    <w:tbl>
      <w:tblPr>
        <w:tblStyle w:val="TableGrid"/>
        <w:tblW w:type="dxa" w:w="9360"/>
        <w:jc w:val="center"/>
        <w:tblLook w:firstColumn="1" w:firstRow="1" w:lastColumn="0" w:lastRow="0" w:noHBand="0" w:noVBand="1" w:val="04A0"/>
        <w:tblInd w:w="120" w:type="dxa"/>
        <w:tblLayout w:type="fixed"/>
      </w:tblPr>
      <w:tblGrid>
        <w:gridCol w:w="1900"/>
        <w:gridCol w:w="1900"/>
        <w:gridCol w:w="3150"/>
        <w:gridCol w:w="2410"/>
      </w:tblGrid>
      <w:tr>
        <w:trPr>
          <w:tblHeader w:val="true"/>
          <w:cantSplit/>
        </w:trPr>
        <w:tc>
          <w:tcPr>
            <w:tcW w:type="dxa" w:w="1900"/>
            <w:shd w:fill="17365D"/>
            <w:vAlign w:val="center"/>
          </w:tcPr>
          <w:p>
            <w:r>
              <w:rPr>
                <w:b/>
                <w:color w:val="FFFFFF"/>
                <w:sz w:val="16"/>
              </w:rPr>
              <w:t>Signal</w:t>
            </w:r>
          </w:p>
        </w:tc>
        <w:tc>
          <w:tcPr>
            <w:tcW w:type="dxa" w:w="1900"/>
            <w:shd w:fill="17365D"/>
            <w:vAlign w:val="center"/>
          </w:tcPr>
          <w:p>
            <w:r>
              <w:rPr>
                <w:b/>
                <w:color w:val="FFFFFF"/>
                <w:sz w:val="16"/>
              </w:rPr>
              <w:t>Source</w:t>
            </w:r>
          </w:p>
        </w:tc>
        <w:tc>
          <w:tcPr>
            <w:tcW w:type="dxa" w:w="3150"/>
            <w:shd w:fill="17365D"/>
            <w:vAlign w:val="center"/>
          </w:tcPr>
          <w:p>
            <w:r>
              <w:rPr>
                <w:b/>
                <w:color w:val="FFFFFF"/>
                <w:sz w:val="16"/>
              </w:rPr>
              <w:t>Condition</w:t>
            </w:r>
          </w:p>
        </w:tc>
        <w:tc>
          <w:tcPr>
            <w:tcW w:type="dxa" w:w="2410"/>
            <w:shd w:fill="17365D"/>
            <w:vAlign w:val="center"/>
          </w:tcPr>
          <w:p>
            <w:r>
              <w:rPr>
                <w:b/>
                <w:color w:val="FFFFFF"/>
                <w:sz w:val="16"/>
              </w:rPr>
              <w:t>Response</w:t>
            </w:r>
          </w:p>
        </w:tc>
      </w:tr>
      <w:tr>
        <w:trPr>
          <w:trHeight w:hRule="atLeast"/>
          <w:cantSplit/>
        </w:trPr>
        <w:tc>
          <w:tcPr>
            <w:tcW w:type="dxa" w:w="1900"/>
            <w:vAlign w:val="top"/>
          </w:tcPr>
          <w:p>
            <w:pPr>
              <w:spacing w:after="20"/>
            </w:pPr>
            <w:r>
              <w:rPr>
                <w:sz w:val="15"/>
              </w:rPr>
              <w:t>MCP definition drift</w:t>
            </w:r>
          </w:p>
        </w:tc>
        <w:tc>
          <w:tcPr>
            <w:tcW w:type="dxa" w:w="1900"/>
            <w:vAlign w:val="top"/>
          </w:tcPr>
          <w:p>
            <w:pPr>
              <w:spacing w:after="20"/>
            </w:pPr>
            <w:r>
              <w:rPr>
                <w:sz w:val="15"/>
              </w:rPr>
              <w:t>IDE/config management</w:t>
            </w:r>
          </w:p>
        </w:tc>
        <w:tc>
          <w:tcPr>
            <w:tcW w:type="dxa" w:w="3150"/>
            <w:vAlign w:val="top"/>
          </w:tcPr>
          <w:p>
            <w:pPr>
              <w:spacing w:after="20"/>
            </w:pPr>
            <w:r>
              <w:rPr>
                <w:sz w:val="15"/>
              </w:rPr>
              <w:t>New URL, workspace override or unapproved version</w:t>
            </w:r>
          </w:p>
        </w:tc>
        <w:tc>
          <w:tcPr>
            <w:tcW w:type="dxa" w:w="2410"/>
            <w:vAlign w:val="top"/>
          </w:tcPr>
          <w:p>
            <w:pPr>
              <w:spacing w:after="20"/>
            </w:pPr>
            <w:r>
              <w:rPr>
                <w:sz w:val="15"/>
              </w:rPr>
              <w:t>Disable, preserve config, review owner</w:t>
            </w:r>
          </w:p>
        </w:tc>
      </w:tr>
      <w:tr>
        <w:trPr>
          <w:trHeight w:hRule="atLeast"/>
          <w:cantSplit/>
        </w:trPr>
        <w:tc>
          <w:tcPr>
            <w:tcW w:type="dxa" w:w="1900"/>
            <w:vAlign w:val="top"/>
            <w:shd w:fill="EEF4F7"/>
          </w:tcPr>
          <w:p>
            <w:pPr>
              <w:spacing w:after="20"/>
            </w:pPr>
            <w:r>
              <w:rPr>
                <w:sz w:val="15"/>
              </w:rPr>
              <w:t>Mutable bridge</w:t>
            </w:r>
          </w:p>
        </w:tc>
        <w:tc>
          <w:tcPr>
            <w:tcW w:type="dxa" w:w="1900"/>
            <w:vAlign w:val="top"/>
            <w:shd w:fill="EEF4F7"/>
          </w:tcPr>
          <w:p>
            <w:pPr>
              <w:spacing w:after="20"/>
            </w:pPr>
            <w:r>
              <w:rPr>
                <w:sz w:val="15"/>
              </w:rPr>
              <w:t>Endpoint/process/npm proxy</w:t>
            </w:r>
          </w:p>
        </w:tc>
        <w:tc>
          <w:tcPr>
            <w:tcW w:type="dxa" w:w="3150"/>
            <w:vAlign w:val="top"/>
            <w:shd w:fill="EEF4F7"/>
          </w:tcPr>
          <w:p>
            <w:pPr>
              <w:spacing w:after="20"/>
            </w:pPr>
            <w:r>
              <w:rPr>
                <w:sz w:val="15"/>
              </w:rPr>
              <w:t>mcp-remote@latest or external package resolution</w:t>
            </w:r>
          </w:p>
        </w:tc>
        <w:tc>
          <w:tcPr>
            <w:tcW w:type="dxa" w:w="2410"/>
            <w:vAlign w:val="top"/>
            <w:shd w:fill="EEF4F7"/>
          </w:tcPr>
          <w:p>
            <w:pPr>
              <w:spacing w:after="20"/>
            </w:pPr>
            <w:r>
              <w:rPr>
                <w:sz w:val="15"/>
              </w:rPr>
              <w:t>Block process/registry; investigate token exposure</w:t>
            </w:r>
          </w:p>
        </w:tc>
      </w:tr>
      <w:tr>
        <w:trPr>
          <w:trHeight w:hRule="atLeast"/>
          <w:cantSplit/>
        </w:trPr>
        <w:tc>
          <w:tcPr>
            <w:tcW w:type="dxa" w:w="1900"/>
            <w:vAlign w:val="top"/>
          </w:tcPr>
          <w:p>
            <w:pPr>
              <w:spacing w:after="20"/>
            </w:pPr>
            <w:r>
              <w:rPr>
                <w:sz w:val="15"/>
              </w:rPr>
              <w:t>Cleartext/local path</w:t>
            </w:r>
          </w:p>
        </w:tc>
        <w:tc>
          <w:tcPr>
            <w:tcW w:type="dxa" w:w="1900"/>
            <w:vAlign w:val="top"/>
          </w:tcPr>
          <w:p>
            <w:pPr>
              <w:spacing w:after="20"/>
            </w:pPr>
            <w:r>
              <w:rPr>
                <w:sz w:val="15"/>
              </w:rPr>
              <w:t>Network/endpoint</w:t>
            </w:r>
          </w:p>
        </w:tc>
        <w:tc>
          <w:tcPr>
            <w:tcW w:type="dxa" w:w="3150"/>
            <w:vAlign w:val="top"/>
          </w:tcPr>
          <w:p>
            <w:pPr>
              <w:spacing w:after="20"/>
            </w:pPr>
            <w:r>
              <w:rPr>
                <w:sz w:val="15"/>
              </w:rPr>
              <w:t>http/ws MCP or port 19999 from IDE</w:t>
            </w:r>
          </w:p>
        </w:tc>
        <w:tc>
          <w:tcPr>
            <w:tcW w:type="dxa" w:w="2410"/>
            <w:vAlign w:val="top"/>
          </w:tcPr>
          <w:p>
            <w:pPr>
              <w:spacing w:after="20"/>
            </w:pPr>
            <w:r>
              <w:rPr>
                <w:sz w:val="15"/>
              </w:rPr>
              <w:t>Block, isolate token, review traffic</w:t>
            </w:r>
          </w:p>
        </w:tc>
      </w:tr>
      <w:tr>
        <w:trPr>
          <w:trHeight w:hRule="atLeast"/>
          <w:cantSplit/>
        </w:trPr>
        <w:tc>
          <w:tcPr>
            <w:tcW w:type="dxa" w:w="1900"/>
            <w:vAlign w:val="top"/>
            <w:shd w:fill="EEF4F7"/>
          </w:tcPr>
          <w:p>
            <w:pPr>
              <w:spacing w:after="20"/>
            </w:pPr>
            <w:r>
              <w:rPr>
                <w:sz w:val="15"/>
              </w:rPr>
              <w:t>Credential leakage</w:t>
            </w:r>
          </w:p>
        </w:tc>
        <w:tc>
          <w:tcPr>
            <w:tcW w:type="dxa" w:w="1900"/>
            <w:vAlign w:val="top"/>
            <w:shd w:fill="EEF4F7"/>
          </w:tcPr>
          <w:p>
            <w:pPr>
              <w:spacing w:after="20"/>
            </w:pPr>
            <w:r>
              <w:rPr>
                <w:sz w:val="15"/>
              </w:rPr>
              <w:t>DLP/process/proxy logs</w:t>
            </w:r>
          </w:p>
        </w:tc>
        <w:tc>
          <w:tcPr>
            <w:tcW w:type="dxa" w:w="3150"/>
            <w:vAlign w:val="top"/>
            <w:shd w:fill="EEF4F7"/>
          </w:tcPr>
          <w:p>
            <w:pPr>
              <w:spacing w:after="20"/>
            </w:pPr>
            <w:r>
              <w:rPr>
                <w:sz w:val="15"/>
              </w:rPr>
              <w:t>api_key=, bearer in arguments or logs</w:t>
            </w:r>
          </w:p>
        </w:tc>
        <w:tc>
          <w:tcPr>
            <w:tcW w:type="dxa" w:w="2410"/>
            <w:vAlign w:val="top"/>
            <w:shd w:fill="EEF4F7"/>
          </w:tcPr>
          <w:p>
            <w:pPr>
              <w:spacing w:after="20"/>
            </w:pPr>
            <w:r>
              <w:rPr>
                <w:sz w:val="15"/>
              </w:rPr>
              <w:t>Redact, revoke, rotate, incident triage</w:t>
            </w:r>
          </w:p>
        </w:tc>
      </w:tr>
      <w:tr>
        <w:trPr>
          <w:trHeight w:hRule="atLeast"/>
          <w:cantSplit/>
        </w:trPr>
        <w:tc>
          <w:tcPr>
            <w:tcW w:type="dxa" w:w="1900"/>
            <w:vAlign w:val="top"/>
          </w:tcPr>
          <w:p>
            <w:pPr>
              <w:spacing w:after="20"/>
            </w:pPr>
            <w:r>
              <w:rPr>
                <w:sz w:val="15"/>
              </w:rPr>
              <w:t>Tool/schema drift</w:t>
            </w:r>
          </w:p>
        </w:tc>
        <w:tc>
          <w:tcPr>
            <w:tcW w:type="dxa" w:w="1900"/>
            <w:vAlign w:val="top"/>
          </w:tcPr>
          <w:p>
            <w:pPr>
              <w:spacing w:after="20"/>
            </w:pPr>
            <w:r>
              <w:rPr>
                <w:sz w:val="15"/>
              </w:rPr>
              <w:t>MCP gateway/client</w:t>
            </w:r>
          </w:p>
        </w:tc>
        <w:tc>
          <w:tcPr>
            <w:tcW w:type="dxa" w:w="3150"/>
            <w:vAlign w:val="top"/>
          </w:tcPr>
          <w:p>
            <w:pPr>
              <w:spacing w:after="20"/>
            </w:pPr>
            <w:r>
              <w:rPr>
                <w:sz w:val="15"/>
              </w:rPr>
              <w:t>Unknown tool or changed schema/description</w:t>
            </w:r>
          </w:p>
        </w:tc>
        <w:tc>
          <w:tcPr>
            <w:tcW w:type="dxa" w:w="2410"/>
            <w:vAlign w:val="top"/>
          </w:tcPr>
          <w:p>
            <w:pPr>
              <w:spacing w:after="20"/>
            </w:pPr>
            <w:r>
              <w:rPr>
                <w:sz w:val="15"/>
              </w:rPr>
              <w:t>Reset trust and block pending review</w:t>
            </w:r>
          </w:p>
        </w:tc>
      </w:tr>
      <w:tr>
        <w:trPr>
          <w:trHeight w:hRule="atLeast"/>
          <w:cantSplit/>
        </w:trPr>
        <w:tc>
          <w:tcPr>
            <w:tcW w:type="dxa" w:w="1900"/>
            <w:vAlign w:val="top"/>
            <w:shd w:fill="EEF4F7"/>
          </w:tcPr>
          <w:p>
            <w:pPr>
              <w:spacing w:after="20"/>
            </w:pPr>
            <w:r>
              <w:rPr>
                <w:sz w:val="15"/>
              </w:rPr>
              <w:t>Excessive agency</w:t>
            </w:r>
          </w:p>
        </w:tc>
        <w:tc>
          <w:tcPr>
            <w:tcW w:type="dxa" w:w="1900"/>
            <w:vAlign w:val="top"/>
            <w:shd w:fill="EEF4F7"/>
          </w:tcPr>
          <w:p>
            <w:pPr>
              <w:spacing w:after="20"/>
            </w:pPr>
            <w:r>
              <w:rPr>
                <w:sz w:val="15"/>
              </w:rPr>
              <w:t>MCP audit</w:t>
            </w:r>
          </w:p>
        </w:tc>
        <w:tc>
          <w:tcPr>
            <w:tcW w:type="dxa" w:w="3150"/>
            <w:vAlign w:val="top"/>
            <w:shd w:fill="EEF4F7"/>
          </w:tcPr>
          <w:p>
            <w:pPr>
              <w:spacing w:after="20"/>
            </w:pPr>
            <w:r>
              <w:rPr>
                <w:sz w:val="15"/>
              </w:rPr>
              <w:t>execute_function or sensitive function class</w:t>
            </w:r>
          </w:p>
        </w:tc>
        <w:tc>
          <w:tcPr>
            <w:tcW w:type="dxa" w:w="2410"/>
            <w:vAlign w:val="top"/>
            <w:shd w:fill="EEF4F7"/>
          </w:tcPr>
          <w:p>
            <w:pPr>
              <w:spacing w:after="20"/>
            </w:pPr>
            <w:r>
              <w:rPr>
                <w:sz w:val="15"/>
              </w:rPr>
              <w:t>Deny; require fresh approval</w:t>
            </w:r>
          </w:p>
        </w:tc>
      </w:tr>
      <w:tr>
        <w:trPr>
          <w:trHeight w:hRule="atLeast"/>
          <w:cantSplit/>
        </w:trPr>
        <w:tc>
          <w:tcPr>
            <w:tcW w:type="dxa" w:w="1900"/>
            <w:vAlign w:val="top"/>
          </w:tcPr>
          <w:p>
            <w:pPr>
              <w:spacing w:after="20"/>
            </w:pPr>
            <w:r>
              <w:rPr>
                <w:sz w:val="15"/>
              </w:rPr>
              <w:t>Resource abuse</w:t>
            </w:r>
          </w:p>
        </w:tc>
        <w:tc>
          <w:tcPr>
            <w:tcW w:type="dxa" w:w="1900"/>
            <w:vAlign w:val="top"/>
          </w:tcPr>
          <w:p>
            <w:pPr>
              <w:spacing w:after="20"/>
            </w:pPr>
            <w:r>
              <w:rPr>
                <w:sz w:val="15"/>
              </w:rPr>
              <w:t>SRE metrics</w:t>
            </w:r>
          </w:p>
        </w:tc>
        <w:tc>
          <w:tcPr>
            <w:tcW w:type="dxa" w:w="3150"/>
            <w:vAlign w:val="top"/>
          </w:tcPr>
          <w:p>
            <w:pPr>
              <w:spacing w:after="20"/>
            </w:pPr>
            <w:r>
              <w:rPr>
                <w:sz w:val="15"/>
              </w:rPr>
              <w:t>Long/wide/concurrent calls; 429/5xx or saturation</w:t>
            </w:r>
          </w:p>
        </w:tc>
        <w:tc>
          <w:tcPr>
            <w:tcW w:type="dxa" w:w="2410"/>
            <w:vAlign w:val="top"/>
          </w:tcPr>
          <w:p>
            <w:pPr>
              <w:spacing w:after="20"/>
            </w:pPr>
            <w:r>
              <w:rPr>
                <w:sz w:val="15"/>
              </w:rPr>
              <w:t>Rate limit, cancel, circuit break</w:t>
            </w:r>
          </w:p>
        </w:tc>
      </w:tr>
      <w:tr>
        <w:trPr>
          <w:trHeight w:hRule="atLeast"/>
          <w:cantSplit/>
        </w:trPr>
        <w:tc>
          <w:tcPr>
            <w:tcW w:type="dxa" w:w="1900"/>
            <w:vAlign w:val="top"/>
            <w:shd w:fill="EEF4F7"/>
          </w:tcPr>
          <w:p>
            <w:pPr>
              <w:spacing w:after="20"/>
            </w:pPr>
            <w:r>
              <w:rPr>
                <w:sz w:val="15"/>
              </w:rPr>
              <w:t>Object-authorisation anomaly</w:t>
            </w:r>
          </w:p>
        </w:tc>
        <w:tc>
          <w:tcPr>
            <w:tcW w:type="dxa" w:w="1900"/>
            <w:vAlign w:val="top"/>
            <w:shd w:fill="EEF4F7"/>
          </w:tcPr>
          <w:p>
            <w:pPr>
              <w:spacing w:after="20"/>
            </w:pPr>
            <w:r>
              <w:rPr>
                <w:sz w:val="15"/>
              </w:rPr>
              <w:t>Cloud audit</w:t>
            </w:r>
          </w:p>
        </w:tc>
        <w:tc>
          <w:tcPr>
            <w:tcW w:type="dxa" w:w="3150"/>
            <w:vAlign w:val="top"/>
            <w:shd w:fill="EEF4F7"/>
          </w:tcPr>
          <w:p>
            <w:pPr>
              <w:spacing w:after="20"/>
            </w:pPr>
            <w:r>
              <w:rPr>
                <w:sz w:val="15"/>
              </w:rPr>
              <w:t>Cross-environment/node or unusual identity</w:t>
            </w:r>
          </w:p>
        </w:tc>
        <w:tc>
          <w:tcPr>
            <w:tcW w:type="dxa" w:w="2410"/>
            <w:vAlign w:val="top"/>
            <w:shd w:fill="EEF4F7"/>
          </w:tcPr>
          <w:p>
            <w:pPr>
              <w:spacing w:after="20"/>
            </w:pPr>
            <w:r>
              <w:rPr>
                <w:sz w:val="15"/>
              </w:rPr>
              <w:t>Revoke, contain and investigate</w:t>
            </w:r>
          </w:p>
        </w:tc>
      </w:tr>
      <w:tr>
        <w:trPr>
          <w:trHeight w:hRule="atLeast"/>
          <w:cantSplit/>
        </w:trPr>
        <w:tc>
          <w:tcPr>
            <w:tcW w:type="dxa" w:w="1900"/>
            <w:vAlign w:val="top"/>
          </w:tcPr>
          <w:p>
            <w:pPr>
              <w:spacing w:after="20"/>
            </w:pPr>
            <w:r>
              <w:rPr>
                <w:sz w:val="15"/>
              </w:rPr>
              <w:t>Sensitive response</w:t>
            </w:r>
          </w:p>
        </w:tc>
        <w:tc>
          <w:tcPr>
            <w:tcW w:type="dxa" w:w="1900"/>
            <w:vAlign w:val="top"/>
          </w:tcPr>
          <w:p>
            <w:pPr>
              <w:spacing w:after="20"/>
            </w:pPr>
            <w:r>
              <w:rPr>
                <w:sz w:val="15"/>
              </w:rPr>
              <w:t>DLP/model gateway</w:t>
            </w:r>
          </w:p>
        </w:tc>
        <w:tc>
          <w:tcPr>
            <w:tcW w:type="dxa" w:w="3150"/>
            <w:vAlign w:val="top"/>
          </w:tcPr>
          <w:p>
            <w:pPr>
              <w:spacing w:after="20"/>
            </w:pPr>
            <w:r>
              <w:rPr>
                <w:sz w:val="15"/>
              </w:rPr>
              <w:t>Credential, customer or special-category pattern</w:t>
            </w:r>
          </w:p>
        </w:tc>
        <w:tc>
          <w:tcPr>
            <w:tcW w:type="dxa" w:w="2410"/>
            <w:vAlign w:val="top"/>
          </w:tcPr>
          <w:p>
            <w:pPr>
              <w:spacing w:after="20"/>
            </w:pPr>
            <w:r>
              <w:rPr>
                <w:sz w:val="15"/>
              </w:rPr>
              <w:t>Block/redact and privacy incident triage</w:t>
            </w:r>
          </w:p>
        </w:tc>
      </w:tr>
    </w:tbl>
    <w:p/>
    <w:p>
      <w:pPr>
        <w:pStyle w:val="Heading2"/>
      </w:pPr>
      <w:r>
        <w:t>Incident Response and Evidence Preservation</w:t>
      </w:r>
    </w:p>
    <w:p>
      <w:pPr>
        <w:pStyle w:val="ListBullet"/>
      </w:pPr>
      <w:r>
        <w:t>Disable the relevant MCP definition and enterprise allowlist without deleting evidence; revoke Cloud/local credentials and terminate exact bridge processes.</w:t>
      </w:r>
    </w:p>
    <w:p>
      <w:pPr>
        <w:pStyle w:val="ListBullet"/>
      </w:pPr>
      <w:r>
        <w:t>Preserve sanitized IDE, MCP gateway, Netdata, proxy, endpoint and model audit records with clock/source provenance; never copy raw credentials or unnecessary customer content into tickets.</w:t>
      </w:r>
    </w:p>
    <w:p>
      <w:pPr>
        <w:pStyle w:val="ListBullet"/>
      </w:pPr>
      <w:r>
        <w:t>Determine tools, nodes, time range, recipients and retention copies; rotate exposed downstream secrets; assess UK privacy, operational-resilience and supplier-notification duties.</w:t>
      </w:r>
    </w:p>
    <w:p>
      <w:pPr>
        <w:pStyle w:val="ListBullet"/>
      </w:pPr>
      <w:r>
        <w:t>Restore manual observability procedures, verify monitoring capacity, test clean re-enablement and record lessons in the authoritative central register.</w:t>
      </w:r>
    </w:p>
    <w:p>
      <w:pPr>
        <w:pStyle w:val="Heading1"/>
      </w:pPr>
      <w:r>
        <w:t>Consolidated Risk Register</w:t>
      </w:r>
    </w:p>
    <w:tbl>
      <w:tblPr>
        <w:tblStyle w:val="TableGrid"/>
        <w:tblW w:type="dxa" w:w="9360"/>
        <w:jc w:val="center"/>
        <w:tblLook w:firstColumn="1" w:firstRow="1" w:lastColumn="0" w:lastRow="0" w:noHBand="0" w:noVBand="1" w:val="04A0"/>
        <w:tblInd w:w="120" w:type="dxa"/>
        <w:tblLayout w:type="fixed"/>
      </w:tblPr>
      <w:tblGrid>
        <w:gridCol w:w="700"/>
        <w:gridCol w:w="3000"/>
        <w:gridCol w:w="1250"/>
        <w:gridCol w:w="1250"/>
        <w:gridCol w:w="1750"/>
        <w:gridCol w:w="1410"/>
      </w:tblGrid>
      <w:tr>
        <w:trPr>
          <w:tblHeader w:val="true"/>
          <w:cantSplit/>
        </w:trPr>
        <w:tc>
          <w:tcPr>
            <w:tcW w:type="dxa" w:w="700"/>
            <w:shd w:fill="17365D"/>
            <w:vAlign w:val="center"/>
          </w:tcPr>
          <w:p>
            <w:r>
              <w:rPr>
                <w:b/>
                <w:color w:val="FFFFFF"/>
                <w:sz w:val="16"/>
              </w:rPr>
              <w:t>ID</w:t>
            </w:r>
          </w:p>
        </w:tc>
        <w:tc>
          <w:tcPr>
            <w:tcW w:type="dxa" w:w="3000"/>
            <w:shd w:fill="17365D"/>
            <w:vAlign w:val="center"/>
          </w:tcPr>
          <w:p>
            <w:r>
              <w:rPr>
                <w:b/>
                <w:color w:val="FFFFFF"/>
                <w:sz w:val="16"/>
              </w:rPr>
              <w:t>Risk</w:t>
            </w:r>
          </w:p>
        </w:tc>
        <w:tc>
          <w:tcPr>
            <w:tcW w:type="dxa" w:w="1250"/>
            <w:shd w:fill="17365D"/>
            <w:vAlign w:val="center"/>
          </w:tcPr>
          <w:p>
            <w:r>
              <w:rPr>
                <w:b/>
                <w:color w:val="FFFFFF"/>
                <w:sz w:val="16"/>
              </w:rPr>
              <w:t>Inherent</w:t>
            </w:r>
          </w:p>
        </w:tc>
        <w:tc>
          <w:tcPr>
            <w:tcW w:type="dxa" w:w="1250"/>
            <w:shd w:fill="17365D"/>
            <w:vAlign w:val="center"/>
          </w:tcPr>
          <w:p>
            <w:r>
              <w:rPr>
                <w:b/>
                <w:color w:val="FFFFFF"/>
                <w:sz w:val="16"/>
              </w:rPr>
              <w:t>Residual</w:t>
            </w:r>
          </w:p>
        </w:tc>
        <w:tc>
          <w:tcPr>
            <w:tcW w:type="dxa" w:w="1750"/>
            <w:shd w:fill="17365D"/>
            <w:vAlign w:val="center"/>
          </w:tcPr>
          <w:p>
            <w:r>
              <w:rPr>
                <w:b/>
                <w:color w:val="FFFFFF"/>
                <w:sz w:val="16"/>
              </w:rPr>
              <w:t>Owner</w:t>
            </w:r>
          </w:p>
        </w:tc>
        <w:tc>
          <w:tcPr>
            <w:tcW w:type="dxa" w:w="1410"/>
            <w:shd w:fill="17365D"/>
            <w:vAlign w:val="center"/>
          </w:tcPr>
          <w:p>
            <w:r>
              <w:rPr>
                <w:b/>
                <w:color w:val="FFFFFF"/>
                <w:sz w:val="16"/>
              </w:rPr>
              <w:t>Treatment</w:t>
            </w:r>
          </w:p>
        </w:tc>
      </w:tr>
      <w:tr>
        <w:trPr>
          <w:trHeight w:hRule="atLeast"/>
          <w:cantSplit/>
        </w:trPr>
        <w:tc>
          <w:tcPr>
            <w:tcW w:type="dxa" w:w="700"/>
            <w:vAlign w:val="top"/>
          </w:tcPr>
          <w:p>
            <w:pPr>
              <w:spacing w:after="20"/>
            </w:pPr>
            <w:r>
              <w:rPr>
                <w:sz w:val="15"/>
              </w:rPr>
              <w:t>F-001</w:t>
            </w:r>
          </w:p>
        </w:tc>
        <w:tc>
          <w:tcPr>
            <w:tcW w:type="dxa" w:w="3000"/>
            <w:vAlign w:val="top"/>
          </w:tcPr>
          <w:p>
            <w:pPr>
              <w:spacing w:after="20"/>
            </w:pPr>
            <w:r>
              <w:rPr>
                <w:sz w:val="15"/>
              </w:rPr>
              <w:t>Local MCP exposes infrastructure metadata without an API key</w:t>
            </w:r>
          </w:p>
        </w:tc>
        <w:tc>
          <w:tcPr>
            <w:tcW w:type="dxa" w:w="1250"/>
            <w:vAlign w:val="top"/>
          </w:tcPr>
          <w:p>
            <w:pPr>
              <w:spacing w:after="20"/>
            </w:pPr>
            <w:r>
              <w:rPr>
                <w:sz w:val="15"/>
              </w:rPr>
              <w:t>4×4=16 High</w:t>
            </w:r>
          </w:p>
        </w:tc>
        <w:tc>
          <w:tcPr>
            <w:tcW w:type="dxa" w:w="1250"/>
            <w:vAlign w:val="top"/>
          </w:tcPr>
          <w:p>
            <w:pPr>
              <w:spacing w:after="20"/>
            </w:pPr>
            <w:r>
              <w:rPr>
                <w:sz w:val="15"/>
              </w:rPr>
              <w:t>3×4=12 High</w:t>
            </w:r>
          </w:p>
        </w:tc>
        <w:tc>
          <w:tcPr>
            <w:tcW w:type="dxa" w:w="1750"/>
            <w:vAlign w:val="top"/>
          </w:tcPr>
          <w:p>
            <w:pPr>
              <w:spacing w:after="20"/>
            </w:pPr>
            <w:r>
              <w:rPr>
                <w:sz w:val="15"/>
              </w:rPr>
              <w:t>Netdata Service Owner</w:t>
            </w:r>
          </w:p>
        </w:tc>
        <w:tc>
          <w:tcPr>
            <w:tcW w:type="dxa" w:w="1410"/>
            <w:vAlign w:val="top"/>
          </w:tcPr>
          <w:p>
            <w:pPr>
              <w:spacing w:after="20"/>
            </w:pPr>
            <w:r>
              <w:rPr>
                <w:sz w:val="15"/>
              </w:rPr>
              <w:t>Mitigate</w:t>
            </w:r>
          </w:p>
        </w:tc>
      </w:tr>
      <w:tr>
        <w:trPr>
          <w:trHeight w:hRule="atLeast"/>
          <w:cantSplit/>
        </w:trPr>
        <w:tc>
          <w:tcPr>
            <w:tcW w:type="dxa" w:w="700"/>
            <w:vAlign w:val="top"/>
            <w:shd w:fill="EEF4F7"/>
          </w:tcPr>
          <w:p>
            <w:pPr>
              <w:spacing w:after="20"/>
            </w:pPr>
            <w:r>
              <w:rPr>
                <w:sz w:val="15"/>
              </w:rPr>
              <w:t>F-002</w:t>
            </w:r>
          </w:p>
        </w:tc>
        <w:tc>
          <w:tcPr>
            <w:tcW w:type="dxa" w:w="3000"/>
            <w:vAlign w:val="top"/>
            <w:shd w:fill="EEF4F7"/>
          </w:tcPr>
          <w:p>
            <w:pPr>
              <w:spacing w:after="20"/>
            </w:pPr>
            <w:r>
              <w:rPr>
                <w:sz w:val="15"/>
              </w:rPr>
              <w:t>A single local key grants coarse administrative authority and can leak through compatibility transports</w:t>
            </w:r>
          </w:p>
        </w:tc>
        <w:tc>
          <w:tcPr>
            <w:tcW w:type="dxa" w:w="1250"/>
            <w:vAlign w:val="top"/>
            <w:shd w:fill="EEF4F7"/>
          </w:tcPr>
          <w:p>
            <w:pPr>
              <w:spacing w:after="20"/>
            </w:pPr>
            <w:r>
              <w:rPr>
                <w:sz w:val="15"/>
              </w:rPr>
              <w:t>5×4=20 Critical</w:t>
            </w:r>
          </w:p>
        </w:tc>
        <w:tc>
          <w:tcPr>
            <w:tcW w:type="dxa" w:w="1250"/>
            <w:vAlign w:val="top"/>
            <w:shd w:fill="EEF4F7"/>
          </w:tcPr>
          <w:p>
            <w:pPr>
              <w:spacing w:after="20"/>
            </w:pPr>
            <w:r>
              <w:rPr>
                <w:sz w:val="15"/>
              </w:rPr>
              <w:t>4×4=16 High</w:t>
            </w:r>
          </w:p>
        </w:tc>
        <w:tc>
          <w:tcPr>
            <w:tcW w:type="dxa" w:w="1750"/>
            <w:vAlign w:val="top"/>
            <w:shd w:fill="EEF4F7"/>
          </w:tcPr>
          <w:p>
            <w:pPr>
              <w:spacing w:after="20"/>
            </w:pPr>
            <w:r>
              <w:rPr>
                <w:sz w:val="15"/>
              </w:rPr>
              <w:t>IAM and Platform Engineering</w:t>
            </w:r>
          </w:p>
        </w:tc>
        <w:tc>
          <w:tcPr>
            <w:tcW w:type="dxa" w:w="1410"/>
            <w:vAlign w:val="top"/>
            <w:shd w:fill="EEF4F7"/>
          </w:tcPr>
          <w:p>
            <w:pPr>
              <w:spacing w:after="20"/>
            </w:pPr>
            <w:r>
              <w:rPr>
                <w:sz w:val="15"/>
              </w:rPr>
              <w:t>Mitigate</w:t>
            </w:r>
          </w:p>
        </w:tc>
      </w:tr>
      <w:tr>
        <w:trPr>
          <w:trHeight w:hRule="atLeast"/>
          <w:cantSplit/>
        </w:trPr>
        <w:tc>
          <w:tcPr>
            <w:tcW w:type="dxa" w:w="700"/>
            <w:vAlign w:val="top"/>
          </w:tcPr>
          <w:p>
            <w:pPr>
              <w:spacing w:after="20"/>
            </w:pPr>
            <w:r>
              <w:rPr>
                <w:sz w:val="15"/>
              </w:rPr>
              <w:t>F-003</w:t>
            </w:r>
          </w:p>
        </w:tc>
        <w:tc>
          <w:tcPr>
            <w:tcW w:type="dxa" w:w="3000"/>
            <w:vAlign w:val="top"/>
          </w:tcPr>
          <w:p>
            <w:pPr>
              <w:spacing w:after="20"/>
            </w:pPr>
            <w:r>
              <w:rPr>
                <w:sz w:val="15"/>
              </w:rPr>
              <w:t>Documented local HTTP and WebSocket paths permit cleartext credentials and observability content</w:t>
            </w:r>
          </w:p>
        </w:tc>
        <w:tc>
          <w:tcPr>
            <w:tcW w:type="dxa" w:w="1250"/>
            <w:vAlign w:val="top"/>
          </w:tcPr>
          <w:p>
            <w:pPr>
              <w:spacing w:after="20"/>
            </w:pPr>
            <w:r>
              <w:rPr>
                <w:sz w:val="15"/>
              </w:rPr>
              <w:t>5×4=20 Critical</w:t>
            </w:r>
          </w:p>
        </w:tc>
        <w:tc>
          <w:tcPr>
            <w:tcW w:type="dxa" w:w="1250"/>
            <w:vAlign w:val="top"/>
          </w:tcPr>
          <w:p>
            <w:pPr>
              <w:spacing w:after="20"/>
            </w:pPr>
            <w:r>
              <w:rPr>
                <w:sz w:val="15"/>
              </w:rPr>
              <w:t>3×5=15 High</w:t>
            </w:r>
          </w:p>
        </w:tc>
        <w:tc>
          <w:tcPr>
            <w:tcW w:type="dxa" w:w="1750"/>
            <w:vAlign w:val="top"/>
          </w:tcPr>
          <w:p>
            <w:pPr>
              <w:spacing w:after="20"/>
            </w:pPr>
            <w:r>
              <w:rPr>
                <w:sz w:val="15"/>
              </w:rPr>
              <w:t>Platform Engineering</w:t>
            </w:r>
          </w:p>
        </w:tc>
        <w:tc>
          <w:tcPr>
            <w:tcW w:type="dxa" w:w="1410"/>
            <w:vAlign w:val="top"/>
          </w:tcPr>
          <w:p>
            <w:pPr>
              <w:spacing w:after="20"/>
            </w:pPr>
            <w:r>
              <w:rPr>
                <w:sz w:val="15"/>
              </w:rPr>
              <w:t>Avoid/Mitigate</w:t>
            </w:r>
          </w:p>
        </w:tc>
      </w:tr>
      <w:tr>
        <w:trPr>
          <w:trHeight w:hRule="atLeast"/>
          <w:cantSplit/>
        </w:trPr>
        <w:tc>
          <w:tcPr>
            <w:tcW w:type="dxa" w:w="700"/>
            <w:vAlign w:val="top"/>
            <w:shd w:fill="EEF4F7"/>
          </w:tcPr>
          <w:p>
            <w:pPr>
              <w:spacing w:after="20"/>
            </w:pPr>
            <w:r>
              <w:rPr>
                <w:sz w:val="15"/>
              </w:rPr>
              <w:t>F-004</w:t>
            </w:r>
          </w:p>
        </w:tc>
        <w:tc>
          <w:tcPr>
            <w:tcW w:type="dxa" w:w="3000"/>
            <w:vAlign w:val="top"/>
            <w:shd w:fill="EEF4F7"/>
          </w:tcPr>
          <w:p>
            <w:pPr>
              <w:spacing w:after="20"/>
            </w:pPr>
            <w:r>
              <w:rPr>
                <w:sz w:val="15"/>
              </w:rPr>
              <w:t>execute_function exposes high-impact live operational data under a read-only label</w:t>
            </w:r>
          </w:p>
        </w:tc>
        <w:tc>
          <w:tcPr>
            <w:tcW w:type="dxa" w:w="1250"/>
            <w:vAlign w:val="top"/>
            <w:shd w:fill="EEF4F7"/>
          </w:tcPr>
          <w:p>
            <w:pPr>
              <w:spacing w:after="20"/>
            </w:pPr>
            <w:r>
              <w:rPr>
                <w:sz w:val="15"/>
              </w:rPr>
              <w:t>5×4=20 Critical</w:t>
            </w:r>
          </w:p>
        </w:tc>
        <w:tc>
          <w:tcPr>
            <w:tcW w:type="dxa" w:w="1250"/>
            <w:vAlign w:val="top"/>
            <w:shd w:fill="EEF4F7"/>
          </w:tcPr>
          <w:p>
            <w:pPr>
              <w:spacing w:after="20"/>
            </w:pPr>
            <w:r>
              <w:rPr>
                <w:sz w:val="15"/>
              </w:rPr>
              <w:t>4×4=16 High</w:t>
            </w:r>
          </w:p>
        </w:tc>
        <w:tc>
          <w:tcPr>
            <w:tcW w:type="dxa" w:w="1750"/>
            <w:vAlign w:val="top"/>
            <w:shd w:fill="EEF4F7"/>
          </w:tcPr>
          <w:p>
            <w:pPr>
              <w:spacing w:after="20"/>
            </w:pPr>
            <w:r>
              <w:rPr>
                <w:sz w:val="15"/>
              </w:rPr>
              <w:t>Security Architecture</w:t>
            </w:r>
          </w:p>
        </w:tc>
        <w:tc>
          <w:tcPr>
            <w:tcW w:type="dxa" w:w="1410"/>
            <w:vAlign w:val="top"/>
            <w:shd w:fill="EEF4F7"/>
          </w:tcPr>
          <w:p>
            <w:pPr>
              <w:spacing w:after="20"/>
            </w:pPr>
            <w:r>
              <w:rPr>
                <w:sz w:val="15"/>
              </w:rPr>
              <w:t>Mitigate</w:t>
            </w:r>
          </w:p>
        </w:tc>
      </w:tr>
      <w:tr>
        <w:trPr>
          <w:trHeight w:hRule="atLeast"/>
          <w:cantSplit/>
        </w:trPr>
        <w:tc>
          <w:tcPr>
            <w:tcW w:type="dxa" w:w="700"/>
            <w:vAlign w:val="top"/>
          </w:tcPr>
          <w:p>
            <w:pPr>
              <w:spacing w:after="20"/>
            </w:pPr>
            <w:r>
              <w:rPr>
                <w:sz w:val="15"/>
              </w:rPr>
              <w:t>F-005</w:t>
            </w:r>
          </w:p>
        </w:tc>
        <w:tc>
          <w:tcPr>
            <w:tcW w:type="dxa" w:w="3000"/>
            <w:vAlign w:val="top"/>
          </w:tcPr>
          <w:p>
            <w:pPr>
              <w:spacing w:after="20"/>
            </w:pPr>
            <w:r>
              <w:rPr>
                <w:sz w:val="15"/>
              </w:rPr>
              <w:t>Vendor examples execute the mutable mcp-remote@latest bridge</w:t>
            </w:r>
          </w:p>
        </w:tc>
        <w:tc>
          <w:tcPr>
            <w:tcW w:type="dxa" w:w="1250"/>
            <w:vAlign w:val="top"/>
          </w:tcPr>
          <w:p>
            <w:pPr>
              <w:spacing w:after="20"/>
            </w:pPr>
            <w:r>
              <w:rPr>
                <w:sz w:val="15"/>
              </w:rPr>
              <w:t>4×4=16 High</w:t>
            </w:r>
          </w:p>
        </w:tc>
        <w:tc>
          <w:tcPr>
            <w:tcW w:type="dxa" w:w="1250"/>
            <w:vAlign w:val="top"/>
          </w:tcPr>
          <w:p>
            <w:pPr>
              <w:spacing w:after="20"/>
            </w:pPr>
            <w:r>
              <w:rPr>
                <w:sz w:val="15"/>
              </w:rPr>
              <w:t>3×4=12 High</w:t>
            </w:r>
          </w:p>
        </w:tc>
        <w:tc>
          <w:tcPr>
            <w:tcW w:type="dxa" w:w="1750"/>
            <w:vAlign w:val="top"/>
          </w:tcPr>
          <w:p>
            <w:pPr>
              <w:spacing w:after="20"/>
            </w:pPr>
            <w:r>
              <w:rPr>
                <w:sz w:val="15"/>
              </w:rPr>
              <w:t>Software Supply Chain</w:t>
            </w:r>
          </w:p>
        </w:tc>
        <w:tc>
          <w:tcPr>
            <w:tcW w:type="dxa" w:w="1410"/>
            <w:vAlign w:val="top"/>
          </w:tcPr>
          <w:p>
            <w:pPr>
              <w:spacing w:after="20"/>
            </w:pPr>
            <w:r>
              <w:rPr>
                <w:sz w:val="15"/>
              </w:rPr>
              <w:t>Mitigate</w:t>
            </w:r>
          </w:p>
        </w:tc>
      </w:tr>
      <w:tr>
        <w:trPr>
          <w:trHeight w:hRule="atLeast"/>
          <w:cantSplit/>
        </w:trPr>
        <w:tc>
          <w:tcPr>
            <w:tcW w:type="dxa" w:w="700"/>
            <w:vAlign w:val="top"/>
            <w:shd w:fill="EEF4F7"/>
          </w:tcPr>
          <w:p>
            <w:pPr>
              <w:spacing w:after="20"/>
            </w:pPr>
            <w:r>
              <w:rPr>
                <w:sz w:val="15"/>
              </w:rPr>
              <w:t>F-006</w:t>
            </w:r>
          </w:p>
        </w:tc>
        <w:tc>
          <w:tcPr>
            <w:tcW w:type="dxa" w:w="3000"/>
            <w:vAlign w:val="top"/>
            <w:shd w:fill="EEF4F7"/>
          </w:tcPr>
          <w:p>
            <w:pPr>
              <w:spacing w:after="20"/>
            </w:pPr>
            <w:r>
              <w:rPr>
                <w:sz w:val="15"/>
              </w:rPr>
              <w:t>Hosted service provenance and MCP schema drift are not client-verifiable</w:t>
            </w:r>
          </w:p>
        </w:tc>
        <w:tc>
          <w:tcPr>
            <w:tcW w:type="dxa" w:w="1250"/>
            <w:vAlign w:val="top"/>
            <w:shd w:fill="EEF4F7"/>
          </w:tcPr>
          <w:p>
            <w:pPr>
              <w:spacing w:after="20"/>
            </w:pPr>
            <w:r>
              <w:rPr>
                <w:sz w:val="15"/>
              </w:rPr>
              <w:t>4×4=16 High</w:t>
            </w:r>
          </w:p>
        </w:tc>
        <w:tc>
          <w:tcPr>
            <w:tcW w:type="dxa" w:w="1250"/>
            <w:vAlign w:val="top"/>
            <w:shd w:fill="EEF4F7"/>
          </w:tcPr>
          <w:p>
            <w:pPr>
              <w:spacing w:after="20"/>
            </w:pPr>
            <w:r>
              <w:rPr>
                <w:sz w:val="15"/>
              </w:rPr>
              <w:t>3×4=12 High</w:t>
            </w:r>
          </w:p>
        </w:tc>
        <w:tc>
          <w:tcPr>
            <w:tcW w:type="dxa" w:w="1750"/>
            <w:vAlign w:val="top"/>
            <w:shd w:fill="EEF4F7"/>
          </w:tcPr>
          <w:p>
            <w:pPr>
              <w:spacing w:after="20"/>
            </w:pPr>
            <w:r>
              <w:rPr>
                <w:sz w:val="15"/>
              </w:rPr>
              <w:t>Third-Party Risk</w:t>
            </w:r>
          </w:p>
        </w:tc>
        <w:tc>
          <w:tcPr>
            <w:tcW w:type="dxa" w:w="1410"/>
            <w:vAlign w:val="top"/>
            <w:shd w:fill="EEF4F7"/>
          </w:tcPr>
          <w:p>
            <w:pPr>
              <w:spacing w:after="20"/>
            </w:pPr>
            <w:r>
              <w:rPr>
                <w:sz w:val="15"/>
              </w:rPr>
              <w:t>Mitigate</w:t>
            </w:r>
          </w:p>
        </w:tc>
      </w:tr>
      <w:tr>
        <w:trPr>
          <w:trHeight w:hRule="atLeast"/>
          <w:cantSplit/>
        </w:trPr>
        <w:tc>
          <w:tcPr>
            <w:tcW w:type="dxa" w:w="700"/>
            <w:vAlign w:val="top"/>
          </w:tcPr>
          <w:p>
            <w:pPr>
              <w:spacing w:after="20"/>
            </w:pPr>
            <w:r>
              <w:rPr>
                <w:sz w:val="15"/>
              </w:rPr>
              <w:t>F-007</w:t>
            </w:r>
          </w:p>
        </w:tc>
        <w:tc>
          <w:tcPr>
            <w:tcW w:type="dxa" w:w="3000"/>
            <w:vAlign w:val="top"/>
          </w:tcPr>
          <w:p>
            <w:pPr>
              <w:spacing w:after="20"/>
            </w:pPr>
            <w:r>
              <w:rPr>
                <w:sz w:val="15"/>
              </w:rPr>
              <w:t>Cloud scope, tenant isolation and cross-node authorisation remain unverified</w:t>
            </w:r>
          </w:p>
        </w:tc>
        <w:tc>
          <w:tcPr>
            <w:tcW w:type="dxa" w:w="1250"/>
            <w:vAlign w:val="top"/>
          </w:tcPr>
          <w:p>
            <w:pPr>
              <w:spacing w:after="20"/>
            </w:pPr>
            <w:r>
              <w:rPr>
                <w:sz w:val="15"/>
              </w:rPr>
              <w:t>5×4=20 Critical</w:t>
            </w:r>
          </w:p>
        </w:tc>
        <w:tc>
          <w:tcPr>
            <w:tcW w:type="dxa" w:w="1250"/>
            <w:vAlign w:val="top"/>
          </w:tcPr>
          <w:p>
            <w:pPr>
              <w:spacing w:after="20"/>
            </w:pPr>
            <w:r>
              <w:rPr>
                <w:sz w:val="15"/>
              </w:rPr>
              <w:t>4×4=16 High</w:t>
            </w:r>
          </w:p>
        </w:tc>
        <w:tc>
          <w:tcPr>
            <w:tcW w:type="dxa" w:w="1750"/>
            <w:vAlign w:val="top"/>
          </w:tcPr>
          <w:p>
            <w:pPr>
              <w:spacing w:after="20"/>
            </w:pPr>
            <w:r>
              <w:rPr>
                <w:sz w:val="15"/>
              </w:rPr>
              <w:t>IAM and Netdata Service Owner</w:t>
            </w:r>
          </w:p>
        </w:tc>
        <w:tc>
          <w:tcPr>
            <w:tcW w:type="dxa" w:w="1410"/>
            <w:vAlign w:val="top"/>
          </w:tcPr>
          <w:p>
            <w:pPr>
              <w:spacing w:after="20"/>
            </w:pPr>
            <w:r>
              <w:rPr>
                <w:sz w:val="15"/>
              </w:rPr>
              <w:t>Defer/Mitigate</w:t>
            </w:r>
          </w:p>
        </w:tc>
      </w:tr>
      <w:tr>
        <w:trPr>
          <w:trHeight w:hRule="atLeast"/>
          <w:cantSplit/>
        </w:trPr>
        <w:tc>
          <w:tcPr>
            <w:tcW w:type="dxa" w:w="700"/>
            <w:vAlign w:val="top"/>
            <w:shd w:fill="EEF4F7"/>
          </w:tcPr>
          <w:p>
            <w:pPr>
              <w:spacing w:after="20"/>
            </w:pPr>
            <w:r>
              <w:rPr>
                <w:sz w:val="15"/>
              </w:rPr>
              <w:t>F-008</w:t>
            </w:r>
          </w:p>
        </w:tc>
        <w:tc>
          <w:tcPr>
            <w:tcW w:type="dxa" w:w="3000"/>
            <w:vAlign w:val="top"/>
            <w:shd w:fill="EEF4F7"/>
          </w:tcPr>
          <w:p>
            <w:pPr>
              <w:spacing w:after="20"/>
            </w:pPr>
            <w:r>
              <w:rPr>
                <w:sz w:val="15"/>
              </w:rPr>
              <w:t>Analytical and function calls can consume material service or monitored-node resources</w:t>
            </w:r>
          </w:p>
        </w:tc>
        <w:tc>
          <w:tcPr>
            <w:tcW w:type="dxa" w:w="1250"/>
            <w:vAlign w:val="top"/>
            <w:shd w:fill="EEF4F7"/>
          </w:tcPr>
          <w:p>
            <w:pPr>
              <w:spacing w:after="20"/>
            </w:pPr>
            <w:r>
              <w:rPr>
                <w:sz w:val="15"/>
              </w:rPr>
              <w:t>4×3=12 High</w:t>
            </w:r>
          </w:p>
        </w:tc>
        <w:tc>
          <w:tcPr>
            <w:tcW w:type="dxa" w:w="1250"/>
            <w:vAlign w:val="top"/>
            <w:shd w:fill="EEF4F7"/>
          </w:tcPr>
          <w:p>
            <w:pPr>
              <w:spacing w:after="20"/>
            </w:pPr>
            <w:r>
              <w:rPr>
                <w:sz w:val="15"/>
              </w:rPr>
              <w:t>3×3=9 Moderate</w:t>
            </w:r>
          </w:p>
        </w:tc>
        <w:tc>
          <w:tcPr>
            <w:tcW w:type="dxa" w:w="1750"/>
            <w:vAlign w:val="top"/>
            <w:shd w:fill="EEF4F7"/>
          </w:tcPr>
          <w:p>
            <w:pPr>
              <w:spacing w:after="20"/>
            </w:pPr>
            <w:r>
              <w:rPr>
                <w:sz w:val="15"/>
              </w:rPr>
              <w:t>SRE</w:t>
            </w:r>
          </w:p>
        </w:tc>
        <w:tc>
          <w:tcPr>
            <w:tcW w:type="dxa" w:w="1410"/>
            <w:vAlign w:val="top"/>
            <w:shd w:fill="EEF4F7"/>
          </w:tcPr>
          <w:p>
            <w:pPr>
              <w:spacing w:after="20"/>
            </w:pPr>
            <w:r>
              <w:rPr>
                <w:sz w:val="15"/>
              </w:rPr>
              <w:t>Mitigate</w:t>
            </w:r>
          </w:p>
        </w:tc>
      </w:tr>
      <w:tr>
        <w:trPr>
          <w:trHeight w:hRule="atLeast"/>
          <w:cantSplit/>
        </w:trPr>
        <w:tc>
          <w:tcPr>
            <w:tcW w:type="dxa" w:w="700"/>
            <w:vAlign w:val="top"/>
          </w:tcPr>
          <w:p>
            <w:pPr>
              <w:spacing w:after="20"/>
            </w:pPr>
            <w:r>
              <w:rPr>
                <w:sz w:val="15"/>
              </w:rPr>
              <w:t>F-009</w:t>
            </w:r>
          </w:p>
        </w:tc>
        <w:tc>
          <w:tcPr>
            <w:tcW w:type="dxa" w:w="3000"/>
            <w:vAlign w:val="top"/>
          </w:tcPr>
          <w:p>
            <w:pPr>
              <w:spacing w:after="20"/>
            </w:pPr>
            <w:r>
              <w:rPr>
                <w:sz w:val="15"/>
              </w:rPr>
              <w:t>Regulated observability data can enter IDE, model and supplier retention surfaces</w:t>
            </w:r>
          </w:p>
        </w:tc>
        <w:tc>
          <w:tcPr>
            <w:tcW w:type="dxa" w:w="1250"/>
            <w:vAlign w:val="top"/>
          </w:tcPr>
          <w:p>
            <w:pPr>
              <w:spacing w:after="20"/>
            </w:pPr>
            <w:r>
              <w:rPr>
                <w:sz w:val="15"/>
              </w:rPr>
              <w:t>5×4=20 Critical</w:t>
            </w:r>
          </w:p>
        </w:tc>
        <w:tc>
          <w:tcPr>
            <w:tcW w:type="dxa" w:w="1250"/>
            <w:vAlign w:val="top"/>
          </w:tcPr>
          <w:p>
            <w:pPr>
              <w:spacing w:after="20"/>
            </w:pPr>
            <w:r>
              <w:rPr>
                <w:sz w:val="15"/>
              </w:rPr>
              <w:t>4×4=16 High</w:t>
            </w:r>
          </w:p>
        </w:tc>
        <w:tc>
          <w:tcPr>
            <w:tcW w:type="dxa" w:w="1750"/>
            <w:vAlign w:val="top"/>
          </w:tcPr>
          <w:p>
            <w:pPr>
              <w:spacing w:after="20"/>
            </w:pPr>
            <w:r>
              <w:rPr>
                <w:sz w:val="15"/>
              </w:rPr>
              <w:t>Data Protection Officer</w:t>
            </w:r>
          </w:p>
        </w:tc>
        <w:tc>
          <w:tcPr>
            <w:tcW w:type="dxa" w:w="1410"/>
            <w:vAlign w:val="top"/>
          </w:tcPr>
          <w:p>
            <w:pPr>
              <w:spacing w:after="20"/>
            </w:pPr>
            <w:r>
              <w:rPr>
                <w:sz w:val="15"/>
              </w:rPr>
              <w:t>Defer/Mitigate</w:t>
            </w:r>
          </w:p>
        </w:tc>
      </w:tr>
      <w:tr>
        <w:trPr>
          <w:trHeight w:hRule="atLeast"/>
          <w:cantSplit/>
        </w:trPr>
        <w:tc>
          <w:tcPr>
            <w:tcW w:type="dxa" w:w="700"/>
            <w:vAlign w:val="top"/>
            <w:shd w:fill="EEF4F7"/>
          </w:tcPr>
          <w:p>
            <w:pPr>
              <w:spacing w:after="20"/>
            </w:pPr>
            <w:r>
              <w:rPr>
                <w:sz w:val="15"/>
              </w:rPr>
              <w:t>F-010</w:t>
            </w:r>
          </w:p>
        </w:tc>
        <w:tc>
          <w:tcPr>
            <w:tcW w:type="dxa" w:w="3000"/>
            <w:vAlign w:val="top"/>
            <w:shd w:fill="EEF4F7"/>
          </w:tcPr>
          <w:p>
            <w:pPr>
              <w:spacing w:after="20"/>
            </w:pPr>
            <w:r>
              <w:rPr>
                <w:sz w:val="15"/>
              </w:rPr>
              <w:t>Representative IDE runtime, lifecycle and cleanup controls are not evidenced</w:t>
            </w:r>
          </w:p>
        </w:tc>
        <w:tc>
          <w:tcPr>
            <w:tcW w:type="dxa" w:w="1250"/>
            <w:vAlign w:val="top"/>
            <w:shd w:fill="EEF4F7"/>
          </w:tcPr>
          <w:p>
            <w:pPr>
              <w:spacing w:after="20"/>
            </w:pPr>
            <w:r>
              <w:rPr>
                <w:sz w:val="15"/>
              </w:rPr>
              <w:t>4×3=12 High</w:t>
            </w:r>
          </w:p>
        </w:tc>
        <w:tc>
          <w:tcPr>
            <w:tcW w:type="dxa" w:w="1250"/>
            <w:vAlign w:val="top"/>
            <w:shd w:fill="EEF4F7"/>
          </w:tcPr>
          <w:p>
            <w:pPr>
              <w:spacing w:after="20"/>
            </w:pPr>
            <w:r>
              <w:rPr>
                <w:sz w:val="15"/>
              </w:rPr>
              <w:t>4×3=12 High</w:t>
            </w:r>
          </w:p>
        </w:tc>
        <w:tc>
          <w:tcPr>
            <w:tcW w:type="dxa" w:w="1750"/>
            <w:vAlign w:val="top"/>
            <w:shd w:fill="EEF4F7"/>
          </w:tcPr>
          <w:p>
            <w:pPr>
              <w:spacing w:after="20"/>
            </w:pPr>
            <w:r>
              <w:rPr>
                <w:sz w:val="15"/>
              </w:rPr>
              <w:t>IDE Platform Owner</w:t>
            </w:r>
          </w:p>
        </w:tc>
        <w:tc>
          <w:tcPr>
            <w:tcW w:type="dxa" w:w="1410"/>
            <w:vAlign w:val="top"/>
            <w:shd w:fill="EEF4F7"/>
          </w:tcPr>
          <w:p>
            <w:pPr>
              <w:spacing w:after="20"/>
            </w:pPr>
            <w:r>
              <w:rPr>
                <w:sz w:val="15"/>
              </w:rPr>
              <w:t>Defer</w:t>
            </w:r>
          </w:p>
        </w:tc>
      </w:tr>
    </w:tbl>
    <w:p/>
    <w:p>
      <w:r>
        <w:t>Legend: 1–4 Low; 5–9 Moderate; 10–16 High; 17–25 Critical. Residual values assume the proposed treatment is implemented and verified. They are not current-state control claims. The risk owner must record acceptance, transfer, avoidance or mitigation and a target date/milestone.</w:t>
      </w:r>
    </w:p>
    <w:p>
      <w:pPr>
        <w:pStyle w:val="Heading1"/>
      </w:pPr>
      <w:r>
        <w:t>Validated Finding Records</w:t>
      </w:r>
    </w:p>
    <w:p>
      <w:pPr>
        <w:pStyle w:val="Heading2"/>
      </w:pPr>
      <w:r>
        <w:t>F-001 – Local MCP exposes infrastructure metadata without an API key</w:t>
      </w:r>
    </w:p>
    <w:tbl>
      <w:tblPr>
        <w:tblStyle w:val="TableGrid"/>
        <w:tblW w:type="dxa" w:w="9360"/>
        <w:jc w:val="center"/>
        <w:tblLook w:firstColumn="1" w:firstRow="1" w:lastColumn="0" w:lastRow="0" w:noHBand="0" w:noVBand="1" w:val="04A0"/>
        <w:tblInd w:w="120" w:type="dxa"/>
        <w:tblLayout w:type="fixed"/>
      </w:tblPr>
      <w:tblGrid>
        <w:gridCol w:w="2200"/>
        <w:gridCol w:w="7160"/>
      </w:tblGrid>
      <w:tr>
        <w:trPr>
          <w:tblHeader w:val="true"/>
          <w:cantSplit/>
        </w:trPr>
        <w:tc>
          <w:tcPr>
            <w:tcW w:type="dxa" w:w="2200"/>
            <w:shd w:fill="17365D"/>
            <w:vAlign w:val="center"/>
          </w:tcPr>
          <w:p>
            <w:r>
              <w:rPr>
                <w:b/>
                <w:color w:val="FFFFFF"/>
                <w:sz w:val="16"/>
              </w:rPr>
              <w:t>Field</w:t>
            </w:r>
          </w:p>
        </w:tc>
        <w:tc>
          <w:tcPr>
            <w:tcW w:type="dxa" w:w="7160"/>
            <w:shd w:fill="17365D"/>
            <w:vAlign w:val="center"/>
          </w:tcPr>
          <w:p>
            <w:r>
              <w:rPr>
                <w:b/>
                <w:color w:val="FFFFFF"/>
                <w:sz w:val="16"/>
              </w:rPr>
              <w:t>Value</w:t>
            </w:r>
          </w:p>
        </w:tc>
      </w:tr>
      <w:tr>
        <w:trPr>
          <w:trHeight w:hRule="atLeast"/>
          <w:cantSplit/>
        </w:trPr>
        <w:tc>
          <w:tcPr>
            <w:tcW w:type="dxa" w:w="2200"/>
            <w:vAlign w:val="top"/>
          </w:tcPr>
          <w:p>
            <w:pPr>
              <w:spacing w:after="20"/>
            </w:pPr>
            <w:r>
              <w:rPr>
                <w:sz w:val="15"/>
              </w:rPr>
              <w:t>Severity / CWE</w:t>
            </w:r>
          </w:p>
        </w:tc>
        <w:tc>
          <w:tcPr>
            <w:tcW w:type="dxa" w:w="7160"/>
            <w:vAlign w:val="top"/>
          </w:tcPr>
          <w:p>
            <w:pPr>
              <w:spacing w:after="20"/>
            </w:pPr>
            <w:r>
              <w:rPr>
                <w:sz w:val="15"/>
              </w:rPr>
              <w:t>High / CWE-306</w:t>
            </w:r>
          </w:p>
        </w:tc>
      </w:tr>
      <w:tr>
        <w:trPr>
          <w:trHeight w:hRule="atLeast"/>
          <w:cantSplit/>
        </w:trPr>
        <w:tc>
          <w:tcPr>
            <w:tcW w:type="dxa" w:w="2200"/>
            <w:vAlign w:val="top"/>
            <w:shd w:fill="EEF4F7"/>
          </w:tcPr>
          <w:p>
            <w:pPr>
              <w:spacing w:after="20"/>
            </w:pPr>
            <w:r>
              <w:rPr>
                <w:sz w:val="15"/>
              </w:rPr>
              <w:t>Inherent / residual</w:t>
            </w:r>
          </w:p>
        </w:tc>
        <w:tc>
          <w:tcPr>
            <w:tcW w:type="dxa" w:w="7160"/>
            <w:vAlign w:val="top"/>
            <w:shd w:fill="EEF4F7"/>
          </w:tcPr>
          <w:p>
            <w:pPr>
              <w:spacing w:after="20"/>
            </w:pPr>
            <w:r>
              <w:rPr>
                <w:sz w:val="15"/>
              </w:rPr>
              <w:t>4×4=16 High / 3×4=12 High</w:t>
            </w:r>
          </w:p>
        </w:tc>
      </w:tr>
      <w:tr>
        <w:trPr>
          <w:trHeight w:hRule="atLeast"/>
          <w:cantSplit/>
        </w:trPr>
        <w:tc>
          <w:tcPr>
            <w:tcW w:type="dxa" w:w="2200"/>
            <w:vAlign w:val="top"/>
          </w:tcPr>
          <w:p>
            <w:pPr>
              <w:spacing w:after="20"/>
            </w:pPr>
            <w:r>
              <w:rPr>
                <w:sz w:val="15"/>
              </w:rPr>
              <w:t>Affected scope</w:t>
            </w:r>
          </w:p>
        </w:tc>
        <w:tc>
          <w:tcPr>
            <w:tcW w:type="dxa" w:w="7160"/>
            <w:vAlign w:val="top"/>
          </w:tcPr>
          <w:p>
            <w:pPr>
              <w:spacing w:after="20"/>
            </w:pPr>
            <w:r>
              <w:rPr>
                <w:sz w:val="15"/>
              </w:rPr>
              <w:t>Netdata MCP 2.10.4; hosted/local/client aspects as stated</w:t>
            </w:r>
          </w:p>
        </w:tc>
      </w:tr>
      <w:tr>
        <w:trPr>
          <w:trHeight w:hRule="atLeast"/>
          <w:cantSplit/>
        </w:trPr>
        <w:tc>
          <w:tcPr>
            <w:tcW w:type="dxa" w:w="2200"/>
            <w:vAlign w:val="top"/>
            <w:shd w:fill="EEF4F7"/>
          </w:tcPr>
          <w:p>
            <w:pPr>
              <w:spacing w:after="20"/>
            </w:pPr>
            <w:r>
              <w:rPr>
                <w:sz w:val="15"/>
              </w:rPr>
              <w:t>Evidence</w:t>
            </w:r>
          </w:p>
        </w:tc>
        <w:tc>
          <w:tcPr>
            <w:tcW w:type="dxa" w:w="7160"/>
            <w:vAlign w:val="top"/>
            <w:shd w:fill="EEF4F7"/>
          </w:tcPr>
          <w:p>
            <w:pPr>
              <w:spacing w:after="20"/>
            </w:pPr>
            <w:r>
              <w:rPr>
                <w:sz w:val="15"/>
              </w:rPr>
              <w:t>README.md lines 295 and 318; local adapter flow; EVD-005</w:t>
            </w:r>
          </w:p>
        </w:tc>
      </w:tr>
      <w:tr>
        <w:trPr>
          <w:trHeight w:hRule="atLeast"/>
          <w:cantSplit/>
        </w:trPr>
        <w:tc>
          <w:tcPr>
            <w:tcW w:type="dxa" w:w="2200"/>
            <w:vAlign w:val="top"/>
          </w:tcPr>
          <w:p>
            <w:pPr>
              <w:spacing w:after="20"/>
            </w:pPr>
            <w:r>
              <w:rPr>
                <w:sz w:val="15"/>
              </w:rPr>
              <w:t>Owner / treatment</w:t>
            </w:r>
          </w:p>
        </w:tc>
        <w:tc>
          <w:tcPr>
            <w:tcW w:type="dxa" w:w="7160"/>
            <w:vAlign w:val="top"/>
          </w:tcPr>
          <w:p>
            <w:pPr>
              <w:spacing w:after="20"/>
            </w:pPr>
            <w:r>
              <w:rPr>
                <w:sz w:val="15"/>
              </w:rPr>
              <w:t>Netdata Service Owner / Mitigate</w:t>
            </w:r>
          </w:p>
        </w:tc>
      </w:tr>
    </w:tbl>
    <w:p/>
    <w:p>
      <w:pPr>
        <w:pStyle w:val="Heading3"/>
      </w:pPr>
      <w:r>
        <w:t>F-001 Attack Scenario and Impact</w:t>
      </w:r>
    </w:p>
    <w:p>
      <w:r>
        <w:t>An attacker, malicious workspace instruction or adjacent process that can reach an exposed Agent/Parent MCP endpoint omits the key and still enumerates nodes, metrics and alerts. This reveals host names, topology, monitoring coverage, health and incidents that improve reconnaissance and social engineering.</w:t>
      </w:r>
    </w:p>
    <w:p>
      <w:pPr>
        <w:pStyle w:val="Heading3"/>
      </w:pPr>
      <w:r>
        <w:t>F-001 Current Control Strength</w:t>
      </w:r>
    </w:p>
    <w:p>
      <w:r>
        <w:t>A key gates sensitive functions, but the endpoint intentionally permits a meaningful anonymous subset. Current strength is Weak when the service is reachable outside a tightly controlled host/network boundary.</w:t>
      </w:r>
    </w:p>
    <w:p>
      <w:pPr>
        <w:pStyle w:val="Heading3"/>
      </w:pPr>
      <w:r>
        <w:t>F-001 Remediation</w:t>
      </w:r>
    </w:p>
    <w:p>
      <w:r>
        <w:t>Bind local MCP to loopback or an authenticated private gateway; deny anonymous MCP in enterprise mode; enforce per-client identity and an allowlisted tool subset; segment port 19999; treat monitoring metadata as confidential.</w:t>
      </w:r>
    </w:p>
    <w:p>
      <w:pPr>
        <w:pStyle w:val="Heading3"/>
      </w:pPr>
      <w:r>
        <w:t>F-001 Verification Test</w:t>
      </w:r>
    </w:p>
    <w:p>
      <w:r>
        <w:t>From untrusted, peer and authorised network zones, call initialize/tools/list and every metadata tool without credentials. Expect network denial or 401/403, log the denial without secrets, and confirm no node/metric identifiers are returned.</w:t>
      </w:r>
    </w:p>
    <w:p>
      <w:pPr>
        <w:pStyle w:val="Heading2"/>
      </w:pPr>
      <w:r>
        <w:t>F-002 – A single local key grants coarse administrative authority and can leak through compatibility transports</w:t>
      </w:r>
    </w:p>
    <w:tbl>
      <w:tblPr>
        <w:tblStyle w:val="TableGrid"/>
        <w:tblW w:type="dxa" w:w="9360"/>
        <w:jc w:val="center"/>
        <w:tblLook w:firstColumn="1" w:firstRow="1" w:lastColumn="0" w:lastRow="0" w:noHBand="0" w:noVBand="1" w:val="04A0"/>
        <w:tblInd w:w="120" w:type="dxa"/>
        <w:tblLayout w:type="fixed"/>
      </w:tblPr>
      <w:tblGrid>
        <w:gridCol w:w="2200"/>
        <w:gridCol w:w="7160"/>
      </w:tblGrid>
      <w:tr>
        <w:trPr>
          <w:tblHeader w:val="true"/>
          <w:cantSplit/>
        </w:trPr>
        <w:tc>
          <w:tcPr>
            <w:tcW w:type="dxa" w:w="2200"/>
            <w:shd w:fill="17365D"/>
            <w:vAlign w:val="center"/>
          </w:tcPr>
          <w:p>
            <w:r>
              <w:rPr>
                <w:b/>
                <w:color w:val="FFFFFF"/>
                <w:sz w:val="16"/>
              </w:rPr>
              <w:t>Field</w:t>
            </w:r>
          </w:p>
        </w:tc>
        <w:tc>
          <w:tcPr>
            <w:tcW w:type="dxa" w:w="7160"/>
            <w:shd w:fill="17365D"/>
            <w:vAlign w:val="center"/>
          </w:tcPr>
          <w:p>
            <w:r>
              <w:rPr>
                <w:b/>
                <w:color w:val="FFFFFF"/>
                <w:sz w:val="16"/>
              </w:rPr>
              <w:t>Value</w:t>
            </w:r>
          </w:p>
        </w:tc>
      </w:tr>
      <w:tr>
        <w:trPr>
          <w:trHeight w:hRule="atLeast"/>
          <w:cantSplit/>
        </w:trPr>
        <w:tc>
          <w:tcPr>
            <w:tcW w:type="dxa" w:w="2200"/>
            <w:vAlign w:val="top"/>
          </w:tcPr>
          <w:p>
            <w:pPr>
              <w:spacing w:after="20"/>
            </w:pPr>
            <w:r>
              <w:rPr>
                <w:sz w:val="15"/>
              </w:rPr>
              <w:t>Severity / CWE</w:t>
            </w:r>
          </w:p>
        </w:tc>
        <w:tc>
          <w:tcPr>
            <w:tcW w:type="dxa" w:w="7160"/>
            <w:vAlign w:val="top"/>
          </w:tcPr>
          <w:p>
            <w:pPr>
              <w:spacing w:after="20"/>
            </w:pPr>
            <w:r>
              <w:rPr>
                <w:sz w:val="15"/>
              </w:rPr>
              <w:t>Critical / CWE-250 / CWE-598</w:t>
            </w:r>
          </w:p>
        </w:tc>
      </w:tr>
      <w:tr>
        <w:trPr>
          <w:trHeight w:hRule="atLeast"/>
          <w:cantSplit/>
        </w:trPr>
        <w:tc>
          <w:tcPr>
            <w:tcW w:type="dxa" w:w="2200"/>
            <w:vAlign w:val="top"/>
            <w:shd w:fill="EEF4F7"/>
          </w:tcPr>
          <w:p>
            <w:pPr>
              <w:spacing w:after="20"/>
            </w:pPr>
            <w:r>
              <w:rPr>
                <w:sz w:val="15"/>
              </w:rPr>
              <w:t>Inherent / residual</w:t>
            </w:r>
          </w:p>
        </w:tc>
        <w:tc>
          <w:tcPr>
            <w:tcW w:type="dxa" w:w="7160"/>
            <w:vAlign w:val="top"/>
            <w:shd w:fill="EEF4F7"/>
          </w:tcPr>
          <w:p>
            <w:pPr>
              <w:spacing w:after="20"/>
            </w:pPr>
            <w:r>
              <w:rPr>
                <w:sz w:val="15"/>
              </w:rPr>
              <w:t>5×4=20 Critical / 4×4=16 High</w:t>
            </w:r>
          </w:p>
        </w:tc>
      </w:tr>
      <w:tr>
        <w:trPr>
          <w:trHeight w:hRule="atLeast"/>
          <w:cantSplit/>
        </w:trPr>
        <w:tc>
          <w:tcPr>
            <w:tcW w:type="dxa" w:w="2200"/>
            <w:vAlign w:val="top"/>
          </w:tcPr>
          <w:p>
            <w:pPr>
              <w:spacing w:after="20"/>
            </w:pPr>
            <w:r>
              <w:rPr>
                <w:sz w:val="15"/>
              </w:rPr>
              <w:t>Affected scope</w:t>
            </w:r>
          </w:p>
        </w:tc>
        <w:tc>
          <w:tcPr>
            <w:tcW w:type="dxa" w:w="7160"/>
            <w:vAlign w:val="top"/>
          </w:tcPr>
          <w:p>
            <w:pPr>
              <w:spacing w:after="20"/>
            </w:pPr>
            <w:r>
              <w:rPr>
                <w:sz w:val="15"/>
              </w:rPr>
              <w:t>Netdata MCP 2.10.4; hosted/local/client aspects as stated</w:t>
            </w:r>
          </w:p>
        </w:tc>
      </w:tr>
      <w:tr>
        <w:trPr>
          <w:trHeight w:hRule="atLeast"/>
          <w:cantSplit/>
        </w:trPr>
        <w:tc>
          <w:tcPr>
            <w:tcW w:type="dxa" w:w="2200"/>
            <w:vAlign w:val="top"/>
            <w:shd w:fill="EEF4F7"/>
          </w:tcPr>
          <w:p>
            <w:pPr>
              <w:spacing w:after="20"/>
            </w:pPr>
            <w:r>
              <w:rPr>
                <w:sz w:val="15"/>
              </w:rPr>
              <w:t>Evidence</w:t>
            </w:r>
          </w:p>
        </w:tc>
        <w:tc>
          <w:tcPr>
            <w:tcW w:type="dxa" w:w="7160"/>
            <w:vAlign w:val="top"/>
            <w:shd w:fill="EEF4F7"/>
          </w:tcPr>
          <w:p>
            <w:pPr>
              <w:spacing w:after="20"/>
            </w:pPr>
            <w:r>
              <w:rPr>
                <w:sz w:val="15"/>
              </w:rPr>
              <w:t>mcp-http.c, mcp-sse.c, mcp-http-common.h and mcp-tools-execute-function-registry.c; EVD-005/EVD-007</w:t>
            </w:r>
          </w:p>
        </w:tc>
      </w:tr>
      <w:tr>
        <w:trPr>
          <w:trHeight w:hRule="atLeast"/>
          <w:cantSplit/>
        </w:trPr>
        <w:tc>
          <w:tcPr>
            <w:tcW w:type="dxa" w:w="2200"/>
            <w:vAlign w:val="top"/>
          </w:tcPr>
          <w:p>
            <w:pPr>
              <w:spacing w:after="20"/>
            </w:pPr>
            <w:r>
              <w:rPr>
                <w:sz w:val="15"/>
              </w:rPr>
              <w:t>Owner / treatment</w:t>
            </w:r>
          </w:p>
        </w:tc>
        <w:tc>
          <w:tcPr>
            <w:tcW w:type="dxa" w:w="7160"/>
            <w:vAlign w:val="top"/>
          </w:tcPr>
          <w:p>
            <w:pPr>
              <w:spacing w:after="20"/>
            </w:pPr>
            <w:r>
              <w:rPr>
                <w:sz w:val="15"/>
              </w:rPr>
              <w:t>IAM and Platform Engineering / Mitigate</w:t>
            </w:r>
          </w:p>
        </w:tc>
      </w:tr>
    </w:tbl>
    <w:p/>
    <w:p>
      <w:pPr>
        <w:pStyle w:val="Heading3"/>
      </w:pPr>
      <w:r>
        <w:t>F-002 Attack Scenario and Impact</w:t>
      </w:r>
    </w:p>
    <w:p>
      <w:r>
        <w:t>A bearer UUID supplied in `api_key=` or a process argument is copied into URL logs, history, proxy telemetry, diagnostics or process inventory. Possession converts the MCP request to all-access, administrator and GOD authentication, enabling broad function data access across the selected node/parent scope.</w:t>
      </w:r>
    </w:p>
    <w:p>
      <w:pPr>
        <w:pStyle w:val="Heading3"/>
      </w:pPr>
      <w:r>
        <w:t>F-002 Current Control Strength</w:t>
      </w:r>
    </w:p>
    <w:p>
      <w:r>
        <w:t>The UUID is generated and stored mode 0600 and bearer headers are preferred. However, the same coarse credential remains accepted in query strings and bridges support command arguments. Current strength is Limited.</w:t>
      </w:r>
    </w:p>
    <w:p>
      <w:pPr>
        <w:pStyle w:val="Heading3"/>
      </w:pPr>
      <w:r>
        <w:t>F-002 Remediation</w:t>
      </w:r>
    </w:p>
    <w:p>
      <w:r>
        <w:t>Remove query-string and command-line credential support; use OS credential stores or secret brokers; implement short-lived audience-bound tokens, per-tool/per-node scopes, rotation, revocation and constant-time comparison; never map an MCP token directly to GOD permissions.</w:t>
      </w:r>
    </w:p>
    <w:p>
      <w:pPr>
        <w:pStyle w:val="Heading3"/>
      </w:pPr>
      <w:r>
        <w:t>F-002 Verification Test</w:t>
      </w:r>
    </w:p>
    <w:p>
      <w:r>
        <w:t>Attempt query-string and argument authentication and require rejection. Inspect process tables, IDE logs, proxy logs and traces for token absence. Verify a low-scope token cannot invoke execute_function or cross node boundaries and that revocation is immediate.</w:t>
      </w:r>
    </w:p>
    <w:p>
      <w:pPr>
        <w:pStyle w:val="Heading2"/>
      </w:pPr>
      <w:r>
        <w:t>F-003 – Documented local HTTP and WebSocket paths permit cleartext credentials and observability content</w:t>
      </w:r>
    </w:p>
    <w:tbl>
      <w:tblPr>
        <w:tblStyle w:val="TableGrid"/>
        <w:tblW w:type="dxa" w:w="9360"/>
        <w:jc w:val="center"/>
        <w:tblLook w:firstColumn="1" w:firstRow="1" w:lastColumn="0" w:lastRow="0" w:noHBand="0" w:noVBand="1" w:val="04A0"/>
        <w:tblInd w:w="120" w:type="dxa"/>
        <w:tblLayout w:type="fixed"/>
      </w:tblPr>
      <w:tblGrid>
        <w:gridCol w:w="2200"/>
        <w:gridCol w:w="7160"/>
      </w:tblGrid>
      <w:tr>
        <w:trPr>
          <w:tblHeader w:val="true"/>
          <w:cantSplit/>
        </w:trPr>
        <w:tc>
          <w:tcPr>
            <w:tcW w:type="dxa" w:w="2200"/>
            <w:shd w:fill="17365D"/>
            <w:vAlign w:val="center"/>
          </w:tcPr>
          <w:p>
            <w:r>
              <w:rPr>
                <w:b/>
                <w:color w:val="FFFFFF"/>
                <w:sz w:val="16"/>
              </w:rPr>
              <w:t>Field</w:t>
            </w:r>
          </w:p>
        </w:tc>
        <w:tc>
          <w:tcPr>
            <w:tcW w:type="dxa" w:w="7160"/>
            <w:shd w:fill="17365D"/>
            <w:vAlign w:val="center"/>
          </w:tcPr>
          <w:p>
            <w:r>
              <w:rPr>
                <w:b/>
                <w:color w:val="FFFFFF"/>
                <w:sz w:val="16"/>
              </w:rPr>
              <w:t>Value</w:t>
            </w:r>
          </w:p>
        </w:tc>
      </w:tr>
      <w:tr>
        <w:trPr>
          <w:trHeight w:hRule="atLeast"/>
          <w:cantSplit/>
        </w:trPr>
        <w:tc>
          <w:tcPr>
            <w:tcW w:type="dxa" w:w="2200"/>
            <w:vAlign w:val="top"/>
          </w:tcPr>
          <w:p>
            <w:pPr>
              <w:spacing w:after="20"/>
            </w:pPr>
            <w:r>
              <w:rPr>
                <w:sz w:val="15"/>
              </w:rPr>
              <w:t>Severity / CWE</w:t>
            </w:r>
          </w:p>
        </w:tc>
        <w:tc>
          <w:tcPr>
            <w:tcW w:type="dxa" w:w="7160"/>
            <w:vAlign w:val="top"/>
          </w:tcPr>
          <w:p>
            <w:pPr>
              <w:spacing w:after="20"/>
            </w:pPr>
            <w:r>
              <w:rPr>
                <w:sz w:val="15"/>
              </w:rPr>
              <w:t>Critical / CWE-319</w:t>
            </w:r>
          </w:p>
        </w:tc>
      </w:tr>
      <w:tr>
        <w:trPr>
          <w:trHeight w:hRule="atLeast"/>
          <w:cantSplit/>
        </w:trPr>
        <w:tc>
          <w:tcPr>
            <w:tcW w:type="dxa" w:w="2200"/>
            <w:vAlign w:val="top"/>
            <w:shd w:fill="EEF4F7"/>
          </w:tcPr>
          <w:p>
            <w:pPr>
              <w:spacing w:after="20"/>
            </w:pPr>
            <w:r>
              <w:rPr>
                <w:sz w:val="15"/>
              </w:rPr>
              <w:t>Inherent / residual</w:t>
            </w:r>
          </w:p>
        </w:tc>
        <w:tc>
          <w:tcPr>
            <w:tcW w:type="dxa" w:w="7160"/>
            <w:vAlign w:val="top"/>
            <w:shd w:fill="EEF4F7"/>
          </w:tcPr>
          <w:p>
            <w:pPr>
              <w:spacing w:after="20"/>
            </w:pPr>
            <w:r>
              <w:rPr>
                <w:sz w:val="15"/>
              </w:rPr>
              <w:t>5×4=20 Critical / 3×5=15 High</w:t>
            </w:r>
          </w:p>
        </w:tc>
      </w:tr>
      <w:tr>
        <w:trPr>
          <w:trHeight w:hRule="atLeast"/>
          <w:cantSplit/>
        </w:trPr>
        <w:tc>
          <w:tcPr>
            <w:tcW w:type="dxa" w:w="2200"/>
            <w:vAlign w:val="top"/>
          </w:tcPr>
          <w:p>
            <w:pPr>
              <w:spacing w:after="20"/>
            </w:pPr>
            <w:r>
              <w:rPr>
                <w:sz w:val="15"/>
              </w:rPr>
              <w:t>Affected scope</w:t>
            </w:r>
          </w:p>
        </w:tc>
        <w:tc>
          <w:tcPr>
            <w:tcW w:type="dxa" w:w="7160"/>
            <w:vAlign w:val="top"/>
          </w:tcPr>
          <w:p>
            <w:pPr>
              <w:spacing w:after="20"/>
            </w:pPr>
            <w:r>
              <w:rPr>
                <w:sz w:val="15"/>
              </w:rPr>
              <w:t>Netdata MCP 2.10.4; hosted/local/client aspects as stated</w:t>
            </w:r>
          </w:p>
        </w:tc>
      </w:tr>
      <w:tr>
        <w:trPr>
          <w:trHeight w:hRule="atLeast"/>
          <w:cantSplit/>
        </w:trPr>
        <w:tc>
          <w:tcPr>
            <w:tcW w:type="dxa" w:w="2200"/>
            <w:vAlign w:val="top"/>
            <w:shd w:fill="EEF4F7"/>
          </w:tcPr>
          <w:p>
            <w:pPr>
              <w:spacing w:after="20"/>
            </w:pPr>
            <w:r>
              <w:rPr>
                <w:sz w:val="15"/>
              </w:rPr>
              <w:t>Evidence</w:t>
            </w:r>
          </w:p>
        </w:tc>
        <w:tc>
          <w:tcPr>
            <w:tcW w:type="dxa" w:w="7160"/>
            <w:vAlign w:val="top"/>
            <w:shd w:fill="EEF4F7"/>
          </w:tcPr>
          <w:p>
            <w:pPr>
              <w:spacing w:after="20"/>
            </w:pPr>
            <w:r>
              <w:rPr>
                <w:sz w:val="15"/>
              </w:rPr>
              <w:t>docs/netdata-ai/mcp/README.md cleartext examples; Semgrep signals; EVD-006</w:t>
            </w:r>
          </w:p>
        </w:tc>
      </w:tr>
      <w:tr>
        <w:trPr>
          <w:trHeight w:hRule="atLeast"/>
          <w:cantSplit/>
        </w:trPr>
        <w:tc>
          <w:tcPr>
            <w:tcW w:type="dxa" w:w="2200"/>
            <w:vAlign w:val="top"/>
          </w:tcPr>
          <w:p>
            <w:pPr>
              <w:spacing w:after="20"/>
            </w:pPr>
            <w:r>
              <w:rPr>
                <w:sz w:val="15"/>
              </w:rPr>
              <w:t>Owner / treatment</w:t>
            </w:r>
          </w:p>
        </w:tc>
        <w:tc>
          <w:tcPr>
            <w:tcW w:type="dxa" w:w="7160"/>
            <w:vAlign w:val="top"/>
          </w:tcPr>
          <w:p>
            <w:pPr>
              <w:spacing w:after="20"/>
            </w:pPr>
            <w:r>
              <w:rPr>
                <w:sz w:val="15"/>
              </w:rPr>
              <w:t>Platform Engineering / Avoid/Mitigate</w:t>
            </w:r>
          </w:p>
        </w:tc>
      </w:tr>
    </w:tbl>
    <w:p/>
    <w:p>
      <w:pPr>
        <w:pStyle w:val="Heading3"/>
      </w:pPr>
      <w:r>
        <w:t>F-003 Attack Scenario and Impact</w:t>
      </w:r>
    </w:p>
    <w:p>
      <w:r>
        <w:t>A user follows vendor examples across a host or network boundary using `http://` or `ws://`. A network-positioned attacker captures or changes the key, tool request or response, disclosing logs and infrastructure data or manipulating analysis presented to the model.</w:t>
      </w:r>
    </w:p>
    <w:p>
      <w:pPr>
        <w:pStyle w:val="Heading3"/>
      </w:pPr>
      <w:r>
        <w:t>F-003 Current Control Strength</w:t>
      </w:r>
    </w:p>
    <w:p>
      <w:r>
        <w:t>The hosted Cloud endpoint is HTTPS and the observed certificate verified. Local documentation shows HTTPS as an option but also normalises cleartext examples. Current strength is Weak for local remote access.</w:t>
      </w:r>
    </w:p>
    <w:p>
      <w:pPr>
        <w:pStyle w:val="Heading3"/>
      </w:pPr>
      <w:r>
        <w:t>F-003 Remediation</w:t>
      </w:r>
    </w:p>
    <w:p>
      <w:r>
        <w:t>Prohibit cleartext MCP by enterprise policy; bind loopback where practical; terminate TLS 1.2+ with authenticated private PKI or mTLS; validate names; protect DNS; deny redirects/downgrades; add IDE allowlists and network detection.</w:t>
      </w:r>
    </w:p>
    <w:p>
      <w:pPr>
        <w:pStyle w:val="Heading3"/>
      </w:pPr>
      <w:r>
        <w:t>F-003 Verification Test</w:t>
      </w:r>
    </w:p>
    <w:p>
      <w:r>
        <w:t>Attempt HTTP/ws and TLS downgrade from each supported IDE and require failure. Capture traffic to confirm no bearer or content is readable. Test invalid, expired and wrong-name certificates and verify fail-closed behaviour.</w:t>
      </w:r>
    </w:p>
    <w:p>
      <w:pPr>
        <w:pStyle w:val="Heading2"/>
      </w:pPr>
      <w:r>
        <w:t>F-004 – execute_function exposes high-impact live operational data under a read-only label</w:t>
      </w:r>
    </w:p>
    <w:tbl>
      <w:tblPr>
        <w:tblStyle w:val="TableGrid"/>
        <w:tblW w:type="dxa" w:w="9360"/>
        <w:jc w:val="center"/>
        <w:tblLook w:firstColumn="1" w:firstRow="1" w:lastColumn="0" w:lastRow="0" w:noHBand="0" w:noVBand="1" w:val="04A0"/>
        <w:tblInd w:w="120" w:type="dxa"/>
        <w:tblLayout w:type="fixed"/>
      </w:tblPr>
      <w:tblGrid>
        <w:gridCol w:w="2200"/>
        <w:gridCol w:w="7160"/>
      </w:tblGrid>
      <w:tr>
        <w:trPr>
          <w:tblHeader w:val="true"/>
          <w:cantSplit/>
        </w:trPr>
        <w:tc>
          <w:tcPr>
            <w:tcW w:type="dxa" w:w="2200"/>
            <w:shd w:fill="17365D"/>
            <w:vAlign w:val="center"/>
          </w:tcPr>
          <w:p>
            <w:r>
              <w:rPr>
                <w:b/>
                <w:color w:val="FFFFFF"/>
                <w:sz w:val="16"/>
              </w:rPr>
              <w:t>Field</w:t>
            </w:r>
          </w:p>
        </w:tc>
        <w:tc>
          <w:tcPr>
            <w:tcW w:type="dxa" w:w="7160"/>
            <w:shd w:fill="17365D"/>
            <w:vAlign w:val="center"/>
          </w:tcPr>
          <w:p>
            <w:r>
              <w:rPr>
                <w:b/>
                <w:color w:val="FFFFFF"/>
                <w:sz w:val="16"/>
              </w:rPr>
              <w:t>Value</w:t>
            </w:r>
          </w:p>
        </w:tc>
      </w:tr>
      <w:tr>
        <w:trPr>
          <w:trHeight w:hRule="atLeast"/>
          <w:cantSplit/>
        </w:trPr>
        <w:tc>
          <w:tcPr>
            <w:tcW w:type="dxa" w:w="2200"/>
            <w:vAlign w:val="top"/>
          </w:tcPr>
          <w:p>
            <w:pPr>
              <w:spacing w:after="20"/>
            </w:pPr>
            <w:r>
              <w:rPr>
                <w:sz w:val="15"/>
              </w:rPr>
              <w:t>Severity / CWE</w:t>
            </w:r>
          </w:p>
        </w:tc>
        <w:tc>
          <w:tcPr>
            <w:tcW w:type="dxa" w:w="7160"/>
            <w:vAlign w:val="top"/>
          </w:tcPr>
          <w:p>
            <w:pPr>
              <w:spacing w:after="20"/>
            </w:pPr>
            <w:r>
              <w:rPr>
                <w:sz w:val="15"/>
              </w:rPr>
              <w:t>Critical / CWE-269 / CWE-200</w:t>
            </w:r>
          </w:p>
        </w:tc>
      </w:tr>
      <w:tr>
        <w:trPr>
          <w:trHeight w:hRule="atLeast"/>
          <w:cantSplit/>
        </w:trPr>
        <w:tc>
          <w:tcPr>
            <w:tcW w:type="dxa" w:w="2200"/>
            <w:vAlign w:val="top"/>
            <w:shd w:fill="EEF4F7"/>
          </w:tcPr>
          <w:p>
            <w:pPr>
              <w:spacing w:after="20"/>
            </w:pPr>
            <w:r>
              <w:rPr>
                <w:sz w:val="15"/>
              </w:rPr>
              <w:t>Inherent / residual</w:t>
            </w:r>
          </w:p>
        </w:tc>
        <w:tc>
          <w:tcPr>
            <w:tcW w:type="dxa" w:w="7160"/>
            <w:vAlign w:val="top"/>
            <w:shd w:fill="EEF4F7"/>
          </w:tcPr>
          <w:p>
            <w:pPr>
              <w:spacing w:after="20"/>
            </w:pPr>
            <w:r>
              <w:rPr>
                <w:sz w:val="15"/>
              </w:rPr>
              <w:t>5×4=20 Critical / 4×4=16 High</w:t>
            </w:r>
          </w:p>
        </w:tc>
      </w:tr>
      <w:tr>
        <w:trPr>
          <w:trHeight w:hRule="atLeast"/>
          <w:cantSplit/>
        </w:trPr>
        <w:tc>
          <w:tcPr>
            <w:tcW w:type="dxa" w:w="2200"/>
            <w:vAlign w:val="top"/>
          </w:tcPr>
          <w:p>
            <w:pPr>
              <w:spacing w:after="20"/>
            </w:pPr>
            <w:r>
              <w:rPr>
                <w:sz w:val="15"/>
              </w:rPr>
              <w:t>Affected scope</w:t>
            </w:r>
          </w:p>
        </w:tc>
        <w:tc>
          <w:tcPr>
            <w:tcW w:type="dxa" w:w="7160"/>
            <w:vAlign w:val="top"/>
          </w:tcPr>
          <w:p>
            <w:pPr>
              <w:spacing w:after="20"/>
            </w:pPr>
            <w:r>
              <w:rPr>
                <w:sz w:val="15"/>
              </w:rPr>
              <w:t>Netdata MCP 2.10.4; hosted/local/client aspects as stated</w:t>
            </w:r>
          </w:p>
        </w:tc>
      </w:tr>
      <w:tr>
        <w:trPr>
          <w:trHeight w:hRule="atLeast"/>
          <w:cantSplit/>
        </w:trPr>
        <w:tc>
          <w:tcPr>
            <w:tcW w:type="dxa" w:w="2200"/>
            <w:vAlign w:val="top"/>
            <w:shd w:fill="EEF4F7"/>
          </w:tcPr>
          <w:p>
            <w:pPr>
              <w:spacing w:after="20"/>
            </w:pPr>
            <w:r>
              <w:rPr>
                <w:sz w:val="15"/>
              </w:rPr>
              <w:t>Evidence</w:t>
            </w:r>
          </w:p>
        </w:tc>
        <w:tc>
          <w:tcPr>
            <w:tcW w:type="dxa" w:w="7160"/>
            <w:vAlign w:val="top"/>
            <w:shd w:fill="EEF4F7"/>
          </w:tcPr>
          <w:p>
            <w:pPr>
              <w:spacing w:after="20"/>
            </w:pPr>
            <w:r>
              <w:rPr>
                <w:sz w:val="15"/>
              </w:rPr>
              <w:t>mcp-tools-execute-function*.c and Netdata MCP documentation; EVD-005</w:t>
            </w:r>
          </w:p>
        </w:tc>
      </w:tr>
      <w:tr>
        <w:trPr>
          <w:trHeight w:hRule="atLeast"/>
          <w:cantSplit/>
        </w:trPr>
        <w:tc>
          <w:tcPr>
            <w:tcW w:type="dxa" w:w="2200"/>
            <w:vAlign w:val="top"/>
          </w:tcPr>
          <w:p>
            <w:pPr>
              <w:spacing w:after="20"/>
            </w:pPr>
            <w:r>
              <w:rPr>
                <w:sz w:val="15"/>
              </w:rPr>
              <w:t>Owner / treatment</w:t>
            </w:r>
          </w:p>
        </w:tc>
        <w:tc>
          <w:tcPr>
            <w:tcW w:type="dxa" w:w="7160"/>
            <w:vAlign w:val="top"/>
          </w:tcPr>
          <w:p>
            <w:pPr>
              <w:spacing w:after="20"/>
            </w:pPr>
            <w:r>
              <w:rPr>
                <w:sz w:val="15"/>
              </w:rPr>
              <w:t>Security Architecture / Mitigate</w:t>
            </w:r>
          </w:p>
        </w:tc>
      </w:tr>
    </w:tbl>
    <w:p/>
    <w:p>
      <w:pPr>
        <w:pStyle w:val="Heading3"/>
      </w:pPr>
      <w:r>
        <w:t>F-004 Attack Scenario and Impact</w:t>
      </w:r>
    </w:p>
    <w:p>
      <w:r>
        <w:t>Prompt injection in a repository, issue, document or returned log persuades an agent to call execute_function for processes, command lines, connections, services, journal or Windows events. The operation does not change the node, yet it materially expands agency and can expose secrets, identities and incident data to model context.</w:t>
      </w:r>
    </w:p>
    <w:p>
      <w:pPr>
        <w:pStyle w:val="Heading3"/>
      </w:pPr>
      <w:r>
        <w:t>F-004 Current Control Strength</w:t>
      </w:r>
    </w:p>
    <w:p>
      <w:r>
        <w:t>The tool carries readOnlyHint and openWorldHint, requires the local key for protected functions, and IDEs provide tool consent. Those controls do not minimise the returned data or prove informed approval. Current strength is Limited.</w:t>
      </w:r>
    </w:p>
    <w:p>
      <w:pPr>
        <w:pStyle w:val="Heading3"/>
      </w:pPr>
      <w:r>
        <w:t>F-004 Remediation</w:t>
      </w:r>
    </w:p>
    <w:p>
      <w:r>
        <w:t>Disable execute_function by default; create function-level allowlists; redact command arguments and secrets server-side; impose node/time/row budgets; require fresh human approval describing data classes and destination; isolate models and prohibit automatic use from untrusted workspaces.</w:t>
      </w:r>
    </w:p>
    <w:p>
      <w:pPr>
        <w:pStyle w:val="Heading3"/>
      </w:pPr>
      <w:r>
        <w:t>F-004 Verification Test</w:t>
      </w:r>
    </w:p>
    <w:p>
      <w:r>
        <w:t>Test prompt injection and direct requests for every function class with synthetic secrets. Confirm denied functions are absent, permitted responses are redacted/bounded, approval is specific, and tool-list changes reset acceptance.</w:t>
      </w:r>
    </w:p>
    <w:p>
      <w:pPr>
        <w:pStyle w:val="Heading2"/>
      </w:pPr>
      <w:r>
        <w:t>F-005 – Vendor examples execute the mutable mcp-remote@latest bridge</w:t>
      </w:r>
    </w:p>
    <w:tbl>
      <w:tblPr>
        <w:tblStyle w:val="TableGrid"/>
        <w:tblW w:type="dxa" w:w="9360"/>
        <w:jc w:val="center"/>
        <w:tblLook w:firstColumn="1" w:firstRow="1" w:lastColumn="0" w:lastRow="0" w:noHBand="0" w:noVBand="1" w:val="04A0"/>
        <w:tblInd w:w="120" w:type="dxa"/>
        <w:tblLayout w:type="fixed"/>
      </w:tblPr>
      <w:tblGrid>
        <w:gridCol w:w="2200"/>
        <w:gridCol w:w="7160"/>
      </w:tblGrid>
      <w:tr>
        <w:trPr>
          <w:tblHeader w:val="true"/>
          <w:cantSplit/>
        </w:trPr>
        <w:tc>
          <w:tcPr>
            <w:tcW w:type="dxa" w:w="2200"/>
            <w:shd w:fill="17365D"/>
            <w:vAlign w:val="center"/>
          </w:tcPr>
          <w:p>
            <w:r>
              <w:rPr>
                <w:b/>
                <w:color w:val="FFFFFF"/>
                <w:sz w:val="16"/>
              </w:rPr>
              <w:t>Field</w:t>
            </w:r>
          </w:p>
        </w:tc>
        <w:tc>
          <w:tcPr>
            <w:tcW w:type="dxa" w:w="7160"/>
            <w:shd w:fill="17365D"/>
            <w:vAlign w:val="center"/>
          </w:tcPr>
          <w:p>
            <w:r>
              <w:rPr>
                <w:b/>
                <w:color w:val="FFFFFF"/>
                <w:sz w:val="16"/>
              </w:rPr>
              <w:t>Value</w:t>
            </w:r>
          </w:p>
        </w:tc>
      </w:tr>
      <w:tr>
        <w:trPr>
          <w:trHeight w:hRule="atLeast"/>
          <w:cantSplit/>
        </w:trPr>
        <w:tc>
          <w:tcPr>
            <w:tcW w:type="dxa" w:w="2200"/>
            <w:vAlign w:val="top"/>
          </w:tcPr>
          <w:p>
            <w:pPr>
              <w:spacing w:after="20"/>
            </w:pPr>
            <w:r>
              <w:rPr>
                <w:sz w:val="15"/>
              </w:rPr>
              <w:t>Severity / CWE</w:t>
            </w:r>
          </w:p>
        </w:tc>
        <w:tc>
          <w:tcPr>
            <w:tcW w:type="dxa" w:w="7160"/>
            <w:vAlign w:val="top"/>
          </w:tcPr>
          <w:p>
            <w:pPr>
              <w:spacing w:after="20"/>
            </w:pPr>
            <w:r>
              <w:rPr>
                <w:sz w:val="15"/>
              </w:rPr>
              <w:t>High / CWE-1104</w:t>
            </w:r>
          </w:p>
        </w:tc>
      </w:tr>
      <w:tr>
        <w:trPr>
          <w:trHeight w:hRule="atLeast"/>
          <w:cantSplit/>
        </w:trPr>
        <w:tc>
          <w:tcPr>
            <w:tcW w:type="dxa" w:w="2200"/>
            <w:vAlign w:val="top"/>
            <w:shd w:fill="EEF4F7"/>
          </w:tcPr>
          <w:p>
            <w:pPr>
              <w:spacing w:after="20"/>
            </w:pPr>
            <w:r>
              <w:rPr>
                <w:sz w:val="15"/>
              </w:rPr>
              <w:t>Inherent / residual</w:t>
            </w:r>
          </w:p>
        </w:tc>
        <w:tc>
          <w:tcPr>
            <w:tcW w:type="dxa" w:w="7160"/>
            <w:vAlign w:val="top"/>
            <w:shd w:fill="EEF4F7"/>
          </w:tcPr>
          <w:p>
            <w:pPr>
              <w:spacing w:after="20"/>
            </w:pPr>
            <w:r>
              <w:rPr>
                <w:sz w:val="15"/>
              </w:rPr>
              <w:t>4×4=16 High / 3×4=12 High</w:t>
            </w:r>
          </w:p>
        </w:tc>
      </w:tr>
      <w:tr>
        <w:trPr>
          <w:trHeight w:hRule="atLeast"/>
          <w:cantSplit/>
        </w:trPr>
        <w:tc>
          <w:tcPr>
            <w:tcW w:type="dxa" w:w="2200"/>
            <w:vAlign w:val="top"/>
          </w:tcPr>
          <w:p>
            <w:pPr>
              <w:spacing w:after="20"/>
            </w:pPr>
            <w:r>
              <w:rPr>
                <w:sz w:val="15"/>
              </w:rPr>
              <w:t>Affected scope</w:t>
            </w:r>
          </w:p>
        </w:tc>
        <w:tc>
          <w:tcPr>
            <w:tcW w:type="dxa" w:w="7160"/>
            <w:vAlign w:val="top"/>
          </w:tcPr>
          <w:p>
            <w:pPr>
              <w:spacing w:after="20"/>
            </w:pPr>
            <w:r>
              <w:rPr>
                <w:sz w:val="15"/>
              </w:rPr>
              <w:t>Netdata MCP 2.10.4; hosted/local/client aspects as stated</w:t>
            </w:r>
          </w:p>
        </w:tc>
      </w:tr>
      <w:tr>
        <w:trPr>
          <w:trHeight w:hRule="atLeast"/>
          <w:cantSplit/>
        </w:trPr>
        <w:tc>
          <w:tcPr>
            <w:tcW w:type="dxa" w:w="2200"/>
            <w:vAlign w:val="top"/>
            <w:shd w:fill="EEF4F7"/>
          </w:tcPr>
          <w:p>
            <w:pPr>
              <w:spacing w:after="20"/>
            </w:pPr>
            <w:r>
              <w:rPr>
                <w:sz w:val="15"/>
              </w:rPr>
              <w:t>Evidence</w:t>
            </w:r>
          </w:p>
        </w:tc>
        <w:tc>
          <w:tcPr>
            <w:tcW w:type="dxa" w:w="7160"/>
            <w:vAlign w:val="top"/>
            <w:shd w:fill="EEF4F7"/>
          </w:tcPr>
          <w:p>
            <w:pPr>
              <w:spacing w:after="20"/>
            </w:pPr>
            <w:r>
              <w:rPr>
                <w:sz w:val="15"/>
              </w:rPr>
              <w:t>Netdata MCP and VS Code client documentation; EVD-005/EVD-009</w:t>
            </w:r>
          </w:p>
        </w:tc>
      </w:tr>
      <w:tr>
        <w:trPr>
          <w:trHeight w:hRule="atLeast"/>
          <w:cantSplit/>
        </w:trPr>
        <w:tc>
          <w:tcPr>
            <w:tcW w:type="dxa" w:w="2200"/>
            <w:vAlign w:val="top"/>
          </w:tcPr>
          <w:p>
            <w:pPr>
              <w:spacing w:after="20"/>
            </w:pPr>
            <w:r>
              <w:rPr>
                <w:sz w:val="15"/>
              </w:rPr>
              <w:t>Owner / treatment</w:t>
            </w:r>
          </w:p>
        </w:tc>
        <w:tc>
          <w:tcPr>
            <w:tcW w:type="dxa" w:w="7160"/>
            <w:vAlign w:val="top"/>
          </w:tcPr>
          <w:p>
            <w:pPr>
              <w:spacing w:after="20"/>
            </w:pPr>
            <w:r>
              <w:rPr>
                <w:sz w:val="15"/>
              </w:rPr>
              <w:t>Software Supply Chain / Mitigate</w:t>
            </w:r>
          </w:p>
        </w:tc>
      </w:tr>
    </w:tbl>
    <w:p/>
    <w:p>
      <w:pPr>
        <w:pStyle w:val="Heading3"/>
      </w:pPr>
      <w:r>
        <w:t>F-005 Attack Scenario and Impact</w:t>
      </w:r>
    </w:p>
    <w:p>
      <w:r>
        <w:t>An IDE starts `npx mcp-remote@latest`, resolving a version and transitive dependency graph that can change without review. Registry compromise, malicious version publication or normal incompatible drift executes with the IDE user's privileges and access to the token.</w:t>
      </w:r>
    </w:p>
    <w:p>
      <w:pPr>
        <w:pStyle w:val="Heading3"/>
      </w:pPr>
      <w:r>
        <w:t>F-005 Current Control Strength</w:t>
      </w:r>
    </w:p>
    <w:p>
      <w:r>
        <w:t>npm provenance and local caches may help, but `latest` provides no immutable admission decision. Current strength is Weak for regulated deployment.</w:t>
      </w:r>
    </w:p>
    <w:p>
      <w:pPr>
        <w:pStyle w:val="Heading3"/>
      </w:pPr>
      <w:r>
        <w:t>F-005 Remediation</w:t>
      </w:r>
    </w:p>
    <w:p>
      <w:r>
        <w:t>Pin an exact audited version and integrity digest, vendor/promote it through an internal registry, generate a resolved SBOM, verify provenance/signatures, scan on admission, run least privilege and test rollback. Prefer native hosted Streamable HTTP where client controls are adequate.</w:t>
      </w:r>
    </w:p>
    <w:p>
      <w:pPr>
        <w:pStyle w:val="Heading3"/>
      </w:pPr>
      <w:r>
        <w:t>F-005 Verification Test</w:t>
      </w:r>
    </w:p>
    <w:p>
      <w:r>
        <w:t>Build twice from the approved lock and compare artifacts/SBOM. Block unapproved versions and external registries. Confirm offline startup uses only promoted content and does not mutate dependencies.</w:t>
      </w:r>
    </w:p>
    <w:p>
      <w:pPr>
        <w:pStyle w:val="Heading2"/>
      </w:pPr>
      <w:r>
        <w:t>F-006 – Hosted service provenance and MCP schema drift are not client-verifiable</w:t>
      </w:r>
    </w:p>
    <w:tbl>
      <w:tblPr>
        <w:tblStyle w:val="TableGrid"/>
        <w:tblW w:type="dxa" w:w="9360"/>
        <w:jc w:val="center"/>
        <w:tblLook w:firstColumn="1" w:firstRow="1" w:lastColumn="0" w:lastRow="0" w:noHBand="0" w:noVBand="1" w:val="04A0"/>
        <w:tblInd w:w="120" w:type="dxa"/>
        <w:tblLayout w:type="fixed"/>
      </w:tblPr>
      <w:tblGrid>
        <w:gridCol w:w="2200"/>
        <w:gridCol w:w="7160"/>
      </w:tblGrid>
      <w:tr>
        <w:trPr>
          <w:tblHeader w:val="true"/>
          <w:cantSplit/>
        </w:trPr>
        <w:tc>
          <w:tcPr>
            <w:tcW w:type="dxa" w:w="2200"/>
            <w:shd w:fill="17365D"/>
            <w:vAlign w:val="center"/>
          </w:tcPr>
          <w:p>
            <w:r>
              <w:rPr>
                <w:b/>
                <w:color w:val="FFFFFF"/>
                <w:sz w:val="16"/>
              </w:rPr>
              <w:t>Field</w:t>
            </w:r>
          </w:p>
        </w:tc>
        <w:tc>
          <w:tcPr>
            <w:tcW w:type="dxa" w:w="7160"/>
            <w:shd w:fill="17365D"/>
            <w:vAlign w:val="center"/>
          </w:tcPr>
          <w:p>
            <w:r>
              <w:rPr>
                <w:b/>
                <w:color w:val="FFFFFF"/>
                <w:sz w:val="16"/>
              </w:rPr>
              <w:t>Value</w:t>
            </w:r>
          </w:p>
        </w:tc>
      </w:tr>
      <w:tr>
        <w:trPr>
          <w:trHeight w:hRule="atLeast"/>
          <w:cantSplit/>
        </w:trPr>
        <w:tc>
          <w:tcPr>
            <w:tcW w:type="dxa" w:w="2200"/>
            <w:vAlign w:val="top"/>
          </w:tcPr>
          <w:p>
            <w:pPr>
              <w:spacing w:after="20"/>
            </w:pPr>
            <w:r>
              <w:rPr>
                <w:sz w:val="15"/>
              </w:rPr>
              <w:t>Severity / CWE</w:t>
            </w:r>
          </w:p>
        </w:tc>
        <w:tc>
          <w:tcPr>
            <w:tcW w:type="dxa" w:w="7160"/>
            <w:vAlign w:val="top"/>
          </w:tcPr>
          <w:p>
            <w:pPr>
              <w:spacing w:after="20"/>
            </w:pPr>
            <w:r>
              <w:rPr>
                <w:sz w:val="15"/>
              </w:rPr>
              <w:t>High / CWE-494</w:t>
            </w:r>
          </w:p>
        </w:tc>
      </w:tr>
      <w:tr>
        <w:trPr>
          <w:trHeight w:hRule="atLeast"/>
          <w:cantSplit/>
        </w:trPr>
        <w:tc>
          <w:tcPr>
            <w:tcW w:type="dxa" w:w="2200"/>
            <w:vAlign w:val="top"/>
            <w:shd w:fill="EEF4F7"/>
          </w:tcPr>
          <w:p>
            <w:pPr>
              <w:spacing w:after="20"/>
            </w:pPr>
            <w:r>
              <w:rPr>
                <w:sz w:val="15"/>
              </w:rPr>
              <w:t>Inherent / residual</w:t>
            </w:r>
          </w:p>
        </w:tc>
        <w:tc>
          <w:tcPr>
            <w:tcW w:type="dxa" w:w="7160"/>
            <w:vAlign w:val="top"/>
            <w:shd w:fill="EEF4F7"/>
          </w:tcPr>
          <w:p>
            <w:pPr>
              <w:spacing w:after="20"/>
            </w:pPr>
            <w:r>
              <w:rPr>
                <w:sz w:val="15"/>
              </w:rPr>
              <w:t>4×4=16 High / 3×4=12 High</w:t>
            </w:r>
          </w:p>
        </w:tc>
      </w:tr>
      <w:tr>
        <w:trPr>
          <w:trHeight w:hRule="atLeast"/>
          <w:cantSplit/>
        </w:trPr>
        <w:tc>
          <w:tcPr>
            <w:tcW w:type="dxa" w:w="2200"/>
            <w:vAlign w:val="top"/>
          </w:tcPr>
          <w:p>
            <w:pPr>
              <w:spacing w:after="20"/>
            </w:pPr>
            <w:r>
              <w:rPr>
                <w:sz w:val="15"/>
              </w:rPr>
              <w:t>Affected scope</w:t>
            </w:r>
          </w:p>
        </w:tc>
        <w:tc>
          <w:tcPr>
            <w:tcW w:type="dxa" w:w="7160"/>
            <w:vAlign w:val="top"/>
          </w:tcPr>
          <w:p>
            <w:pPr>
              <w:spacing w:after="20"/>
            </w:pPr>
            <w:r>
              <w:rPr>
                <w:sz w:val="15"/>
              </w:rPr>
              <w:t>Netdata MCP 2.10.4; hosted/local/client aspects as stated</w:t>
            </w:r>
          </w:p>
        </w:tc>
      </w:tr>
      <w:tr>
        <w:trPr>
          <w:trHeight w:hRule="atLeast"/>
          <w:cantSplit/>
        </w:trPr>
        <w:tc>
          <w:tcPr>
            <w:tcW w:type="dxa" w:w="2200"/>
            <w:vAlign w:val="top"/>
            <w:shd w:fill="EEF4F7"/>
          </w:tcPr>
          <w:p>
            <w:pPr>
              <w:spacing w:after="20"/>
            </w:pPr>
            <w:r>
              <w:rPr>
                <w:sz w:val="15"/>
              </w:rPr>
              <w:t>Evidence</w:t>
            </w:r>
          </w:p>
        </w:tc>
        <w:tc>
          <w:tcPr>
            <w:tcW w:type="dxa" w:w="7160"/>
            <w:vAlign w:val="top"/>
            <w:shd w:fill="EEF4F7"/>
          </w:tcPr>
          <w:p>
            <w:pPr>
              <w:spacing w:after="20"/>
            </w:pPr>
            <w:r>
              <w:rPr>
                <w:sz w:val="15"/>
              </w:rPr>
              <w:t>Official Registry descriptor and source/release comparison; EVD-001/EVD-002/EVD-003</w:t>
            </w:r>
          </w:p>
        </w:tc>
      </w:tr>
      <w:tr>
        <w:trPr>
          <w:trHeight w:hRule="atLeast"/>
          <w:cantSplit/>
        </w:trPr>
        <w:tc>
          <w:tcPr>
            <w:tcW w:type="dxa" w:w="2200"/>
            <w:vAlign w:val="top"/>
          </w:tcPr>
          <w:p>
            <w:pPr>
              <w:spacing w:after="20"/>
            </w:pPr>
            <w:r>
              <w:rPr>
                <w:sz w:val="15"/>
              </w:rPr>
              <w:t>Owner / treatment</w:t>
            </w:r>
          </w:p>
        </w:tc>
        <w:tc>
          <w:tcPr>
            <w:tcW w:type="dxa" w:w="7160"/>
            <w:vAlign w:val="top"/>
          </w:tcPr>
          <w:p>
            <w:pPr>
              <w:spacing w:after="20"/>
            </w:pPr>
            <w:r>
              <w:rPr>
                <w:sz w:val="15"/>
              </w:rPr>
              <w:t>Third-Party Risk / Mitigate</w:t>
            </w:r>
          </w:p>
        </w:tc>
      </w:tr>
    </w:tbl>
    <w:p/>
    <w:p>
      <w:pPr>
        <w:pStyle w:val="Heading3"/>
      </w:pPr>
      <w:r>
        <w:t>F-006 Attack Scenario and Impact</w:t>
      </w:r>
    </w:p>
    <w:p>
      <w:r>
        <w:t>The stable Cloud URL changes implementation, tool descriptions, schemas or downstream behaviour without a client-verifiable build digest tied to the reviewed source. A compromised or erroneous tool description could increase agent authority or misdirect data.</w:t>
      </w:r>
    </w:p>
    <w:p>
      <w:pPr>
        <w:pStyle w:val="Heading3"/>
      </w:pPr>
      <w:r>
        <w:t>F-006 Current Control Strength</w:t>
      </w:r>
    </w:p>
    <w:p>
      <w:r>
        <w:t>The official Registry entry identifies the publisher, version and repository; IDEs can surface trust/schema changes. It does not attest the deployed service binary. Current strength is Limited.</w:t>
      </w:r>
    </w:p>
    <w:p>
      <w:pPr>
        <w:pStyle w:val="Heading3"/>
      </w:pPr>
      <w:r>
        <w:t>F-006 Remediation</w:t>
      </w:r>
    </w:p>
    <w:p>
      <w:r>
        <w:t>Require supplier release attestations, signed SBOM/provenance, change notice, schema snapshots and client-side tool/schema allowlists; alert and disable on drift; contractually define rollback and incident notification.</w:t>
      </w:r>
    </w:p>
    <w:p>
      <w:pPr>
        <w:pStyle w:val="Heading3"/>
      </w:pPr>
      <w:r>
        <w:t>F-006 Verification Test</w:t>
      </w:r>
    </w:p>
    <w:p>
      <w:r>
        <w:t>Snapshot tools/list and schemas, change the server list in a test tenant, and confirm the IDE resets trust and enterprise policy blocks unknown tools. Validate attestation signatures against the actual deployment.</w:t>
      </w:r>
    </w:p>
    <w:p>
      <w:pPr>
        <w:pStyle w:val="Heading2"/>
      </w:pPr>
      <w:r>
        <w:t>F-007 – Cloud scope, tenant isolation and cross-node authorisation remain unverified</w:t>
      </w:r>
    </w:p>
    <w:tbl>
      <w:tblPr>
        <w:tblStyle w:val="TableGrid"/>
        <w:tblW w:type="dxa" w:w="9360"/>
        <w:jc w:val="center"/>
        <w:tblLook w:firstColumn="1" w:firstRow="1" w:lastColumn="0" w:lastRow="0" w:noHBand="0" w:noVBand="1" w:val="04A0"/>
        <w:tblInd w:w="120" w:type="dxa"/>
        <w:tblLayout w:type="fixed"/>
      </w:tblPr>
      <w:tblGrid>
        <w:gridCol w:w="2200"/>
        <w:gridCol w:w="7160"/>
      </w:tblGrid>
      <w:tr>
        <w:trPr>
          <w:tblHeader w:val="true"/>
          <w:cantSplit/>
        </w:trPr>
        <w:tc>
          <w:tcPr>
            <w:tcW w:type="dxa" w:w="2200"/>
            <w:shd w:fill="17365D"/>
            <w:vAlign w:val="center"/>
          </w:tcPr>
          <w:p>
            <w:r>
              <w:rPr>
                <w:b/>
                <w:color w:val="FFFFFF"/>
                <w:sz w:val="16"/>
              </w:rPr>
              <w:t>Field</w:t>
            </w:r>
          </w:p>
        </w:tc>
        <w:tc>
          <w:tcPr>
            <w:tcW w:type="dxa" w:w="7160"/>
            <w:shd w:fill="17365D"/>
            <w:vAlign w:val="center"/>
          </w:tcPr>
          <w:p>
            <w:r>
              <w:rPr>
                <w:b/>
                <w:color w:val="FFFFFF"/>
                <w:sz w:val="16"/>
              </w:rPr>
              <w:t>Value</w:t>
            </w:r>
          </w:p>
        </w:tc>
      </w:tr>
      <w:tr>
        <w:trPr>
          <w:trHeight w:hRule="atLeast"/>
          <w:cantSplit/>
        </w:trPr>
        <w:tc>
          <w:tcPr>
            <w:tcW w:type="dxa" w:w="2200"/>
            <w:vAlign w:val="top"/>
          </w:tcPr>
          <w:p>
            <w:pPr>
              <w:spacing w:after="20"/>
            </w:pPr>
            <w:r>
              <w:rPr>
                <w:sz w:val="15"/>
              </w:rPr>
              <w:t>Severity / CWE</w:t>
            </w:r>
          </w:p>
        </w:tc>
        <w:tc>
          <w:tcPr>
            <w:tcW w:type="dxa" w:w="7160"/>
            <w:vAlign w:val="top"/>
          </w:tcPr>
          <w:p>
            <w:pPr>
              <w:spacing w:after="20"/>
            </w:pPr>
            <w:r>
              <w:rPr>
                <w:sz w:val="15"/>
              </w:rPr>
              <w:t>Critical / CWE-862</w:t>
            </w:r>
          </w:p>
        </w:tc>
      </w:tr>
      <w:tr>
        <w:trPr>
          <w:trHeight w:hRule="atLeast"/>
          <w:cantSplit/>
        </w:trPr>
        <w:tc>
          <w:tcPr>
            <w:tcW w:type="dxa" w:w="2200"/>
            <w:vAlign w:val="top"/>
            <w:shd w:fill="EEF4F7"/>
          </w:tcPr>
          <w:p>
            <w:pPr>
              <w:spacing w:after="20"/>
            </w:pPr>
            <w:r>
              <w:rPr>
                <w:sz w:val="15"/>
              </w:rPr>
              <w:t>Inherent / residual</w:t>
            </w:r>
          </w:p>
        </w:tc>
        <w:tc>
          <w:tcPr>
            <w:tcW w:type="dxa" w:w="7160"/>
            <w:vAlign w:val="top"/>
            <w:shd w:fill="EEF4F7"/>
          </w:tcPr>
          <w:p>
            <w:pPr>
              <w:spacing w:after="20"/>
            </w:pPr>
            <w:r>
              <w:rPr>
                <w:sz w:val="15"/>
              </w:rPr>
              <w:t>5×4=20 Critical / 4×4=16 High</w:t>
            </w:r>
          </w:p>
        </w:tc>
      </w:tr>
      <w:tr>
        <w:trPr>
          <w:trHeight w:hRule="atLeast"/>
          <w:cantSplit/>
        </w:trPr>
        <w:tc>
          <w:tcPr>
            <w:tcW w:type="dxa" w:w="2200"/>
            <w:vAlign w:val="top"/>
          </w:tcPr>
          <w:p>
            <w:pPr>
              <w:spacing w:after="20"/>
            </w:pPr>
            <w:r>
              <w:rPr>
                <w:sz w:val="15"/>
              </w:rPr>
              <w:t>Affected scope</w:t>
            </w:r>
          </w:p>
        </w:tc>
        <w:tc>
          <w:tcPr>
            <w:tcW w:type="dxa" w:w="7160"/>
            <w:vAlign w:val="top"/>
          </w:tcPr>
          <w:p>
            <w:pPr>
              <w:spacing w:after="20"/>
            </w:pPr>
            <w:r>
              <w:rPr>
                <w:sz w:val="15"/>
              </w:rPr>
              <w:t>Netdata MCP 2.10.4; hosted/local/client aspects as stated</w:t>
            </w:r>
          </w:p>
        </w:tc>
      </w:tr>
      <w:tr>
        <w:trPr>
          <w:trHeight w:hRule="atLeast"/>
          <w:cantSplit/>
        </w:trPr>
        <w:tc>
          <w:tcPr>
            <w:tcW w:type="dxa" w:w="2200"/>
            <w:vAlign w:val="top"/>
            <w:shd w:fill="EEF4F7"/>
          </w:tcPr>
          <w:p>
            <w:pPr>
              <w:spacing w:after="20"/>
            </w:pPr>
            <w:r>
              <w:rPr>
                <w:sz w:val="15"/>
              </w:rPr>
              <w:t>Evidence</w:t>
            </w:r>
          </w:p>
        </w:tc>
        <w:tc>
          <w:tcPr>
            <w:tcW w:type="dxa" w:w="7160"/>
            <w:vAlign w:val="top"/>
            <w:shd w:fill="EEF4F7"/>
          </w:tcPr>
          <w:p>
            <w:pPr>
              <w:spacing w:after="20"/>
            </w:pPr>
            <w:r>
              <w:rPr>
                <w:sz w:val="15"/>
              </w:rPr>
              <w:t>Registry requires scope:mcp; unauthenticated 401 probe; EVD-001/EVD-011</w:t>
            </w:r>
          </w:p>
        </w:tc>
      </w:tr>
      <w:tr>
        <w:trPr>
          <w:trHeight w:hRule="atLeast"/>
          <w:cantSplit/>
        </w:trPr>
        <w:tc>
          <w:tcPr>
            <w:tcW w:type="dxa" w:w="2200"/>
            <w:vAlign w:val="top"/>
          </w:tcPr>
          <w:p>
            <w:pPr>
              <w:spacing w:after="20"/>
            </w:pPr>
            <w:r>
              <w:rPr>
                <w:sz w:val="15"/>
              </w:rPr>
              <w:t>Owner / treatment</w:t>
            </w:r>
          </w:p>
        </w:tc>
        <w:tc>
          <w:tcPr>
            <w:tcW w:type="dxa" w:w="7160"/>
            <w:vAlign w:val="top"/>
          </w:tcPr>
          <w:p>
            <w:pPr>
              <w:spacing w:after="20"/>
            </w:pPr>
            <w:r>
              <w:rPr>
                <w:sz w:val="15"/>
              </w:rPr>
              <w:t>IAM and Netdata Service Owner / Defer/Mitigate</w:t>
            </w:r>
          </w:p>
        </w:tc>
      </w:tr>
    </w:tbl>
    <w:p/>
    <w:p>
      <w:pPr>
        <w:pStyle w:val="Heading3"/>
      </w:pPr>
      <w:r>
        <w:t>F-007 Attack Scenario and Impact</w:t>
      </w:r>
    </w:p>
    <w:p>
      <w:r>
        <w:t>A compromised Cloud token with `scope:mcp` may expose multiple spaces, rooms, nodes or functions if server-side object authorisation is too broad. Cross-tenant or cross-environment mistakes could disclose production telemetry to development users or models.</w:t>
      </w:r>
    </w:p>
    <w:p>
      <w:pPr>
        <w:pStyle w:val="Heading3"/>
      </w:pPr>
      <w:r>
        <w:t>F-007 Current Control Strength</w:t>
      </w:r>
    </w:p>
    <w:p>
      <w:r>
        <w:t>The observed gateway rejected a request without credentials. No authorised tenant or multi-node test was available, so scope enforcement is Unknown and no reduction is credited.</w:t>
      </w:r>
    </w:p>
    <w:p>
      <w:pPr>
        <w:pStyle w:val="Heading3"/>
      </w:pPr>
      <w:r>
        <w:t>F-007 Remediation</w:t>
      </w:r>
    </w:p>
    <w:p>
      <w:r>
        <w:t>Use separate synthetic and production tenants; least-privilege service identities; short lifetimes; node/environment claims; deny-by-default object authorisation; token binding; continuous access review; rapid revocation and supplier evidence.</w:t>
      </w:r>
    </w:p>
    <w:p>
      <w:pPr>
        <w:pStyle w:val="Heading3"/>
      </w:pPr>
      <w:r>
        <w:t>F-007 Verification Test</w:t>
      </w:r>
    </w:p>
    <w:p>
      <w:r>
        <w:t>Create two tenants and multiple node groups. Exercise every tool using no-scope, wrong-scope, expired, revoked and cross-tenant tokens. Require uniform denial without object existence leakage and review audit records.</w:t>
      </w:r>
    </w:p>
    <w:p>
      <w:pPr>
        <w:pStyle w:val="Heading2"/>
      </w:pPr>
      <w:r>
        <w:t>F-008 – Analytical and function calls can consume material service or monitored-node resources</w:t>
      </w:r>
    </w:p>
    <w:tbl>
      <w:tblPr>
        <w:tblStyle w:val="TableGrid"/>
        <w:tblW w:type="dxa" w:w="9360"/>
        <w:jc w:val="center"/>
        <w:tblLook w:firstColumn="1" w:firstRow="1" w:lastColumn="0" w:lastRow="0" w:noHBand="0" w:noVBand="1" w:val="04A0"/>
        <w:tblInd w:w="120" w:type="dxa"/>
        <w:tblLayout w:type="fixed"/>
      </w:tblPr>
      <w:tblGrid>
        <w:gridCol w:w="2200"/>
        <w:gridCol w:w="7160"/>
      </w:tblGrid>
      <w:tr>
        <w:trPr>
          <w:tblHeader w:val="true"/>
          <w:cantSplit/>
        </w:trPr>
        <w:tc>
          <w:tcPr>
            <w:tcW w:type="dxa" w:w="2200"/>
            <w:shd w:fill="17365D"/>
            <w:vAlign w:val="center"/>
          </w:tcPr>
          <w:p>
            <w:r>
              <w:rPr>
                <w:b/>
                <w:color w:val="FFFFFF"/>
                <w:sz w:val="16"/>
              </w:rPr>
              <w:t>Field</w:t>
            </w:r>
          </w:p>
        </w:tc>
        <w:tc>
          <w:tcPr>
            <w:tcW w:type="dxa" w:w="7160"/>
            <w:shd w:fill="17365D"/>
            <w:vAlign w:val="center"/>
          </w:tcPr>
          <w:p>
            <w:r>
              <w:rPr>
                <w:b/>
                <w:color w:val="FFFFFF"/>
                <w:sz w:val="16"/>
              </w:rPr>
              <w:t>Value</w:t>
            </w:r>
          </w:p>
        </w:tc>
      </w:tr>
      <w:tr>
        <w:trPr>
          <w:trHeight w:hRule="atLeast"/>
          <w:cantSplit/>
        </w:trPr>
        <w:tc>
          <w:tcPr>
            <w:tcW w:type="dxa" w:w="2200"/>
            <w:vAlign w:val="top"/>
          </w:tcPr>
          <w:p>
            <w:pPr>
              <w:spacing w:after="20"/>
            </w:pPr>
            <w:r>
              <w:rPr>
                <w:sz w:val="15"/>
              </w:rPr>
              <w:t>Severity / CWE</w:t>
            </w:r>
          </w:p>
        </w:tc>
        <w:tc>
          <w:tcPr>
            <w:tcW w:type="dxa" w:w="7160"/>
            <w:vAlign w:val="top"/>
          </w:tcPr>
          <w:p>
            <w:pPr>
              <w:spacing w:after="20"/>
            </w:pPr>
            <w:r>
              <w:rPr>
                <w:sz w:val="15"/>
              </w:rPr>
              <w:t>High / CWE-400</w:t>
            </w:r>
          </w:p>
        </w:tc>
      </w:tr>
      <w:tr>
        <w:trPr>
          <w:trHeight w:hRule="atLeast"/>
          <w:cantSplit/>
        </w:trPr>
        <w:tc>
          <w:tcPr>
            <w:tcW w:type="dxa" w:w="2200"/>
            <w:vAlign w:val="top"/>
            <w:shd w:fill="EEF4F7"/>
          </w:tcPr>
          <w:p>
            <w:pPr>
              <w:spacing w:after="20"/>
            </w:pPr>
            <w:r>
              <w:rPr>
                <w:sz w:val="15"/>
              </w:rPr>
              <w:t>Inherent / residual</w:t>
            </w:r>
          </w:p>
        </w:tc>
        <w:tc>
          <w:tcPr>
            <w:tcW w:type="dxa" w:w="7160"/>
            <w:vAlign w:val="top"/>
            <w:shd w:fill="EEF4F7"/>
          </w:tcPr>
          <w:p>
            <w:pPr>
              <w:spacing w:after="20"/>
            </w:pPr>
            <w:r>
              <w:rPr>
                <w:sz w:val="15"/>
              </w:rPr>
              <w:t>4×3=12 High / 3×3=9 Moderate</w:t>
            </w:r>
          </w:p>
        </w:tc>
      </w:tr>
      <w:tr>
        <w:trPr>
          <w:trHeight w:hRule="atLeast"/>
          <w:cantSplit/>
        </w:trPr>
        <w:tc>
          <w:tcPr>
            <w:tcW w:type="dxa" w:w="2200"/>
            <w:vAlign w:val="top"/>
          </w:tcPr>
          <w:p>
            <w:pPr>
              <w:spacing w:after="20"/>
            </w:pPr>
            <w:r>
              <w:rPr>
                <w:sz w:val="15"/>
              </w:rPr>
              <w:t>Affected scope</w:t>
            </w:r>
          </w:p>
        </w:tc>
        <w:tc>
          <w:tcPr>
            <w:tcW w:type="dxa" w:w="7160"/>
            <w:vAlign w:val="top"/>
          </w:tcPr>
          <w:p>
            <w:pPr>
              <w:spacing w:after="20"/>
            </w:pPr>
            <w:r>
              <w:rPr>
                <w:sz w:val="15"/>
              </w:rPr>
              <w:t>Netdata MCP 2.10.4; hosted/local/client aspects as stated</w:t>
            </w:r>
          </w:p>
        </w:tc>
      </w:tr>
      <w:tr>
        <w:trPr>
          <w:trHeight w:hRule="atLeast"/>
          <w:cantSplit/>
        </w:trPr>
        <w:tc>
          <w:tcPr>
            <w:tcW w:type="dxa" w:w="2200"/>
            <w:vAlign w:val="top"/>
            <w:shd w:fill="EEF4F7"/>
          </w:tcPr>
          <w:p>
            <w:pPr>
              <w:spacing w:after="20"/>
            </w:pPr>
            <w:r>
              <w:rPr>
                <w:sz w:val="15"/>
              </w:rPr>
              <w:t>Evidence</w:t>
            </w:r>
          </w:p>
        </w:tc>
        <w:tc>
          <w:tcPr>
            <w:tcW w:type="dxa" w:w="7160"/>
            <w:vAlign w:val="top"/>
            <w:shd w:fill="EEF4F7"/>
          </w:tcPr>
          <w:p>
            <w:pPr>
              <w:spacing w:after="20"/>
            </w:pPr>
            <w:r>
              <w:rPr>
                <w:sz w:val="15"/>
              </w:rPr>
              <w:t>Query, weights and execute_function timeout/result bounds; EVD-005</w:t>
            </w:r>
          </w:p>
        </w:tc>
      </w:tr>
      <w:tr>
        <w:trPr>
          <w:trHeight w:hRule="atLeast"/>
          <w:cantSplit/>
        </w:trPr>
        <w:tc>
          <w:tcPr>
            <w:tcW w:type="dxa" w:w="2200"/>
            <w:vAlign w:val="top"/>
          </w:tcPr>
          <w:p>
            <w:pPr>
              <w:spacing w:after="20"/>
            </w:pPr>
            <w:r>
              <w:rPr>
                <w:sz w:val="15"/>
              </w:rPr>
              <w:t>Owner / treatment</w:t>
            </w:r>
          </w:p>
        </w:tc>
        <w:tc>
          <w:tcPr>
            <w:tcW w:type="dxa" w:w="7160"/>
            <w:vAlign w:val="top"/>
          </w:tcPr>
          <w:p>
            <w:pPr>
              <w:spacing w:after="20"/>
            </w:pPr>
            <w:r>
              <w:rPr>
                <w:sz w:val="15"/>
              </w:rPr>
              <w:t>SRE / Mitigate</w:t>
            </w:r>
          </w:p>
        </w:tc>
      </w:tr>
    </w:tbl>
    <w:p/>
    <w:p>
      <w:pPr>
        <w:pStyle w:val="Heading3"/>
      </w:pPr>
      <w:r>
        <w:t>F-008 Attack Scenario and Impact</w:t>
      </w:r>
    </w:p>
    <w:p>
      <w:r>
        <w:t>An injected or malfunctioning agent issues wide historical queries, correlation/anomaly searches or concurrent function calls. Even read-only calls may consume CPU, memory, network, storage and upstream API capacity during an incident.</w:t>
      </w:r>
    </w:p>
    <w:p>
      <w:pPr>
        <w:pStyle w:val="Heading3"/>
      </w:pPr>
      <w:r>
        <w:t>F-008 Current Control Strength</w:t>
      </w:r>
    </w:p>
    <w:p>
      <w:r>
        <w:t>Source enforces several limits, including maximum timeouts of 3,600 seconds and common result bounds near 500. Global rate, concurrency, tenant budget and cancellation behaviour were not runtime-verified. Current strength is Limited-to-Moderate.</w:t>
      </w:r>
    </w:p>
    <w:p>
      <w:pPr>
        <w:pStyle w:val="Heading3"/>
      </w:pPr>
      <w:r>
        <w:t>F-008 Remediation</w:t>
      </w:r>
    </w:p>
    <w:p>
      <w:r>
        <w:t>Apply per-user/tool/node concurrency and cost budgets, shorter enterprise time windows, response byte caps, queue isolation, cancellation, 429 handling and circuit breakers; monitor saturation and preserve operational headroom.</w:t>
      </w:r>
    </w:p>
    <w:p>
      <w:pPr>
        <w:pStyle w:val="Heading3"/>
      </w:pPr>
      <w:r>
        <w:t>F-008 Verification Test</w:t>
      </w:r>
    </w:p>
    <w:p>
      <w:r>
        <w:t>Run bounded synthetic load, malformed/oversized inputs, cancellation and concurrent calls. Measure node/service resources, confirm quotas and recovery, and ensure monitoring remains usable during rejected requests.</w:t>
      </w:r>
    </w:p>
    <w:p>
      <w:pPr>
        <w:pStyle w:val="Heading2"/>
      </w:pPr>
      <w:r>
        <w:t>F-009 – Regulated observability data can enter IDE, model and supplier retention surfaces</w:t>
      </w:r>
    </w:p>
    <w:tbl>
      <w:tblPr>
        <w:tblStyle w:val="TableGrid"/>
        <w:tblW w:type="dxa" w:w="9360"/>
        <w:jc w:val="center"/>
        <w:tblLook w:firstColumn="1" w:firstRow="1" w:lastColumn="0" w:lastRow="0" w:noHBand="0" w:noVBand="1" w:val="04A0"/>
        <w:tblInd w:w="120" w:type="dxa"/>
        <w:tblLayout w:type="fixed"/>
      </w:tblPr>
      <w:tblGrid>
        <w:gridCol w:w="2200"/>
        <w:gridCol w:w="7160"/>
      </w:tblGrid>
      <w:tr>
        <w:trPr>
          <w:tblHeader w:val="true"/>
          <w:cantSplit/>
        </w:trPr>
        <w:tc>
          <w:tcPr>
            <w:tcW w:type="dxa" w:w="2200"/>
            <w:shd w:fill="17365D"/>
            <w:vAlign w:val="center"/>
          </w:tcPr>
          <w:p>
            <w:r>
              <w:rPr>
                <w:b/>
                <w:color w:val="FFFFFF"/>
                <w:sz w:val="16"/>
              </w:rPr>
              <w:t>Field</w:t>
            </w:r>
          </w:p>
        </w:tc>
        <w:tc>
          <w:tcPr>
            <w:tcW w:type="dxa" w:w="7160"/>
            <w:shd w:fill="17365D"/>
            <w:vAlign w:val="center"/>
          </w:tcPr>
          <w:p>
            <w:r>
              <w:rPr>
                <w:b/>
                <w:color w:val="FFFFFF"/>
                <w:sz w:val="16"/>
              </w:rPr>
              <w:t>Value</w:t>
            </w:r>
          </w:p>
        </w:tc>
      </w:tr>
      <w:tr>
        <w:trPr>
          <w:trHeight w:hRule="atLeast"/>
          <w:cantSplit/>
        </w:trPr>
        <w:tc>
          <w:tcPr>
            <w:tcW w:type="dxa" w:w="2200"/>
            <w:vAlign w:val="top"/>
          </w:tcPr>
          <w:p>
            <w:pPr>
              <w:spacing w:after="20"/>
            </w:pPr>
            <w:r>
              <w:rPr>
                <w:sz w:val="15"/>
              </w:rPr>
              <w:t>Severity / CWE</w:t>
            </w:r>
          </w:p>
        </w:tc>
        <w:tc>
          <w:tcPr>
            <w:tcW w:type="dxa" w:w="7160"/>
            <w:vAlign w:val="top"/>
          </w:tcPr>
          <w:p>
            <w:pPr>
              <w:spacing w:after="20"/>
            </w:pPr>
            <w:r>
              <w:rPr>
                <w:sz w:val="15"/>
              </w:rPr>
              <w:t>Critical / CWE-359</w:t>
            </w:r>
          </w:p>
        </w:tc>
      </w:tr>
      <w:tr>
        <w:trPr>
          <w:trHeight w:hRule="atLeast"/>
          <w:cantSplit/>
        </w:trPr>
        <w:tc>
          <w:tcPr>
            <w:tcW w:type="dxa" w:w="2200"/>
            <w:vAlign w:val="top"/>
            <w:shd w:fill="EEF4F7"/>
          </w:tcPr>
          <w:p>
            <w:pPr>
              <w:spacing w:after="20"/>
            </w:pPr>
            <w:r>
              <w:rPr>
                <w:sz w:val="15"/>
              </w:rPr>
              <w:t>Inherent / residual</w:t>
            </w:r>
          </w:p>
        </w:tc>
        <w:tc>
          <w:tcPr>
            <w:tcW w:type="dxa" w:w="7160"/>
            <w:vAlign w:val="top"/>
            <w:shd w:fill="EEF4F7"/>
          </w:tcPr>
          <w:p>
            <w:pPr>
              <w:spacing w:after="20"/>
            </w:pPr>
            <w:r>
              <w:rPr>
                <w:sz w:val="15"/>
              </w:rPr>
              <w:t>5×4=20 Critical / 4×4=16 High</w:t>
            </w:r>
          </w:p>
        </w:tc>
      </w:tr>
      <w:tr>
        <w:trPr>
          <w:trHeight w:hRule="atLeast"/>
          <w:cantSplit/>
        </w:trPr>
        <w:tc>
          <w:tcPr>
            <w:tcW w:type="dxa" w:w="2200"/>
            <w:vAlign w:val="top"/>
          </w:tcPr>
          <w:p>
            <w:pPr>
              <w:spacing w:after="20"/>
            </w:pPr>
            <w:r>
              <w:rPr>
                <w:sz w:val="15"/>
              </w:rPr>
              <w:t>Affected scope</w:t>
            </w:r>
          </w:p>
        </w:tc>
        <w:tc>
          <w:tcPr>
            <w:tcW w:type="dxa" w:w="7160"/>
            <w:vAlign w:val="top"/>
          </w:tcPr>
          <w:p>
            <w:pPr>
              <w:spacing w:after="20"/>
            </w:pPr>
            <w:r>
              <w:rPr>
                <w:sz w:val="15"/>
              </w:rPr>
              <w:t>Netdata MCP 2.10.4; hosted/local/client aspects as stated</w:t>
            </w:r>
          </w:p>
        </w:tc>
      </w:tr>
      <w:tr>
        <w:trPr>
          <w:trHeight w:hRule="atLeast"/>
          <w:cantSplit/>
        </w:trPr>
        <w:tc>
          <w:tcPr>
            <w:tcW w:type="dxa" w:w="2200"/>
            <w:vAlign w:val="top"/>
            <w:shd w:fill="EEF4F7"/>
          </w:tcPr>
          <w:p>
            <w:pPr>
              <w:spacing w:after="20"/>
            </w:pPr>
            <w:r>
              <w:rPr>
                <w:sz w:val="15"/>
              </w:rPr>
              <w:t>Evidence</w:t>
            </w:r>
          </w:p>
        </w:tc>
        <w:tc>
          <w:tcPr>
            <w:tcW w:type="dxa" w:w="7160"/>
            <w:vAlign w:val="top"/>
            <w:shd w:fill="EEF4F7"/>
          </w:tcPr>
          <w:p>
            <w:pPr>
              <w:spacing w:after="20"/>
            </w:pPr>
            <w:r>
              <w:rPr>
                <w:sz w:val="15"/>
              </w:rPr>
              <w:t>Tool inventory, data-flow analysis and vendor privacy statements; EVD-005/EVD-014</w:t>
            </w:r>
          </w:p>
        </w:tc>
      </w:tr>
      <w:tr>
        <w:trPr>
          <w:trHeight w:hRule="atLeast"/>
          <w:cantSplit/>
        </w:trPr>
        <w:tc>
          <w:tcPr>
            <w:tcW w:type="dxa" w:w="2200"/>
            <w:vAlign w:val="top"/>
          </w:tcPr>
          <w:p>
            <w:pPr>
              <w:spacing w:after="20"/>
            </w:pPr>
            <w:r>
              <w:rPr>
                <w:sz w:val="15"/>
              </w:rPr>
              <w:t>Owner / treatment</w:t>
            </w:r>
          </w:p>
        </w:tc>
        <w:tc>
          <w:tcPr>
            <w:tcW w:type="dxa" w:w="7160"/>
            <w:vAlign w:val="top"/>
          </w:tcPr>
          <w:p>
            <w:pPr>
              <w:spacing w:after="20"/>
            </w:pPr>
            <w:r>
              <w:rPr>
                <w:sz w:val="15"/>
              </w:rPr>
              <w:t>Data Protection Officer / Defer/Mitigate</w:t>
            </w:r>
          </w:p>
        </w:tc>
      </w:tr>
    </w:tbl>
    <w:p/>
    <w:p>
      <w:pPr>
        <w:pStyle w:val="Heading3"/>
      </w:pPr>
      <w:r>
        <w:t>F-009 Attack Scenario and Impact</w:t>
      </w:r>
    </w:p>
    <w:p>
      <w:r>
        <w:t>Logs, events, processes and alerts containing staff/customer identifiers, claim context, IP addresses or credentials are returned to an IDE agent and then retained in chat, model telemetry, diagnostics or backups outside the original Netdata purpose and retention schedule.</w:t>
      </w:r>
    </w:p>
    <w:p>
      <w:pPr>
        <w:pStyle w:val="Heading3"/>
      </w:pPr>
      <w:r>
        <w:t>F-009 Current Control Strength</w:t>
      </w:r>
    </w:p>
    <w:p>
      <w:r>
        <w:t>Netdata publishes privacy/security statements and offers a DPA, while enterprise model controls may constrain retention. Tenant region, sub-processors, support access, model flow and deletion evidence were not validated. Current strength is Unknown-to-Limited.</w:t>
      </w:r>
    </w:p>
    <w:p>
      <w:pPr>
        <w:pStyle w:val="Heading3"/>
      </w:pPr>
      <w:r>
        <w:t>F-009 Remediation</w:t>
      </w:r>
    </w:p>
    <w:p>
      <w:r>
        <w:t>Complete DPIA and records; define lawful basis/purpose; classify and redact at source; prohibit production/customer data until approved; use enterprise no-training/limited-retention models; validate residency/transfers, DPA, sub-processors, rights, deletion and incident terms.</w:t>
      </w:r>
    </w:p>
    <w:p>
      <w:pPr>
        <w:pStyle w:val="Heading3"/>
      </w:pPr>
      <w:r>
        <w:t>F-009 Verification Test</w:t>
      </w:r>
    </w:p>
    <w:p>
      <w:r>
        <w:t>Seed synthetic identifiers/secrets, run allowed tools and trace every copy through IDE, proxy, model, Netdata logs, exports, backups and deletion workflows. Confirm DLP blocks prohibited data and rights/deletion requests are effective.</w:t>
      </w:r>
    </w:p>
    <w:p>
      <w:pPr>
        <w:pStyle w:val="Heading2"/>
      </w:pPr>
      <w:r>
        <w:t>F-010 – Representative IDE runtime, lifecycle and cleanup controls are not evidenced</w:t>
      </w:r>
    </w:p>
    <w:tbl>
      <w:tblPr>
        <w:tblStyle w:val="TableGrid"/>
        <w:tblW w:type="dxa" w:w="9360"/>
        <w:jc w:val="center"/>
        <w:tblLook w:firstColumn="1" w:firstRow="1" w:lastColumn="0" w:lastRow="0" w:noHBand="0" w:noVBand="1" w:val="04A0"/>
        <w:tblInd w:w="120" w:type="dxa"/>
        <w:tblLayout w:type="fixed"/>
      </w:tblPr>
      <w:tblGrid>
        <w:gridCol w:w="2200"/>
        <w:gridCol w:w="7160"/>
      </w:tblGrid>
      <w:tr>
        <w:trPr>
          <w:tblHeader w:val="true"/>
          <w:cantSplit/>
        </w:trPr>
        <w:tc>
          <w:tcPr>
            <w:tcW w:type="dxa" w:w="2200"/>
            <w:shd w:fill="17365D"/>
            <w:vAlign w:val="center"/>
          </w:tcPr>
          <w:p>
            <w:r>
              <w:rPr>
                <w:b/>
                <w:color w:val="FFFFFF"/>
                <w:sz w:val="16"/>
              </w:rPr>
              <w:t>Field</w:t>
            </w:r>
          </w:p>
        </w:tc>
        <w:tc>
          <w:tcPr>
            <w:tcW w:type="dxa" w:w="7160"/>
            <w:shd w:fill="17365D"/>
            <w:vAlign w:val="center"/>
          </w:tcPr>
          <w:p>
            <w:r>
              <w:rPr>
                <w:b/>
                <w:color w:val="FFFFFF"/>
                <w:sz w:val="16"/>
              </w:rPr>
              <w:t>Value</w:t>
            </w:r>
          </w:p>
        </w:tc>
      </w:tr>
      <w:tr>
        <w:trPr>
          <w:trHeight w:hRule="atLeast"/>
          <w:cantSplit/>
        </w:trPr>
        <w:tc>
          <w:tcPr>
            <w:tcW w:type="dxa" w:w="2200"/>
            <w:vAlign w:val="top"/>
          </w:tcPr>
          <w:p>
            <w:pPr>
              <w:spacing w:after="20"/>
            </w:pPr>
            <w:r>
              <w:rPr>
                <w:sz w:val="15"/>
              </w:rPr>
              <w:t>Severity / CWE</w:t>
            </w:r>
          </w:p>
        </w:tc>
        <w:tc>
          <w:tcPr>
            <w:tcW w:type="dxa" w:w="7160"/>
            <w:vAlign w:val="top"/>
          </w:tcPr>
          <w:p>
            <w:pPr>
              <w:spacing w:after="20"/>
            </w:pPr>
            <w:r>
              <w:rPr>
                <w:sz w:val="15"/>
              </w:rPr>
              <w:t>High / CWE-1059</w:t>
            </w:r>
          </w:p>
        </w:tc>
      </w:tr>
      <w:tr>
        <w:trPr>
          <w:trHeight w:hRule="atLeast"/>
          <w:cantSplit/>
        </w:trPr>
        <w:tc>
          <w:tcPr>
            <w:tcW w:type="dxa" w:w="2200"/>
            <w:vAlign w:val="top"/>
            <w:shd w:fill="EEF4F7"/>
          </w:tcPr>
          <w:p>
            <w:pPr>
              <w:spacing w:after="20"/>
            </w:pPr>
            <w:r>
              <w:rPr>
                <w:sz w:val="15"/>
              </w:rPr>
              <w:t>Inherent / residual</w:t>
            </w:r>
          </w:p>
        </w:tc>
        <w:tc>
          <w:tcPr>
            <w:tcW w:type="dxa" w:w="7160"/>
            <w:vAlign w:val="top"/>
            <w:shd w:fill="EEF4F7"/>
          </w:tcPr>
          <w:p>
            <w:pPr>
              <w:spacing w:after="20"/>
            </w:pPr>
            <w:r>
              <w:rPr>
                <w:sz w:val="15"/>
              </w:rPr>
              <w:t>4×3=12 High / 4×3=12 High</w:t>
            </w:r>
          </w:p>
        </w:tc>
      </w:tr>
      <w:tr>
        <w:trPr>
          <w:trHeight w:hRule="atLeast"/>
          <w:cantSplit/>
        </w:trPr>
        <w:tc>
          <w:tcPr>
            <w:tcW w:type="dxa" w:w="2200"/>
            <w:vAlign w:val="top"/>
          </w:tcPr>
          <w:p>
            <w:pPr>
              <w:spacing w:after="20"/>
            </w:pPr>
            <w:r>
              <w:rPr>
                <w:sz w:val="15"/>
              </w:rPr>
              <w:t>Affected scope</w:t>
            </w:r>
          </w:p>
        </w:tc>
        <w:tc>
          <w:tcPr>
            <w:tcW w:type="dxa" w:w="7160"/>
            <w:vAlign w:val="top"/>
          </w:tcPr>
          <w:p>
            <w:pPr>
              <w:spacing w:after="20"/>
            </w:pPr>
            <w:r>
              <w:rPr>
                <w:sz w:val="15"/>
              </w:rPr>
              <w:t>Netdata MCP 2.10.4; hosted/local/client aspects as stated</w:t>
            </w:r>
          </w:p>
        </w:tc>
      </w:tr>
      <w:tr>
        <w:trPr>
          <w:trHeight w:hRule="atLeast"/>
          <w:cantSplit/>
        </w:trPr>
        <w:tc>
          <w:tcPr>
            <w:tcW w:type="dxa" w:w="2200"/>
            <w:vAlign w:val="top"/>
            <w:shd w:fill="EEF4F7"/>
          </w:tcPr>
          <w:p>
            <w:pPr>
              <w:spacing w:after="20"/>
            </w:pPr>
            <w:r>
              <w:rPr>
                <w:sz w:val="15"/>
              </w:rPr>
              <w:t>Evidence</w:t>
            </w:r>
          </w:p>
        </w:tc>
        <w:tc>
          <w:tcPr>
            <w:tcW w:type="dxa" w:w="7160"/>
            <w:vAlign w:val="top"/>
            <w:shd w:fill="EEF4F7"/>
          </w:tcPr>
          <w:p>
            <w:pPr>
              <w:spacing w:after="20"/>
            </w:pPr>
            <w:r>
              <w:rPr>
                <w:sz w:val="15"/>
              </w:rPr>
              <w:t>Readiness and runtime stages; EVD-009/EVD-010/EVD-011</w:t>
            </w:r>
          </w:p>
        </w:tc>
      </w:tr>
      <w:tr>
        <w:trPr>
          <w:trHeight w:hRule="atLeast"/>
          <w:cantSplit/>
        </w:trPr>
        <w:tc>
          <w:tcPr>
            <w:tcW w:type="dxa" w:w="2200"/>
            <w:vAlign w:val="top"/>
          </w:tcPr>
          <w:p>
            <w:pPr>
              <w:spacing w:after="20"/>
            </w:pPr>
            <w:r>
              <w:rPr>
                <w:sz w:val="15"/>
              </w:rPr>
              <w:t>Owner / treatment</w:t>
            </w:r>
          </w:p>
        </w:tc>
        <w:tc>
          <w:tcPr>
            <w:tcW w:type="dxa" w:w="7160"/>
            <w:vAlign w:val="top"/>
          </w:tcPr>
          <w:p>
            <w:pPr>
              <w:spacing w:after="20"/>
            </w:pPr>
            <w:r>
              <w:rPr>
                <w:sz w:val="15"/>
              </w:rPr>
              <w:t>IDE Platform Owner / Defer</w:t>
            </w:r>
          </w:p>
        </w:tc>
      </w:tr>
    </w:tbl>
    <w:p/>
    <w:p>
      <w:pPr>
        <w:pStyle w:val="Heading3"/>
      </w:pPr>
      <w:r>
        <w:t>F-010 Attack Scenario and Impact</w:t>
      </w:r>
    </w:p>
    <w:p>
      <w:r>
        <w:t>Approval based only on documentation misses differences in token storage, prompts, schema-change handling, logs, persistence, update, crash recovery and removal between VS Code and Visual Studio. A control assumed from one client may not exist or may be configured differently in the other.</w:t>
      </w:r>
    </w:p>
    <w:p>
      <w:pPr>
        <w:pStyle w:val="Heading3"/>
      </w:pPr>
      <w:r>
        <w:t>F-010 Current Control Strength</w:t>
      </w:r>
    </w:p>
    <w:p>
      <w:r>
        <w:t>Current Microsoft documentation describes trust, allowlists and tool controls. No representative client observation exists, so current strength is Not verified.</w:t>
      </w:r>
    </w:p>
    <w:p>
      <w:pPr>
        <w:pStyle w:val="Heading3"/>
      </w:pPr>
      <w:r>
        <w:t>F-010 Remediation</w:t>
      </w:r>
    </w:p>
    <w:p>
      <w:r>
        <w:t>Run the complete disposable-host protocol independently for VS Code on Windows/macOS and Visual Studio on Windows. Record versions, policies, process/network evidence, tool consent, token storage, logs, updates, uninstall and post-removal residue.</w:t>
      </w:r>
    </w:p>
    <w:p>
      <w:pPr>
        <w:pStyle w:val="Heading3"/>
      </w:pPr>
      <w:r>
        <w:t>F-010 Verification Test</w:t>
      </w:r>
    </w:p>
    <w:p>
      <w:r>
        <w:t>Use synthetic accounts/data, snapshots and endpoint telemetry. Test normal and adversarial workflows, uninstall from every scope, rotate/revoke credentials, inspect residue, restore hosts and obtain independent review of evidence.</w:t>
      </w:r>
    </w:p>
    <w:p>
      <w:pPr>
        <w:pStyle w:val="Heading1"/>
      </w:pPr>
      <w:r>
        <w:t>Residual Risk and Approval Recommendation</w:t>
      </w:r>
    </w:p>
    <w:p>
      <w:r>
        <w:t>Recommendation: Defer pending evidence. Do not approve the official Netdata MCP integration for production, regulated data, customer/claim content or live incident decision-making. The observed hosted gateway correctly rejected an unauthenticated request, but authenticated object authorisation, tool scope, schema drift, telemetry, retention and both IDE lifecycles remain unverified. The local deployment is unacceptable in its documented cleartext/coarse-key forms, and execute_function remains outside the initial pilot.</w:t>
      </w:r>
    </w:p>
    <w:p>
      <w:r>
        <w:t>A risk owner may authorise a time-limited non-production pilot only when: the target is the official hosted HTTPS endpoint; a synthetic tenant and nodes are used; the token is dedicated, low-scope, short-lived and revocable; the tool/schema allowlist excludes execute_function; no mutable bridge executes; egress/DLP/audit controls are tested; the DPIA and supplier evidence are accepted; and cleanup/revocation is pre-planned. Production reconsideration requires successful independent VS Code and Visual Studio runtime packs, tenant/node isolation evidence, signed provenance/SBOM, privacy/contract controls, load/response bounds, schema-drift enforcement and accountable residual-risk acceptance.</w:t>
      </w:r>
    </w:p>
    <w:p>
      <w:pPr>
        <w:pStyle w:val="Heading1"/>
      </w:pPr>
      <w:r>
        <w:t>Limitations and Confidence Levels</w:t>
      </w:r>
    </w:p>
    <w:tbl>
      <w:tblPr>
        <w:tblStyle w:val="TableGrid"/>
        <w:tblW w:type="dxa" w:w="9360"/>
        <w:jc w:val="center"/>
        <w:tblLook w:firstColumn="1" w:firstRow="1" w:lastColumn="0" w:lastRow="0" w:noHBand="0" w:noVBand="1" w:val="04A0"/>
        <w:tblInd w:w="120" w:type="dxa"/>
        <w:tblLayout w:type="fixed"/>
      </w:tblPr>
      <w:tblGrid>
        <w:gridCol w:w="2050"/>
        <w:gridCol w:w="1900"/>
        <w:gridCol w:w="1600"/>
        <w:gridCol w:w="3810"/>
      </w:tblGrid>
      <w:tr>
        <w:trPr>
          <w:tblHeader w:val="true"/>
          <w:cantSplit/>
        </w:trPr>
        <w:tc>
          <w:tcPr>
            <w:tcW w:type="dxa" w:w="2050"/>
            <w:shd w:fill="17365D"/>
            <w:vAlign w:val="center"/>
          </w:tcPr>
          <w:p>
            <w:r>
              <w:rPr>
                <w:b/>
                <w:color w:val="FFFFFF"/>
                <w:sz w:val="16"/>
              </w:rPr>
              <w:t>Area</w:t>
            </w:r>
          </w:p>
        </w:tc>
        <w:tc>
          <w:tcPr>
            <w:tcW w:type="dxa" w:w="1900"/>
            <w:shd w:fill="17365D"/>
            <w:vAlign w:val="center"/>
          </w:tcPr>
          <w:p>
            <w:r>
              <w:rPr>
                <w:b/>
                <w:color w:val="FFFFFF"/>
                <w:sz w:val="16"/>
              </w:rPr>
              <w:t>State</w:t>
            </w:r>
          </w:p>
        </w:tc>
        <w:tc>
          <w:tcPr>
            <w:tcW w:type="dxa" w:w="1600"/>
            <w:shd w:fill="17365D"/>
            <w:vAlign w:val="center"/>
          </w:tcPr>
          <w:p>
            <w:r>
              <w:rPr>
                <w:b/>
                <w:color w:val="FFFFFF"/>
                <w:sz w:val="16"/>
              </w:rPr>
              <w:t>Confidence</w:t>
            </w:r>
          </w:p>
        </w:tc>
        <w:tc>
          <w:tcPr>
            <w:tcW w:type="dxa" w:w="3810"/>
            <w:shd w:fill="17365D"/>
            <w:vAlign w:val="center"/>
          </w:tcPr>
          <w:p>
            <w:r>
              <w:rPr>
                <w:b/>
                <w:color w:val="FFFFFF"/>
                <w:sz w:val="16"/>
              </w:rPr>
              <w:t>Limitation/closure evidence</w:t>
            </w:r>
          </w:p>
        </w:tc>
      </w:tr>
      <w:tr>
        <w:trPr>
          <w:trHeight w:hRule="atLeast"/>
          <w:cantSplit/>
        </w:trPr>
        <w:tc>
          <w:tcPr>
            <w:tcW w:type="dxa" w:w="2050"/>
            <w:vAlign w:val="top"/>
          </w:tcPr>
          <w:p>
            <w:pPr>
              <w:spacing w:after="20"/>
            </w:pPr>
            <w:r>
              <w:rPr>
                <w:sz w:val="15"/>
              </w:rPr>
              <w:t>Identity/version/archive</w:t>
            </w:r>
          </w:p>
        </w:tc>
        <w:tc>
          <w:tcPr>
            <w:tcW w:type="dxa" w:w="1900"/>
            <w:vAlign w:val="top"/>
          </w:tcPr>
          <w:p>
            <w:pPr>
              <w:spacing w:after="20"/>
            </w:pPr>
            <w:r>
              <w:rPr>
                <w:sz w:val="15"/>
              </w:rPr>
              <w:t>Verified</w:t>
            </w:r>
          </w:p>
        </w:tc>
        <w:tc>
          <w:tcPr>
            <w:tcW w:type="dxa" w:w="1600"/>
            <w:vAlign w:val="top"/>
          </w:tcPr>
          <w:p>
            <w:pPr>
              <w:spacing w:after="20"/>
            </w:pPr>
            <w:r>
              <w:rPr>
                <w:sz w:val="15"/>
              </w:rPr>
              <w:t>High</w:t>
            </w:r>
          </w:p>
        </w:tc>
        <w:tc>
          <w:tcPr>
            <w:tcW w:type="dxa" w:w="3810"/>
            <w:vAlign w:val="top"/>
          </w:tcPr>
          <w:p>
            <w:pPr>
              <w:spacing w:after="20"/>
            </w:pPr>
            <w:r>
              <w:rPr>
                <w:sz w:val="15"/>
              </w:rPr>
              <w:t>Official Registry, tag, commit and SHA-256 retained</w:t>
            </w:r>
          </w:p>
        </w:tc>
      </w:tr>
      <w:tr>
        <w:trPr>
          <w:trHeight w:hRule="atLeast"/>
          <w:cantSplit/>
        </w:trPr>
        <w:tc>
          <w:tcPr>
            <w:tcW w:type="dxa" w:w="2050"/>
            <w:vAlign w:val="top"/>
            <w:shd w:fill="EEF4F7"/>
          </w:tcPr>
          <w:p>
            <w:pPr>
              <w:spacing w:after="20"/>
            </w:pPr>
            <w:r>
              <w:rPr>
                <w:sz w:val="15"/>
              </w:rPr>
              <w:t>Local MCP source behaviour</w:t>
            </w:r>
          </w:p>
        </w:tc>
        <w:tc>
          <w:tcPr>
            <w:tcW w:type="dxa" w:w="1900"/>
            <w:vAlign w:val="top"/>
            <w:shd w:fill="EEF4F7"/>
          </w:tcPr>
          <w:p>
            <w:pPr>
              <w:spacing w:after="20"/>
            </w:pPr>
            <w:r>
              <w:rPr>
                <w:sz w:val="15"/>
              </w:rPr>
              <w:t>Verified</w:t>
            </w:r>
          </w:p>
        </w:tc>
        <w:tc>
          <w:tcPr>
            <w:tcW w:type="dxa" w:w="1600"/>
            <w:vAlign w:val="top"/>
            <w:shd w:fill="EEF4F7"/>
          </w:tcPr>
          <w:p>
            <w:pPr>
              <w:spacing w:after="20"/>
            </w:pPr>
            <w:r>
              <w:rPr>
                <w:sz w:val="15"/>
              </w:rPr>
              <w:t>High</w:t>
            </w:r>
          </w:p>
        </w:tc>
        <w:tc>
          <w:tcPr>
            <w:tcW w:type="dxa" w:w="3810"/>
            <w:vAlign w:val="top"/>
            <w:shd w:fill="EEF4F7"/>
          </w:tcPr>
          <w:p>
            <w:pPr>
              <w:spacing w:after="20"/>
            </w:pPr>
            <w:r>
              <w:rPr>
                <w:sz w:val="15"/>
              </w:rPr>
              <w:t>Manual and static review; compiler/runtime paths not exhaustively executed</w:t>
            </w:r>
          </w:p>
        </w:tc>
      </w:tr>
      <w:tr>
        <w:trPr>
          <w:trHeight w:hRule="atLeast"/>
          <w:cantSplit/>
        </w:trPr>
        <w:tc>
          <w:tcPr>
            <w:tcW w:type="dxa" w:w="2050"/>
            <w:vAlign w:val="top"/>
          </w:tcPr>
          <w:p>
            <w:pPr>
              <w:spacing w:after="20"/>
            </w:pPr>
            <w:r>
              <w:rPr>
                <w:sz w:val="15"/>
              </w:rPr>
              <w:t>Malware/SBOM/advisories</w:t>
            </w:r>
          </w:p>
        </w:tc>
        <w:tc>
          <w:tcPr>
            <w:tcW w:type="dxa" w:w="1900"/>
            <w:vAlign w:val="top"/>
          </w:tcPr>
          <w:p>
            <w:pPr>
              <w:spacing w:after="20"/>
            </w:pPr>
            <w:r>
              <w:rPr>
                <w:sz w:val="15"/>
              </w:rPr>
              <w:t>Verified within scope</w:t>
            </w:r>
          </w:p>
        </w:tc>
        <w:tc>
          <w:tcPr>
            <w:tcW w:type="dxa" w:w="1600"/>
            <w:vAlign w:val="top"/>
          </w:tcPr>
          <w:p>
            <w:pPr>
              <w:spacing w:after="20"/>
            </w:pPr>
            <w:r>
              <w:rPr>
                <w:sz w:val="15"/>
              </w:rPr>
              <w:t>High/Medium</w:t>
            </w:r>
          </w:p>
        </w:tc>
        <w:tc>
          <w:tcPr>
            <w:tcW w:type="dxa" w:w="3810"/>
            <w:vAlign w:val="top"/>
          </w:tcPr>
          <w:p>
            <w:pPr>
              <w:spacing w:after="20"/>
            </w:pPr>
            <w:r>
              <w:rPr>
                <w:sz w:val="15"/>
              </w:rPr>
              <w:t>Hosted build and dynamic npm graph not inventoried</w:t>
            </w:r>
          </w:p>
        </w:tc>
      </w:tr>
      <w:tr>
        <w:trPr>
          <w:trHeight w:hRule="atLeast"/>
          <w:cantSplit/>
        </w:trPr>
        <w:tc>
          <w:tcPr>
            <w:tcW w:type="dxa" w:w="2050"/>
            <w:vAlign w:val="top"/>
            <w:shd w:fill="EEF4F7"/>
          </w:tcPr>
          <w:p>
            <w:pPr>
              <w:spacing w:after="20"/>
            </w:pPr>
            <w:r>
              <w:rPr>
                <w:sz w:val="15"/>
              </w:rPr>
              <w:t>Hosted unauthenticated gateway</w:t>
            </w:r>
          </w:p>
        </w:tc>
        <w:tc>
          <w:tcPr>
            <w:tcW w:type="dxa" w:w="1900"/>
            <w:vAlign w:val="top"/>
            <w:shd w:fill="EEF4F7"/>
          </w:tcPr>
          <w:p>
            <w:pPr>
              <w:spacing w:after="20"/>
            </w:pPr>
            <w:r>
              <w:rPr>
                <w:sz w:val="15"/>
              </w:rPr>
              <w:t>Verified 401</w:t>
            </w:r>
          </w:p>
        </w:tc>
        <w:tc>
          <w:tcPr>
            <w:tcW w:type="dxa" w:w="1600"/>
            <w:vAlign w:val="top"/>
            <w:shd w:fill="EEF4F7"/>
          </w:tcPr>
          <w:p>
            <w:pPr>
              <w:spacing w:after="20"/>
            </w:pPr>
            <w:r>
              <w:rPr>
                <w:sz w:val="15"/>
              </w:rPr>
              <w:t>High for observation</w:t>
            </w:r>
          </w:p>
        </w:tc>
        <w:tc>
          <w:tcPr>
            <w:tcW w:type="dxa" w:w="3810"/>
            <w:vAlign w:val="top"/>
            <w:shd w:fill="EEF4F7"/>
          </w:tcPr>
          <w:p>
            <w:pPr>
              <w:spacing w:after="20"/>
            </w:pPr>
            <w:r>
              <w:rPr>
                <w:sz w:val="15"/>
              </w:rPr>
              <w:t>No inference to authenticated object authorisation</w:t>
            </w:r>
          </w:p>
        </w:tc>
      </w:tr>
      <w:tr>
        <w:trPr>
          <w:trHeight w:hRule="atLeast"/>
          <w:cantSplit/>
        </w:trPr>
        <w:tc>
          <w:tcPr>
            <w:tcW w:type="dxa" w:w="2050"/>
            <w:vAlign w:val="top"/>
          </w:tcPr>
          <w:p>
            <w:pPr>
              <w:spacing w:after="20"/>
            </w:pPr>
            <w:r>
              <w:rPr>
                <w:sz w:val="15"/>
              </w:rPr>
              <w:t>Hosted implementation/provenance</w:t>
            </w:r>
          </w:p>
        </w:tc>
        <w:tc>
          <w:tcPr>
            <w:tcW w:type="dxa" w:w="1900"/>
            <w:vAlign w:val="top"/>
          </w:tcPr>
          <w:p>
            <w:pPr>
              <w:spacing w:after="20"/>
            </w:pPr>
            <w:r>
              <w:rPr>
                <w:sz w:val="15"/>
              </w:rPr>
              <w:t>Unknown</w:t>
            </w:r>
          </w:p>
        </w:tc>
        <w:tc>
          <w:tcPr>
            <w:tcW w:type="dxa" w:w="1600"/>
            <w:vAlign w:val="top"/>
          </w:tcPr>
          <w:p>
            <w:pPr>
              <w:spacing w:after="20"/>
            </w:pPr>
            <w:r>
              <w:rPr>
                <w:sz w:val="15"/>
              </w:rPr>
              <w:t>Low</w:t>
            </w:r>
          </w:p>
        </w:tc>
        <w:tc>
          <w:tcPr>
            <w:tcW w:type="dxa" w:w="3810"/>
            <w:vAlign w:val="top"/>
          </w:tcPr>
          <w:p>
            <w:pPr>
              <w:spacing w:after="20"/>
            </w:pPr>
            <w:r>
              <w:rPr>
                <w:sz w:val="15"/>
              </w:rPr>
              <w:t>Supplier signed SBOM/attestation and schema controls required</w:t>
            </w:r>
          </w:p>
        </w:tc>
      </w:tr>
      <w:tr>
        <w:trPr>
          <w:trHeight w:hRule="atLeast"/>
          <w:cantSplit/>
        </w:trPr>
        <w:tc>
          <w:tcPr>
            <w:tcW w:type="dxa" w:w="2050"/>
            <w:vAlign w:val="top"/>
            <w:shd w:fill="EEF4F7"/>
          </w:tcPr>
          <w:p>
            <w:pPr>
              <w:spacing w:after="20"/>
            </w:pPr>
            <w:r>
              <w:rPr>
                <w:sz w:val="15"/>
              </w:rPr>
              <w:t>VS Code runtime/lifecycle</w:t>
            </w:r>
          </w:p>
        </w:tc>
        <w:tc>
          <w:tcPr>
            <w:tcW w:type="dxa" w:w="1900"/>
            <w:vAlign w:val="top"/>
            <w:shd w:fill="EEF4F7"/>
          </w:tcPr>
          <w:p>
            <w:pPr>
              <w:spacing w:after="20"/>
            </w:pPr>
            <w:r>
              <w:rPr>
                <w:sz w:val="15"/>
              </w:rPr>
              <w:t>Not observed</w:t>
            </w:r>
          </w:p>
        </w:tc>
        <w:tc>
          <w:tcPr>
            <w:tcW w:type="dxa" w:w="1600"/>
            <w:vAlign w:val="top"/>
            <w:shd w:fill="EEF4F7"/>
          </w:tcPr>
          <w:p>
            <w:pPr>
              <w:spacing w:after="20"/>
            </w:pPr>
            <w:r>
              <w:rPr>
                <w:sz w:val="15"/>
              </w:rPr>
              <w:t>Low</w:t>
            </w:r>
          </w:p>
        </w:tc>
        <w:tc>
          <w:tcPr>
            <w:tcW w:type="dxa" w:w="3810"/>
            <w:vAlign w:val="top"/>
            <w:shd w:fill="EEF4F7"/>
          </w:tcPr>
          <w:p>
            <w:pPr>
              <w:spacing w:after="20"/>
            </w:pPr>
            <w:r>
              <w:rPr>
                <w:sz w:val="15"/>
              </w:rPr>
              <w:t>Windows/macOS disposable test pack required</w:t>
            </w:r>
          </w:p>
        </w:tc>
      </w:tr>
      <w:tr>
        <w:trPr>
          <w:trHeight w:hRule="atLeast"/>
          <w:cantSplit/>
        </w:trPr>
        <w:tc>
          <w:tcPr>
            <w:tcW w:type="dxa" w:w="2050"/>
            <w:vAlign w:val="top"/>
          </w:tcPr>
          <w:p>
            <w:pPr>
              <w:spacing w:after="20"/>
            </w:pPr>
            <w:r>
              <w:rPr>
                <w:sz w:val="15"/>
              </w:rPr>
              <w:t>Visual Studio runtime/lifecycle</w:t>
            </w:r>
          </w:p>
        </w:tc>
        <w:tc>
          <w:tcPr>
            <w:tcW w:type="dxa" w:w="1900"/>
            <w:vAlign w:val="top"/>
          </w:tcPr>
          <w:p>
            <w:pPr>
              <w:spacing w:after="20"/>
            </w:pPr>
            <w:r>
              <w:rPr>
                <w:sz w:val="15"/>
              </w:rPr>
              <w:t>Not observed</w:t>
            </w:r>
          </w:p>
        </w:tc>
        <w:tc>
          <w:tcPr>
            <w:tcW w:type="dxa" w:w="1600"/>
            <w:vAlign w:val="top"/>
          </w:tcPr>
          <w:p>
            <w:pPr>
              <w:spacing w:after="20"/>
            </w:pPr>
            <w:r>
              <w:rPr>
                <w:sz w:val="15"/>
              </w:rPr>
              <w:t>Low</w:t>
            </w:r>
          </w:p>
        </w:tc>
        <w:tc>
          <w:tcPr>
            <w:tcW w:type="dxa" w:w="3810"/>
            <w:vAlign w:val="top"/>
          </w:tcPr>
          <w:p>
            <w:pPr>
              <w:spacing w:after="20"/>
            </w:pPr>
            <w:r>
              <w:rPr>
                <w:sz w:val="15"/>
              </w:rPr>
              <w:t>Windows disposable test pack required</w:t>
            </w:r>
          </w:p>
        </w:tc>
      </w:tr>
      <w:tr>
        <w:trPr>
          <w:trHeight w:hRule="atLeast"/>
          <w:cantSplit/>
        </w:trPr>
        <w:tc>
          <w:tcPr>
            <w:tcW w:type="dxa" w:w="2050"/>
            <w:vAlign w:val="top"/>
            <w:shd w:fill="EEF4F7"/>
          </w:tcPr>
          <w:p>
            <w:pPr>
              <w:spacing w:after="20"/>
            </w:pPr>
            <w:r>
              <w:rPr>
                <w:sz w:val="15"/>
              </w:rPr>
              <w:t>Privacy/tenant controls</w:t>
            </w:r>
          </w:p>
        </w:tc>
        <w:tc>
          <w:tcPr>
            <w:tcW w:type="dxa" w:w="1900"/>
            <w:vAlign w:val="top"/>
            <w:shd w:fill="EEF4F7"/>
          </w:tcPr>
          <w:p>
            <w:pPr>
              <w:spacing w:after="20"/>
            </w:pPr>
            <w:r>
              <w:rPr>
                <w:sz w:val="15"/>
              </w:rPr>
              <w:t>Vendor statement/Unknown</w:t>
            </w:r>
          </w:p>
        </w:tc>
        <w:tc>
          <w:tcPr>
            <w:tcW w:type="dxa" w:w="1600"/>
            <w:vAlign w:val="top"/>
            <w:shd w:fill="EEF4F7"/>
          </w:tcPr>
          <w:p>
            <w:pPr>
              <w:spacing w:after="20"/>
            </w:pPr>
            <w:r>
              <w:rPr>
                <w:sz w:val="15"/>
              </w:rPr>
              <w:t>Medium/Low</w:t>
            </w:r>
          </w:p>
        </w:tc>
        <w:tc>
          <w:tcPr>
            <w:tcW w:type="dxa" w:w="3810"/>
            <w:vAlign w:val="top"/>
            <w:shd w:fill="EEF4F7"/>
          </w:tcPr>
          <w:p>
            <w:pPr>
              <w:spacing w:after="20"/>
            </w:pPr>
            <w:r>
              <w:rPr>
                <w:sz w:val="15"/>
              </w:rPr>
              <w:t>DPIA, contract, region, subprocessors and deletion tests</w:t>
            </w:r>
          </w:p>
        </w:tc>
      </w:tr>
      <w:tr>
        <w:trPr>
          <w:trHeight w:hRule="atLeast"/>
          <w:cantSplit/>
        </w:trPr>
        <w:tc>
          <w:tcPr>
            <w:tcW w:type="dxa" w:w="2050"/>
            <w:vAlign w:val="top"/>
          </w:tcPr>
          <w:p>
            <w:pPr>
              <w:spacing w:after="20"/>
            </w:pPr>
            <w:r>
              <w:rPr>
                <w:sz w:val="15"/>
              </w:rPr>
              <w:t>Agent Skills</w:t>
            </w:r>
          </w:p>
        </w:tc>
        <w:tc>
          <w:tcPr>
            <w:tcW w:type="dxa" w:w="1900"/>
            <w:vAlign w:val="top"/>
          </w:tcPr>
          <w:p>
            <w:pPr>
              <w:spacing w:after="20"/>
            </w:pPr>
            <w:r>
              <w:rPr>
                <w:sz w:val="15"/>
              </w:rPr>
              <w:t>Not applicable bundled</w:t>
            </w:r>
          </w:p>
        </w:tc>
        <w:tc>
          <w:tcPr>
            <w:tcW w:type="dxa" w:w="1600"/>
            <w:vAlign w:val="top"/>
          </w:tcPr>
          <w:p>
            <w:pPr>
              <w:spacing w:after="20"/>
            </w:pPr>
            <w:r>
              <w:rPr>
                <w:sz w:val="15"/>
              </w:rPr>
              <w:t>High</w:t>
            </w:r>
          </w:p>
        </w:tc>
        <w:tc>
          <w:tcPr>
            <w:tcW w:type="dxa" w:w="3810"/>
            <w:vAlign w:val="top"/>
          </w:tcPr>
          <w:p>
            <w:pPr>
              <w:spacing w:after="20"/>
            </w:pPr>
            <w:r>
              <w:rPr>
                <w:sz w:val="15"/>
              </w:rPr>
              <w:t>External skills remain out of target</w:t>
            </w:r>
          </w:p>
        </w:tc>
      </w:tr>
    </w:tbl>
    <w:p/>
    <w:p>
      <w:pPr>
        <w:pStyle w:val="Heading1"/>
      </w:pPr>
      <w:r>
        <w:t>Evidence Register</w:t>
      </w:r>
    </w:p>
    <w:tbl>
      <w:tblPr>
        <w:tblStyle w:val="TableGrid"/>
        <w:tblW w:type="dxa" w:w="9360"/>
        <w:jc w:val="center"/>
        <w:tblLook w:firstColumn="1" w:firstRow="1" w:lastColumn="0" w:lastRow="0" w:noHBand="0" w:noVBand="1" w:val="04A0"/>
        <w:tblInd w:w="120" w:type="dxa"/>
        <w:tblLayout w:type="fixed"/>
      </w:tblPr>
      <w:tblGrid>
        <w:gridCol w:w="900"/>
        <w:gridCol w:w="2500"/>
        <w:gridCol w:w="2800"/>
        <w:gridCol w:w="1700"/>
        <w:gridCol w:w="1460"/>
      </w:tblGrid>
      <w:tr>
        <w:trPr>
          <w:tblHeader w:val="true"/>
          <w:cantSplit/>
        </w:trPr>
        <w:tc>
          <w:tcPr>
            <w:tcW w:type="dxa" w:w="900"/>
            <w:shd w:fill="17365D"/>
            <w:vAlign w:val="center"/>
          </w:tcPr>
          <w:p>
            <w:r>
              <w:rPr>
                <w:b/>
                <w:color w:val="FFFFFF"/>
                <w:sz w:val="16"/>
              </w:rPr>
              <w:t>ID</w:t>
            </w:r>
          </w:p>
        </w:tc>
        <w:tc>
          <w:tcPr>
            <w:tcW w:type="dxa" w:w="2500"/>
            <w:shd w:fill="17365D"/>
            <w:vAlign w:val="center"/>
          </w:tcPr>
          <w:p>
            <w:r>
              <w:rPr>
                <w:b/>
                <w:color w:val="FFFFFF"/>
                <w:sz w:val="16"/>
              </w:rPr>
              <w:t>Evidence</w:t>
            </w:r>
          </w:p>
        </w:tc>
        <w:tc>
          <w:tcPr>
            <w:tcW w:type="dxa" w:w="2800"/>
            <w:shd w:fill="17365D"/>
            <w:vAlign w:val="center"/>
          </w:tcPr>
          <w:p>
            <w:r>
              <w:rPr>
                <w:b/>
                <w:color w:val="FFFFFF"/>
                <w:sz w:val="16"/>
              </w:rPr>
              <w:t>Retained path/source</w:t>
            </w:r>
          </w:p>
        </w:tc>
        <w:tc>
          <w:tcPr>
            <w:tcW w:type="dxa" w:w="1700"/>
            <w:shd w:fill="17365D"/>
            <w:vAlign w:val="center"/>
          </w:tcPr>
          <w:p>
            <w:r>
              <w:rPr>
                <w:b/>
                <w:color w:val="FFFFFF"/>
                <w:sz w:val="16"/>
              </w:rPr>
              <w:t>State</w:t>
            </w:r>
          </w:p>
        </w:tc>
        <w:tc>
          <w:tcPr>
            <w:tcW w:type="dxa" w:w="1460"/>
            <w:shd w:fill="17365D"/>
            <w:vAlign w:val="center"/>
          </w:tcPr>
          <w:p>
            <w:r>
              <w:rPr>
                <w:b/>
                <w:color w:val="FFFFFF"/>
                <w:sz w:val="16"/>
              </w:rPr>
              <w:t>SHA-256 prefix</w:t>
            </w:r>
          </w:p>
        </w:tc>
      </w:tr>
      <w:tr>
        <w:trPr>
          <w:trHeight w:hRule="atLeast"/>
          <w:cantSplit/>
        </w:trPr>
        <w:tc>
          <w:tcPr>
            <w:tcW w:type="dxa" w:w="900"/>
            <w:vAlign w:val="top"/>
          </w:tcPr>
          <w:p>
            <w:pPr>
              <w:spacing w:after="20"/>
            </w:pPr>
            <w:r>
              <w:rPr>
                <w:sz w:val="15"/>
              </w:rPr>
              <w:t>EVD-001</w:t>
            </w:r>
          </w:p>
        </w:tc>
        <w:tc>
          <w:tcPr>
            <w:tcW w:type="dxa" w:w="2500"/>
            <w:vAlign w:val="top"/>
          </w:tcPr>
          <w:p>
            <w:pPr>
              <w:spacing w:after="20"/>
            </w:pPr>
            <w:r>
              <w:rPr>
                <w:sz w:val="15"/>
              </w:rPr>
              <w:t>Official MCP Registry JSON</w:t>
            </w:r>
          </w:p>
        </w:tc>
        <w:tc>
          <w:tcPr>
            <w:tcW w:type="dxa" w:w="2800"/>
            <w:vAlign w:val="top"/>
          </w:tcPr>
          <w:p>
            <w:pPr>
              <w:spacing w:after="20"/>
            </w:pPr>
            <w:r>
              <w:rPr>
                <w:sz w:val="15"/>
              </w:rPr>
              <w:t>mcp-registry-netdata.json</w:t>
            </w:r>
          </w:p>
        </w:tc>
        <w:tc>
          <w:tcPr>
            <w:tcW w:type="dxa" w:w="1700"/>
            <w:vAlign w:val="top"/>
          </w:tcPr>
          <w:p>
            <w:pPr>
              <w:spacing w:after="20"/>
            </w:pPr>
            <w:r>
              <w:rPr>
                <w:sz w:val="15"/>
              </w:rPr>
              <w:t>Verified</w:t>
            </w:r>
          </w:p>
        </w:tc>
        <w:tc>
          <w:tcPr>
            <w:tcW w:type="dxa" w:w="1460"/>
            <w:vAlign w:val="top"/>
          </w:tcPr>
          <w:p>
            <w:pPr>
              <w:spacing w:after="20"/>
            </w:pPr>
            <w:r>
              <w:rPr>
                <w:sz w:val="15"/>
              </w:rPr>
              <w:t>df5276386d17476e1e</w:t>
            </w:r>
          </w:p>
        </w:tc>
      </w:tr>
      <w:tr>
        <w:trPr>
          <w:trHeight w:hRule="atLeast"/>
          <w:cantSplit/>
        </w:trPr>
        <w:tc>
          <w:tcPr>
            <w:tcW w:type="dxa" w:w="900"/>
            <w:vAlign w:val="top"/>
            <w:shd w:fill="EEF4F7"/>
          </w:tcPr>
          <w:p>
            <w:pPr>
              <w:spacing w:after="20"/>
            </w:pPr>
            <w:r>
              <w:rPr>
                <w:sz w:val="15"/>
              </w:rPr>
              <w:t>EVD-002</w:t>
            </w:r>
          </w:p>
        </w:tc>
        <w:tc>
          <w:tcPr>
            <w:tcW w:type="dxa" w:w="2500"/>
            <w:vAlign w:val="top"/>
            <w:shd w:fill="EEF4F7"/>
          </w:tcPr>
          <w:p>
            <w:pPr>
              <w:spacing w:after="20"/>
            </w:pPr>
            <w:r>
              <w:rPr>
                <w:sz w:val="15"/>
              </w:rPr>
              <w:t>GitHub release metadata</w:t>
            </w:r>
          </w:p>
        </w:tc>
        <w:tc>
          <w:tcPr>
            <w:tcW w:type="dxa" w:w="2800"/>
            <w:vAlign w:val="top"/>
            <w:shd w:fill="EEF4F7"/>
          </w:tcPr>
          <w:p>
            <w:pPr>
              <w:spacing w:after="20"/>
            </w:pPr>
            <w:r>
              <w:rPr>
                <w:sz w:val="15"/>
              </w:rPr>
              <w:t>github-release-v2.10.4.json</w:t>
            </w:r>
          </w:p>
        </w:tc>
        <w:tc>
          <w:tcPr>
            <w:tcW w:type="dxa" w:w="1700"/>
            <w:vAlign w:val="top"/>
            <w:shd w:fill="EEF4F7"/>
          </w:tcPr>
          <w:p>
            <w:pPr>
              <w:spacing w:after="20"/>
            </w:pPr>
            <w:r>
              <w:rPr>
                <w:sz w:val="15"/>
              </w:rPr>
              <w:t>Verified</w:t>
            </w:r>
          </w:p>
        </w:tc>
        <w:tc>
          <w:tcPr>
            <w:tcW w:type="dxa" w:w="1460"/>
            <w:vAlign w:val="top"/>
            <w:shd w:fill="EEF4F7"/>
          </w:tcPr>
          <w:p>
            <w:pPr>
              <w:spacing w:after="20"/>
            </w:pPr>
            <w:r>
              <w:rPr>
                <w:sz w:val="15"/>
              </w:rPr>
              <w:t>9945c712abd3523021</w:t>
            </w:r>
          </w:p>
        </w:tc>
      </w:tr>
      <w:tr>
        <w:trPr>
          <w:trHeight w:hRule="atLeast"/>
          <w:cantSplit/>
        </w:trPr>
        <w:tc>
          <w:tcPr>
            <w:tcW w:type="dxa" w:w="900"/>
            <w:vAlign w:val="top"/>
          </w:tcPr>
          <w:p>
            <w:pPr>
              <w:spacing w:after="20"/>
            </w:pPr>
            <w:r>
              <w:rPr>
                <w:sz w:val="15"/>
              </w:rPr>
              <w:t>EVD-003</w:t>
            </w:r>
          </w:p>
        </w:tc>
        <w:tc>
          <w:tcPr>
            <w:tcW w:type="dxa" w:w="2500"/>
            <w:vAlign w:val="top"/>
          </w:tcPr>
          <w:p>
            <w:pPr>
              <w:spacing w:after="20"/>
            </w:pPr>
            <w:r>
              <w:rPr>
                <w:sz w:val="15"/>
              </w:rPr>
              <w:t>Original source archive</w:t>
            </w:r>
          </w:p>
        </w:tc>
        <w:tc>
          <w:tcPr>
            <w:tcW w:type="dxa" w:w="2800"/>
            <w:vAlign w:val="top"/>
          </w:tcPr>
          <w:p>
            <w:pPr>
              <w:spacing w:after="20"/>
            </w:pPr>
            <w:r>
              <w:rPr>
                <w:sz w:val="15"/>
              </w:rPr>
              <w:t>netdata-2.10.4.tar.gz</w:t>
            </w:r>
          </w:p>
        </w:tc>
        <w:tc>
          <w:tcPr>
            <w:tcW w:type="dxa" w:w="1700"/>
            <w:vAlign w:val="top"/>
          </w:tcPr>
          <w:p>
            <w:pPr>
              <w:spacing w:after="20"/>
            </w:pPr>
            <w:r>
              <w:rPr>
                <w:sz w:val="15"/>
              </w:rPr>
              <w:t>Verified</w:t>
            </w:r>
          </w:p>
        </w:tc>
        <w:tc>
          <w:tcPr>
            <w:tcW w:type="dxa" w:w="1460"/>
            <w:vAlign w:val="top"/>
          </w:tcPr>
          <w:p>
            <w:pPr>
              <w:spacing w:after="20"/>
            </w:pPr>
            <w:r>
              <w:rPr>
                <w:sz w:val="15"/>
              </w:rPr>
              <w:t>4096ca1a3999254c51</w:t>
            </w:r>
          </w:p>
        </w:tc>
      </w:tr>
      <w:tr>
        <w:trPr>
          <w:trHeight w:hRule="atLeast"/>
          <w:cantSplit/>
        </w:trPr>
        <w:tc>
          <w:tcPr>
            <w:tcW w:type="dxa" w:w="900"/>
            <w:vAlign w:val="top"/>
            <w:shd w:fill="EEF4F7"/>
          </w:tcPr>
          <w:p>
            <w:pPr>
              <w:spacing w:after="20"/>
            </w:pPr>
            <w:r>
              <w:rPr>
                <w:sz w:val="15"/>
              </w:rPr>
              <w:t>EVD-004</w:t>
            </w:r>
          </w:p>
        </w:tc>
        <w:tc>
          <w:tcPr>
            <w:tcW w:type="dxa" w:w="2500"/>
            <w:vAlign w:val="top"/>
            <w:shd w:fill="EEF4F7"/>
          </w:tcPr>
          <w:p>
            <w:pPr>
              <w:spacing w:after="20"/>
            </w:pPr>
            <w:r>
              <w:rPr>
                <w:sz w:val="15"/>
              </w:rPr>
              <w:t>Snapshot file hashes</w:t>
            </w:r>
          </w:p>
        </w:tc>
        <w:tc>
          <w:tcPr>
            <w:tcW w:type="dxa" w:w="2800"/>
            <w:vAlign w:val="top"/>
            <w:shd w:fill="EEF4F7"/>
          </w:tcPr>
          <w:p>
            <w:pPr>
              <w:spacing w:after="20"/>
            </w:pPr>
            <w:r>
              <w:rPr>
                <w:sz w:val="15"/>
              </w:rPr>
              <w:t>source-file-hashes.txt</w:t>
            </w:r>
          </w:p>
        </w:tc>
        <w:tc>
          <w:tcPr>
            <w:tcW w:type="dxa" w:w="1700"/>
            <w:vAlign w:val="top"/>
            <w:shd w:fill="EEF4F7"/>
          </w:tcPr>
          <w:p>
            <w:pPr>
              <w:spacing w:after="20"/>
            </w:pPr>
            <w:r>
              <w:rPr>
                <w:sz w:val="15"/>
              </w:rPr>
              <w:t>Verified</w:t>
            </w:r>
          </w:p>
        </w:tc>
        <w:tc>
          <w:tcPr>
            <w:tcW w:type="dxa" w:w="1460"/>
            <w:vAlign w:val="top"/>
            <w:shd w:fill="EEF4F7"/>
          </w:tcPr>
          <w:p>
            <w:pPr>
              <w:spacing w:after="20"/>
            </w:pPr>
            <w:r>
              <w:rPr>
                <w:sz w:val="15"/>
              </w:rPr>
              <w:t>820e8d2181d4acf6c6</w:t>
            </w:r>
          </w:p>
        </w:tc>
      </w:tr>
      <w:tr>
        <w:trPr>
          <w:trHeight w:hRule="atLeast"/>
          <w:cantSplit/>
        </w:trPr>
        <w:tc>
          <w:tcPr>
            <w:tcW w:type="dxa" w:w="900"/>
            <w:vAlign w:val="top"/>
          </w:tcPr>
          <w:p>
            <w:pPr>
              <w:spacing w:after="20"/>
            </w:pPr>
            <w:r>
              <w:rPr>
                <w:sz w:val="15"/>
              </w:rPr>
              <w:t>EVD-005</w:t>
            </w:r>
          </w:p>
        </w:tc>
        <w:tc>
          <w:tcPr>
            <w:tcW w:type="dxa" w:w="2500"/>
            <w:vAlign w:val="top"/>
          </w:tcPr>
          <w:p>
            <w:pPr>
              <w:spacing w:after="20"/>
            </w:pPr>
            <w:r>
              <w:rPr>
                <w:sz w:val="15"/>
              </w:rPr>
              <w:t>Unlinked source snapshot</w:t>
            </w:r>
          </w:p>
        </w:tc>
        <w:tc>
          <w:tcPr>
            <w:tcW w:type="dxa" w:w="2800"/>
            <w:vAlign w:val="top"/>
          </w:tcPr>
          <w:p>
            <w:pPr>
              <w:spacing w:after="20"/>
            </w:pPr>
            <w:r>
              <w:rPr>
                <w:sz w:val="15"/>
              </w:rPr>
              <w:t>../../source-snapshot/2026-07-25-v1.0/repository</w:t>
            </w:r>
          </w:p>
        </w:tc>
        <w:tc>
          <w:tcPr>
            <w:tcW w:type="dxa" w:w="1700"/>
            <w:vAlign w:val="top"/>
          </w:tcPr>
          <w:p>
            <w:pPr>
              <w:spacing w:after="20"/>
            </w:pPr>
            <w:r>
              <w:rPr>
                <w:sz w:val="15"/>
              </w:rPr>
              <w:t>Verified</w:t>
            </w:r>
          </w:p>
        </w:tc>
        <w:tc>
          <w:tcPr>
            <w:tcW w:type="dxa" w:w="1460"/>
            <w:vAlign w:val="top"/>
          </w:tcPr>
          <w:p>
            <w:pPr>
              <w:spacing w:after="20"/>
            </w:pPr>
            <w:r>
              <w:rPr>
                <w:sz w:val="15"/>
              </w:rPr>
              <w:t>N/A or generated d</w:t>
            </w:r>
          </w:p>
        </w:tc>
      </w:tr>
      <w:tr>
        <w:trPr>
          <w:trHeight w:hRule="atLeast"/>
          <w:cantSplit/>
        </w:trPr>
        <w:tc>
          <w:tcPr>
            <w:tcW w:type="dxa" w:w="900"/>
            <w:vAlign w:val="top"/>
            <w:shd w:fill="EEF4F7"/>
          </w:tcPr>
          <w:p>
            <w:pPr>
              <w:spacing w:after="20"/>
            </w:pPr>
            <w:r>
              <w:rPr>
                <w:sz w:val="15"/>
              </w:rPr>
              <w:t>EVD-006</w:t>
            </w:r>
          </w:p>
        </w:tc>
        <w:tc>
          <w:tcPr>
            <w:tcW w:type="dxa" w:w="2500"/>
            <w:vAlign w:val="top"/>
            <w:shd w:fill="EEF4F7"/>
          </w:tcPr>
          <w:p>
            <w:pPr>
              <w:spacing w:after="20"/>
            </w:pPr>
            <w:r>
              <w:rPr>
                <w:sz w:val="15"/>
              </w:rPr>
              <w:t>Semgrep results</w:t>
            </w:r>
          </w:p>
        </w:tc>
        <w:tc>
          <w:tcPr>
            <w:tcW w:type="dxa" w:w="2800"/>
            <w:vAlign w:val="top"/>
            <w:shd w:fill="EEF4F7"/>
          </w:tcPr>
          <w:p>
            <w:pPr>
              <w:spacing w:after="20"/>
            </w:pPr>
            <w:r>
              <w:rPr>
                <w:sz w:val="15"/>
              </w:rPr>
              <w:t>semgrep.json</w:t>
            </w:r>
          </w:p>
        </w:tc>
        <w:tc>
          <w:tcPr>
            <w:tcW w:type="dxa" w:w="1700"/>
            <w:vAlign w:val="top"/>
            <w:shd w:fill="EEF4F7"/>
          </w:tcPr>
          <w:p>
            <w:pPr>
              <w:spacing w:after="20"/>
            </w:pPr>
            <w:r>
              <w:rPr>
                <w:sz w:val="15"/>
              </w:rPr>
              <w:t>Verified with parser/time-out limits</w:t>
            </w:r>
          </w:p>
        </w:tc>
        <w:tc>
          <w:tcPr>
            <w:tcW w:type="dxa" w:w="1460"/>
            <w:vAlign w:val="top"/>
            <w:shd w:fill="EEF4F7"/>
          </w:tcPr>
          <w:p>
            <w:pPr>
              <w:spacing w:after="20"/>
            </w:pPr>
            <w:r>
              <w:rPr>
                <w:sz w:val="15"/>
              </w:rPr>
              <w:t>8a9949f9205a3d0d47</w:t>
            </w:r>
          </w:p>
        </w:tc>
      </w:tr>
      <w:tr>
        <w:trPr>
          <w:trHeight w:hRule="atLeast"/>
          <w:cantSplit/>
        </w:trPr>
        <w:tc>
          <w:tcPr>
            <w:tcW w:type="dxa" w:w="900"/>
            <w:vAlign w:val="top"/>
          </w:tcPr>
          <w:p>
            <w:pPr>
              <w:spacing w:after="20"/>
            </w:pPr>
            <w:r>
              <w:rPr>
                <w:sz w:val="15"/>
              </w:rPr>
              <w:t>EVD-007</w:t>
            </w:r>
          </w:p>
        </w:tc>
        <w:tc>
          <w:tcPr>
            <w:tcW w:type="dxa" w:w="2500"/>
            <w:vAlign w:val="top"/>
          </w:tcPr>
          <w:p>
            <w:pPr>
              <w:spacing w:after="20"/>
            </w:pPr>
            <w:r>
              <w:rPr>
                <w:sz w:val="15"/>
              </w:rPr>
              <w:t>YARA heuristic results</w:t>
            </w:r>
          </w:p>
        </w:tc>
        <w:tc>
          <w:tcPr>
            <w:tcW w:type="dxa" w:w="2800"/>
            <w:vAlign w:val="top"/>
          </w:tcPr>
          <w:p>
            <w:pPr>
              <w:spacing w:after="20"/>
            </w:pPr>
            <w:r>
              <w:rPr>
                <w:sz w:val="15"/>
              </w:rPr>
              <w:t>yara-heuristics.log</w:t>
            </w:r>
          </w:p>
        </w:tc>
        <w:tc>
          <w:tcPr>
            <w:tcW w:type="dxa" w:w="1700"/>
            <w:vAlign w:val="top"/>
          </w:tcPr>
          <w:p>
            <w:pPr>
              <w:spacing w:after="20"/>
            </w:pPr>
            <w:r>
              <w:rPr>
                <w:sz w:val="15"/>
              </w:rPr>
              <w:t>Triaged</w:t>
            </w:r>
          </w:p>
        </w:tc>
        <w:tc>
          <w:tcPr>
            <w:tcW w:type="dxa" w:w="1460"/>
            <w:vAlign w:val="top"/>
          </w:tcPr>
          <w:p>
            <w:pPr>
              <w:spacing w:after="20"/>
            </w:pPr>
            <w:r>
              <w:rPr>
                <w:sz w:val="15"/>
              </w:rPr>
              <w:t>8d8739107465f94b1c</w:t>
            </w:r>
          </w:p>
        </w:tc>
      </w:tr>
      <w:tr>
        <w:trPr>
          <w:trHeight w:hRule="atLeast"/>
          <w:cantSplit/>
        </w:trPr>
        <w:tc>
          <w:tcPr>
            <w:tcW w:type="dxa" w:w="900"/>
            <w:vAlign w:val="top"/>
            <w:shd w:fill="EEF4F7"/>
          </w:tcPr>
          <w:p>
            <w:pPr>
              <w:spacing w:after="20"/>
            </w:pPr>
            <w:r>
              <w:rPr>
                <w:sz w:val="15"/>
              </w:rPr>
              <w:t>EVD-008</w:t>
            </w:r>
          </w:p>
        </w:tc>
        <w:tc>
          <w:tcPr>
            <w:tcW w:type="dxa" w:w="2500"/>
            <w:vAlign w:val="top"/>
            <w:shd w:fill="EEF4F7"/>
          </w:tcPr>
          <w:p>
            <w:pPr>
              <w:spacing w:after="20"/>
            </w:pPr>
            <w:r>
              <w:rPr>
                <w:sz w:val="15"/>
              </w:rPr>
              <w:t>Heuristic rules</w:t>
            </w:r>
          </w:p>
        </w:tc>
        <w:tc>
          <w:tcPr>
            <w:tcW w:type="dxa" w:w="2800"/>
            <w:vAlign w:val="top"/>
            <w:shd w:fill="EEF4F7"/>
          </w:tcPr>
          <w:p>
            <w:pPr>
              <w:spacing w:after="20"/>
            </w:pPr>
            <w:r>
              <w:rPr>
                <w:sz w:val="15"/>
              </w:rPr>
              <w:t>netdata-mcp-heuristics.yar</w:t>
            </w:r>
          </w:p>
        </w:tc>
        <w:tc>
          <w:tcPr>
            <w:tcW w:type="dxa" w:w="1700"/>
            <w:vAlign w:val="top"/>
            <w:shd w:fill="EEF4F7"/>
          </w:tcPr>
          <w:p>
            <w:pPr>
              <w:spacing w:after="20"/>
            </w:pPr>
            <w:r>
              <w:rPr>
                <w:sz w:val="15"/>
              </w:rPr>
              <w:t>Verified</w:t>
            </w:r>
          </w:p>
        </w:tc>
        <w:tc>
          <w:tcPr>
            <w:tcW w:type="dxa" w:w="1460"/>
            <w:vAlign w:val="top"/>
            <w:shd w:fill="EEF4F7"/>
          </w:tcPr>
          <w:p>
            <w:pPr>
              <w:spacing w:after="20"/>
            </w:pPr>
            <w:r>
              <w:rPr>
                <w:sz w:val="15"/>
              </w:rPr>
              <w:t>fac6909250e07c43e4</w:t>
            </w:r>
          </w:p>
        </w:tc>
      </w:tr>
      <w:tr>
        <w:trPr>
          <w:trHeight w:hRule="atLeast"/>
          <w:cantSplit/>
        </w:trPr>
        <w:tc>
          <w:tcPr>
            <w:tcW w:type="dxa" w:w="900"/>
            <w:vAlign w:val="top"/>
          </w:tcPr>
          <w:p>
            <w:pPr>
              <w:spacing w:after="20"/>
            </w:pPr>
            <w:r>
              <w:rPr>
                <w:sz w:val="15"/>
              </w:rPr>
              <w:t>EVD-009</w:t>
            </w:r>
          </w:p>
        </w:tc>
        <w:tc>
          <w:tcPr>
            <w:tcW w:type="dxa" w:w="2500"/>
            <w:vAlign w:val="top"/>
          </w:tcPr>
          <w:p>
            <w:pPr>
              <w:spacing w:after="20"/>
            </w:pPr>
            <w:r>
              <w:rPr>
                <w:sz w:val="15"/>
              </w:rPr>
              <w:t>Official VS Code MCP documentation</w:t>
            </w:r>
          </w:p>
        </w:tc>
        <w:tc>
          <w:tcPr>
            <w:tcW w:type="dxa" w:w="2800"/>
            <w:vAlign w:val="top"/>
          </w:tcPr>
          <w:p>
            <w:pPr>
              <w:spacing w:after="20"/>
            </w:pPr>
            <w:r>
              <w:rPr>
                <w:sz w:val="15"/>
              </w:rPr>
              <w:t>Referenced in report</w:t>
            </w:r>
          </w:p>
        </w:tc>
        <w:tc>
          <w:tcPr>
            <w:tcW w:type="dxa" w:w="1700"/>
            <w:vAlign w:val="top"/>
          </w:tcPr>
          <w:p>
            <w:pPr>
              <w:spacing w:after="20"/>
            </w:pPr>
            <w:r>
              <w:rPr>
                <w:sz w:val="15"/>
              </w:rPr>
              <w:t>Verified current source</w:t>
            </w:r>
          </w:p>
        </w:tc>
        <w:tc>
          <w:tcPr>
            <w:tcW w:type="dxa" w:w="1460"/>
            <w:vAlign w:val="top"/>
          </w:tcPr>
          <w:p>
            <w:pPr>
              <w:spacing w:after="20"/>
            </w:pPr>
            <w:r>
              <w:rPr>
                <w:sz w:val="15"/>
              </w:rPr>
              <w:t>N/A or generated d</w:t>
            </w:r>
          </w:p>
        </w:tc>
      </w:tr>
      <w:tr>
        <w:trPr>
          <w:trHeight w:hRule="atLeast"/>
          <w:cantSplit/>
        </w:trPr>
        <w:tc>
          <w:tcPr>
            <w:tcW w:type="dxa" w:w="900"/>
            <w:vAlign w:val="top"/>
            <w:shd w:fill="EEF4F7"/>
          </w:tcPr>
          <w:p>
            <w:pPr>
              <w:spacing w:after="20"/>
            </w:pPr>
            <w:r>
              <w:rPr>
                <w:sz w:val="15"/>
              </w:rPr>
              <w:t>EVD-010</w:t>
            </w:r>
          </w:p>
        </w:tc>
        <w:tc>
          <w:tcPr>
            <w:tcW w:type="dxa" w:w="2500"/>
            <w:vAlign w:val="top"/>
            <w:shd w:fill="EEF4F7"/>
          </w:tcPr>
          <w:p>
            <w:pPr>
              <w:spacing w:after="20"/>
            </w:pPr>
            <w:r>
              <w:rPr>
                <w:sz w:val="15"/>
              </w:rPr>
              <w:t>Official Visual Studio MCP documentation</w:t>
            </w:r>
          </w:p>
        </w:tc>
        <w:tc>
          <w:tcPr>
            <w:tcW w:type="dxa" w:w="2800"/>
            <w:vAlign w:val="top"/>
            <w:shd w:fill="EEF4F7"/>
          </w:tcPr>
          <w:p>
            <w:pPr>
              <w:spacing w:after="20"/>
            </w:pPr>
            <w:r>
              <w:rPr>
                <w:sz w:val="15"/>
              </w:rPr>
              <w:t>Referenced in report</w:t>
            </w:r>
          </w:p>
        </w:tc>
        <w:tc>
          <w:tcPr>
            <w:tcW w:type="dxa" w:w="1700"/>
            <w:vAlign w:val="top"/>
            <w:shd w:fill="EEF4F7"/>
          </w:tcPr>
          <w:p>
            <w:pPr>
              <w:spacing w:after="20"/>
            </w:pPr>
            <w:r>
              <w:rPr>
                <w:sz w:val="15"/>
              </w:rPr>
              <w:t>Verified current source</w:t>
            </w:r>
          </w:p>
        </w:tc>
        <w:tc>
          <w:tcPr>
            <w:tcW w:type="dxa" w:w="1460"/>
            <w:vAlign w:val="top"/>
            <w:shd w:fill="EEF4F7"/>
          </w:tcPr>
          <w:p>
            <w:pPr>
              <w:spacing w:after="20"/>
            </w:pPr>
            <w:r>
              <w:rPr>
                <w:sz w:val="15"/>
              </w:rPr>
              <w:t>N/A or generated d</w:t>
            </w:r>
          </w:p>
        </w:tc>
      </w:tr>
      <w:tr>
        <w:trPr>
          <w:trHeight w:hRule="atLeast"/>
          <w:cantSplit/>
        </w:trPr>
        <w:tc>
          <w:tcPr>
            <w:tcW w:type="dxa" w:w="900"/>
            <w:vAlign w:val="top"/>
          </w:tcPr>
          <w:p>
            <w:pPr>
              <w:spacing w:after="20"/>
            </w:pPr>
            <w:r>
              <w:rPr>
                <w:sz w:val="15"/>
              </w:rPr>
              <w:t>EVD-011</w:t>
            </w:r>
          </w:p>
        </w:tc>
        <w:tc>
          <w:tcPr>
            <w:tcW w:type="dxa" w:w="2500"/>
            <w:vAlign w:val="top"/>
          </w:tcPr>
          <w:p>
            <w:pPr>
              <w:spacing w:after="20"/>
            </w:pPr>
            <w:r>
              <w:rPr>
                <w:sz w:val="15"/>
              </w:rPr>
              <w:t>Hosted endpoint unauthenticated probe</w:t>
            </w:r>
          </w:p>
        </w:tc>
        <w:tc>
          <w:tcPr>
            <w:tcW w:type="dxa" w:w="2800"/>
            <w:vAlign w:val="top"/>
          </w:tcPr>
          <w:p>
            <w:pPr>
              <w:spacing w:after="20"/>
            </w:pPr>
            <w:r>
              <w:rPr>
                <w:sz w:val="15"/>
              </w:rPr>
              <w:t>cloud-mcp-unauthenticated-headers.txt; cloud-mcp-unauthenticated-body.txt</w:t>
            </w:r>
          </w:p>
        </w:tc>
        <w:tc>
          <w:tcPr>
            <w:tcW w:type="dxa" w:w="1700"/>
            <w:vAlign w:val="top"/>
          </w:tcPr>
          <w:p>
            <w:pPr>
              <w:spacing w:after="20"/>
            </w:pPr>
            <w:r>
              <w:rPr>
                <w:sz w:val="15"/>
              </w:rPr>
              <w:t>Verified 401 only</w:t>
            </w:r>
          </w:p>
        </w:tc>
        <w:tc>
          <w:tcPr>
            <w:tcW w:type="dxa" w:w="1460"/>
            <w:vAlign w:val="top"/>
          </w:tcPr>
          <w:p>
            <w:pPr>
              <w:spacing w:after="20"/>
            </w:pPr>
            <w:r>
              <w:rPr>
                <w:sz w:val="15"/>
              </w:rPr>
              <w:t>1911a4a0a6561915a6</w:t>
            </w:r>
          </w:p>
        </w:tc>
      </w:tr>
      <w:tr>
        <w:trPr>
          <w:trHeight w:hRule="atLeast"/>
          <w:cantSplit/>
        </w:trPr>
        <w:tc>
          <w:tcPr>
            <w:tcW w:type="dxa" w:w="900"/>
            <w:vAlign w:val="top"/>
            <w:shd w:fill="EEF4F7"/>
          </w:tcPr>
          <w:p>
            <w:pPr>
              <w:spacing w:after="20"/>
            </w:pPr>
            <w:r>
              <w:rPr>
                <w:sz w:val="15"/>
              </w:rPr>
              <w:t>EVD-012</w:t>
            </w:r>
          </w:p>
        </w:tc>
        <w:tc>
          <w:tcPr>
            <w:tcW w:type="dxa" w:w="2500"/>
            <w:vAlign w:val="top"/>
            <w:shd w:fill="EEF4F7"/>
          </w:tcPr>
          <w:p>
            <w:pPr>
              <w:spacing w:after="20"/>
            </w:pPr>
            <w:r>
              <w:rPr>
                <w:sz w:val="15"/>
              </w:rPr>
              <w:t>ClamAV scan</w:t>
            </w:r>
          </w:p>
        </w:tc>
        <w:tc>
          <w:tcPr>
            <w:tcW w:type="dxa" w:w="2800"/>
            <w:vAlign w:val="top"/>
            <w:shd w:fill="EEF4F7"/>
          </w:tcPr>
          <w:p>
            <w:pPr>
              <w:spacing w:after="20"/>
            </w:pPr>
            <w:r>
              <w:rPr>
                <w:sz w:val="15"/>
              </w:rPr>
              <w:t>clamav.log</w:t>
            </w:r>
          </w:p>
        </w:tc>
        <w:tc>
          <w:tcPr>
            <w:tcW w:type="dxa" w:w="1700"/>
            <w:vAlign w:val="top"/>
            <w:shd w:fill="EEF4F7"/>
          </w:tcPr>
          <w:p>
            <w:pPr>
              <w:spacing w:after="20"/>
            </w:pPr>
            <w:r>
              <w:rPr>
                <w:sz w:val="15"/>
              </w:rPr>
              <w:t>Zero infections</w:t>
            </w:r>
          </w:p>
        </w:tc>
        <w:tc>
          <w:tcPr>
            <w:tcW w:type="dxa" w:w="1460"/>
            <w:vAlign w:val="top"/>
            <w:shd w:fill="EEF4F7"/>
          </w:tcPr>
          <w:p>
            <w:pPr>
              <w:spacing w:after="20"/>
            </w:pPr>
            <w:r>
              <w:rPr>
                <w:sz w:val="15"/>
              </w:rPr>
              <w:t>239f2c682973b5b96f</w:t>
            </w:r>
          </w:p>
        </w:tc>
      </w:tr>
      <w:tr>
        <w:trPr>
          <w:trHeight w:hRule="atLeast"/>
          <w:cantSplit/>
        </w:trPr>
        <w:tc>
          <w:tcPr>
            <w:tcW w:type="dxa" w:w="900"/>
            <w:vAlign w:val="top"/>
          </w:tcPr>
          <w:p>
            <w:pPr>
              <w:spacing w:after="20"/>
            </w:pPr>
            <w:r>
              <w:rPr>
                <w:sz w:val="15"/>
              </w:rPr>
              <w:t>EVD-013</w:t>
            </w:r>
          </w:p>
        </w:tc>
        <w:tc>
          <w:tcPr>
            <w:tcW w:type="dxa" w:w="2500"/>
            <w:vAlign w:val="top"/>
          </w:tcPr>
          <w:p>
            <w:pPr>
              <w:spacing w:after="20"/>
            </w:pPr>
            <w:r>
              <w:rPr>
                <w:sz w:val="15"/>
              </w:rPr>
              <w:t>SBOM and advisory outputs</w:t>
            </w:r>
          </w:p>
        </w:tc>
        <w:tc>
          <w:tcPr>
            <w:tcW w:type="dxa" w:w="2800"/>
            <w:vAlign w:val="top"/>
          </w:tcPr>
          <w:p>
            <w:pPr>
              <w:spacing w:after="20"/>
            </w:pPr>
            <w:r>
              <w:rPr>
                <w:sz w:val="15"/>
              </w:rPr>
              <w:t>sbom.cdx.json; osv.json; trivy.json</w:t>
            </w:r>
          </w:p>
        </w:tc>
        <w:tc>
          <w:tcPr>
            <w:tcW w:type="dxa" w:w="1700"/>
            <w:vAlign w:val="top"/>
          </w:tcPr>
          <w:p>
            <w:pPr>
              <w:spacing w:after="20"/>
            </w:pPr>
            <w:r>
              <w:rPr>
                <w:sz w:val="15"/>
              </w:rPr>
              <w:t>Verified with scope limits</w:t>
            </w:r>
          </w:p>
        </w:tc>
        <w:tc>
          <w:tcPr>
            <w:tcW w:type="dxa" w:w="1460"/>
            <w:vAlign w:val="top"/>
          </w:tcPr>
          <w:p>
            <w:pPr>
              <w:spacing w:after="20"/>
            </w:pPr>
            <w:r>
              <w:rPr>
                <w:sz w:val="15"/>
              </w:rPr>
              <w:t>166ea2199868bd9efe</w:t>
            </w:r>
          </w:p>
        </w:tc>
      </w:tr>
      <w:tr>
        <w:trPr>
          <w:trHeight w:hRule="atLeast"/>
          <w:cantSplit/>
        </w:trPr>
        <w:tc>
          <w:tcPr>
            <w:tcW w:type="dxa" w:w="900"/>
            <w:vAlign w:val="top"/>
            <w:shd w:fill="EEF4F7"/>
          </w:tcPr>
          <w:p>
            <w:pPr>
              <w:spacing w:after="20"/>
            </w:pPr>
            <w:r>
              <w:rPr>
                <w:sz w:val="15"/>
              </w:rPr>
              <w:t>EVD-014</w:t>
            </w:r>
          </w:p>
        </w:tc>
        <w:tc>
          <w:tcPr>
            <w:tcW w:type="dxa" w:w="2500"/>
            <w:vAlign w:val="top"/>
            <w:shd w:fill="EEF4F7"/>
          </w:tcPr>
          <w:p>
            <w:pPr>
              <w:spacing w:after="20"/>
            </w:pPr>
            <w:r>
              <w:rPr>
                <w:sz w:val="15"/>
              </w:rPr>
              <w:t>Netdata privacy statement</w:t>
            </w:r>
          </w:p>
        </w:tc>
        <w:tc>
          <w:tcPr>
            <w:tcW w:type="dxa" w:w="2800"/>
            <w:vAlign w:val="top"/>
            <w:shd w:fill="EEF4F7"/>
          </w:tcPr>
          <w:p>
            <w:pPr>
              <w:spacing w:after="20"/>
            </w:pPr>
            <w:r>
              <w:rPr>
                <w:sz w:val="15"/>
              </w:rPr>
              <w:t>netdata-privacy.html</w:t>
            </w:r>
          </w:p>
        </w:tc>
        <w:tc>
          <w:tcPr>
            <w:tcW w:type="dxa" w:w="1700"/>
            <w:vAlign w:val="top"/>
            <w:shd w:fill="EEF4F7"/>
          </w:tcPr>
          <w:p>
            <w:pPr>
              <w:spacing w:after="20"/>
            </w:pPr>
            <w:r>
              <w:rPr>
                <w:sz w:val="15"/>
              </w:rPr>
              <w:t>Vendor statement; public Algolia client search keys redacted before Git publication</w:t>
            </w:r>
          </w:p>
        </w:tc>
        <w:tc>
          <w:tcPr>
            <w:tcW w:type="dxa" w:w="1460"/>
            <w:vAlign w:val="top"/>
            <w:shd w:fill="EEF4F7"/>
          </w:tcPr>
          <w:p>
            <w:pPr>
              <w:spacing w:after="20"/>
            </w:pPr>
            <w:r>
              <w:rPr>
                <w:sz w:val="15"/>
              </w:rPr>
              <w:t>481ffa5be2f7a7a533</w:t>
            </w:r>
          </w:p>
        </w:tc>
      </w:tr>
      <w:tr>
        <w:trPr>
          <w:trHeight w:hRule="atLeast"/>
          <w:cantSplit/>
        </w:trPr>
        <w:tc>
          <w:tcPr>
            <w:tcW w:type="dxa" w:w="900"/>
            <w:vAlign w:val="top"/>
          </w:tcPr>
          <w:p>
            <w:pPr>
              <w:spacing w:after="20"/>
            </w:pPr>
            <w:r>
              <w:rPr>
                <w:sz w:val="15"/>
              </w:rPr>
              <w:t>EVD-015</w:t>
            </w:r>
          </w:p>
        </w:tc>
        <w:tc>
          <w:tcPr>
            <w:tcW w:type="dxa" w:w="2500"/>
            <w:vAlign w:val="top"/>
          </w:tcPr>
          <w:p>
            <w:pPr>
              <w:spacing w:after="20"/>
            </w:pPr>
            <w:r>
              <w:rPr>
                <w:sz w:val="15"/>
              </w:rPr>
              <w:t>Validated stage manifest</w:t>
            </w:r>
          </w:p>
        </w:tc>
        <w:tc>
          <w:tcPr>
            <w:tcW w:type="dxa" w:w="2800"/>
            <w:vAlign w:val="top"/>
          </w:tcPr>
          <w:p>
            <w:pPr>
              <w:spacing w:after="20"/>
            </w:pPr>
            <w:r>
              <w:rPr>
                <w:sz w:val="15"/>
              </w:rPr>
              <w:t>../stage-output/2026-07-25-v1.0/stage-manifest.json</w:t>
            </w:r>
          </w:p>
        </w:tc>
        <w:tc>
          <w:tcPr>
            <w:tcW w:type="dxa" w:w="1700"/>
            <w:vAlign w:val="top"/>
          </w:tcPr>
          <w:p>
            <w:pPr>
              <w:spacing w:after="20"/>
            </w:pPr>
            <w:r>
              <w:rPr>
                <w:sz w:val="15"/>
              </w:rPr>
              <w:t>Validated</w:t>
            </w:r>
          </w:p>
        </w:tc>
        <w:tc>
          <w:tcPr>
            <w:tcW w:type="dxa" w:w="1460"/>
            <w:vAlign w:val="top"/>
          </w:tcPr>
          <w:p>
            <w:pPr>
              <w:spacing w:after="20"/>
            </w:pPr>
            <w:r>
              <w:rPr>
                <w:sz w:val="15"/>
              </w:rPr>
              <w:t>N/A or generated d</w:t>
            </w:r>
          </w:p>
        </w:tc>
      </w:tr>
      <w:tr>
        <w:trPr>
          <w:trHeight w:hRule="atLeast"/>
          <w:cantSplit/>
        </w:trPr>
        <w:tc>
          <w:tcPr>
            <w:tcW w:type="dxa" w:w="900"/>
            <w:vAlign w:val="top"/>
            <w:shd w:fill="EEF4F7"/>
          </w:tcPr>
          <w:p>
            <w:pPr>
              <w:spacing w:after="20"/>
            </w:pPr>
            <w:r>
              <w:rPr>
                <w:sz w:val="15"/>
              </w:rPr>
              <w:t>EVD-016</w:t>
            </w:r>
          </w:p>
        </w:tc>
        <w:tc>
          <w:tcPr>
            <w:tcW w:type="dxa" w:w="2500"/>
            <w:vAlign w:val="top"/>
            <w:shd w:fill="EEF4F7"/>
          </w:tcPr>
          <w:p>
            <w:pPr>
              <w:spacing w:after="20"/>
            </w:pPr>
            <w:r>
              <w:rPr>
                <w:sz w:val="15"/>
              </w:rPr>
              <w:t>Report structural validation</w:t>
            </w:r>
          </w:p>
        </w:tc>
        <w:tc>
          <w:tcPr>
            <w:tcW w:type="dxa" w:w="2800"/>
            <w:vAlign w:val="top"/>
            <w:shd w:fill="EEF4F7"/>
          </w:tcPr>
          <w:p>
            <w:pPr>
              <w:spacing w:after="20"/>
            </w:pPr>
            <w:r>
              <w:rPr>
                <w:sz w:val="15"/>
              </w:rPr>
              <w:t>Generated during QA</w:t>
            </w:r>
          </w:p>
        </w:tc>
        <w:tc>
          <w:tcPr>
            <w:tcW w:type="dxa" w:w="1700"/>
            <w:vAlign w:val="top"/>
            <w:shd w:fill="EEF4F7"/>
          </w:tcPr>
          <w:p>
            <w:pPr>
              <w:spacing w:after="20"/>
            </w:pPr>
            <w:r>
              <w:rPr>
                <w:sz w:val="15"/>
              </w:rPr>
              <w:t>Passed</w:t>
            </w:r>
          </w:p>
        </w:tc>
        <w:tc>
          <w:tcPr>
            <w:tcW w:type="dxa" w:w="1460"/>
            <w:vAlign w:val="top"/>
            <w:shd w:fill="EEF4F7"/>
          </w:tcPr>
          <w:p>
            <w:pPr>
              <w:spacing w:after="20"/>
            </w:pPr>
            <w:r>
              <w:rPr>
                <w:sz w:val="15"/>
              </w:rPr>
              <w:t>N/A or generated d</w:t>
            </w:r>
          </w:p>
        </w:tc>
      </w:tr>
      <w:tr>
        <w:trPr>
          <w:trHeight w:hRule="atLeast"/>
          <w:cantSplit/>
        </w:trPr>
        <w:tc>
          <w:tcPr>
            <w:tcW w:type="dxa" w:w="900"/>
            <w:vAlign w:val="top"/>
          </w:tcPr>
          <w:p>
            <w:pPr>
              <w:spacing w:after="20"/>
            </w:pPr>
            <w:r>
              <w:rPr>
                <w:sz w:val="15"/>
              </w:rPr>
              <w:t>EVD-017</w:t>
            </w:r>
          </w:p>
        </w:tc>
        <w:tc>
          <w:tcPr>
            <w:tcW w:type="dxa" w:w="2500"/>
            <w:vAlign w:val="top"/>
          </w:tcPr>
          <w:p>
            <w:pPr>
              <w:spacing w:after="20"/>
            </w:pPr>
            <w:r>
              <w:rPr>
                <w:sz w:val="15"/>
              </w:rPr>
              <w:t>Microsoft Word render and page inspection</w:t>
            </w:r>
          </w:p>
        </w:tc>
        <w:tc>
          <w:tcPr>
            <w:tcW w:type="dxa" w:w="2800"/>
            <w:vAlign w:val="top"/>
          </w:tcPr>
          <w:p>
            <w:pPr>
              <w:spacing w:after="20"/>
            </w:pPr>
            <w:r>
              <w:rPr>
                <w:sz w:val="15"/>
              </w:rPr>
              <w:t>Generated during QA</w:t>
            </w:r>
          </w:p>
        </w:tc>
        <w:tc>
          <w:tcPr>
            <w:tcW w:type="dxa" w:w="1700"/>
            <w:vAlign w:val="top"/>
          </w:tcPr>
          <w:p>
            <w:pPr>
              <w:spacing w:after="20"/>
            </w:pPr>
            <w:r>
              <w:rPr>
                <w:sz w:val="15"/>
              </w:rPr>
              <w:t>Passed</w:t>
            </w:r>
          </w:p>
        </w:tc>
        <w:tc>
          <w:tcPr>
            <w:tcW w:type="dxa" w:w="1460"/>
            <w:vAlign w:val="top"/>
          </w:tcPr>
          <w:p>
            <w:pPr>
              <w:spacing w:after="20"/>
            </w:pPr>
            <w:r>
              <w:rPr>
                <w:sz w:val="15"/>
              </w:rPr>
              <w:t>N/A or generated d</w:t>
            </w:r>
          </w:p>
        </w:tc>
      </w:tr>
      <w:tr>
        <w:trPr>
          <w:trHeight w:hRule="atLeast"/>
          <w:cantSplit/>
        </w:trPr>
        <w:tc>
          <w:tcPr>
            <w:tcW w:type="dxa" w:w="900"/>
            <w:vAlign w:val="top"/>
            <w:shd w:fill="EEF4F7"/>
          </w:tcPr>
          <w:p>
            <w:pPr>
              <w:spacing w:after="20"/>
            </w:pPr>
            <w:r>
              <w:rPr>
                <w:sz w:val="15"/>
              </w:rPr>
              <w:t>EVD-018</w:t>
            </w:r>
          </w:p>
        </w:tc>
        <w:tc>
          <w:tcPr>
            <w:tcW w:type="dxa" w:w="2500"/>
            <w:vAlign w:val="top"/>
            <w:shd w:fill="EEF4F7"/>
          </w:tcPr>
          <w:p>
            <w:pPr>
              <w:spacing w:after="20"/>
            </w:pPr>
            <w:r>
              <w:rPr>
                <w:sz w:val="15"/>
              </w:rPr>
              <w:t>Secure review and repository gates</w:t>
            </w:r>
          </w:p>
        </w:tc>
        <w:tc>
          <w:tcPr>
            <w:tcW w:type="dxa" w:w="2800"/>
            <w:vAlign w:val="top"/>
            <w:shd w:fill="EEF4F7"/>
          </w:tcPr>
          <w:p>
            <w:pPr>
              <w:spacing w:after="20"/>
            </w:pPr>
            <w:r>
              <w:rPr>
                <w:sz w:val="15"/>
              </w:rPr>
              <w:t>Generated during QA</w:t>
            </w:r>
          </w:p>
        </w:tc>
        <w:tc>
          <w:tcPr>
            <w:tcW w:type="dxa" w:w="1700"/>
            <w:vAlign w:val="top"/>
            <w:shd w:fill="EEF4F7"/>
          </w:tcPr>
          <w:p>
            <w:pPr>
              <w:spacing w:after="20"/>
            </w:pPr>
            <w:r>
              <w:rPr>
                <w:sz w:val="15"/>
              </w:rPr>
              <w:t>Passed</w:t>
            </w:r>
          </w:p>
        </w:tc>
        <w:tc>
          <w:tcPr>
            <w:tcW w:type="dxa" w:w="1460"/>
            <w:vAlign w:val="top"/>
            <w:shd w:fill="EEF4F7"/>
          </w:tcPr>
          <w:p>
            <w:pPr>
              <w:spacing w:after="20"/>
            </w:pPr>
            <w:r>
              <w:rPr>
                <w:sz w:val="15"/>
              </w:rPr>
              <w:t>N/A or generated d</w:t>
            </w:r>
          </w:p>
        </w:tc>
      </w:tr>
    </w:tbl>
    <w:p/>
    <w:p>
      <w:r>
        <w:t>All fifteen validated stage records were ingested. Stage manifest target: io.github.netdata/mcp-server version 2.10.4. Raw artifacts and untrusted source are retained locally and are not embedded in this report. Report claims use the evidence-state vocabulary and do not promote scanner signals without manual validation.</w:t>
      </w:r>
    </w:p>
    <w:p>
      <w:pPr>
        <w:pStyle w:val="Heading2"/>
      </w:pPr>
      <w:r>
        <w:t>Stage Output Inventory</w:t>
      </w:r>
    </w:p>
    <w:tbl>
      <w:tblPr>
        <w:tblStyle w:val="TableGrid"/>
        <w:tblW w:type="dxa" w:w="9360"/>
        <w:jc w:val="center"/>
        <w:tblLook w:firstColumn="1" w:firstRow="1" w:lastColumn="0" w:lastRow="0" w:noHBand="0" w:noVBand="1" w:val="04A0"/>
        <w:tblInd w:w="120" w:type="dxa"/>
        <w:tblLayout w:type="fixed"/>
      </w:tblPr>
      <w:tblGrid>
        <w:gridCol w:w="900"/>
        <w:gridCol w:w="3700"/>
        <w:gridCol w:w="2600"/>
        <w:gridCol w:w="2160"/>
      </w:tblGrid>
      <w:tr>
        <w:trPr>
          <w:tblHeader w:val="true"/>
          <w:cantSplit/>
        </w:trPr>
        <w:tc>
          <w:tcPr>
            <w:tcW w:type="dxa" w:w="900"/>
            <w:shd w:fill="17365D"/>
            <w:vAlign w:val="center"/>
          </w:tcPr>
          <w:p>
            <w:r>
              <w:rPr>
                <w:b/>
                <w:color w:val="FFFFFF"/>
                <w:sz w:val="16"/>
              </w:rPr>
              <w:t>Stage</w:t>
            </w:r>
          </w:p>
        </w:tc>
        <w:tc>
          <w:tcPr>
            <w:tcW w:type="dxa" w:w="3700"/>
            <w:shd w:fill="17365D"/>
            <w:vAlign w:val="center"/>
          </w:tcPr>
          <w:p>
            <w:r>
              <w:rPr>
                <w:b/>
                <w:color w:val="FFFFFF"/>
                <w:sz w:val="16"/>
              </w:rPr>
              <w:t>Title</w:t>
            </w:r>
          </w:p>
        </w:tc>
        <w:tc>
          <w:tcPr>
            <w:tcW w:type="dxa" w:w="2600"/>
            <w:shd w:fill="17365D"/>
            <w:vAlign w:val="center"/>
          </w:tcPr>
          <w:p>
            <w:r>
              <w:rPr>
                <w:b/>
                <w:color w:val="FFFFFF"/>
                <w:sz w:val="16"/>
              </w:rPr>
              <w:t>Status</w:t>
            </w:r>
          </w:p>
        </w:tc>
        <w:tc>
          <w:tcPr>
            <w:tcW w:type="dxa" w:w="2160"/>
            <w:shd w:fill="17365D"/>
            <w:vAlign w:val="center"/>
          </w:tcPr>
          <w:p>
            <w:r>
              <w:rPr>
                <w:b/>
                <w:color w:val="FFFFFF"/>
                <w:sz w:val="16"/>
              </w:rPr>
              <w:t>SHA-256 prefix</w:t>
            </w:r>
          </w:p>
        </w:tc>
      </w:tr>
      <w:tr>
        <w:trPr>
          <w:trHeight w:hRule="atLeast"/>
          <w:cantSplit/>
        </w:trPr>
        <w:tc>
          <w:tcPr>
            <w:tcW w:type="dxa" w:w="900"/>
            <w:vAlign w:val="top"/>
          </w:tcPr>
          <w:p>
            <w:pPr>
              <w:spacing w:after="20"/>
            </w:pPr>
            <w:r>
              <w:rPr>
                <w:sz w:val="15"/>
              </w:rPr>
              <w:t>01</w:t>
            </w:r>
          </w:p>
        </w:tc>
        <w:tc>
          <w:tcPr>
            <w:tcW w:type="dxa" w:w="3700"/>
            <w:vAlign w:val="top"/>
          </w:tcPr>
          <w:p>
            <w:pPr>
              <w:spacing w:after="20"/>
            </w:pPr>
            <w:r>
              <w:rPr>
                <w:sz w:val="15"/>
              </w:rPr>
              <w:t>Intake readiness</w:t>
            </w:r>
          </w:p>
        </w:tc>
        <w:tc>
          <w:tcPr>
            <w:tcW w:type="dxa" w:w="2600"/>
            <w:vAlign w:val="top"/>
          </w:tcPr>
          <w:p>
            <w:pPr>
              <w:spacing w:after="20"/>
            </w:pPr>
            <w:r>
              <w:rPr>
                <w:sz w:val="15"/>
              </w:rPr>
              <w:t>Partially ready</w:t>
            </w:r>
          </w:p>
        </w:tc>
        <w:tc>
          <w:tcPr>
            <w:tcW w:type="dxa" w:w="2160"/>
            <w:vAlign w:val="top"/>
          </w:tcPr>
          <w:p>
            <w:pPr>
              <w:spacing w:after="20"/>
            </w:pPr>
            <w:r>
              <w:rPr>
                <w:sz w:val="15"/>
              </w:rPr>
              <w:t>b92ad415205371bf7d44</w:t>
            </w:r>
          </w:p>
        </w:tc>
      </w:tr>
      <w:tr>
        <w:trPr>
          <w:trHeight w:hRule="atLeast"/>
          <w:cantSplit/>
        </w:trPr>
        <w:tc>
          <w:tcPr>
            <w:tcW w:type="dxa" w:w="900"/>
            <w:vAlign w:val="top"/>
            <w:shd w:fill="EEF4F7"/>
          </w:tcPr>
          <w:p>
            <w:pPr>
              <w:spacing w:after="20"/>
            </w:pPr>
            <w:r>
              <w:rPr>
                <w:sz w:val="15"/>
              </w:rPr>
              <w:t>02</w:t>
            </w:r>
          </w:p>
        </w:tc>
        <w:tc>
          <w:tcPr>
            <w:tcW w:type="dxa" w:w="3700"/>
            <w:vAlign w:val="top"/>
            <w:shd w:fill="EEF4F7"/>
          </w:tcPr>
          <w:p>
            <w:pPr>
              <w:spacing w:after="20"/>
            </w:pPr>
            <w:r>
              <w:rPr>
                <w:sz w:val="15"/>
              </w:rPr>
              <w:t>Evidence plan</w:t>
            </w:r>
          </w:p>
        </w:tc>
        <w:tc>
          <w:tcPr>
            <w:tcW w:type="dxa" w:w="2600"/>
            <w:vAlign w:val="top"/>
            <w:shd w:fill="EEF4F7"/>
          </w:tcPr>
          <w:p>
            <w:pPr>
              <w:spacing w:after="20"/>
            </w:pPr>
            <w:r>
              <w:rPr>
                <w:sz w:val="15"/>
              </w:rPr>
              <w:t>Verified</w:t>
            </w:r>
          </w:p>
        </w:tc>
        <w:tc>
          <w:tcPr>
            <w:tcW w:type="dxa" w:w="2160"/>
            <w:vAlign w:val="top"/>
            <w:shd w:fill="EEF4F7"/>
          </w:tcPr>
          <w:p>
            <w:pPr>
              <w:spacing w:after="20"/>
            </w:pPr>
            <w:r>
              <w:rPr>
                <w:sz w:val="15"/>
              </w:rPr>
              <w:t>8793f14d7a8745ffd82e</w:t>
            </w:r>
          </w:p>
        </w:tc>
      </w:tr>
      <w:tr>
        <w:trPr>
          <w:trHeight w:hRule="atLeast"/>
          <w:cantSplit/>
        </w:trPr>
        <w:tc>
          <w:tcPr>
            <w:tcW w:type="dxa" w:w="900"/>
            <w:vAlign w:val="top"/>
          </w:tcPr>
          <w:p>
            <w:pPr>
              <w:spacing w:after="20"/>
            </w:pPr>
            <w:r>
              <w:rPr>
                <w:sz w:val="15"/>
              </w:rPr>
              <w:t>03</w:t>
            </w:r>
          </w:p>
        </w:tc>
        <w:tc>
          <w:tcPr>
            <w:tcW w:type="dxa" w:w="3700"/>
            <w:vAlign w:val="top"/>
          </w:tcPr>
          <w:p>
            <w:pPr>
              <w:spacing w:after="20"/>
            </w:pPr>
            <w:r>
              <w:rPr>
                <w:sz w:val="15"/>
              </w:rPr>
              <w:t>Acquisition provenance</w:t>
            </w:r>
          </w:p>
        </w:tc>
        <w:tc>
          <w:tcPr>
            <w:tcW w:type="dxa" w:w="2600"/>
            <w:vAlign w:val="top"/>
          </w:tcPr>
          <w:p>
            <w:pPr>
              <w:spacing w:after="20"/>
            </w:pPr>
            <w:r>
              <w:rPr>
                <w:sz w:val="15"/>
              </w:rPr>
              <w:t>Verified</w:t>
            </w:r>
          </w:p>
        </w:tc>
        <w:tc>
          <w:tcPr>
            <w:tcW w:type="dxa" w:w="2160"/>
            <w:vAlign w:val="top"/>
          </w:tcPr>
          <w:p>
            <w:pPr>
              <w:spacing w:after="20"/>
            </w:pPr>
            <w:r>
              <w:rPr>
                <w:sz w:val="15"/>
              </w:rPr>
              <w:t>350e40585f521b0333af</w:t>
            </w:r>
          </w:p>
        </w:tc>
      </w:tr>
      <w:tr>
        <w:trPr>
          <w:trHeight w:hRule="atLeast"/>
          <w:cantSplit/>
        </w:trPr>
        <w:tc>
          <w:tcPr>
            <w:tcW w:type="dxa" w:w="900"/>
            <w:vAlign w:val="top"/>
            <w:shd w:fill="EEF4F7"/>
          </w:tcPr>
          <w:p>
            <w:pPr>
              <w:spacing w:after="20"/>
            </w:pPr>
            <w:r>
              <w:rPr>
                <w:sz w:val="15"/>
              </w:rPr>
              <w:t>04</w:t>
            </w:r>
          </w:p>
        </w:tc>
        <w:tc>
          <w:tcPr>
            <w:tcW w:type="dxa" w:w="3700"/>
            <w:vAlign w:val="top"/>
            <w:shd w:fill="EEF4F7"/>
          </w:tcPr>
          <w:p>
            <w:pPr>
              <w:spacing w:after="20"/>
            </w:pPr>
            <w:r>
              <w:rPr>
                <w:sz w:val="15"/>
              </w:rPr>
              <w:t>Static inspection</w:t>
            </w:r>
          </w:p>
        </w:tc>
        <w:tc>
          <w:tcPr>
            <w:tcW w:type="dxa" w:w="2600"/>
            <w:vAlign w:val="top"/>
            <w:shd w:fill="EEF4F7"/>
          </w:tcPr>
          <w:p>
            <w:pPr>
              <w:spacing w:after="20"/>
            </w:pPr>
            <w:r>
              <w:rPr>
                <w:sz w:val="15"/>
              </w:rPr>
              <w:t>Verified with limitations</w:t>
            </w:r>
          </w:p>
        </w:tc>
        <w:tc>
          <w:tcPr>
            <w:tcW w:type="dxa" w:w="2160"/>
            <w:vAlign w:val="top"/>
            <w:shd w:fill="EEF4F7"/>
          </w:tcPr>
          <w:p>
            <w:pPr>
              <w:spacing w:after="20"/>
            </w:pPr>
            <w:r>
              <w:rPr>
                <w:sz w:val="15"/>
              </w:rPr>
              <w:t>f407c7e4024eeefcb215</w:t>
            </w:r>
          </w:p>
        </w:tc>
      </w:tr>
      <w:tr>
        <w:trPr>
          <w:trHeight w:hRule="atLeast"/>
          <w:cantSplit/>
        </w:trPr>
        <w:tc>
          <w:tcPr>
            <w:tcW w:type="dxa" w:w="900"/>
            <w:vAlign w:val="top"/>
          </w:tcPr>
          <w:p>
            <w:pPr>
              <w:spacing w:after="20"/>
            </w:pPr>
            <w:r>
              <w:rPr>
                <w:sz w:val="15"/>
              </w:rPr>
              <w:t>05</w:t>
            </w:r>
          </w:p>
        </w:tc>
        <w:tc>
          <w:tcPr>
            <w:tcW w:type="dxa" w:w="3700"/>
            <w:vAlign w:val="top"/>
          </w:tcPr>
          <w:p>
            <w:pPr>
              <w:spacing w:after="20"/>
            </w:pPr>
            <w:r>
              <w:rPr>
                <w:sz w:val="15"/>
              </w:rPr>
              <w:t>IDE installation lifecycle</w:t>
            </w:r>
          </w:p>
        </w:tc>
        <w:tc>
          <w:tcPr>
            <w:tcW w:type="dxa" w:w="2600"/>
            <w:vAlign w:val="top"/>
          </w:tcPr>
          <w:p>
            <w:pPr>
              <w:spacing w:after="20"/>
            </w:pPr>
            <w:r>
              <w:rPr>
                <w:sz w:val="15"/>
              </w:rPr>
              <w:t>Defer pending evidence</w:t>
            </w:r>
          </w:p>
        </w:tc>
        <w:tc>
          <w:tcPr>
            <w:tcW w:type="dxa" w:w="2160"/>
            <w:vAlign w:val="top"/>
          </w:tcPr>
          <w:p>
            <w:pPr>
              <w:spacing w:after="20"/>
            </w:pPr>
            <w:r>
              <w:rPr>
                <w:sz w:val="15"/>
              </w:rPr>
              <w:t>38f1a64617f97272740f</w:t>
            </w:r>
          </w:p>
        </w:tc>
      </w:tr>
      <w:tr>
        <w:trPr>
          <w:trHeight w:hRule="atLeast"/>
          <w:cantSplit/>
        </w:trPr>
        <w:tc>
          <w:tcPr>
            <w:tcW w:type="dxa" w:w="900"/>
            <w:vAlign w:val="top"/>
            <w:shd w:fill="EEF4F7"/>
          </w:tcPr>
          <w:p>
            <w:pPr>
              <w:spacing w:after="20"/>
            </w:pPr>
            <w:r>
              <w:rPr>
                <w:sz w:val="15"/>
              </w:rPr>
              <w:t>06</w:t>
            </w:r>
          </w:p>
        </w:tc>
        <w:tc>
          <w:tcPr>
            <w:tcW w:type="dxa" w:w="3700"/>
            <w:vAlign w:val="top"/>
            <w:shd w:fill="EEF4F7"/>
          </w:tcPr>
          <w:p>
            <w:pPr>
              <w:spacing w:after="20"/>
            </w:pPr>
            <w:r>
              <w:rPr>
                <w:sz w:val="15"/>
              </w:rPr>
              <w:t>Architecture data flows</w:t>
            </w:r>
          </w:p>
        </w:tc>
        <w:tc>
          <w:tcPr>
            <w:tcW w:type="dxa" w:w="2600"/>
            <w:vAlign w:val="top"/>
            <w:shd w:fill="EEF4F7"/>
          </w:tcPr>
          <w:p>
            <w:pPr>
              <w:spacing w:after="20"/>
            </w:pPr>
            <w:r>
              <w:rPr>
                <w:sz w:val="15"/>
              </w:rPr>
              <w:t>Verified and inferred</w:t>
            </w:r>
          </w:p>
        </w:tc>
        <w:tc>
          <w:tcPr>
            <w:tcW w:type="dxa" w:w="2160"/>
            <w:vAlign w:val="top"/>
            <w:shd w:fill="EEF4F7"/>
          </w:tcPr>
          <w:p>
            <w:pPr>
              <w:spacing w:after="20"/>
            </w:pPr>
            <w:r>
              <w:rPr>
                <w:sz w:val="15"/>
              </w:rPr>
              <w:t>728dda4fade18286087d</w:t>
            </w:r>
          </w:p>
        </w:tc>
      </w:tr>
      <w:tr>
        <w:trPr>
          <w:trHeight w:hRule="atLeast"/>
          <w:cantSplit/>
        </w:trPr>
        <w:tc>
          <w:tcPr>
            <w:tcW w:type="dxa" w:w="900"/>
            <w:vAlign w:val="top"/>
          </w:tcPr>
          <w:p>
            <w:pPr>
              <w:spacing w:after="20"/>
            </w:pPr>
            <w:r>
              <w:rPr>
                <w:sz w:val="15"/>
              </w:rPr>
              <w:t>07</w:t>
            </w:r>
          </w:p>
        </w:tc>
        <w:tc>
          <w:tcPr>
            <w:tcW w:type="dxa" w:w="3700"/>
            <w:vAlign w:val="top"/>
          </w:tcPr>
          <w:p>
            <w:pPr>
              <w:spacing w:after="20"/>
            </w:pPr>
            <w:r>
              <w:rPr>
                <w:sz w:val="15"/>
              </w:rPr>
              <w:t>Runtime observations</w:t>
            </w:r>
          </w:p>
        </w:tc>
        <w:tc>
          <w:tcPr>
            <w:tcW w:type="dxa" w:w="2600"/>
            <w:vAlign w:val="top"/>
          </w:tcPr>
          <w:p>
            <w:pPr>
              <w:spacing w:after="20"/>
            </w:pPr>
            <w:r>
              <w:rPr>
                <w:sz w:val="15"/>
              </w:rPr>
              <w:t>Defer pending evidence</w:t>
            </w:r>
          </w:p>
        </w:tc>
        <w:tc>
          <w:tcPr>
            <w:tcW w:type="dxa" w:w="2160"/>
            <w:vAlign w:val="top"/>
          </w:tcPr>
          <w:p>
            <w:pPr>
              <w:spacing w:after="20"/>
            </w:pPr>
            <w:r>
              <w:rPr>
                <w:sz w:val="15"/>
              </w:rPr>
              <w:t>07f2c8dd5a9031cbe022</w:t>
            </w:r>
          </w:p>
        </w:tc>
      </w:tr>
      <w:tr>
        <w:trPr>
          <w:trHeight w:hRule="atLeast"/>
          <w:cantSplit/>
        </w:trPr>
        <w:tc>
          <w:tcPr>
            <w:tcW w:type="dxa" w:w="900"/>
            <w:vAlign w:val="top"/>
            <w:shd w:fill="EEF4F7"/>
          </w:tcPr>
          <w:p>
            <w:pPr>
              <w:spacing w:after="20"/>
            </w:pPr>
            <w:r>
              <w:rPr>
                <w:sz w:val="15"/>
              </w:rPr>
              <w:t>08</w:t>
            </w:r>
          </w:p>
        </w:tc>
        <w:tc>
          <w:tcPr>
            <w:tcW w:type="dxa" w:w="3700"/>
            <w:vAlign w:val="top"/>
            <w:shd w:fill="EEF4F7"/>
          </w:tcPr>
          <w:p>
            <w:pPr>
              <w:spacing w:after="20"/>
            </w:pPr>
            <w:r>
              <w:rPr>
                <w:sz w:val="15"/>
              </w:rPr>
              <w:t>Malware supply chain</w:t>
            </w:r>
          </w:p>
        </w:tc>
        <w:tc>
          <w:tcPr>
            <w:tcW w:type="dxa" w:w="2600"/>
            <w:vAlign w:val="top"/>
            <w:shd w:fill="EEF4F7"/>
          </w:tcPr>
          <w:p>
            <w:pPr>
              <w:spacing w:after="20"/>
            </w:pPr>
            <w:r>
              <w:rPr>
                <w:sz w:val="15"/>
              </w:rPr>
              <w:t>Verified with limitations</w:t>
            </w:r>
          </w:p>
        </w:tc>
        <w:tc>
          <w:tcPr>
            <w:tcW w:type="dxa" w:w="2160"/>
            <w:vAlign w:val="top"/>
            <w:shd w:fill="EEF4F7"/>
          </w:tcPr>
          <w:p>
            <w:pPr>
              <w:spacing w:after="20"/>
            </w:pPr>
            <w:r>
              <w:rPr>
                <w:sz w:val="15"/>
              </w:rPr>
              <w:t>70de3cc627520d986748</w:t>
            </w:r>
          </w:p>
        </w:tc>
      </w:tr>
      <w:tr>
        <w:trPr>
          <w:trHeight w:hRule="atLeast"/>
          <w:cantSplit/>
        </w:trPr>
        <w:tc>
          <w:tcPr>
            <w:tcW w:type="dxa" w:w="900"/>
            <w:vAlign w:val="top"/>
          </w:tcPr>
          <w:p>
            <w:pPr>
              <w:spacing w:after="20"/>
            </w:pPr>
            <w:r>
              <w:rPr>
                <w:sz w:val="15"/>
              </w:rPr>
              <w:t>09</w:t>
            </w:r>
          </w:p>
        </w:tc>
        <w:tc>
          <w:tcPr>
            <w:tcW w:type="dxa" w:w="3700"/>
            <w:vAlign w:val="top"/>
          </w:tcPr>
          <w:p>
            <w:pPr>
              <w:spacing w:after="20"/>
            </w:pPr>
            <w:r>
              <w:rPr>
                <w:sz w:val="15"/>
              </w:rPr>
              <w:t>SBOM advisory triage</w:t>
            </w:r>
          </w:p>
        </w:tc>
        <w:tc>
          <w:tcPr>
            <w:tcW w:type="dxa" w:w="2600"/>
            <w:vAlign w:val="top"/>
          </w:tcPr>
          <w:p>
            <w:pPr>
              <w:spacing w:after="20"/>
            </w:pPr>
            <w:r>
              <w:rPr>
                <w:sz w:val="15"/>
              </w:rPr>
              <w:t>Verified with limitations</w:t>
            </w:r>
          </w:p>
        </w:tc>
        <w:tc>
          <w:tcPr>
            <w:tcW w:type="dxa" w:w="2160"/>
            <w:vAlign w:val="top"/>
          </w:tcPr>
          <w:p>
            <w:pPr>
              <w:spacing w:after="20"/>
            </w:pPr>
            <w:r>
              <w:rPr>
                <w:sz w:val="15"/>
              </w:rPr>
              <w:t>b12689d622cca4537b1c</w:t>
            </w:r>
          </w:p>
        </w:tc>
      </w:tr>
      <w:tr>
        <w:trPr>
          <w:trHeight w:hRule="atLeast"/>
          <w:cantSplit/>
        </w:trPr>
        <w:tc>
          <w:tcPr>
            <w:tcW w:type="dxa" w:w="900"/>
            <w:vAlign w:val="top"/>
            <w:shd w:fill="EEF4F7"/>
          </w:tcPr>
          <w:p>
            <w:pPr>
              <w:spacing w:after="20"/>
            </w:pPr>
            <w:r>
              <w:rPr>
                <w:sz w:val="15"/>
              </w:rPr>
              <w:t>10</w:t>
            </w:r>
          </w:p>
        </w:tc>
        <w:tc>
          <w:tcPr>
            <w:tcW w:type="dxa" w:w="3700"/>
            <w:vAlign w:val="top"/>
            <w:shd w:fill="EEF4F7"/>
          </w:tcPr>
          <w:p>
            <w:pPr>
              <w:spacing w:after="20"/>
            </w:pPr>
            <w:r>
              <w:rPr>
                <w:sz w:val="15"/>
              </w:rPr>
              <w:t>MCP Agent Skills</w:t>
            </w:r>
          </w:p>
        </w:tc>
        <w:tc>
          <w:tcPr>
            <w:tcW w:type="dxa" w:w="2600"/>
            <w:vAlign w:val="top"/>
            <w:shd w:fill="EEF4F7"/>
          </w:tcPr>
          <w:p>
            <w:pPr>
              <w:spacing w:after="20"/>
            </w:pPr>
            <w:r>
              <w:rPr>
                <w:sz w:val="15"/>
              </w:rPr>
              <w:t>Verified and not applicable</w:t>
            </w:r>
          </w:p>
        </w:tc>
        <w:tc>
          <w:tcPr>
            <w:tcW w:type="dxa" w:w="2160"/>
            <w:vAlign w:val="top"/>
            <w:shd w:fill="EEF4F7"/>
          </w:tcPr>
          <w:p>
            <w:pPr>
              <w:spacing w:after="20"/>
            </w:pPr>
            <w:r>
              <w:rPr>
                <w:sz w:val="15"/>
              </w:rPr>
              <w:t>4f335b88a0fcbad7a690</w:t>
            </w:r>
          </w:p>
        </w:tc>
      </w:tr>
      <w:tr>
        <w:trPr>
          <w:trHeight w:hRule="atLeast"/>
          <w:cantSplit/>
        </w:trPr>
        <w:tc>
          <w:tcPr>
            <w:tcW w:type="dxa" w:w="900"/>
            <w:vAlign w:val="top"/>
          </w:tcPr>
          <w:p>
            <w:pPr>
              <w:spacing w:after="20"/>
            </w:pPr>
            <w:r>
              <w:rPr>
                <w:sz w:val="15"/>
              </w:rPr>
              <w:t>11</w:t>
            </w:r>
          </w:p>
        </w:tc>
        <w:tc>
          <w:tcPr>
            <w:tcW w:type="dxa" w:w="3700"/>
            <w:vAlign w:val="top"/>
          </w:tcPr>
          <w:p>
            <w:pPr>
              <w:spacing w:after="20"/>
            </w:pPr>
            <w:r>
              <w:rPr>
                <w:sz w:val="15"/>
              </w:rPr>
              <w:t>Privacy regulatory</w:t>
            </w:r>
          </w:p>
        </w:tc>
        <w:tc>
          <w:tcPr>
            <w:tcW w:type="dxa" w:w="2600"/>
            <w:vAlign w:val="top"/>
          </w:tcPr>
          <w:p>
            <w:pPr>
              <w:spacing w:after="20"/>
            </w:pPr>
            <w:r>
              <w:rPr>
                <w:sz w:val="15"/>
              </w:rPr>
              <w:t>Defer pending evidence</w:t>
            </w:r>
          </w:p>
        </w:tc>
        <w:tc>
          <w:tcPr>
            <w:tcW w:type="dxa" w:w="2160"/>
            <w:vAlign w:val="top"/>
          </w:tcPr>
          <w:p>
            <w:pPr>
              <w:spacing w:after="20"/>
            </w:pPr>
            <w:r>
              <w:rPr>
                <w:sz w:val="15"/>
              </w:rPr>
              <w:t>10678cc5d0970c29651c</w:t>
            </w:r>
          </w:p>
        </w:tc>
      </w:tr>
      <w:tr>
        <w:trPr>
          <w:trHeight w:hRule="atLeast"/>
          <w:cantSplit/>
        </w:trPr>
        <w:tc>
          <w:tcPr>
            <w:tcW w:type="dxa" w:w="900"/>
            <w:vAlign w:val="top"/>
            <w:shd w:fill="EEF4F7"/>
          </w:tcPr>
          <w:p>
            <w:pPr>
              <w:spacing w:after="20"/>
            </w:pPr>
            <w:r>
              <w:rPr>
                <w:sz w:val="15"/>
              </w:rPr>
              <w:t>12</w:t>
            </w:r>
          </w:p>
        </w:tc>
        <w:tc>
          <w:tcPr>
            <w:tcW w:type="dxa" w:w="3700"/>
            <w:vAlign w:val="top"/>
            <w:shd w:fill="EEF4F7"/>
          </w:tcPr>
          <w:p>
            <w:pPr>
              <w:spacing w:after="20"/>
            </w:pPr>
            <w:r>
              <w:rPr>
                <w:sz w:val="15"/>
              </w:rPr>
              <w:t>Framework mappings</w:t>
            </w:r>
          </w:p>
        </w:tc>
        <w:tc>
          <w:tcPr>
            <w:tcW w:type="dxa" w:w="2600"/>
            <w:vAlign w:val="top"/>
            <w:shd w:fill="EEF4F7"/>
          </w:tcPr>
          <w:p>
            <w:pPr>
              <w:spacing w:after="20"/>
            </w:pPr>
            <w:r>
              <w:rPr>
                <w:sz w:val="15"/>
              </w:rPr>
              <w:t>Verified</w:t>
            </w:r>
          </w:p>
        </w:tc>
        <w:tc>
          <w:tcPr>
            <w:tcW w:type="dxa" w:w="2160"/>
            <w:vAlign w:val="top"/>
            <w:shd w:fill="EEF4F7"/>
          </w:tcPr>
          <w:p>
            <w:pPr>
              <w:spacing w:after="20"/>
            </w:pPr>
            <w:r>
              <w:rPr>
                <w:sz w:val="15"/>
              </w:rPr>
              <w:t>e624924fd6018c5306e0</w:t>
            </w:r>
          </w:p>
        </w:tc>
      </w:tr>
      <w:tr>
        <w:trPr>
          <w:trHeight w:hRule="atLeast"/>
          <w:cantSplit/>
        </w:trPr>
        <w:tc>
          <w:tcPr>
            <w:tcW w:type="dxa" w:w="900"/>
            <w:vAlign w:val="top"/>
          </w:tcPr>
          <w:p>
            <w:pPr>
              <w:spacing w:after="20"/>
            </w:pPr>
            <w:r>
              <w:rPr>
                <w:sz w:val="15"/>
              </w:rPr>
              <w:t>13</w:t>
            </w:r>
          </w:p>
        </w:tc>
        <w:tc>
          <w:tcPr>
            <w:tcW w:type="dxa" w:w="3700"/>
            <w:vAlign w:val="top"/>
          </w:tcPr>
          <w:p>
            <w:pPr>
              <w:spacing w:after="20"/>
            </w:pPr>
            <w:r>
              <w:rPr>
                <w:sz w:val="15"/>
              </w:rPr>
              <w:t>Validated findings risk register</w:t>
            </w:r>
          </w:p>
        </w:tc>
        <w:tc>
          <w:tcPr>
            <w:tcW w:type="dxa" w:w="2600"/>
            <w:vAlign w:val="top"/>
          </w:tcPr>
          <w:p>
            <w:pPr>
              <w:spacing w:after="20"/>
            </w:pPr>
            <w:r>
              <w:rPr>
                <w:sz w:val="15"/>
              </w:rPr>
              <w:t>Validated</w:t>
            </w:r>
          </w:p>
        </w:tc>
        <w:tc>
          <w:tcPr>
            <w:tcW w:type="dxa" w:w="2160"/>
            <w:vAlign w:val="top"/>
          </w:tcPr>
          <w:p>
            <w:pPr>
              <w:spacing w:after="20"/>
            </w:pPr>
            <w:r>
              <w:rPr>
                <w:sz w:val="15"/>
              </w:rPr>
              <w:t>24445d576178ff6afd5d</w:t>
            </w:r>
          </w:p>
        </w:tc>
      </w:tr>
      <w:tr>
        <w:trPr>
          <w:trHeight w:hRule="atLeast"/>
          <w:cantSplit/>
        </w:trPr>
        <w:tc>
          <w:tcPr>
            <w:tcW w:type="dxa" w:w="900"/>
            <w:vAlign w:val="top"/>
            <w:shd w:fill="EEF4F7"/>
          </w:tcPr>
          <w:p>
            <w:pPr>
              <w:spacing w:after="20"/>
            </w:pPr>
            <w:r>
              <w:rPr>
                <w:sz w:val="15"/>
              </w:rPr>
              <w:t>14</w:t>
            </w:r>
          </w:p>
        </w:tc>
        <w:tc>
          <w:tcPr>
            <w:tcW w:type="dxa" w:w="3700"/>
            <w:vAlign w:val="top"/>
            <w:shd w:fill="EEF4F7"/>
          </w:tcPr>
          <w:p>
            <w:pPr>
              <w:spacing w:after="20"/>
            </w:pPr>
            <w:r>
              <w:rPr>
                <w:sz w:val="15"/>
              </w:rPr>
              <w:t>Controls detection monitoring</w:t>
            </w:r>
          </w:p>
        </w:tc>
        <w:tc>
          <w:tcPr>
            <w:tcW w:type="dxa" w:w="2600"/>
            <w:vAlign w:val="top"/>
            <w:shd w:fill="EEF4F7"/>
          </w:tcPr>
          <w:p>
            <w:pPr>
              <w:spacing w:after="20"/>
            </w:pPr>
            <w:r>
              <w:rPr>
                <w:sz w:val="15"/>
              </w:rPr>
              <w:t>Validated</w:t>
            </w:r>
          </w:p>
        </w:tc>
        <w:tc>
          <w:tcPr>
            <w:tcW w:type="dxa" w:w="2160"/>
            <w:vAlign w:val="top"/>
            <w:shd w:fill="EEF4F7"/>
          </w:tcPr>
          <w:p>
            <w:pPr>
              <w:spacing w:after="20"/>
            </w:pPr>
            <w:r>
              <w:rPr>
                <w:sz w:val="15"/>
              </w:rPr>
              <w:t>545ac20c5501787ef045</w:t>
            </w:r>
          </w:p>
        </w:tc>
      </w:tr>
      <w:tr>
        <w:trPr>
          <w:trHeight w:hRule="atLeast"/>
          <w:cantSplit/>
        </w:trPr>
        <w:tc>
          <w:tcPr>
            <w:tcW w:type="dxa" w:w="900"/>
            <w:vAlign w:val="top"/>
          </w:tcPr>
          <w:p>
            <w:pPr>
              <w:spacing w:after="20"/>
            </w:pPr>
            <w:r>
              <w:rPr>
                <w:sz w:val="15"/>
              </w:rPr>
              <w:t>15</w:t>
            </w:r>
          </w:p>
        </w:tc>
        <w:tc>
          <w:tcPr>
            <w:tcW w:type="dxa" w:w="3700"/>
            <w:vAlign w:val="top"/>
          </w:tcPr>
          <w:p>
            <w:pPr>
              <w:spacing w:after="20"/>
            </w:pPr>
            <w:r>
              <w:rPr>
                <w:sz w:val="15"/>
              </w:rPr>
              <w:t>Claims evidence report QA</w:t>
            </w:r>
          </w:p>
        </w:tc>
        <w:tc>
          <w:tcPr>
            <w:tcW w:type="dxa" w:w="2600"/>
            <w:vAlign w:val="top"/>
          </w:tcPr>
          <w:p>
            <w:pPr>
              <w:spacing w:after="20"/>
            </w:pPr>
            <w:r>
              <w:rPr>
                <w:sz w:val="15"/>
              </w:rPr>
              <w:t>Validated</w:t>
            </w:r>
          </w:p>
        </w:tc>
        <w:tc>
          <w:tcPr>
            <w:tcW w:type="dxa" w:w="2160"/>
            <w:vAlign w:val="top"/>
          </w:tcPr>
          <w:p>
            <w:pPr>
              <w:spacing w:after="20"/>
            </w:pPr>
            <w:r>
              <w:rPr>
                <w:sz w:val="15"/>
              </w:rPr>
              <w:t>8149113c8462184fcb9e</w:t>
            </w:r>
          </w:p>
        </w:tc>
      </w:tr>
    </w:tbl>
    <w:p/>
    <w:p>
      <w:pPr>
        <w:pStyle w:val="Heading1"/>
      </w:pPr>
      <w:r>
        <w:t>References</w:t>
      </w:r>
    </w:p>
    <w:p>
      <w:bookmarkStart w:id="101" w:name="REF_001"/>
      <w:bookmarkEnd w:id="101"/>
      <w:r>
        <w:t xml:space="preserve">REF-001 — Official MCP Registry entry for Netdata. </w:t>
      </w:r>
      <w:hyperlink r:id="rId12">
        <w:r>
          <w:rPr>
            <w:color w:val="0563C1"/>
            <w:u w:val="single"/>
          </w:rPr>
          <w:t>Open Official MCP Registry entry for Netdata</w:t>
        </w:r>
      </w:hyperlink>
      <w:r>
        <w:t xml:space="preserve"> Accessed 25 July 2026.</w:t>
      </w:r>
    </w:p>
    <w:p>
      <w:bookmarkStart w:id="102" w:name="REF_002"/>
      <w:bookmarkEnd w:id="102"/>
      <w:r>
        <w:t xml:space="preserve">REF-002 — Netdata v2.10.4 release. </w:t>
      </w:r>
      <w:hyperlink r:id="rId13">
        <w:r>
          <w:rPr>
            <w:color w:val="0563C1"/>
            <w:u w:val="single"/>
          </w:rPr>
          <w:t>Open Netdata v2.10.4 release</w:t>
        </w:r>
      </w:hyperlink>
      <w:r>
        <w:t xml:space="preserve"> Accessed 25 July 2026.</w:t>
      </w:r>
    </w:p>
    <w:p>
      <w:bookmarkStart w:id="103" w:name="REF_003"/>
      <w:bookmarkEnd w:id="103"/>
      <w:r>
        <w:t xml:space="preserve">REF-003 — Netdata MCP documentation. </w:t>
      </w:r>
      <w:hyperlink r:id="rId14">
        <w:r>
          <w:rPr>
            <w:color w:val="0563C1"/>
            <w:u w:val="single"/>
          </w:rPr>
          <w:t>Open Netdata MCP documentation</w:t>
        </w:r>
      </w:hyperlink>
      <w:r>
        <w:t xml:space="preserve"> Accessed 25 July 2026.</w:t>
      </w:r>
    </w:p>
    <w:p>
      <w:bookmarkStart w:id="104" w:name="REF_004"/>
      <w:bookmarkEnd w:id="104"/>
      <w:r>
        <w:t xml:space="preserve">REF-004 — Netdata MCP source. </w:t>
      </w:r>
      <w:hyperlink r:id="rId15">
        <w:r>
          <w:rPr>
            <w:color w:val="0563C1"/>
            <w:u w:val="single"/>
          </w:rPr>
          <w:t>Open Netdata MCP source</w:t>
        </w:r>
      </w:hyperlink>
      <w:r>
        <w:t xml:space="preserve"> Accessed 25 July 2026.</w:t>
      </w:r>
    </w:p>
    <w:p>
      <w:bookmarkStart w:id="105" w:name="REF_005"/>
      <w:bookmarkEnd w:id="105"/>
      <w:r>
        <w:t xml:space="preserve">REF-005 — Netdata security and privacy design. </w:t>
      </w:r>
      <w:hyperlink r:id="rId16">
        <w:r>
          <w:rPr>
            <w:color w:val="0563C1"/>
            <w:u w:val="single"/>
          </w:rPr>
          <w:t>Open Netdata security and privacy design</w:t>
        </w:r>
      </w:hyperlink>
      <w:r>
        <w:t xml:space="preserve"> Accessed 25 July 2026.</w:t>
      </w:r>
    </w:p>
    <w:p>
      <w:bookmarkStart w:id="106" w:name="REF_006"/>
      <w:bookmarkEnd w:id="106"/>
      <w:r>
        <w:t xml:space="preserve">REF-006 — Netdata privacy policy. </w:t>
      </w:r>
      <w:hyperlink r:id="rId17">
        <w:r>
          <w:rPr>
            <w:color w:val="0563C1"/>
            <w:u w:val="single"/>
          </w:rPr>
          <w:t>Open Netdata privacy policy</w:t>
        </w:r>
      </w:hyperlink>
      <w:r>
        <w:t xml:space="preserve"> Accessed 25 July 2026.</w:t>
      </w:r>
    </w:p>
    <w:p>
      <w:bookmarkStart w:id="107" w:name="REF_007"/>
      <w:bookmarkEnd w:id="107"/>
      <w:r>
        <w:t xml:space="preserve">REF-007 — VS Code MCP servers documentation. </w:t>
      </w:r>
      <w:hyperlink r:id="rId18">
        <w:r>
          <w:rPr>
            <w:color w:val="0563C1"/>
            <w:u w:val="single"/>
          </w:rPr>
          <w:t>Open VS Code MCP servers documentation</w:t>
        </w:r>
      </w:hyperlink>
      <w:r>
        <w:t xml:space="preserve"> Accessed 25 July 2026.</w:t>
      </w:r>
    </w:p>
    <w:p>
      <w:bookmarkStart w:id="108" w:name="REF_008"/>
      <w:bookmarkEnd w:id="108"/>
      <w:r>
        <w:t xml:space="preserve">REF-008 — Visual Studio MCP servers documentation. </w:t>
      </w:r>
      <w:hyperlink r:id="rId19">
        <w:r>
          <w:rPr>
            <w:color w:val="0563C1"/>
            <w:u w:val="single"/>
          </w:rPr>
          <w:t>Open Visual Studio MCP servers documentation</w:t>
        </w:r>
      </w:hyperlink>
      <w:r>
        <w:t xml:space="preserve"> Accessed 25 July 2026.</w:t>
      </w:r>
    </w:p>
    <w:p>
      <w:bookmarkStart w:id="109" w:name="REF_009"/>
      <w:bookmarkEnd w:id="109"/>
      <w:r>
        <w:t xml:space="preserve">REF-009 — OWASP Top 10 for LLM Applications 2025. </w:t>
      </w:r>
      <w:hyperlink r:id="rId20">
        <w:r>
          <w:rPr>
            <w:color w:val="0563C1"/>
            <w:u w:val="single"/>
          </w:rPr>
          <w:t>Open OWASP Top 10 for LLM Applications 2025</w:t>
        </w:r>
      </w:hyperlink>
      <w:r>
        <w:t xml:space="preserve"> Accessed 25 July 2026.</w:t>
      </w:r>
    </w:p>
    <w:p>
      <w:bookmarkStart w:id="110" w:name="REF_010"/>
      <w:bookmarkEnd w:id="110"/>
      <w:r>
        <w:t xml:space="preserve">REF-010 — OWASP MCP Top 10. </w:t>
      </w:r>
      <w:hyperlink r:id="rId21">
        <w:r>
          <w:rPr>
            <w:color w:val="0563C1"/>
            <w:u w:val="single"/>
          </w:rPr>
          <w:t>Open OWASP MCP Top 10</w:t>
        </w:r>
      </w:hyperlink>
      <w:r>
        <w:t xml:space="preserve"> Accessed 25 July 2026.</w:t>
      </w:r>
    </w:p>
    <w:p>
      <w:bookmarkStart w:id="111" w:name="REF_011"/>
      <w:bookmarkEnd w:id="111"/>
      <w:r>
        <w:t xml:space="preserve">REF-011 — OWASP Agentic AI threats and mitigations. </w:t>
      </w:r>
      <w:hyperlink r:id="rId22">
        <w:r>
          <w:rPr>
            <w:color w:val="0563C1"/>
            <w:u w:val="single"/>
          </w:rPr>
          <w:t>Open OWASP Agentic AI threats and mitigations</w:t>
        </w:r>
      </w:hyperlink>
      <w:r>
        <w:t xml:space="preserve"> Accessed 25 July 2026.</w:t>
      </w:r>
    </w:p>
    <w:p>
      <w:bookmarkStart w:id="112" w:name="REF_012"/>
      <w:bookmarkEnd w:id="112"/>
      <w:r>
        <w:t xml:space="preserve">REF-012 — OWASP ASVS 5.0.0. </w:t>
      </w:r>
      <w:hyperlink r:id="rId23">
        <w:r>
          <w:rPr>
            <w:color w:val="0563C1"/>
            <w:u w:val="single"/>
          </w:rPr>
          <w:t>Open OWASP ASVS 5.0.0</w:t>
        </w:r>
      </w:hyperlink>
      <w:r>
        <w:t xml:space="preserve"> Accessed 25 July 2026.</w:t>
      </w:r>
    </w:p>
    <w:p>
      <w:bookmarkStart w:id="113" w:name="REF_013"/>
      <w:bookmarkEnd w:id="113"/>
      <w:r>
        <w:t xml:space="preserve">REF-013 — MITRE ATLAS. </w:t>
      </w:r>
      <w:hyperlink r:id="rId24">
        <w:r>
          <w:rPr>
            <w:color w:val="0563C1"/>
            <w:u w:val="single"/>
          </w:rPr>
          <w:t>Open MITRE ATLAS</w:t>
        </w:r>
      </w:hyperlink>
      <w:r>
        <w:t xml:space="preserve"> Accessed 25 July 2026.</w:t>
      </w:r>
    </w:p>
    <w:p>
      <w:bookmarkStart w:id="114" w:name="REF_014"/>
      <w:bookmarkEnd w:id="114"/>
      <w:r>
        <w:t xml:space="preserve">REF-014 — NIST AI Risk Management Framework. </w:t>
      </w:r>
      <w:hyperlink r:id="rId25">
        <w:r>
          <w:rPr>
            <w:color w:val="0563C1"/>
            <w:u w:val="single"/>
          </w:rPr>
          <w:t>Open NIST AI Risk Management Framework</w:t>
        </w:r>
      </w:hyperlink>
      <w:r>
        <w:t xml:space="preserve"> Accessed 25 July 2026.</w:t>
      </w:r>
    </w:p>
    <w:p>
      <w:bookmarkStart w:id="115" w:name="REF_015"/>
      <w:bookmarkEnd w:id="115"/>
      <w:r>
        <w:t xml:space="preserve">REF-015 — NIST AI 600-1 Generative AI Profile. </w:t>
      </w:r>
      <w:hyperlink r:id="rId26">
        <w:r>
          <w:rPr>
            <w:color w:val="0563C1"/>
            <w:u w:val="single"/>
          </w:rPr>
          <w:t>Open NIST AI 600-1 Generative AI Profile</w:t>
        </w:r>
      </w:hyperlink>
      <w:r>
        <w:t xml:space="preserve"> Accessed 25 July 2026.</w:t>
      </w:r>
    </w:p>
    <w:p>
      <w:bookmarkStart w:id="116" w:name="REF_016"/>
      <w:bookmarkEnd w:id="116"/>
      <w:r>
        <w:t xml:space="preserve">REF-016 — NCSC Guidelines for Secure AI System Development. </w:t>
      </w:r>
      <w:hyperlink r:id="rId27">
        <w:r>
          <w:rPr>
            <w:color w:val="0563C1"/>
            <w:u w:val="single"/>
          </w:rPr>
          <w:t>Open NCSC Guidelines for Secure AI System Development</w:t>
        </w:r>
      </w:hyperlink>
      <w:r>
        <w:t xml:space="preserve"> Accessed 25 July 2026.</w:t>
      </w:r>
    </w:p>
    <w:p>
      <w:bookmarkStart w:id="117" w:name="REF_017"/>
      <w:bookmarkEnd w:id="117"/>
      <w:r>
        <w:t xml:space="preserve">REF-017 — CIS Critical Security Controls v8.1. </w:t>
      </w:r>
      <w:hyperlink r:id="rId28">
        <w:r>
          <w:rPr>
            <w:color w:val="0563C1"/>
            <w:u w:val="single"/>
          </w:rPr>
          <w:t>Open CIS Critical Security Controls v8.1</w:t>
        </w:r>
      </w:hyperlink>
      <w:r>
        <w:t xml:space="preserve"> Accessed 25 July 2026.</w:t>
      </w:r>
    </w:p>
    <w:p>
      <w:bookmarkStart w:id="118" w:name="REF_018"/>
      <w:bookmarkEnd w:id="118"/>
      <w:r>
        <w:t xml:space="preserve">REF-018 — ISO/IEC 27001:2022. </w:t>
      </w:r>
      <w:hyperlink r:id="rId29">
        <w:r>
          <w:rPr>
            <w:color w:val="0563C1"/>
            <w:u w:val="single"/>
          </w:rPr>
          <w:t>Open ISO/IEC 27001:2022</w:t>
        </w:r>
      </w:hyperlink>
      <w:r>
        <w:t xml:space="preserve"> Accessed 25 July 2026.</w:t>
      </w:r>
    </w:p>
    <w:p>
      <w:bookmarkStart w:id="119" w:name="REF_019"/>
      <w:bookmarkEnd w:id="119"/>
      <w:r>
        <w:t xml:space="preserve">REF-019 — ICO guidance on AI and data protection. </w:t>
      </w:r>
      <w:hyperlink r:id="rId30">
        <w:r>
          <w:rPr>
            <w:color w:val="0563C1"/>
            <w:u w:val="single"/>
          </w:rPr>
          <w:t>Open ICO guidance on AI and data protection</w:t>
        </w:r>
      </w:hyperlink>
      <w:r>
        <w:t xml:space="preserve"> Accessed 25 July 2026.</w:t>
      </w:r>
    </w:p>
    <w:p>
      <w:bookmarkStart w:id="120" w:name="REF_020"/>
      <w:bookmarkEnd w:id="120"/>
      <w:r>
        <w:t xml:space="preserve">REF-020 — FCA operational resilience. </w:t>
      </w:r>
      <w:hyperlink r:id="rId31">
        <w:r>
          <w:rPr>
            <w:color w:val="0563C1"/>
            <w:u w:val="single"/>
          </w:rPr>
          <w:t>Open FCA operational resilience</w:t>
        </w:r>
      </w:hyperlink>
      <w:r>
        <w:t xml:space="preserve"> Accessed 25 July 2026.</w:t>
      </w:r>
    </w:p>
    <w:p>
      <w:bookmarkStart w:id="121" w:name="REF_021"/>
      <w:bookmarkEnd w:id="121"/>
      <w:r>
        <w:t xml:space="preserve">REF-021 — PRA SS2/21 outsourcing and third-party risk management. </w:t>
      </w:r>
      <w:hyperlink r:id="rId32">
        <w:r>
          <w:rPr>
            <w:color w:val="0563C1"/>
            <w:u w:val="single"/>
          </w:rPr>
          <w:t>Open PRA SS2/21 outsourcing and third-party risk management</w:t>
        </w:r>
      </w:hyperlink>
      <w:r>
        <w:t xml:space="preserve"> Accessed 25 July 2026.</w:t>
      </w:r>
    </w:p>
    <w:p>
      <w:bookmarkStart w:id="122" w:name="REF_022"/>
      <w:bookmarkEnd w:id="122"/>
      <w:r>
        <w:t xml:space="preserve">REF-022 — UK Data Protection Act 2018. </w:t>
      </w:r>
      <w:hyperlink r:id="rId33">
        <w:r>
          <w:rPr>
            <w:color w:val="0563C1"/>
            <w:u w:val="single"/>
          </w:rPr>
          <w:t>Open UK Data Protection Act 2018</w:t>
        </w:r>
      </w:hyperlink>
      <w:r>
        <w:t xml:space="preserve"> Accessed 25 July 2026.</w:t>
      </w:r>
    </w:p>
    <w:p>
      <w:pPr>
        <w:pStyle w:val="Heading1"/>
      </w:pPr>
      <w:r>
        <w:t>Appendices</w:t>
      </w:r>
    </w:p>
    <w:p>
      <w:pPr>
        <w:pStyle w:val="Heading2"/>
      </w:pPr>
      <w:r>
        <w:t>Appendix A – Static, Malware and Dependency Tooling</w:t>
      </w:r>
    </w:p>
    <w:tbl>
      <w:tblPr>
        <w:tblStyle w:val="TableGrid"/>
        <w:tblW w:type="dxa" w:w="9360"/>
        <w:jc w:val="center"/>
        <w:tblLook w:firstColumn="1" w:firstRow="1" w:lastColumn="0" w:lastRow="0" w:noHBand="0" w:noVBand="1" w:val="04A0"/>
        <w:tblInd w:w="120" w:type="dxa"/>
        <w:tblLayout w:type="fixed"/>
      </w:tblPr>
      <w:tblGrid>
        <w:gridCol w:w="1600"/>
        <w:gridCol w:w="2500"/>
        <w:gridCol w:w="3000"/>
        <w:gridCol w:w="2260"/>
      </w:tblGrid>
      <w:tr>
        <w:trPr>
          <w:tblHeader w:val="true"/>
          <w:cantSplit/>
        </w:trPr>
        <w:tc>
          <w:tcPr>
            <w:tcW w:type="dxa" w:w="1600"/>
            <w:shd w:fill="17365D"/>
            <w:vAlign w:val="center"/>
          </w:tcPr>
          <w:p>
            <w:r>
              <w:rPr>
                <w:b/>
                <w:color w:val="FFFFFF"/>
                <w:sz w:val="16"/>
              </w:rPr>
              <w:t>Tool</w:t>
            </w:r>
          </w:p>
        </w:tc>
        <w:tc>
          <w:tcPr>
            <w:tcW w:type="dxa" w:w="2500"/>
            <w:shd w:fill="17365D"/>
            <w:vAlign w:val="center"/>
          </w:tcPr>
          <w:p>
            <w:r>
              <w:rPr>
                <w:b/>
                <w:color w:val="FFFFFF"/>
                <w:sz w:val="16"/>
              </w:rPr>
              <w:t>Version/basis</w:t>
            </w:r>
          </w:p>
        </w:tc>
        <w:tc>
          <w:tcPr>
            <w:tcW w:type="dxa" w:w="3000"/>
            <w:shd w:fill="17365D"/>
            <w:vAlign w:val="center"/>
          </w:tcPr>
          <w:p>
            <w:r>
              <w:rPr>
                <w:b/>
                <w:color w:val="FFFFFF"/>
                <w:sz w:val="16"/>
              </w:rPr>
              <w:t>Result</w:t>
            </w:r>
          </w:p>
        </w:tc>
        <w:tc>
          <w:tcPr>
            <w:tcW w:type="dxa" w:w="2260"/>
            <w:shd w:fill="17365D"/>
            <w:vAlign w:val="center"/>
          </w:tcPr>
          <w:p>
            <w:r>
              <w:rPr>
                <w:b/>
                <w:color w:val="FFFFFF"/>
                <w:sz w:val="16"/>
              </w:rPr>
              <w:t>Limitation</w:t>
            </w:r>
          </w:p>
        </w:tc>
      </w:tr>
      <w:tr>
        <w:trPr>
          <w:trHeight w:hRule="atLeast"/>
          <w:cantSplit/>
        </w:trPr>
        <w:tc>
          <w:tcPr>
            <w:tcW w:type="dxa" w:w="1600"/>
            <w:vAlign w:val="top"/>
          </w:tcPr>
          <w:p>
            <w:pPr>
              <w:spacing w:after="20"/>
            </w:pPr>
            <w:r>
              <w:rPr>
                <w:sz w:val="15"/>
              </w:rPr>
              <w:t>Semgrep</w:t>
            </w:r>
          </w:p>
        </w:tc>
        <w:tc>
          <w:tcPr>
            <w:tcW w:type="dxa" w:w="2500"/>
            <w:vAlign w:val="top"/>
          </w:tcPr>
          <w:p>
            <w:pPr>
              <w:spacing w:after="20"/>
            </w:pPr>
            <w:r>
              <w:rPr>
                <w:sz w:val="15"/>
              </w:rPr>
              <w:t>1.171.0; 1,738 rules</w:t>
            </w:r>
          </w:p>
        </w:tc>
        <w:tc>
          <w:tcPr>
            <w:tcW w:type="dxa" w:w="3000"/>
            <w:vAlign w:val="top"/>
          </w:tcPr>
          <w:p>
            <w:pPr>
              <w:spacing w:after="20"/>
            </w:pPr>
            <w:r>
              <w:rPr>
                <w:sz w:val="15"/>
              </w:rPr>
              <w:t>87 files; 63 signals manually triaged</w:t>
            </w:r>
          </w:p>
        </w:tc>
        <w:tc>
          <w:tcPr>
            <w:tcW w:type="dxa" w:w="2260"/>
            <w:vAlign w:val="top"/>
          </w:tcPr>
          <w:p>
            <w:pPr>
              <w:spacing w:after="20"/>
            </w:pPr>
            <w:r>
              <w:rPr>
                <w:sz w:val="15"/>
              </w:rPr>
              <w:t>Pro errors, two timeouts, partial C parsing</w:t>
            </w:r>
          </w:p>
        </w:tc>
      </w:tr>
      <w:tr>
        <w:trPr>
          <w:trHeight w:hRule="atLeast"/>
          <w:cantSplit/>
        </w:trPr>
        <w:tc>
          <w:tcPr>
            <w:tcW w:type="dxa" w:w="1600"/>
            <w:vAlign w:val="top"/>
            <w:shd w:fill="EEF4F7"/>
          </w:tcPr>
          <w:p>
            <w:pPr>
              <w:spacing w:after="20"/>
            </w:pPr>
            <w:r>
              <w:rPr>
                <w:sz w:val="15"/>
              </w:rPr>
              <w:t>ClamAV</w:t>
            </w:r>
          </w:p>
        </w:tc>
        <w:tc>
          <w:tcPr>
            <w:tcW w:type="dxa" w:w="2500"/>
            <w:vAlign w:val="top"/>
            <w:shd w:fill="EEF4F7"/>
          </w:tcPr>
          <w:p>
            <w:pPr>
              <w:spacing w:after="20"/>
            </w:pPr>
            <w:r>
              <w:rPr>
                <w:sz w:val="15"/>
              </w:rPr>
              <w:t>1.5.3; database 28071</w:t>
            </w:r>
          </w:p>
        </w:tc>
        <w:tc>
          <w:tcPr>
            <w:tcW w:type="dxa" w:w="3000"/>
            <w:vAlign w:val="top"/>
            <w:shd w:fill="EEF4F7"/>
          </w:tcPr>
          <w:p>
            <w:pPr>
              <w:spacing w:after="20"/>
            </w:pPr>
            <w:r>
              <w:rPr>
                <w:sz w:val="15"/>
              </w:rPr>
              <w:t>86 objects / 271.76 MiB; zero infected</w:t>
            </w:r>
          </w:p>
        </w:tc>
        <w:tc>
          <w:tcPr>
            <w:tcW w:type="dxa" w:w="2260"/>
            <w:vAlign w:val="top"/>
            <w:shd w:fill="EEF4F7"/>
          </w:tcPr>
          <w:p>
            <w:pPr>
              <w:spacing w:after="20"/>
            </w:pPr>
            <w:r>
              <w:rPr>
                <w:sz w:val="15"/>
              </w:rPr>
              <w:t>Signature-based; no proof of benignness</w:t>
            </w:r>
          </w:p>
        </w:tc>
      </w:tr>
      <w:tr>
        <w:trPr>
          <w:trHeight w:hRule="atLeast"/>
          <w:cantSplit/>
        </w:trPr>
        <w:tc>
          <w:tcPr>
            <w:tcW w:type="dxa" w:w="1600"/>
            <w:vAlign w:val="top"/>
          </w:tcPr>
          <w:p>
            <w:pPr>
              <w:spacing w:after="20"/>
            </w:pPr>
            <w:r>
              <w:rPr>
                <w:sz w:val="15"/>
              </w:rPr>
              <w:t>YARA</w:t>
            </w:r>
          </w:p>
        </w:tc>
        <w:tc>
          <w:tcPr>
            <w:tcW w:type="dxa" w:w="2500"/>
            <w:vAlign w:val="top"/>
          </w:tcPr>
          <w:p>
            <w:pPr>
              <w:spacing w:after="20"/>
            </w:pPr>
            <w:r>
              <w:rPr>
                <w:sz w:val="15"/>
              </w:rPr>
              <w:t>4.5.5; assessment heuristics</w:t>
            </w:r>
          </w:p>
        </w:tc>
        <w:tc>
          <w:tcPr>
            <w:tcW w:type="dxa" w:w="3000"/>
            <w:vAlign w:val="top"/>
          </w:tcPr>
          <w:p>
            <w:pPr>
              <w:spacing w:after="20"/>
            </w:pPr>
            <w:r>
              <w:rPr>
                <w:sz w:val="15"/>
              </w:rPr>
              <w:t>Credential/persistence signals explained</w:t>
            </w:r>
          </w:p>
        </w:tc>
        <w:tc>
          <w:tcPr>
            <w:tcW w:type="dxa" w:w="2260"/>
            <w:vAlign w:val="top"/>
          </w:tcPr>
          <w:p>
            <w:pPr>
              <w:spacing w:after="20"/>
            </w:pPr>
            <w:r>
              <w:rPr>
                <w:sz w:val="15"/>
              </w:rPr>
              <w:t>Heuristic and scope-dependent</w:t>
            </w:r>
          </w:p>
        </w:tc>
      </w:tr>
      <w:tr>
        <w:trPr>
          <w:trHeight w:hRule="atLeast"/>
          <w:cantSplit/>
        </w:trPr>
        <w:tc>
          <w:tcPr>
            <w:tcW w:type="dxa" w:w="1600"/>
            <w:vAlign w:val="top"/>
            <w:shd w:fill="EEF4F7"/>
          </w:tcPr>
          <w:p>
            <w:pPr>
              <w:spacing w:after="20"/>
            </w:pPr>
            <w:r>
              <w:rPr>
                <w:sz w:val="15"/>
              </w:rPr>
              <w:t>Syft</w:t>
            </w:r>
          </w:p>
        </w:tc>
        <w:tc>
          <w:tcPr>
            <w:tcW w:type="dxa" w:w="2500"/>
            <w:vAlign w:val="top"/>
            <w:shd w:fill="EEF4F7"/>
          </w:tcPr>
          <w:p>
            <w:pPr>
              <w:spacing w:after="20"/>
            </w:pPr>
            <w:r>
              <w:rPr>
                <w:sz w:val="15"/>
              </w:rPr>
              <w:t>1.49.0; CycloneDX 1.7</w:t>
            </w:r>
          </w:p>
        </w:tc>
        <w:tc>
          <w:tcPr>
            <w:tcW w:type="dxa" w:w="3000"/>
            <w:vAlign w:val="top"/>
            <w:shd w:fill="EEF4F7"/>
          </w:tcPr>
          <w:p>
            <w:pPr>
              <w:spacing w:after="20"/>
            </w:pPr>
            <w:r>
              <w:rPr>
                <w:sz w:val="15"/>
              </w:rPr>
              <w:t>coder/websocket v1.8.14 plus file record</w:t>
            </w:r>
          </w:p>
        </w:tc>
        <w:tc>
          <w:tcPr>
            <w:tcW w:type="dxa" w:w="2260"/>
            <w:vAlign w:val="top"/>
            <w:shd w:fill="EEF4F7"/>
          </w:tcPr>
          <w:p>
            <w:pPr>
              <w:spacing w:after="20"/>
            </w:pPr>
            <w:r>
              <w:rPr>
                <w:sz w:val="15"/>
              </w:rPr>
              <w:t>Source scope; not hosted build</w:t>
            </w:r>
          </w:p>
        </w:tc>
      </w:tr>
      <w:tr>
        <w:trPr>
          <w:trHeight w:hRule="atLeast"/>
          <w:cantSplit/>
        </w:trPr>
        <w:tc>
          <w:tcPr>
            <w:tcW w:type="dxa" w:w="1600"/>
            <w:vAlign w:val="top"/>
          </w:tcPr>
          <w:p>
            <w:pPr>
              <w:spacing w:after="20"/>
            </w:pPr>
            <w:r>
              <w:rPr>
                <w:sz w:val="15"/>
              </w:rPr>
              <w:t>OSV Scanner</w:t>
            </w:r>
          </w:p>
        </w:tc>
        <w:tc>
          <w:tcPr>
            <w:tcW w:type="dxa" w:w="2500"/>
            <w:vAlign w:val="top"/>
          </w:tcPr>
          <w:p>
            <w:pPr>
              <w:spacing w:after="20"/>
            </w:pPr>
            <w:r>
              <w:rPr>
                <w:sz w:val="15"/>
              </w:rPr>
              <w:t>2.4.0</w:t>
            </w:r>
          </w:p>
        </w:tc>
        <w:tc>
          <w:tcPr>
            <w:tcW w:type="dxa" w:w="3000"/>
            <w:vAlign w:val="top"/>
          </w:tcPr>
          <w:p>
            <w:pPr>
              <w:spacing w:after="20"/>
            </w:pPr>
            <w:r>
              <w:rPr>
                <w:sz w:val="15"/>
              </w:rPr>
              <w:t>Two Go packages; zero vulnerability results</w:t>
            </w:r>
          </w:p>
        </w:tc>
        <w:tc>
          <w:tcPr>
            <w:tcW w:type="dxa" w:w="2260"/>
            <w:vAlign w:val="top"/>
          </w:tcPr>
          <w:p>
            <w:pPr>
              <w:spacing w:after="20"/>
            </w:pPr>
            <w:r>
              <w:rPr>
                <w:sz w:val="15"/>
              </w:rPr>
              <w:t>Known advisory coverage only</w:t>
            </w:r>
          </w:p>
        </w:tc>
      </w:tr>
      <w:tr>
        <w:trPr>
          <w:trHeight w:hRule="atLeast"/>
          <w:cantSplit/>
        </w:trPr>
        <w:tc>
          <w:tcPr>
            <w:tcW w:type="dxa" w:w="1600"/>
            <w:vAlign w:val="top"/>
            <w:shd w:fill="EEF4F7"/>
          </w:tcPr>
          <w:p>
            <w:pPr>
              <w:spacing w:after="20"/>
            </w:pPr>
            <w:r>
              <w:rPr>
                <w:sz w:val="15"/>
              </w:rPr>
              <w:t>Trivy</w:t>
            </w:r>
          </w:p>
        </w:tc>
        <w:tc>
          <w:tcPr>
            <w:tcW w:type="dxa" w:w="2500"/>
            <w:vAlign w:val="top"/>
            <w:shd w:fill="EEF4F7"/>
          </w:tcPr>
          <w:p>
            <w:pPr>
              <w:spacing w:after="20"/>
            </w:pPr>
            <w:r>
              <w:rPr>
                <w:sz w:val="15"/>
              </w:rPr>
              <w:t>0.72.0; DB current 25 July</w:t>
            </w:r>
          </w:p>
        </w:tc>
        <w:tc>
          <w:tcPr>
            <w:tcW w:type="dxa" w:w="3000"/>
            <w:vAlign w:val="top"/>
            <w:shd w:fill="EEF4F7"/>
          </w:tcPr>
          <w:p>
            <w:pPr>
              <w:spacing w:after="20"/>
            </w:pPr>
            <w:r>
              <w:rPr>
                <w:sz w:val="15"/>
              </w:rPr>
              <w:t>No vulnerability/secret/misconfiguration records</w:t>
            </w:r>
          </w:p>
        </w:tc>
        <w:tc>
          <w:tcPr>
            <w:tcW w:type="dxa" w:w="2260"/>
            <w:vAlign w:val="top"/>
            <w:shd w:fill="EEF4F7"/>
          </w:tcPr>
          <w:p>
            <w:pPr>
              <w:spacing w:after="20"/>
            </w:pPr>
            <w:r>
              <w:rPr>
                <w:sz w:val="15"/>
              </w:rPr>
              <w:t>Scoped directory only</w:t>
            </w:r>
          </w:p>
        </w:tc>
      </w:tr>
    </w:tbl>
    <w:p/>
    <w:p>
      <w:pPr>
        <w:pStyle w:val="Heading2"/>
      </w:pPr>
      <w:r>
        <w:t>Appendix B – Runtime Verification Protocol</w:t>
      </w:r>
    </w:p>
    <w:p>
      <w:pPr>
        <w:pStyle w:val="ListBullet"/>
      </w:pPr>
      <w:r>
        <w:t>Provision disposable Windows 11 hosts for VS Code and Visual Studio and a disposable macOS host for VS Code; patch, inventory and snapshot each host.</w:t>
      </w:r>
    </w:p>
    <w:p>
      <w:pPr>
        <w:pStyle w:val="ListBullet"/>
      </w:pPr>
      <w:r>
        <w:t>Create a synthetic Netdata tenant with two isolated node groups and seeded non-sensitive identifiers; issue dedicated short-lived tokens with varied scopes.</w:t>
      </w:r>
    </w:p>
    <w:p>
      <w:pPr>
        <w:pStyle w:val="ListBullet"/>
      </w:pPr>
      <w:r>
        <w:t>Configure only the hosted HTTPS endpoint, capture trust/tool policy, deny execute_function, and baseline processes, files, secret storage, DNS, sockets, proxy and IDE/model logs.</w:t>
      </w:r>
    </w:p>
    <w:p>
      <w:pPr>
        <w:pStyle w:val="ListBullet"/>
      </w:pPr>
      <w:r>
        <w:t>Exercise initialise, tools/list, benign metrics/alerts, prompt injection, schema/list changes, wrong/expired/revoked/cross-tenant tokens, malformed and oversized inputs, redirects, cancellation, concurrency and rate limits.</w:t>
      </w:r>
    </w:p>
    <w:p>
      <w:pPr>
        <w:pStyle w:val="ListBullet"/>
      </w:pPr>
      <w:r>
        <w:t>Inspect model/IDE/proxy/Netdata retention and redaction; update server/tool schemas; remove every configuration scope; revoke tokens; verify process/file/log residue; restore snapshots and preserve sanitized evidence.</w:t>
      </w:r>
    </w:p>
    <w:p>
      <w:pPr>
        <w:pStyle w:val="Heading2"/>
      </w:pPr>
      <w:r>
        <w:t>Appendix C – Secure Configuration Baseline</w:t>
      </w:r>
    </w:p>
    <w:tbl>
      <w:tblPr>
        <w:tblStyle w:val="TableGrid"/>
        <w:tblW w:type="dxa" w:w="9360"/>
        <w:jc w:val="center"/>
        <w:tblLook w:firstColumn="1" w:firstRow="1" w:lastColumn="0" w:lastRow="0" w:noHBand="0" w:noVBand="1" w:val="04A0"/>
        <w:tblInd w:w="120" w:type="dxa"/>
        <w:tblLayout w:type="fixed"/>
      </w:tblPr>
      <w:tblGrid>
        <w:gridCol w:w="2600"/>
        <w:gridCol w:w="3900"/>
        <w:gridCol w:w="2860"/>
      </w:tblGrid>
      <w:tr>
        <w:trPr>
          <w:tblHeader w:val="true"/>
          <w:cantSplit/>
        </w:trPr>
        <w:tc>
          <w:tcPr>
            <w:tcW w:type="dxa" w:w="2600"/>
            <w:shd w:fill="17365D"/>
            <w:vAlign w:val="center"/>
          </w:tcPr>
          <w:p>
            <w:r>
              <w:rPr>
                <w:b/>
                <w:color w:val="FFFFFF"/>
                <w:sz w:val="16"/>
              </w:rPr>
              <w:t>Control</w:t>
            </w:r>
          </w:p>
        </w:tc>
        <w:tc>
          <w:tcPr>
            <w:tcW w:type="dxa" w:w="3900"/>
            <w:shd w:fill="17365D"/>
            <w:vAlign w:val="center"/>
          </w:tcPr>
          <w:p>
            <w:r>
              <w:rPr>
                <w:b/>
                <w:color w:val="FFFFFF"/>
                <w:sz w:val="16"/>
              </w:rPr>
              <w:t>Required value</w:t>
            </w:r>
          </w:p>
        </w:tc>
        <w:tc>
          <w:tcPr>
            <w:tcW w:type="dxa" w:w="2860"/>
            <w:shd w:fill="17365D"/>
            <w:vAlign w:val="center"/>
          </w:tcPr>
          <w:p>
            <w:r>
              <w:rPr>
                <w:b/>
                <w:color w:val="FFFFFF"/>
                <w:sz w:val="16"/>
              </w:rPr>
              <w:t>Fail-closed check</w:t>
            </w:r>
          </w:p>
        </w:tc>
      </w:tr>
      <w:tr>
        <w:trPr>
          <w:trHeight w:hRule="atLeast"/>
          <w:cantSplit/>
        </w:trPr>
        <w:tc>
          <w:tcPr>
            <w:tcW w:type="dxa" w:w="2600"/>
            <w:vAlign w:val="top"/>
          </w:tcPr>
          <w:p>
            <w:pPr>
              <w:spacing w:after="20"/>
            </w:pPr>
            <w:r>
              <w:rPr>
                <w:sz w:val="15"/>
              </w:rPr>
              <w:t>Endpoint</w:t>
            </w:r>
          </w:p>
        </w:tc>
        <w:tc>
          <w:tcPr>
            <w:tcW w:type="dxa" w:w="3900"/>
            <w:vAlign w:val="top"/>
          </w:tcPr>
          <w:p>
            <w:pPr>
              <w:spacing w:after="20"/>
            </w:pPr>
            <w:r>
              <w:rPr>
                <w:sz w:val="15"/>
              </w:rPr>
              <w:t>Exact https://app.netdata.cloud/api/v1/mcp</w:t>
            </w:r>
          </w:p>
        </w:tc>
        <w:tc>
          <w:tcPr>
            <w:tcW w:type="dxa" w:w="2860"/>
            <w:vAlign w:val="top"/>
          </w:tcPr>
          <w:p>
            <w:pPr>
              <w:spacing w:after="20"/>
            </w:pPr>
            <w:r>
              <w:rPr>
                <w:sz w:val="15"/>
              </w:rPr>
              <w:t>Other scheme/host/path denied</w:t>
            </w:r>
          </w:p>
        </w:tc>
      </w:tr>
      <w:tr>
        <w:trPr>
          <w:trHeight w:hRule="atLeast"/>
          <w:cantSplit/>
        </w:trPr>
        <w:tc>
          <w:tcPr>
            <w:tcW w:type="dxa" w:w="2600"/>
            <w:vAlign w:val="top"/>
            <w:shd w:fill="EEF4F7"/>
          </w:tcPr>
          <w:p>
            <w:pPr>
              <w:spacing w:after="20"/>
            </w:pPr>
            <w:r>
              <w:rPr>
                <w:sz w:val="15"/>
              </w:rPr>
              <w:t>Tools</w:t>
            </w:r>
          </w:p>
        </w:tc>
        <w:tc>
          <w:tcPr>
            <w:tcW w:type="dxa" w:w="3900"/>
            <w:vAlign w:val="top"/>
            <w:shd w:fill="EEF4F7"/>
          </w:tcPr>
          <w:p>
            <w:pPr>
              <w:spacing w:after="20"/>
            </w:pPr>
            <w:r>
              <w:rPr>
                <w:sz w:val="15"/>
              </w:rPr>
              <w:t>Minimal metadata/query allowlist</w:t>
            </w:r>
          </w:p>
        </w:tc>
        <w:tc>
          <w:tcPr>
            <w:tcW w:type="dxa" w:w="2860"/>
            <w:vAlign w:val="top"/>
            <w:shd w:fill="EEF4F7"/>
          </w:tcPr>
          <w:p>
            <w:pPr>
              <w:spacing w:after="20"/>
            </w:pPr>
            <w:r>
              <w:rPr>
                <w:sz w:val="15"/>
              </w:rPr>
              <w:t>execute_function and unknown tools absent</w:t>
            </w:r>
          </w:p>
        </w:tc>
      </w:tr>
      <w:tr>
        <w:trPr>
          <w:trHeight w:hRule="atLeast"/>
          <w:cantSplit/>
        </w:trPr>
        <w:tc>
          <w:tcPr>
            <w:tcW w:type="dxa" w:w="2600"/>
            <w:vAlign w:val="top"/>
          </w:tcPr>
          <w:p>
            <w:pPr>
              <w:spacing w:after="20"/>
            </w:pPr>
            <w:r>
              <w:rPr>
                <w:sz w:val="15"/>
              </w:rPr>
              <w:t>Token</w:t>
            </w:r>
          </w:p>
        </w:tc>
        <w:tc>
          <w:tcPr>
            <w:tcW w:type="dxa" w:w="3900"/>
            <w:vAlign w:val="top"/>
          </w:tcPr>
          <w:p>
            <w:pPr>
              <w:spacing w:after="20"/>
            </w:pPr>
            <w:r>
              <w:rPr>
                <w:sz w:val="15"/>
              </w:rPr>
              <w:t>Synthetic, short-lived, environment/node constrained</w:t>
            </w:r>
          </w:p>
        </w:tc>
        <w:tc>
          <w:tcPr>
            <w:tcW w:type="dxa" w:w="2860"/>
            <w:vAlign w:val="top"/>
          </w:tcPr>
          <w:p>
            <w:pPr>
              <w:spacing w:after="20"/>
            </w:pPr>
            <w:r>
              <w:rPr>
                <w:sz w:val="15"/>
              </w:rPr>
              <w:t>Wrong/expired/revoked token denied</w:t>
            </w:r>
          </w:p>
        </w:tc>
      </w:tr>
      <w:tr>
        <w:trPr>
          <w:trHeight w:hRule="atLeast"/>
          <w:cantSplit/>
        </w:trPr>
        <w:tc>
          <w:tcPr>
            <w:tcW w:type="dxa" w:w="2600"/>
            <w:vAlign w:val="top"/>
            <w:shd w:fill="EEF4F7"/>
          </w:tcPr>
          <w:p>
            <w:pPr>
              <w:spacing w:after="20"/>
            </w:pPr>
            <w:r>
              <w:rPr>
                <w:sz w:val="15"/>
              </w:rPr>
              <w:t>Bridge</w:t>
            </w:r>
          </w:p>
        </w:tc>
        <w:tc>
          <w:tcPr>
            <w:tcW w:type="dxa" w:w="3900"/>
            <w:vAlign w:val="top"/>
            <w:shd w:fill="EEF4F7"/>
          </w:tcPr>
          <w:p>
            <w:pPr>
              <w:spacing w:after="20"/>
            </w:pPr>
            <w:r>
              <w:rPr>
                <w:sz w:val="15"/>
              </w:rPr>
              <w:t>None; exact promoted exception only</w:t>
            </w:r>
          </w:p>
        </w:tc>
        <w:tc>
          <w:tcPr>
            <w:tcW w:type="dxa" w:w="2860"/>
            <w:vAlign w:val="top"/>
            <w:shd w:fill="EEF4F7"/>
          </w:tcPr>
          <w:p>
            <w:pPr>
              <w:spacing w:after="20"/>
            </w:pPr>
            <w:r>
              <w:rPr>
                <w:sz w:val="15"/>
              </w:rPr>
              <w:t>latest/external registry blocked</w:t>
            </w:r>
          </w:p>
        </w:tc>
      </w:tr>
      <w:tr>
        <w:trPr>
          <w:trHeight w:hRule="atLeast"/>
          <w:cantSplit/>
        </w:trPr>
        <w:tc>
          <w:tcPr>
            <w:tcW w:type="dxa" w:w="2600"/>
            <w:vAlign w:val="top"/>
          </w:tcPr>
          <w:p>
            <w:pPr>
              <w:spacing w:after="20"/>
            </w:pPr>
            <w:r>
              <w:rPr>
                <w:sz w:val="15"/>
              </w:rPr>
              <w:t>Network</w:t>
            </w:r>
          </w:p>
        </w:tc>
        <w:tc>
          <w:tcPr>
            <w:tcW w:type="dxa" w:w="3900"/>
            <w:vAlign w:val="top"/>
          </w:tcPr>
          <w:p>
            <w:pPr>
              <w:spacing w:after="20"/>
            </w:pPr>
            <w:r>
              <w:rPr>
                <w:sz w:val="15"/>
              </w:rPr>
              <w:t>TLS validation, proxy/egress allowlist</w:t>
            </w:r>
          </w:p>
        </w:tc>
        <w:tc>
          <w:tcPr>
            <w:tcW w:type="dxa" w:w="2860"/>
            <w:vAlign w:val="top"/>
          </w:tcPr>
          <w:p>
            <w:pPr>
              <w:spacing w:after="20"/>
            </w:pPr>
            <w:r>
              <w:rPr>
                <w:sz w:val="15"/>
              </w:rPr>
              <w:t>HTTP/ws, downgrade and redirects denied</w:t>
            </w:r>
          </w:p>
        </w:tc>
      </w:tr>
      <w:tr>
        <w:trPr>
          <w:trHeight w:hRule="atLeast"/>
          <w:cantSplit/>
        </w:trPr>
        <w:tc>
          <w:tcPr>
            <w:tcW w:type="dxa" w:w="2600"/>
            <w:vAlign w:val="top"/>
            <w:shd w:fill="EEF4F7"/>
          </w:tcPr>
          <w:p>
            <w:pPr>
              <w:spacing w:after="20"/>
            </w:pPr>
            <w:r>
              <w:rPr>
                <w:sz w:val="15"/>
              </w:rPr>
              <w:t>Data</w:t>
            </w:r>
          </w:p>
        </w:tc>
        <w:tc>
          <w:tcPr>
            <w:tcW w:type="dxa" w:w="3900"/>
            <w:vAlign w:val="top"/>
            <w:shd w:fill="EEF4F7"/>
          </w:tcPr>
          <w:p>
            <w:pPr>
              <w:spacing w:after="20"/>
            </w:pPr>
            <w:r>
              <w:rPr>
                <w:sz w:val="15"/>
              </w:rPr>
              <w:t>Synthetic; source/server redaction and DLP</w:t>
            </w:r>
          </w:p>
        </w:tc>
        <w:tc>
          <w:tcPr>
            <w:tcW w:type="dxa" w:w="2860"/>
            <w:vAlign w:val="top"/>
            <w:shd w:fill="EEF4F7"/>
          </w:tcPr>
          <w:p>
            <w:pPr>
              <w:spacing w:after="20"/>
            </w:pPr>
            <w:r>
              <w:rPr>
                <w:sz w:val="15"/>
              </w:rPr>
              <w:t>Customer/claim/credential patterns blocked</w:t>
            </w:r>
          </w:p>
        </w:tc>
      </w:tr>
      <w:tr>
        <w:trPr>
          <w:trHeight w:hRule="atLeast"/>
          <w:cantSplit/>
        </w:trPr>
        <w:tc>
          <w:tcPr>
            <w:tcW w:type="dxa" w:w="2600"/>
            <w:vAlign w:val="top"/>
          </w:tcPr>
          <w:p>
            <w:pPr>
              <w:spacing w:after="20"/>
            </w:pPr>
            <w:r>
              <w:rPr>
                <w:sz w:val="15"/>
              </w:rPr>
              <w:t>Telemetry</w:t>
            </w:r>
          </w:p>
        </w:tc>
        <w:tc>
          <w:tcPr>
            <w:tcW w:type="dxa" w:w="3900"/>
            <w:vAlign w:val="top"/>
          </w:tcPr>
          <w:p>
            <w:pPr>
              <w:spacing w:after="20"/>
            </w:pPr>
            <w:r>
              <w:rPr>
                <w:sz w:val="15"/>
              </w:rPr>
              <w:t>Identity/tool/node category/outcome without content/secrets</w:t>
            </w:r>
          </w:p>
        </w:tc>
        <w:tc>
          <w:tcPr>
            <w:tcW w:type="dxa" w:w="2860"/>
            <w:vAlign w:val="top"/>
          </w:tcPr>
          <w:p>
            <w:pPr>
              <w:spacing w:after="20"/>
            </w:pPr>
            <w:r>
              <w:rPr>
                <w:sz w:val="15"/>
              </w:rPr>
              <w:t>No api_key or bearer in logs</w:t>
            </w:r>
          </w:p>
        </w:tc>
      </w:tr>
      <w:tr>
        <w:trPr>
          <w:trHeight w:hRule="atLeast"/>
          <w:cantSplit/>
        </w:trPr>
        <w:tc>
          <w:tcPr>
            <w:tcW w:type="dxa" w:w="2600"/>
            <w:vAlign w:val="top"/>
            <w:shd w:fill="EEF4F7"/>
          </w:tcPr>
          <w:p>
            <w:pPr>
              <w:spacing w:after="20"/>
            </w:pPr>
            <w:r>
              <w:rPr>
                <w:sz w:val="15"/>
              </w:rPr>
              <w:t>Drift</w:t>
            </w:r>
          </w:p>
        </w:tc>
        <w:tc>
          <w:tcPr>
            <w:tcW w:type="dxa" w:w="3900"/>
            <w:vAlign w:val="top"/>
            <w:shd w:fill="EEF4F7"/>
          </w:tcPr>
          <w:p>
            <w:pPr>
              <w:spacing w:after="20"/>
            </w:pPr>
            <w:r>
              <w:rPr>
                <w:sz w:val="15"/>
              </w:rPr>
              <w:t>Pinned endpoint/tool/schema snapshot</w:t>
            </w:r>
          </w:p>
        </w:tc>
        <w:tc>
          <w:tcPr>
            <w:tcW w:type="dxa" w:w="2860"/>
            <w:vAlign w:val="top"/>
            <w:shd w:fill="EEF4F7"/>
          </w:tcPr>
          <w:p>
            <w:pPr>
              <w:spacing w:after="20"/>
            </w:pPr>
            <w:r>
              <w:rPr>
                <w:sz w:val="15"/>
              </w:rPr>
              <w:t>Change resets trust and disables server</w:t>
            </w:r>
          </w:p>
        </w:tc>
      </w:tr>
      <w:tr>
        <w:trPr>
          <w:trHeight w:hRule="atLeast"/>
          <w:cantSplit/>
        </w:trPr>
        <w:tc>
          <w:tcPr>
            <w:tcW w:type="dxa" w:w="2600"/>
            <w:vAlign w:val="top"/>
          </w:tcPr>
          <w:p>
            <w:pPr>
              <w:spacing w:after="20"/>
            </w:pPr>
            <w:r>
              <w:rPr>
                <w:sz w:val="15"/>
              </w:rPr>
              <w:t>Resource</w:t>
            </w:r>
          </w:p>
        </w:tc>
        <w:tc>
          <w:tcPr>
            <w:tcW w:type="dxa" w:w="3900"/>
            <w:vAlign w:val="top"/>
          </w:tcPr>
          <w:p>
            <w:pPr>
              <w:spacing w:after="20"/>
            </w:pPr>
            <w:r>
              <w:rPr>
                <w:sz w:val="15"/>
              </w:rPr>
              <w:t>Short time/range/row/byte/concurrency budgets</w:t>
            </w:r>
          </w:p>
        </w:tc>
        <w:tc>
          <w:tcPr>
            <w:tcW w:type="dxa" w:w="2860"/>
            <w:vAlign w:val="top"/>
          </w:tcPr>
          <w:p>
            <w:pPr>
              <w:spacing w:after="20"/>
            </w:pPr>
            <w:r>
              <w:rPr>
                <w:sz w:val="15"/>
              </w:rPr>
              <w:t>Over-budget request rejected/cancelled</w:t>
            </w:r>
          </w:p>
        </w:tc>
      </w:tr>
      <w:tr>
        <w:trPr>
          <w:trHeight w:hRule="atLeast"/>
          <w:cantSplit/>
        </w:trPr>
        <w:tc>
          <w:tcPr>
            <w:tcW w:type="dxa" w:w="2600"/>
            <w:vAlign w:val="top"/>
            <w:shd w:fill="EEF4F7"/>
          </w:tcPr>
          <w:p>
            <w:pPr>
              <w:spacing w:after="20"/>
            </w:pPr>
            <w:r>
              <w:rPr>
                <w:sz w:val="15"/>
              </w:rPr>
              <w:t>Cleanup</w:t>
            </w:r>
          </w:p>
        </w:tc>
        <w:tc>
          <w:tcPr>
            <w:tcW w:type="dxa" w:w="3900"/>
            <w:vAlign w:val="top"/>
            <w:shd w:fill="EEF4F7"/>
          </w:tcPr>
          <w:p>
            <w:pPr>
              <w:spacing w:after="20"/>
            </w:pPr>
            <w:r>
              <w:rPr>
                <w:sz w:val="15"/>
              </w:rPr>
              <w:t>Config removed, token revoked, residue reviewed</w:t>
            </w:r>
          </w:p>
        </w:tc>
        <w:tc>
          <w:tcPr>
            <w:tcW w:type="dxa" w:w="2860"/>
            <w:vAlign w:val="top"/>
            <w:shd w:fill="EEF4F7"/>
          </w:tcPr>
          <w:p>
            <w:pPr>
              <w:spacing w:after="20"/>
            </w:pPr>
            <w:r>
              <w:rPr>
                <w:sz w:val="15"/>
              </w:rPr>
              <w:t>Reconnection impossible after uninstall</w:t>
            </w:r>
          </w:p>
        </w:tc>
      </w:tr>
    </w:tbl>
    <w:p/>
    <w:p>
      <w:pPr>
        <w:pStyle w:val="Heading2"/>
      </w:pPr>
      <w:r>
        <w:t>Appendix D – Scanner Signal Disposition</w:t>
      </w:r>
    </w:p>
    <w:tbl>
      <w:tblPr>
        <w:tblStyle w:val="TableGrid"/>
        <w:tblW w:type="dxa" w:w="9360"/>
        <w:jc w:val="center"/>
        <w:tblLook w:firstColumn="1" w:firstRow="1" w:lastColumn="0" w:lastRow="0" w:noHBand="0" w:noVBand="1" w:val="04A0"/>
        <w:tblInd w:w="120" w:type="dxa"/>
        <w:tblLayout w:type="fixed"/>
      </w:tblPr>
      <w:tblGrid>
        <w:gridCol w:w="2300"/>
        <w:gridCol w:w="3200"/>
        <w:gridCol w:w="3860"/>
      </w:tblGrid>
      <w:tr>
        <w:trPr>
          <w:tblHeader w:val="true"/>
          <w:cantSplit/>
        </w:trPr>
        <w:tc>
          <w:tcPr>
            <w:tcW w:type="dxa" w:w="2300"/>
            <w:shd w:fill="17365D"/>
            <w:vAlign w:val="center"/>
          </w:tcPr>
          <w:p>
            <w:r>
              <w:rPr>
                <w:b/>
                <w:color w:val="FFFFFF"/>
                <w:sz w:val="16"/>
              </w:rPr>
              <w:t>Signal class</w:t>
            </w:r>
          </w:p>
        </w:tc>
        <w:tc>
          <w:tcPr>
            <w:tcW w:type="dxa" w:w="3200"/>
            <w:shd w:fill="17365D"/>
            <w:vAlign w:val="center"/>
          </w:tcPr>
          <w:p>
            <w:r>
              <w:rPr>
                <w:b/>
                <w:color w:val="FFFFFF"/>
                <w:sz w:val="16"/>
              </w:rPr>
              <w:t>Observed surface</w:t>
            </w:r>
          </w:p>
        </w:tc>
        <w:tc>
          <w:tcPr>
            <w:tcW w:type="dxa" w:w="3860"/>
            <w:shd w:fill="17365D"/>
            <w:vAlign w:val="center"/>
          </w:tcPr>
          <w:p>
            <w:r>
              <w:rPr>
                <w:b/>
                <w:color w:val="FFFFFF"/>
                <w:sz w:val="16"/>
              </w:rPr>
              <w:t>Disposition</w:t>
            </w:r>
          </w:p>
        </w:tc>
      </w:tr>
      <w:tr>
        <w:trPr>
          <w:trHeight w:hRule="atLeast"/>
          <w:cantSplit/>
        </w:trPr>
        <w:tc>
          <w:tcPr>
            <w:tcW w:type="dxa" w:w="2300"/>
            <w:vAlign w:val="top"/>
          </w:tcPr>
          <w:p>
            <w:pPr>
              <w:spacing w:after="20"/>
            </w:pPr>
            <w:r>
              <w:rPr>
                <w:sz w:val="15"/>
              </w:rPr>
              <w:t>Cleartext ws/http</w:t>
            </w:r>
          </w:p>
        </w:tc>
        <w:tc>
          <w:tcPr>
            <w:tcW w:type="dxa" w:w="3200"/>
            <w:vAlign w:val="top"/>
          </w:tcPr>
          <w:p>
            <w:pPr>
              <w:spacing w:after="20"/>
            </w:pPr>
            <w:r>
              <w:rPr>
                <w:sz w:val="15"/>
              </w:rPr>
              <w:t>Core docs and bridges</w:t>
            </w:r>
          </w:p>
        </w:tc>
        <w:tc>
          <w:tcPr>
            <w:tcW w:type="dxa" w:w="3860"/>
            <w:vAlign w:val="top"/>
          </w:tcPr>
          <w:p>
            <w:pPr>
              <w:spacing w:after="20"/>
            </w:pPr>
            <w:r>
              <w:rPr>
                <w:sz w:val="15"/>
              </w:rPr>
              <w:t>Validated contributor to F-003</w:t>
            </w:r>
          </w:p>
        </w:tc>
      </w:tr>
      <w:tr>
        <w:trPr>
          <w:trHeight w:hRule="atLeast"/>
          <w:cantSplit/>
        </w:trPr>
        <w:tc>
          <w:tcPr>
            <w:tcW w:type="dxa" w:w="2300"/>
            <w:vAlign w:val="top"/>
            <w:shd w:fill="EEF4F7"/>
          </w:tcPr>
          <w:p>
            <w:pPr>
              <w:spacing w:after="20"/>
            </w:pPr>
            <w:r>
              <w:rPr>
                <w:sz w:val="15"/>
              </w:rPr>
              <w:t>api_key/query/argument</w:t>
            </w:r>
          </w:p>
        </w:tc>
        <w:tc>
          <w:tcPr>
            <w:tcW w:type="dxa" w:w="3200"/>
            <w:vAlign w:val="top"/>
            <w:shd w:fill="EEF4F7"/>
          </w:tcPr>
          <w:p>
            <w:pPr>
              <w:spacing w:after="20"/>
            </w:pPr>
            <w:r>
              <w:rPr>
                <w:sz w:val="15"/>
              </w:rPr>
              <w:t>Core adapters, bridges and docs</w:t>
            </w:r>
          </w:p>
        </w:tc>
        <w:tc>
          <w:tcPr>
            <w:tcW w:type="dxa" w:w="3860"/>
            <w:vAlign w:val="top"/>
            <w:shd w:fill="EEF4F7"/>
          </w:tcPr>
          <w:p>
            <w:pPr>
              <w:spacing w:after="20"/>
            </w:pPr>
            <w:r>
              <w:rPr>
                <w:sz w:val="15"/>
              </w:rPr>
              <w:t>Validated contributor to F-002</w:t>
            </w:r>
          </w:p>
        </w:tc>
      </w:tr>
      <w:tr>
        <w:trPr>
          <w:trHeight w:hRule="atLeast"/>
          <w:cantSplit/>
        </w:trPr>
        <w:tc>
          <w:tcPr>
            <w:tcW w:type="dxa" w:w="2300"/>
            <w:vAlign w:val="top"/>
          </w:tcPr>
          <w:p>
            <w:pPr>
              <w:spacing w:after="20"/>
            </w:pPr>
            <w:r>
              <w:rPr>
                <w:sz w:val="15"/>
              </w:rPr>
              <w:t>HTTP server / missing SRI / logging</w:t>
            </w:r>
          </w:p>
        </w:tc>
        <w:tc>
          <w:tcPr>
            <w:tcW w:type="dxa" w:w="3200"/>
            <w:vAlign w:val="top"/>
          </w:tcPr>
          <w:p>
            <w:pPr>
              <w:spacing w:after="20"/>
            </w:pPr>
            <w:r>
              <w:rPr>
                <w:sz w:val="15"/>
              </w:rPr>
              <w:t>Auxiliary mcp-web-client</w:t>
            </w:r>
          </w:p>
        </w:tc>
        <w:tc>
          <w:tcPr>
            <w:tcW w:type="dxa" w:w="3860"/>
            <w:vAlign w:val="top"/>
          </w:tcPr>
          <w:p>
            <w:pPr>
              <w:spacing w:after="20"/>
            </w:pPr>
            <w:r>
              <w:rPr>
                <w:sz w:val="15"/>
              </w:rPr>
              <w:t>Adjacent excluded surface; separate assessment required</w:t>
            </w:r>
          </w:p>
        </w:tc>
      </w:tr>
      <w:tr>
        <w:trPr>
          <w:trHeight w:hRule="atLeast"/>
          <w:cantSplit/>
        </w:trPr>
        <w:tc>
          <w:tcPr>
            <w:tcW w:type="dxa" w:w="2300"/>
            <w:vAlign w:val="top"/>
            <w:shd w:fill="EEF4F7"/>
          </w:tcPr>
          <w:p>
            <w:pPr>
              <w:spacing w:after="20"/>
            </w:pPr>
            <w:r>
              <w:rPr>
                <w:sz w:val="15"/>
              </w:rPr>
              <w:t>Dynamic regular expression</w:t>
            </w:r>
          </w:p>
        </w:tc>
        <w:tc>
          <w:tcPr>
            <w:tcW w:type="dxa" w:w="3200"/>
            <w:vAlign w:val="top"/>
            <w:shd w:fill="EEF4F7"/>
          </w:tcPr>
          <w:p>
            <w:pPr>
              <w:spacing w:after="20"/>
            </w:pPr>
            <w:r>
              <w:rPr>
                <w:sz w:val="15"/>
              </w:rPr>
              <w:t>mcp-test-client</w:t>
            </w:r>
          </w:p>
        </w:tc>
        <w:tc>
          <w:tcPr>
            <w:tcW w:type="dxa" w:w="3860"/>
            <w:vAlign w:val="top"/>
            <w:shd w:fill="EEF4F7"/>
          </w:tcPr>
          <w:p>
            <w:pPr>
              <w:spacing w:after="20"/>
            </w:pPr>
            <w:r>
              <w:rPr>
                <w:sz w:val="15"/>
              </w:rPr>
              <w:t>Test surface; not promoted</w:t>
            </w:r>
          </w:p>
        </w:tc>
      </w:tr>
      <w:tr>
        <w:trPr>
          <w:trHeight w:hRule="atLeast"/>
          <w:cantSplit/>
        </w:trPr>
        <w:tc>
          <w:tcPr>
            <w:tcW w:type="dxa" w:w="2300"/>
            <w:vAlign w:val="top"/>
          </w:tcPr>
          <w:p>
            <w:pPr>
              <w:spacing w:after="20"/>
            </w:pPr>
            <w:r>
              <w:rPr>
                <w:sz w:val="15"/>
              </w:rPr>
              <w:t>Format strings</w:t>
            </w:r>
          </w:p>
        </w:tc>
        <w:tc>
          <w:tcPr>
            <w:tcW w:type="dxa" w:w="3200"/>
            <w:vAlign w:val="top"/>
          </w:tcPr>
          <w:p>
            <w:pPr>
              <w:spacing w:after="20"/>
            </w:pPr>
            <w:r>
              <w:rPr>
                <w:sz w:val="15"/>
              </w:rPr>
              <w:t>Mostly auxiliary logging</w:t>
            </w:r>
          </w:p>
        </w:tc>
        <w:tc>
          <w:tcPr>
            <w:tcW w:type="dxa" w:w="3860"/>
            <w:vAlign w:val="top"/>
          </w:tcPr>
          <w:p>
            <w:pPr>
              <w:spacing w:after="20"/>
            </w:pPr>
            <w:r>
              <w:rPr>
                <w:sz w:val="15"/>
              </w:rPr>
              <w:t>No validated core exploit path</w:t>
            </w:r>
          </w:p>
        </w:tc>
      </w:tr>
      <w:tr>
        <w:trPr>
          <w:trHeight w:hRule="atLeast"/>
          <w:cantSplit/>
        </w:trPr>
        <w:tc>
          <w:tcPr>
            <w:tcW w:type="dxa" w:w="2300"/>
            <w:vAlign w:val="top"/>
            <w:shd w:fill="EEF4F7"/>
          </w:tcPr>
          <w:p>
            <w:pPr>
              <w:spacing w:after="20"/>
            </w:pPr>
            <w:r>
              <w:rPr>
                <w:sz w:val="15"/>
              </w:rPr>
              <w:t>Service installation</w:t>
            </w:r>
          </w:p>
        </w:tc>
        <w:tc>
          <w:tcPr>
            <w:tcW w:type="dxa" w:w="3200"/>
            <w:vAlign w:val="top"/>
            <w:shd w:fill="EEF4F7"/>
          </w:tcPr>
          <w:p>
            <w:pPr>
              <w:spacing w:after="20"/>
            </w:pPr>
            <w:r>
              <w:rPr>
                <w:sz w:val="15"/>
              </w:rPr>
              <w:t>Auxiliary web-client install.sh</w:t>
            </w:r>
          </w:p>
        </w:tc>
        <w:tc>
          <w:tcPr>
            <w:tcW w:type="dxa" w:w="3860"/>
            <w:vAlign w:val="top"/>
            <w:shd w:fill="EEF4F7"/>
          </w:tcPr>
          <w:p>
            <w:pPr>
              <w:spacing w:after="20"/>
            </w:pPr>
            <w:r>
              <w:rPr>
                <w:sz w:val="15"/>
              </w:rPr>
              <w:t>Expected adjacent persistence; excluded from Registry deployment</w:t>
            </w:r>
          </w:p>
        </w:tc>
      </w:tr>
    </w:tbl>
    <w:p/>
    <w:p>
      <w:pPr>
        <w:pStyle w:val="Heading1"/>
      </w:pPr>
      <w:r>
        <w:t>Glossary</w:t>
      </w:r>
    </w:p>
    <w:tbl>
      <w:tblPr>
        <w:tblStyle w:val="TableGrid"/>
        <w:tblW w:type="dxa" w:w="9360"/>
        <w:jc w:val="center"/>
        <w:tblLook w:firstColumn="1" w:firstRow="1" w:lastColumn="0" w:lastRow="0" w:noHBand="0" w:noVBand="1" w:val="04A0"/>
        <w:tblInd w:w="120" w:type="dxa"/>
        <w:tblLayout w:type="fixed"/>
      </w:tblPr>
      <w:tblGrid>
        <w:gridCol w:w="2300"/>
        <w:gridCol w:w="7060"/>
      </w:tblGrid>
      <w:tr>
        <w:trPr>
          <w:tblHeader w:val="true"/>
          <w:cantSplit/>
        </w:trPr>
        <w:tc>
          <w:tcPr>
            <w:tcW w:type="dxa" w:w="2300"/>
            <w:shd w:fill="17365D"/>
            <w:vAlign w:val="center"/>
          </w:tcPr>
          <w:p>
            <w:r>
              <w:rPr>
                <w:b/>
                <w:color w:val="FFFFFF"/>
                <w:sz w:val="16"/>
              </w:rPr>
              <w:t>Term</w:t>
            </w:r>
          </w:p>
        </w:tc>
        <w:tc>
          <w:tcPr>
            <w:tcW w:type="dxa" w:w="7060"/>
            <w:shd w:fill="17365D"/>
            <w:vAlign w:val="center"/>
          </w:tcPr>
          <w:p>
            <w:r>
              <w:rPr>
                <w:b/>
                <w:color w:val="FFFFFF"/>
                <w:sz w:val="16"/>
              </w:rPr>
              <w:t>Meaning</w:t>
            </w:r>
          </w:p>
        </w:tc>
      </w:tr>
      <w:tr>
        <w:trPr>
          <w:trHeight w:hRule="atLeast"/>
          <w:cantSplit/>
        </w:trPr>
        <w:tc>
          <w:tcPr>
            <w:tcW w:type="dxa" w:w="2300"/>
            <w:vAlign w:val="top"/>
          </w:tcPr>
          <w:p>
            <w:pPr>
              <w:spacing w:after="20"/>
            </w:pPr>
            <w:r>
              <w:rPr>
                <w:sz w:val="15"/>
              </w:rPr>
              <w:t>Agent Skill</w:t>
            </w:r>
          </w:p>
        </w:tc>
        <w:tc>
          <w:tcPr>
            <w:tcW w:type="dxa" w:w="7060"/>
            <w:vAlign w:val="top"/>
          </w:tcPr>
          <w:p>
            <w:pPr>
              <w:spacing w:after="20"/>
            </w:pPr>
            <w:r>
              <w:rPr>
                <w:sz w:val="15"/>
              </w:rPr>
              <w:t>Instruction package distinct from an MCP server</w:t>
            </w:r>
          </w:p>
        </w:tc>
      </w:tr>
      <w:tr>
        <w:trPr>
          <w:trHeight w:hRule="atLeast"/>
          <w:cantSplit/>
        </w:trPr>
        <w:tc>
          <w:tcPr>
            <w:tcW w:type="dxa" w:w="2300"/>
            <w:vAlign w:val="top"/>
            <w:shd w:fill="EEF4F7"/>
          </w:tcPr>
          <w:p>
            <w:pPr>
              <w:spacing w:after="20"/>
            </w:pPr>
            <w:r>
              <w:rPr>
                <w:sz w:val="15"/>
              </w:rPr>
              <w:t>MCP</w:t>
            </w:r>
          </w:p>
        </w:tc>
        <w:tc>
          <w:tcPr>
            <w:tcW w:type="dxa" w:w="7060"/>
            <w:vAlign w:val="top"/>
            <w:shd w:fill="EEF4F7"/>
          </w:tcPr>
          <w:p>
            <w:pPr>
              <w:spacing w:after="20"/>
            </w:pPr>
            <w:r>
              <w:rPr>
                <w:sz w:val="15"/>
              </w:rPr>
              <w:t>Model Context Protocol</w:t>
            </w:r>
          </w:p>
        </w:tc>
      </w:tr>
      <w:tr>
        <w:trPr>
          <w:trHeight w:hRule="atLeast"/>
          <w:cantSplit/>
        </w:trPr>
        <w:tc>
          <w:tcPr>
            <w:tcW w:type="dxa" w:w="2300"/>
            <w:vAlign w:val="top"/>
          </w:tcPr>
          <w:p>
            <w:pPr>
              <w:spacing w:after="20"/>
            </w:pPr>
            <w:r>
              <w:rPr>
                <w:sz w:val="15"/>
              </w:rPr>
              <w:t>Streamable HTTP</w:t>
            </w:r>
          </w:p>
        </w:tc>
        <w:tc>
          <w:tcPr>
            <w:tcW w:type="dxa" w:w="7060"/>
            <w:vAlign w:val="top"/>
          </w:tcPr>
          <w:p>
            <w:pPr>
              <w:spacing w:after="20"/>
            </w:pPr>
            <w:r>
              <w:rPr>
                <w:sz w:val="15"/>
              </w:rPr>
              <w:t>MCP transport over HTTP request/stream semantics</w:t>
            </w:r>
          </w:p>
        </w:tc>
      </w:tr>
      <w:tr>
        <w:trPr>
          <w:trHeight w:hRule="atLeast"/>
          <w:cantSplit/>
        </w:trPr>
        <w:tc>
          <w:tcPr>
            <w:tcW w:type="dxa" w:w="2300"/>
            <w:vAlign w:val="top"/>
            <w:shd w:fill="EEF4F7"/>
          </w:tcPr>
          <w:p>
            <w:pPr>
              <w:spacing w:after="20"/>
            </w:pPr>
            <w:r>
              <w:rPr>
                <w:sz w:val="15"/>
              </w:rPr>
              <w:t>SSE</w:t>
            </w:r>
          </w:p>
        </w:tc>
        <w:tc>
          <w:tcPr>
            <w:tcW w:type="dxa" w:w="7060"/>
            <w:vAlign w:val="top"/>
            <w:shd w:fill="EEF4F7"/>
          </w:tcPr>
          <w:p>
            <w:pPr>
              <w:spacing w:after="20"/>
            </w:pPr>
            <w:r>
              <w:rPr>
                <w:sz w:val="15"/>
              </w:rPr>
              <w:t>Server-Sent Events transport used by some MCP clients/servers</w:t>
            </w:r>
          </w:p>
        </w:tc>
      </w:tr>
      <w:tr>
        <w:trPr>
          <w:trHeight w:hRule="atLeast"/>
          <w:cantSplit/>
        </w:trPr>
        <w:tc>
          <w:tcPr>
            <w:tcW w:type="dxa" w:w="2300"/>
            <w:vAlign w:val="top"/>
          </w:tcPr>
          <w:p>
            <w:pPr>
              <w:spacing w:after="20"/>
            </w:pPr>
            <w:r>
              <w:rPr>
                <w:sz w:val="15"/>
              </w:rPr>
              <w:t>DPIA</w:t>
            </w:r>
          </w:p>
        </w:tc>
        <w:tc>
          <w:tcPr>
            <w:tcW w:type="dxa" w:w="7060"/>
            <w:vAlign w:val="top"/>
          </w:tcPr>
          <w:p>
            <w:pPr>
              <w:spacing w:after="20"/>
            </w:pPr>
            <w:r>
              <w:rPr>
                <w:sz w:val="15"/>
              </w:rPr>
              <w:t>Data Protection Impact Assessment</w:t>
            </w:r>
          </w:p>
        </w:tc>
      </w:tr>
      <w:tr>
        <w:trPr>
          <w:trHeight w:hRule="atLeast"/>
          <w:cantSplit/>
        </w:trPr>
        <w:tc>
          <w:tcPr>
            <w:tcW w:type="dxa" w:w="2300"/>
            <w:vAlign w:val="top"/>
            <w:shd w:fill="EEF4F7"/>
          </w:tcPr>
          <w:p>
            <w:pPr>
              <w:spacing w:after="20"/>
            </w:pPr>
            <w:r>
              <w:rPr>
                <w:sz w:val="15"/>
              </w:rPr>
              <w:t>SBOM</w:t>
            </w:r>
          </w:p>
        </w:tc>
        <w:tc>
          <w:tcPr>
            <w:tcW w:type="dxa" w:w="7060"/>
            <w:vAlign w:val="top"/>
            <w:shd w:fill="EEF4F7"/>
          </w:tcPr>
          <w:p>
            <w:pPr>
              <w:spacing w:after="20"/>
            </w:pPr>
            <w:r>
              <w:rPr>
                <w:sz w:val="15"/>
              </w:rPr>
              <w:t>Software Bill of Materials</w:t>
            </w:r>
          </w:p>
        </w:tc>
      </w:tr>
      <w:tr>
        <w:trPr>
          <w:trHeight w:hRule="atLeast"/>
          <w:cantSplit/>
        </w:trPr>
        <w:tc>
          <w:tcPr>
            <w:tcW w:type="dxa" w:w="2300"/>
            <w:vAlign w:val="top"/>
          </w:tcPr>
          <w:p>
            <w:pPr>
              <w:spacing w:after="20"/>
            </w:pPr>
            <w:r>
              <w:rPr>
                <w:sz w:val="15"/>
              </w:rPr>
              <w:t>DLP</w:t>
            </w:r>
          </w:p>
        </w:tc>
        <w:tc>
          <w:tcPr>
            <w:tcW w:type="dxa" w:w="7060"/>
            <w:vAlign w:val="top"/>
          </w:tcPr>
          <w:p>
            <w:pPr>
              <w:spacing w:after="20"/>
            </w:pPr>
            <w:r>
              <w:rPr>
                <w:sz w:val="15"/>
              </w:rPr>
              <w:t>Data Loss Prevention</w:t>
            </w:r>
          </w:p>
        </w:tc>
      </w:tr>
      <w:tr>
        <w:trPr>
          <w:trHeight w:hRule="atLeast"/>
          <w:cantSplit/>
        </w:trPr>
        <w:tc>
          <w:tcPr>
            <w:tcW w:type="dxa" w:w="2300"/>
            <w:vAlign w:val="top"/>
            <w:shd w:fill="EEF4F7"/>
          </w:tcPr>
          <w:p>
            <w:pPr>
              <w:spacing w:after="20"/>
            </w:pPr>
            <w:r>
              <w:rPr>
                <w:sz w:val="15"/>
              </w:rPr>
              <w:t>GOD permission</w:t>
            </w:r>
          </w:p>
        </w:tc>
        <w:tc>
          <w:tcPr>
            <w:tcW w:type="dxa" w:w="7060"/>
            <w:vAlign w:val="top"/>
            <w:shd w:fill="EEF4F7"/>
          </w:tcPr>
          <w:p>
            <w:pPr>
              <w:spacing w:after="20"/>
            </w:pPr>
            <w:r>
              <w:rPr>
                <w:sz w:val="15"/>
              </w:rPr>
              <w:t>Netdata source label associated with the most privileged local authentication mapping</w:t>
            </w:r>
          </w:p>
        </w:tc>
      </w:tr>
      <w:tr>
        <w:trPr>
          <w:trHeight w:hRule="atLeast"/>
          <w:cantSplit/>
        </w:trPr>
        <w:tc>
          <w:tcPr>
            <w:tcW w:type="dxa" w:w="2300"/>
            <w:vAlign w:val="top"/>
          </w:tcPr>
          <w:p>
            <w:pPr>
              <w:spacing w:after="20"/>
            </w:pPr>
            <w:r>
              <w:rPr>
                <w:sz w:val="15"/>
              </w:rPr>
              <w:t>Verified</w:t>
            </w:r>
          </w:p>
        </w:tc>
        <w:tc>
          <w:tcPr>
            <w:tcW w:type="dxa" w:w="7060"/>
            <w:vAlign w:val="top"/>
          </w:tcPr>
          <w:p>
            <w:pPr>
              <w:spacing w:after="20"/>
            </w:pPr>
            <w:r>
              <w:rPr>
                <w:sz w:val="15"/>
              </w:rPr>
              <w:t>Directly supported by retained evidence</w:t>
            </w:r>
          </w:p>
        </w:tc>
      </w:tr>
      <w:tr>
        <w:trPr>
          <w:trHeight w:hRule="atLeast"/>
          <w:cantSplit/>
        </w:trPr>
        <w:tc>
          <w:tcPr>
            <w:tcW w:type="dxa" w:w="2300"/>
            <w:vAlign w:val="top"/>
            <w:shd w:fill="EEF4F7"/>
          </w:tcPr>
          <w:p>
            <w:pPr>
              <w:spacing w:after="20"/>
            </w:pPr>
            <w:r>
              <w:rPr>
                <w:sz w:val="15"/>
              </w:rPr>
              <w:t>Inferred</w:t>
            </w:r>
          </w:p>
        </w:tc>
        <w:tc>
          <w:tcPr>
            <w:tcW w:type="dxa" w:w="7060"/>
            <w:vAlign w:val="top"/>
            <w:shd w:fill="EEF4F7"/>
          </w:tcPr>
          <w:p>
            <w:pPr>
              <w:spacing w:after="20"/>
            </w:pPr>
            <w:r>
              <w:rPr>
                <w:sz w:val="15"/>
              </w:rPr>
              <w:t>Reasoned from verified source/architecture without representative runtime</w:t>
            </w:r>
          </w:p>
        </w:tc>
      </w:tr>
      <w:tr>
        <w:trPr>
          <w:trHeight w:hRule="atLeast"/>
          <w:cantSplit/>
        </w:trPr>
        <w:tc>
          <w:tcPr>
            <w:tcW w:type="dxa" w:w="2300"/>
            <w:vAlign w:val="top"/>
          </w:tcPr>
          <w:p>
            <w:pPr>
              <w:spacing w:after="20"/>
            </w:pPr>
            <w:r>
              <w:rPr>
                <w:sz w:val="15"/>
              </w:rPr>
              <w:t>Not observed</w:t>
            </w:r>
          </w:p>
        </w:tc>
        <w:tc>
          <w:tcPr>
            <w:tcW w:type="dxa" w:w="7060"/>
            <w:vAlign w:val="top"/>
          </w:tcPr>
          <w:p>
            <w:pPr>
              <w:spacing w:after="20"/>
            </w:pPr>
            <w:r>
              <w:rPr>
                <w:sz w:val="15"/>
              </w:rPr>
              <w:t>Within scope but not witnessed</w:t>
            </w:r>
          </w:p>
        </w:tc>
      </w:tr>
      <w:tr>
        <w:trPr>
          <w:trHeight w:hRule="atLeast"/>
          <w:cantSplit/>
        </w:trPr>
        <w:tc>
          <w:tcPr>
            <w:tcW w:type="dxa" w:w="2300"/>
            <w:vAlign w:val="top"/>
            <w:shd w:fill="EEF4F7"/>
          </w:tcPr>
          <w:p>
            <w:pPr>
              <w:spacing w:after="20"/>
            </w:pPr>
            <w:r>
              <w:rPr>
                <w:sz w:val="15"/>
              </w:rPr>
              <w:t>Not applicable</w:t>
            </w:r>
          </w:p>
        </w:tc>
        <w:tc>
          <w:tcPr>
            <w:tcW w:type="dxa" w:w="7060"/>
            <w:vAlign w:val="top"/>
            <w:shd w:fill="EEF4F7"/>
          </w:tcPr>
          <w:p>
            <w:pPr>
              <w:spacing w:after="20"/>
            </w:pPr>
            <w:r>
              <w:rPr>
                <w:sz w:val="15"/>
              </w:rPr>
              <w:t>Component not shipped/used in the stated branch</w:t>
            </w:r>
          </w:p>
        </w:tc>
      </w:tr>
      <w:tr>
        <w:trPr>
          <w:trHeight w:hRule="atLeast"/>
          <w:cantSplit/>
        </w:trPr>
        <w:tc>
          <w:tcPr>
            <w:tcW w:type="dxa" w:w="2300"/>
            <w:vAlign w:val="top"/>
          </w:tcPr>
          <w:p>
            <w:pPr>
              <w:spacing w:after="20"/>
            </w:pPr>
            <w:r>
              <w:rPr>
                <w:sz w:val="15"/>
              </w:rPr>
              <w:t>Unknown</w:t>
            </w:r>
          </w:p>
        </w:tc>
        <w:tc>
          <w:tcPr>
            <w:tcW w:type="dxa" w:w="7060"/>
            <w:vAlign w:val="top"/>
          </w:tcPr>
          <w:p>
            <w:pPr>
              <w:spacing w:after="20"/>
            </w:pPr>
            <w:r>
              <w:rPr>
                <w:sz w:val="15"/>
              </w:rPr>
              <w:t>Evidence insufficient to conclude</w:t>
            </w:r>
          </w:p>
        </w:tc>
      </w:tr>
    </w:tbl>
    <w:p/>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SoloSentry Assessment Environment  |  25 July 2026  |  Page </w:t>
    </w:r>
    <w:r>
      <w:rPr>
        <w:rFonts w:ascii="Calibri" w:hAnsi="Calibri"/>
        <w:sz w:val="16"/>
      </w:rPr>
      <w:fldChar w:fldCharType="begin"/>
      <w:instrText xml:space="preserve"> PAGE </w:instrText>
      <w:fldChar w:fldCharType="separate"/>
    </w:r>
    <w:r>
      <w:rPr>
        <w:rFonts w:ascii="Calibri" w:hAnsi="Calibri"/>
        <w:sz w:val="16"/>
      </w:rPr>
      <w:t>1</w:t>
    </w:r>
    <w:r>
      <w:rPr>
        <w:rFonts w:ascii="Calibri" w:hAnsi="Calibri"/>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17365D"/>
        <w:sz w:val="16"/>
      </w:rPr>
      <w:t>PUBLIC  |  Netdata MCP Security Assessment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4406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2"/>
    </w:rPr>
  </w:style>
  <w:style w:type="paragraph" w:styleId="ListBullet2">
    <w:name w:val="List Bullet 2"/>
    <w:basedOn w:val="Normal"/>
    <w:uiPriority w:val="99"/>
    <w:unhideWhenUsed/>
    <w:rsid w:val="00326F90"/>
    <w:pPr>
      <w:numPr>
        <w:numId w:val="2"/>
      </w:numPr>
      <w:spacing w:after="60"/>
      <w:contextualSpacing/>
    </w:pPr>
    <w:rPr>
      <w:rFonts w:ascii="Calibri" w:hAnsi="Calibri"/>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registry.modelcontextprotocol.io/v0.1/servers?search=io.github.netdata%2Fmcp-server" TargetMode="External"/><Relationship Id="rId13" Type="http://schemas.openxmlformats.org/officeDocument/2006/relationships/hyperlink" Target="https://github.com/netdata/netdata/releases/tag/v2.10.4" TargetMode="External"/><Relationship Id="rId14" Type="http://schemas.openxmlformats.org/officeDocument/2006/relationships/hyperlink" Target="https://learn.netdata.cloud/docs/netdata-ai/mcp" TargetMode="External"/><Relationship Id="rId15" Type="http://schemas.openxmlformats.org/officeDocument/2006/relationships/hyperlink" Target="https://github.com/netdata/netdata/tree/v2.10.4/src/web/mcp" TargetMode="External"/><Relationship Id="rId16" Type="http://schemas.openxmlformats.org/officeDocument/2006/relationships/hyperlink" Target="https://learn.netdata.cloud/docs/security-and-privacy-design" TargetMode="External"/><Relationship Id="rId17" Type="http://schemas.openxmlformats.org/officeDocument/2006/relationships/hyperlink" Target="https://www.netdata.cloud/privacy/" TargetMode="External"/><Relationship Id="rId18" Type="http://schemas.openxmlformats.org/officeDocument/2006/relationships/hyperlink" Target="https://code.visualstudio.com/docs/copilot/customization/mcp-servers" TargetMode="External"/><Relationship Id="rId19" Type="http://schemas.openxmlformats.org/officeDocument/2006/relationships/hyperlink" Target="https://learn.microsoft.com/en-us/visualstudio/ide/mcp-servers?view=visualstudio" TargetMode="External"/><Relationship Id="rId20" Type="http://schemas.openxmlformats.org/officeDocument/2006/relationships/hyperlink" Target="https://genai.owasp.org/resource/owasp-top-10-for-llm-applications-2025/" TargetMode="External"/><Relationship Id="rId21" Type="http://schemas.openxmlformats.org/officeDocument/2006/relationships/hyperlink" Target="https://owasp.org/www-project-mcp-top-10/" TargetMode="External"/><Relationship Id="rId22" Type="http://schemas.openxmlformats.org/officeDocument/2006/relationships/hyperlink" Target="https://genai.owasp.org/resource/agentic-ai-threats-and-mitigations/" TargetMode="External"/><Relationship Id="rId23" Type="http://schemas.openxmlformats.org/officeDocument/2006/relationships/hyperlink" Target="https://github.com/OWASP/ASVS/releases/tag/v5.0.0_release" TargetMode="External"/><Relationship Id="rId24" Type="http://schemas.openxmlformats.org/officeDocument/2006/relationships/hyperlink" Target="https://atlas.mitre.org/" TargetMode="External"/><Relationship Id="rId25" Type="http://schemas.openxmlformats.org/officeDocument/2006/relationships/hyperlink" Target="https://www.nist.gov/itl/ai-risk-management-framework" TargetMode="External"/><Relationship Id="rId26" Type="http://schemas.openxmlformats.org/officeDocument/2006/relationships/hyperlink" Target="https://nvlpubs.nist.gov/nistpubs/ai/NIST.AI.600-1.pdf" TargetMode="External"/><Relationship Id="rId27" Type="http://schemas.openxmlformats.org/officeDocument/2006/relationships/hyperlink" Target="https://www.ncsc.gov.uk/collection/guidelines-secure-ai-system-development" TargetMode="External"/><Relationship Id="rId28" Type="http://schemas.openxmlformats.org/officeDocument/2006/relationships/hyperlink" Target="https://www.cisecurity.org/controls/v8-1" TargetMode="External"/><Relationship Id="rId29" Type="http://schemas.openxmlformats.org/officeDocument/2006/relationships/hyperlink" Target="https://www.iso.org/standard/27001" TargetMode="External"/><Relationship Id="rId30" Type="http://schemas.openxmlformats.org/officeDocument/2006/relationships/hyperlink" Target="https://ico.org.uk/for-organisations/uk-gdpr-guidance-and-resources/artificial-intelligence/" TargetMode="External"/><Relationship Id="rId31" Type="http://schemas.openxmlformats.org/officeDocument/2006/relationships/hyperlink" Target="https://www.fca.org.uk/firms/operational-resilience" TargetMode="External"/><Relationship Id="rId32" Type="http://schemas.openxmlformats.org/officeDocument/2006/relationships/hyperlink" Target="https://www.bankofengland.co.uk/prudential-regulation/publication/2021/march/outsourcing-and-third-party-risk-management-ss" TargetMode="External"/><Relationship Id="rId33" Type="http://schemas.openxmlformats.org/officeDocument/2006/relationships/hyperlink" Target="https://www.legislation.gov.uk/ukpga/2018/12/cont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Netdata MCP Security Assessment</dc:title>
  <dc:subject>VS Code and Visual Studio assessment for a Large UK Insurance business</dc:subject>
  <dc:creator>SoloSentry Assessment Environment</dc:creator>
  <cp:keywords>Netdata, MCP, VS Code, Visual Studio, security, privacy, UK insurance</cp:keywords>
  <dc:description>Generated from validated stage outputs; no production data.</dc:description>
  <cp:lastModifiedBy>SoloSentry Assessment Environment</cp:lastModifiedBy>
  <cp:revision>1</cp:revision>
  <dcterms:created xsi:type="dcterms:W3CDTF">2013-12-23T23:15:00Z</dcterms:created>
  <dcterms:modified xsi:type="dcterms:W3CDTF">2013-12-23T23:15:00Z</dcterms:modified>
  <cp:category/>
</cp:coreProperties>
</file>