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A66A00"/>
          <w:sz w:val="22"/>
        </w:rPr>
        <w:t>SECURITY ASSESSMENT</w:t>
      </w:r>
    </w:p>
    <w:p>
      <w:pPr>
        <w:pStyle w:val="Title"/>
        <w:jc w:val="center"/>
      </w:pPr>
      <w:r>
        <w:t>PostgreSQL</w:t>
      </w:r>
    </w:p>
    <w:p>
      <w:pPr>
        <w:pStyle w:val="Subtitle"/>
        <w:jc w:val="center"/>
      </w:pPr>
      <w:r>
        <w:t>Microsoft | ms-ossdata.vscode-pgsql | Version 1.26.0</w:t>
      </w:r>
    </w:p>
    <w:p>
      <w:pPr>
        <w:jc w:val="center"/>
      </w:pPr>
      <w:r>
        <w:rPr>
          <w:b/>
          <w:color w:val="A61B1B"/>
          <w:sz w:val="28"/>
        </w:rPr>
        <w:t>DECISION: DEFER PENDING EVIDENCE</w:t>
      </w:r>
    </w:p>
    <w:tbl>
      <w:tblPr>
        <w:tblStyle w:val="TableGrid"/>
        <w:tblW w:type="auto" w:w="0"/>
        <w:jc w:val="center"/>
        <w:tblLayout w:type="fixed"/>
        <w:tblLook w:firstColumn="1" w:firstRow="1" w:lastColumn="0" w:lastRow="0" w:noHBand="0" w:noVBand="1" w:val="04A0"/>
      </w:tblPr>
      <w:tblGrid>
        <w:gridCol w:w="2592"/>
        <w:gridCol w:w="6768"/>
      </w:tblGrid>
      <w:tr>
        <w:trPr>
          <w:tblHeader/>
        </w:trPr>
        <w:tc>
          <w:tcPr>
            <w:tcW w:type="dxa" w:w="2592"/>
            <w:shd w:fill="17365D"/>
            <w:tcMar>
              <w:top w:w="90" w:type="dxa"/>
              <w:start w:w="90" w:type="dxa"/>
              <w:bottom w:w="90" w:type="dxa"/>
              <w:end w:w="90" w:type="dxa"/>
            </w:tcMar>
          </w:tcPr>
          <w:p>
            <w:r>
              <w:rPr>
                <w:b/>
                <w:color w:val="FFFFFF"/>
                <w:sz w:val="18"/>
              </w:rPr>
              <w:t>Document control</w:t>
            </w:r>
          </w:p>
        </w:tc>
        <w:tc>
          <w:tcPr>
            <w:tcW w:type="dxa" w:w="6768"/>
            <w:shd w:fill="17365D"/>
            <w:tcMar>
              <w:top w:w="90" w:type="dxa"/>
              <w:start w:w="90" w:type="dxa"/>
              <w:bottom w:w="90" w:type="dxa"/>
              <w:end w:w="90" w:type="dxa"/>
            </w:tcMar>
          </w:tcPr>
          <w:p>
            <w:r>
              <w:rPr>
                <w:b/>
                <w:color w:val="FFFFFF"/>
                <w:sz w:val="18"/>
              </w:rPr>
              <w:t>Value</w:t>
            </w:r>
          </w:p>
        </w:tc>
      </w:tr>
      <w:tr>
        <w:trPr>
          <w:cantSplit/>
        </w:trPr>
        <w:tc>
          <w:tcPr>
            <w:tcW w:type="dxa" w:w="2592"/>
            <w:tcMar>
              <w:top w:w="90" w:type="dxa"/>
              <w:start w:w="90" w:type="dxa"/>
              <w:bottom w:w="90" w:type="dxa"/>
              <w:end w:w="90" w:type="dxa"/>
            </w:tcMar>
            <w:vAlign w:val="center"/>
          </w:tcPr>
          <w:p>
            <w:pPr>
              <w:spacing w:after="20"/>
            </w:pPr>
            <w:r>
              <w:rPr>
                <w:sz w:val="18"/>
              </w:rPr>
              <w:t>Assessment date</w:t>
            </w:r>
          </w:p>
        </w:tc>
        <w:tc>
          <w:tcPr>
            <w:tcW w:type="dxa" w:w="6768"/>
            <w:tcMar>
              <w:top w:w="90" w:type="dxa"/>
              <w:start w:w="90" w:type="dxa"/>
              <w:bottom w:w="90" w:type="dxa"/>
              <w:end w:w="90" w:type="dxa"/>
            </w:tcMar>
            <w:vAlign w:val="center"/>
          </w:tcPr>
          <w:p>
            <w:pPr>
              <w:spacing w:after="20"/>
            </w:pPr>
            <w:r>
              <w:rPr>
                <w:sz w:val="18"/>
              </w:rPr>
              <w:t>29 July 2026</w:t>
            </w:r>
          </w:p>
        </w:tc>
      </w:tr>
      <w:tr>
        <w:trPr>
          <w:cantSplit/>
        </w:trPr>
        <w:tc>
          <w:tcPr>
            <w:tcW w:type="dxa" w:w="2592"/>
            <w:tcMar>
              <w:top w:w="90" w:type="dxa"/>
              <w:start w:w="90" w:type="dxa"/>
              <w:bottom w:w="90" w:type="dxa"/>
              <w:end w:w="90" w:type="dxa"/>
            </w:tcMar>
            <w:vAlign w:val="center"/>
            <w:shd w:fill="F3F6F8"/>
          </w:tcPr>
          <w:p>
            <w:pPr>
              <w:spacing w:after="20"/>
            </w:pPr>
            <w:r>
              <w:rPr>
                <w:sz w:val="18"/>
              </w:rPr>
              <w:t>Report version</w:t>
            </w:r>
          </w:p>
        </w:tc>
        <w:tc>
          <w:tcPr>
            <w:tcW w:type="dxa" w:w="6768"/>
            <w:tcMar>
              <w:top w:w="90" w:type="dxa"/>
              <w:start w:w="90" w:type="dxa"/>
              <w:bottom w:w="90" w:type="dxa"/>
              <w:end w:w="90" w:type="dxa"/>
            </w:tcMar>
            <w:vAlign w:val="center"/>
            <w:shd w:fill="F3F6F8"/>
          </w:tcPr>
          <w:p>
            <w:pPr>
              <w:spacing w:after="20"/>
            </w:pPr>
            <w:r>
              <w:rPr>
                <w:sz w:val="18"/>
              </w:rPr>
              <w:t>v1.1</w:t>
            </w:r>
          </w:p>
        </w:tc>
      </w:tr>
      <w:tr>
        <w:trPr>
          <w:cantSplit/>
        </w:trPr>
        <w:tc>
          <w:tcPr>
            <w:tcW w:type="dxa" w:w="2592"/>
            <w:tcMar>
              <w:top w:w="90" w:type="dxa"/>
              <w:start w:w="90" w:type="dxa"/>
              <w:bottom w:w="90" w:type="dxa"/>
              <w:end w:w="90" w:type="dxa"/>
            </w:tcMar>
            <w:vAlign w:val="center"/>
          </w:tcPr>
          <w:p>
            <w:pPr>
              <w:spacing w:after="20"/>
            </w:pPr>
            <w:r>
              <w:rPr>
                <w:sz w:val="18"/>
              </w:rPr>
              <w:t>Run key</w:t>
            </w:r>
          </w:p>
        </w:tc>
        <w:tc>
          <w:tcPr>
            <w:tcW w:type="dxa" w:w="6768"/>
            <w:tcMar>
              <w:top w:w="90" w:type="dxa"/>
              <w:start w:w="90" w:type="dxa"/>
              <w:bottom w:w="90" w:type="dxa"/>
              <w:end w:w="90" w:type="dxa"/>
            </w:tcMar>
            <w:vAlign w:val="center"/>
          </w:tcPr>
          <w:p>
            <w:pPr>
              <w:spacing w:after="20"/>
            </w:pPr>
            <w:r>
              <w:rPr>
                <w:sz w:val="18"/>
              </w:rPr>
              <w:t>2026-07-29-v1.1</w:t>
            </w:r>
          </w:p>
        </w:tc>
      </w:tr>
      <w:tr>
        <w:trPr>
          <w:cantSplit/>
        </w:trPr>
        <w:tc>
          <w:tcPr>
            <w:tcW w:type="dxa" w:w="2592"/>
            <w:tcMar>
              <w:top w:w="90" w:type="dxa"/>
              <w:start w:w="90" w:type="dxa"/>
              <w:bottom w:w="90" w:type="dxa"/>
              <w:end w:w="90" w:type="dxa"/>
            </w:tcMar>
            <w:vAlign w:val="center"/>
            <w:shd w:fill="F3F6F8"/>
          </w:tcPr>
          <w:p>
            <w:pPr>
              <w:spacing w:after="20"/>
            </w:pPr>
            <w:r>
              <w:rPr>
                <w:sz w:val="18"/>
              </w:rPr>
              <w:t>IDE scope</w:t>
            </w:r>
          </w:p>
        </w:tc>
        <w:tc>
          <w:tcPr>
            <w:tcW w:type="dxa" w:w="6768"/>
            <w:tcMar>
              <w:top w:w="90" w:type="dxa"/>
              <w:start w:w="90" w:type="dxa"/>
              <w:bottom w:w="90" w:type="dxa"/>
              <w:end w:w="90" w:type="dxa"/>
            </w:tcMar>
            <w:vAlign w:val="center"/>
            <w:shd w:fill="F3F6F8"/>
          </w:tcPr>
          <w:p>
            <w:pPr>
              <w:spacing w:after="20"/>
            </w:pPr>
            <w:r>
              <w:rPr>
                <w:sz w:val="18"/>
              </w:rPr>
              <w:t>VS Code; Microsoft Visual Studio not applicable</w:t>
            </w:r>
          </w:p>
        </w:tc>
      </w:tr>
      <w:tr>
        <w:trPr>
          <w:cantSplit/>
        </w:trPr>
        <w:tc>
          <w:tcPr>
            <w:tcW w:type="dxa" w:w="2592"/>
            <w:tcMar>
              <w:top w:w="90" w:type="dxa"/>
              <w:start w:w="90" w:type="dxa"/>
              <w:bottom w:w="90" w:type="dxa"/>
              <w:end w:w="90" w:type="dxa"/>
            </w:tcMar>
            <w:vAlign w:val="center"/>
          </w:tcPr>
          <w:p>
            <w:pPr>
              <w:spacing w:after="20"/>
            </w:pPr>
            <w:r>
              <w:rPr>
                <w:sz w:val="18"/>
              </w:rPr>
              <w:t>Enterprise context</w:t>
            </w:r>
          </w:p>
        </w:tc>
        <w:tc>
          <w:tcPr>
            <w:tcW w:type="dxa" w:w="6768"/>
            <w:tcMar>
              <w:top w:w="90" w:type="dxa"/>
              <w:start w:w="90" w:type="dxa"/>
              <w:bottom w:w="90" w:type="dxa"/>
              <w:end w:w="90" w:type="dxa"/>
            </w:tcMar>
            <w:vAlign w:val="center"/>
          </w:tcPr>
          <w:p>
            <w:pPr>
              <w:spacing w:after="20"/>
            </w:pPr>
            <w:r>
              <w:rPr>
                <w:sz w:val="18"/>
              </w:rPr>
              <w:t>Large UK Insurance business</w:t>
            </w:r>
          </w:p>
        </w:tc>
      </w:tr>
      <w:tr>
        <w:trPr>
          <w:cantSplit/>
        </w:trPr>
        <w:tc>
          <w:tcPr>
            <w:tcW w:type="dxa" w:w="2592"/>
            <w:tcMar>
              <w:top w:w="90" w:type="dxa"/>
              <w:start w:w="90" w:type="dxa"/>
              <w:bottom w:w="90" w:type="dxa"/>
              <w:end w:w="90" w:type="dxa"/>
            </w:tcMar>
            <w:vAlign w:val="center"/>
            <w:shd w:fill="F3F6F8"/>
          </w:tcPr>
          <w:p>
            <w:pPr>
              <w:spacing w:after="20"/>
            </w:pPr>
            <w:r>
              <w:rPr>
                <w:sz w:val="18"/>
              </w:rPr>
              <w:t>Classification</w:t>
            </w:r>
          </w:p>
        </w:tc>
        <w:tc>
          <w:tcPr>
            <w:tcW w:type="dxa" w:w="6768"/>
            <w:tcMar>
              <w:top w:w="90" w:type="dxa"/>
              <w:start w:w="90" w:type="dxa"/>
              <w:bottom w:w="90" w:type="dxa"/>
              <w:end w:w="90" w:type="dxa"/>
            </w:tcMar>
            <w:vAlign w:val="center"/>
            <w:shd w:fill="F3F6F8"/>
          </w:tcPr>
          <w:p>
            <w:pPr>
              <w:spacing w:after="20"/>
            </w:pPr>
            <w:r>
              <w:rPr>
                <w:sz w:val="18"/>
              </w:rPr>
              <w:t>PUBLIC</w:t>
            </w:r>
          </w:p>
        </w:tc>
      </w:tr>
    </w:tbl>
    <w:p>
      <w:pPr>
        <w:spacing w:after="4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448"/>
        <w:gridCol w:w="6912"/>
      </w:tblGrid>
      <w:tr>
        <w:trPr>
          <w:tblHeader/>
        </w:trPr>
        <w:tc>
          <w:tcPr>
            <w:tcW w:type="dxa" w:w="2448"/>
            <w:shd w:fill="17365D"/>
            <w:tcMar>
              <w:top w:w="90" w:type="dxa"/>
              <w:start w:w="90" w:type="dxa"/>
              <w:bottom w:w="90" w:type="dxa"/>
              <w:end w:w="90" w:type="dxa"/>
            </w:tcMar>
          </w:tcPr>
          <w:p>
            <w:r>
              <w:rPr>
                <w:b/>
                <w:color w:val="FFFFFF"/>
                <w:sz w:val="14"/>
              </w:rPr>
              <w:t>Field</w:t>
            </w:r>
          </w:p>
        </w:tc>
        <w:tc>
          <w:tcPr>
            <w:tcW w:type="dxa" w:w="6912"/>
            <w:shd w:fill="17365D"/>
            <w:tcMar>
              <w:top w:w="90" w:type="dxa"/>
              <w:start w:w="90" w:type="dxa"/>
              <w:bottom w:w="90" w:type="dxa"/>
              <w:end w:w="90" w:type="dxa"/>
            </w:tcMar>
          </w:tcPr>
          <w:p>
            <w:r>
              <w:rPr>
                <w:b/>
                <w:color w:val="FFFFFF"/>
                <w:sz w:val="14"/>
              </w:rPr>
              <w:t>Value</w:t>
            </w:r>
          </w:p>
        </w:tc>
      </w:tr>
      <w:tr>
        <w:trPr>
          <w:cantSplit/>
        </w:trPr>
        <w:tc>
          <w:tcPr>
            <w:tcW w:type="dxa" w:w="2448"/>
            <w:tcMar>
              <w:top w:w="90" w:type="dxa"/>
              <w:start w:w="90" w:type="dxa"/>
              <w:bottom w:w="90" w:type="dxa"/>
              <w:end w:w="90" w:type="dxa"/>
            </w:tcMar>
            <w:vAlign w:val="center"/>
          </w:tcPr>
          <w:p>
            <w:pPr>
              <w:spacing w:after="20"/>
            </w:pPr>
            <w:r>
              <w:rPr>
                <w:sz w:val="14"/>
              </w:rPr>
              <w:t>Title</w:t>
            </w:r>
          </w:p>
        </w:tc>
        <w:tc>
          <w:tcPr>
            <w:tcW w:type="dxa" w:w="6912"/>
            <w:tcMar>
              <w:top w:w="90" w:type="dxa"/>
              <w:start w:w="90" w:type="dxa"/>
              <w:bottom w:w="90" w:type="dxa"/>
              <w:end w:w="90" w:type="dxa"/>
            </w:tcMar>
            <w:vAlign w:val="center"/>
          </w:tcPr>
          <w:p>
            <w:pPr>
              <w:spacing w:after="20"/>
            </w:pPr>
            <w:r>
              <w:rPr>
                <w:sz w:val="14"/>
              </w:rPr>
              <w:t>Microsoft PostgreSQL for Visual Studio Code 1.26.0 Security Assessment</w:t>
            </w:r>
          </w:p>
        </w:tc>
      </w:tr>
      <w:tr>
        <w:trPr>
          <w:cantSplit/>
        </w:trPr>
        <w:tc>
          <w:tcPr>
            <w:tcW w:type="dxa" w:w="2448"/>
            <w:tcMar>
              <w:top w:w="90" w:type="dxa"/>
              <w:start w:w="90" w:type="dxa"/>
              <w:bottom w:w="90" w:type="dxa"/>
              <w:end w:w="90" w:type="dxa"/>
            </w:tcMar>
            <w:vAlign w:val="center"/>
            <w:shd w:fill="F3F6F8"/>
          </w:tcPr>
          <w:p>
            <w:pPr>
              <w:spacing w:after="20"/>
            </w:pPr>
            <w:r>
              <w:rPr>
                <w:sz w:val="14"/>
              </w:rPr>
              <w:t>Authoritative format</w:t>
            </w:r>
          </w:p>
        </w:tc>
        <w:tc>
          <w:tcPr>
            <w:tcW w:type="dxa" w:w="6912"/>
            <w:tcMar>
              <w:top w:w="90" w:type="dxa"/>
              <w:start w:w="90" w:type="dxa"/>
              <w:bottom w:w="90" w:type="dxa"/>
              <w:end w:w="90" w:type="dxa"/>
            </w:tcMar>
            <w:vAlign w:val="center"/>
            <w:shd w:fill="F3F6F8"/>
          </w:tcPr>
          <w:p>
            <w:pPr>
              <w:spacing w:after="20"/>
            </w:pPr>
            <w:r>
              <w:rPr>
                <w:sz w:val="14"/>
              </w:rPr>
              <w:t>Microsoft Word DOCX</w:t>
            </w:r>
          </w:p>
        </w:tc>
      </w:tr>
      <w:tr>
        <w:trPr>
          <w:cantSplit/>
        </w:trPr>
        <w:tc>
          <w:tcPr>
            <w:tcW w:type="dxa" w:w="2448"/>
            <w:tcMar>
              <w:top w:w="90" w:type="dxa"/>
              <w:start w:w="90" w:type="dxa"/>
              <w:bottom w:w="90" w:type="dxa"/>
              <w:end w:w="90" w:type="dxa"/>
            </w:tcMar>
            <w:vAlign w:val="center"/>
          </w:tcPr>
          <w:p>
            <w:pPr>
              <w:spacing w:after="20"/>
            </w:pPr>
            <w:r>
              <w:rPr>
                <w:sz w:val="14"/>
              </w:rPr>
              <w:t>Decision</w:t>
            </w:r>
          </w:p>
        </w:tc>
        <w:tc>
          <w:tcPr>
            <w:tcW w:type="dxa" w:w="6912"/>
            <w:tcMar>
              <w:top w:w="90" w:type="dxa"/>
              <w:start w:w="90" w:type="dxa"/>
              <w:bottom w:w="90" w:type="dxa"/>
              <w:end w:w="90" w:type="dxa"/>
            </w:tcMar>
            <w:vAlign w:val="center"/>
          </w:tcPr>
          <w:p>
            <w:pPr>
              <w:spacing w:after="20"/>
            </w:pPr>
            <w:r>
              <w:rPr>
                <w:sz w:val="14"/>
              </w:rPr>
              <w:t>Defer pending evidence</w:t>
            </w:r>
          </w:p>
        </w:tc>
      </w:tr>
      <w:tr>
        <w:trPr>
          <w:cantSplit/>
        </w:trPr>
        <w:tc>
          <w:tcPr>
            <w:tcW w:type="dxa" w:w="2448"/>
            <w:tcMar>
              <w:top w:w="90" w:type="dxa"/>
              <w:start w:w="90" w:type="dxa"/>
              <w:bottom w:w="90" w:type="dxa"/>
              <w:end w:w="90" w:type="dxa"/>
            </w:tcMar>
            <w:vAlign w:val="center"/>
            <w:shd w:fill="F3F6F8"/>
          </w:tcPr>
          <w:p>
            <w:pPr>
              <w:spacing w:after="20"/>
            </w:pPr>
            <w:r>
              <w:rPr>
                <w:sz w:val="14"/>
              </w:rPr>
              <w:t>Overall residual risk</w:t>
            </w:r>
          </w:p>
        </w:tc>
        <w:tc>
          <w:tcPr>
            <w:tcW w:type="dxa" w:w="6912"/>
            <w:tcMar>
              <w:top w:w="90" w:type="dxa"/>
              <w:start w:w="90" w:type="dxa"/>
              <w:bottom w:w="90" w:type="dxa"/>
              <w:end w:w="90" w:type="dxa"/>
            </w:tcMar>
            <w:vAlign w:val="center"/>
            <w:shd w:fill="F3F6F8"/>
          </w:tcPr>
          <w:p>
            <w:pPr>
              <w:spacing w:after="20"/>
            </w:pPr>
            <w:r>
              <w:rPr>
                <w:sz w:val="14"/>
              </w:rPr>
              <w:t>High</w:t>
            </w:r>
          </w:p>
        </w:tc>
      </w:tr>
      <w:tr>
        <w:trPr>
          <w:cantSplit/>
        </w:trPr>
        <w:tc>
          <w:tcPr>
            <w:tcW w:type="dxa" w:w="2448"/>
            <w:tcMar>
              <w:top w:w="90" w:type="dxa"/>
              <w:start w:w="90" w:type="dxa"/>
              <w:bottom w:w="90" w:type="dxa"/>
              <w:end w:w="90" w:type="dxa"/>
            </w:tcMar>
            <w:vAlign w:val="center"/>
          </w:tcPr>
          <w:p>
            <w:pPr>
              <w:spacing w:after="20"/>
            </w:pPr>
            <w:r>
              <w:rPr>
                <w:sz w:val="14"/>
              </w:rPr>
              <w:t>Validity</w:t>
            </w:r>
          </w:p>
        </w:tc>
        <w:tc>
          <w:tcPr>
            <w:tcW w:type="dxa" w:w="6912"/>
            <w:tcMar>
              <w:top w:w="90" w:type="dxa"/>
              <w:start w:w="90" w:type="dxa"/>
              <w:bottom w:w="90" w:type="dxa"/>
              <w:end w:w="90" w:type="dxa"/>
            </w:tcMar>
            <w:vAlign w:val="center"/>
          </w:tcPr>
          <w:p>
            <w:pPr>
              <w:spacing w:after="20"/>
            </w:pPr>
            <w:r>
              <w:rPr>
                <w:sz w:val="14"/>
              </w:rPr>
              <w:t>90 days or until a version, tool-service, policy, provider or advisory change</w:t>
            </w:r>
          </w:p>
        </w:tc>
      </w:tr>
      <w:tr>
        <w:trPr>
          <w:cantSplit/>
        </w:trPr>
        <w:tc>
          <w:tcPr>
            <w:tcW w:type="dxa" w:w="2448"/>
            <w:tcMar>
              <w:top w:w="90" w:type="dxa"/>
              <w:start w:w="90" w:type="dxa"/>
              <w:bottom w:w="90" w:type="dxa"/>
              <w:end w:w="90" w:type="dxa"/>
            </w:tcMar>
            <w:vAlign w:val="center"/>
            <w:shd w:fill="F3F6F8"/>
          </w:tcPr>
          <w:p>
            <w:pPr>
              <w:spacing w:after="20"/>
            </w:pPr>
            <w:r>
              <w:rPr>
                <w:sz w:val="14"/>
              </w:rPr>
              <w:t>Accountable owners</w:t>
            </w:r>
          </w:p>
        </w:tc>
        <w:tc>
          <w:tcPr>
            <w:tcW w:type="dxa" w:w="6912"/>
            <w:tcMar>
              <w:top w:w="90" w:type="dxa"/>
              <w:start w:w="90" w:type="dxa"/>
              <w:bottom w:w="90" w:type="dxa"/>
              <w:end w:w="90" w:type="dxa"/>
            </w:tcMar>
            <w:vAlign w:val="center"/>
            <w:shd w:fill="F3F6F8"/>
          </w:tcPr>
          <w:p>
            <w:pPr>
              <w:spacing w:after="20"/>
            </w:pPr>
            <w:r>
              <w:rPr>
                <w:sz w:val="14"/>
              </w:rPr>
              <w:t>Developer Platform, Database Security, Privacy, Third-Party Risk</w:t>
            </w:r>
          </w:p>
        </w:tc>
      </w:tr>
    </w:tbl>
    <w:p>
      <w:pPr>
        <w:spacing w:after="40"/>
      </w:pPr>
    </w:p>
    <w:p>
      <w:pPr>
        <w:pStyle w:val="Heading2"/>
      </w:pPr>
      <w:r>
        <w:t>Revision History</w:t>
      </w:r>
    </w:p>
    <w:tbl>
      <w:tblPr>
        <w:tblStyle w:val="TableGrid"/>
        <w:tblW w:type="auto" w:w="0"/>
        <w:jc w:val="center"/>
        <w:tblLayout w:type="fixed"/>
        <w:tblLook w:firstColumn="1" w:firstRow="1" w:lastColumn="0" w:lastRow="0" w:noHBand="0" w:noVBand="1" w:val="04A0"/>
      </w:tblPr>
      <w:tblGrid>
        <w:gridCol w:w="1152"/>
        <w:gridCol w:w="1728"/>
        <w:gridCol w:w="2160"/>
        <w:gridCol w:w="4320"/>
      </w:tblGrid>
      <w:tr>
        <w:trPr>
          <w:tblHeader/>
        </w:trPr>
        <w:tc>
          <w:tcPr>
            <w:tcW w:type="dxa" w:w="1152"/>
            <w:shd w:fill="17365D"/>
            <w:tcMar>
              <w:top w:w="90" w:type="dxa"/>
              <w:start w:w="90" w:type="dxa"/>
              <w:bottom w:w="90" w:type="dxa"/>
              <w:end w:w="90" w:type="dxa"/>
            </w:tcMar>
          </w:tcPr>
          <w:p>
            <w:r>
              <w:rPr>
                <w:b/>
                <w:color w:val="FFFFFF"/>
                <w:sz w:val="14"/>
              </w:rPr>
              <w:t>Version</w:t>
            </w:r>
          </w:p>
        </w:tc>
        <w:tc>
          <w:tcPr>
            <w:tcW w:type="dxa" w:w="1728"/>
            <w:shd w:fill="17365D"/>
            <w:tcMar>
              <w:top w:w="90" w:type="dxa"/>
              <w:start w:w="90" w:type="dxa"/>
              <w:bottom w:w="90" w:type="dxa"/>
              <w:end w:w="90" w:type="dxa"/>
            </w:tcMar>
          </w:tcPr>
          <w:p>
            <w:r>
              <w:rPr>
                <w:b/>
                <w:color w:val="FFFFFF"/>
                <w:sz w:val="14"/>
              </w:rPr>
              <w:t>Date</w:t>
            </w:r>
          </w:p>
        </w:tc>
        <w:tc>
          <w:tcPr>
            <w:tcW w:type="dxa" w:w="2160"/>
            <w:shd w:fill="17365D"/>
            <w:tcMar>
              <w:top w:w="90" w:type="dxa"/>
              <w:start w:w="90" w:type="dxa"/>
              <w:bottom w:w="90" w:type="dxa"/>
              <w:end w:w="90" w:type="dxa"/>
            </w:tcMar>
          </w:tcPr>
          <w:p>
            <w:r>
              <w:rPr>
                <w:b/>
                <w:color w:val="FFFFFF"/>
                <w:sz w:val="14"/>
              </w:rPr>
              <w:t>Status</w:t>
            </w:r>
          </w:p>
        </w:tc>
        <w:tc>
          <w:tcPr>
            <w:tcW w:type="dxa" w:w="4320"/>
            <w:shd w:fill="17365D"/>
            <w:tcMar>
              <w:top w:w="90" w:type="dxa"/>
              <w:start w:w="90" w:type="dxa"/>
              <w:bottom w:w="90" w:type="dxa"/>
              <w:end w:w="90" w:type="dxa"/>
            </w:tcMar>
          </w:tcPr>
          <w:p>
            <w:r>
              <w:rPr>
                <w:b/>
                <w:color w:val="FFFFFF"/>
                <w:sz w:val="14"/>
              </w:rPr>
              <w:t>Change</w:t>
            </w:r>
          </w:p>
        </w:tc>
      </w:tr>
      <w:tr>
        <w:trPr>
          <w:cantSplit/>
        </w:trPr>
        <w:tc>
          <w:tcPr>
            <w:tcW w:type="dxa" w:w="1152"/>
            <w:tcMar>
              <w:top w:w="90" w:type="dxa"/>
              <w:start w:w="90" w:type="dxa"/>
              <w:bottom w:w="90" w:type="dxa"/>
              <w:end w:w="90" w:type="dxa"/>
            </w:tcMar>
            <w:vAlign w:val="center"/>
          </w:tcPr>
          <w:p>
            <w:pPr>
              <w:spacing w:after="20"/>
            </w:pPr>
            <w:r>
              <w:rPr>
                <w:sz w:val="14"/>
              </w:rPr>
              <w:t>1.0</w:t>
            </w:r>
          </w:p>
        </w:tc>
        <w:tc>
          <w:tcPr>
            <w:tcW w:type="dxa" w:w="1728"/>
            <w:tcMar>
              <w:top w:w="90" w:type="dxa"/>
              <w:start w:w="90" w:type="dxa"/>
              <w:bottom w:w="90" w:type="dxa"/>
              <w:end w:w="90" w:type="dxa"/>
            </w:tcMar>
            <w:vAlign w:val="center"/>
          </w:tcPr>
          <w:p>
            <w:pPr>
              <w:spacing w:after="20"/>
            </w:pPr>
            <w:r>
              <w:rPr>
                <w:sz w:val="14"/>
              </w:rPr>
              <w:t>29 July 2026</w:t>
            </w:r>
          </w:p>
        </w:tc>
        <w:tc>
          <w:tcPr>
            <w:tcW w:type="dxa" w:w="2160"/>
            <w:tcMar>
              <w:top w:w="90" w:type="dxa"/>
              <w:start w:w="90" w:type="dxa"/>
              <w:bottom w:w="90" w:type="dxa"/>
              <w:end w:w="90" w:type="dxa"/>
            </w:tcMar>
            <w:vAlign w:val="center"/>
          </w:tcPr>
          <w:p>
            <w:pPr>
              <w:spacing w:after="20"/>
            </w:pPr>
            <w:r>
              <w:rPr>
                <w:sz w:val="14"/>
              </w:rPr>
              <w:t>Superseded</w:t>
            </w:r>
          </w:p>
        </w:tc>
        <w:tc>
          <w:tcPr>
            <w:tcW w:type="dxa" w:w="4320"/>
            <w:tcMar>
              <w:top w:w="90" w:type="dxa"/>
              <w:start w:w="90" w:type="dxa"/>
              <w:bottom w:w="90" w:type="dxa"/>
              <w:end w:w="90" w:type="dxa"/>
            </w:tcMar>
            <w:vAlign w:val="center"/>
          </w:tcPr>
          <w:p>
            <w:pPr>
              <w:spacing w:after="20"/>
            </w:pPr>
            <w:r>
              <w:rPr>
                <w:sz w:val="14"/>
              </w:rPr>
              <w:t>Initial stable 1.26.0 assessment</w:t>
            </w:r>
          </w:p>
        </w:tc>
      </w:tr>
      <w:tr>
        <w:trPr>
          <w:cantSplit/>
        </w:trPr>
        <w:tc>
          <w:tcPr>
            <w:tcW w:type="dxa" w:w="1152"/>
            <w:tcMar>
              <w:top w:w="90" w:type="dxa"/>
              <w:start w:w="90" w:type="dxa"/>
              <w:bottom w:w="90" w:type="dxa"/>
              <w:end w:w="90" w:type="dxa"/>
            </w:tcMar>
            <w:vAlign w:val="center"/>
            <w:shd w:fill="F3F6F8"/>
          </w:tcPr>
          <w:p>
            <w:pPr>
              <w:spacing w:after="20"/>
            </w:pPr>
            <w:r>
              <w:rPr>
                <w:sz w:val="14"/>
              </w:rPr>
              <w:t>1.1</w:t>
            </w:r>
          </w:p>
        </w:tc>
        <w:tc>
          <w:tcPr>
            <w:tcW w:type="dxa" w:w="1728"/>
            <w:tcMar>
              <w:top w:w="90" w:type="dxa"/>
              <w:start w:w="90" w:type="dxa"/>
              <w:bottom w:w="90" w:type="dxa"/>
              <w:end w:w="90" w:type="dxa"/>
            </w:tcMar>
            <w:vAlign w:val="center"/>
            <w:shd w:fill="F3F6F8"/>
          </w:tcPr>
          <w:p>
            <w:pPr>
              <w:spacing w:after="20"/>
            </w:pPr>
            <w:r>
              <w:rPr>
                <w:sz w:val="14"/>
              </w:rPr>
              <w:t>29 July 2026</w:t>
            </w:r>
          </w:p>
        </w:tc>
        <w:tc>
          <w:tcPr>
            <w:tcW w:type="dxa" w:w="2160"/>
            <w:tcMar>
              <w:top w:w="90" w:type="dxa"/>
              <w:start w:w="90" w:type="dxa"/>
              <w:bottom w:w="90" w:type="dxa"/>
              <w:end w:w="90" w:type="dxa"/>
            </w:tcMar>
            <w:vAlign w:val="center"/>
            <w:shd w:fill="F3F6F8"/>
          </w:tcPr>
          <w:p>
            <w:pPr>
              <w:spacing w:after="20"/>
            </w:pPr>
            <w:r>
              <w:rPr>
                <w:sz w:val="14"/>
              </w:rPr>
              <w:t>Authoritative</w:t>
            </w:r>
          </w:p>
        </w:tc>
        <w:tc>
          <w:tcPr>
            <w:tcW w:type="dxa" w:w="4320"/>
            <w:tcMar>
              <w:top w:w="90" w:type="dxa"/>
              <w:start w:w="90" w:type="dxa"/>
              <w:bottom w:w="90" w:type="dxa"/>
              <w:end w:w="90" w:type="dxa"/>
            </w:tcMar>
            <w:vAlign w:val="center"/>
            <w:shd w:fill="F3F6F8"/>
          </w:tcPr>
          <w:p>
            <w:pPr>
              <w:spacing w:after="20"/>
            </w:pPr>
            <w:r>
              <w:rPr>
                <w:sz w:val="14"/>
              </w:rPr>
              <w:t>Correct four moved Microsoft Learn citation paths; assessment findings and decision unchanged</w:t>
            </w:r>
          </w:p>
        </w:tc>
      </w:tr>
    </w:tbl>
    <w:p>
      <w:pPr>
        <w:spacing w:after="40"/>
      </w:pPr>
    </w:p>
    <w:p>
      <w:pPr>
        <w:pStyle w:val="Heading1"/>
      </w:pPr>
      <w:r>
        <w:t>Contents</w:t>
      </w:r>
    </w:p>
    <w:p>
      <w:pPr>
        <w:pStyle w:val="ListBullet"/>
      </w:pPr>
      <w:r>
        <w:t>Executive Summary</w:t>
      </w:r>
    </w:p>
    <w:p>
      <w:pPr>
        <w:pStyle w:val="ListBullet"/>
      </w:pPr>
      <w:r>
        <w:t>Part I - VS Code Assessment</w:t>
      </w:r>
    </w:p>
    <w:p>
      <w:pPr>
        <w:pStyle w:val="ListBullet"/>
      </w:pPr>
      <w:r>
        <w:t>Part II - Microsoft Visual Studio Assessment</w:t>
      </w:r>
    </w:p>
    <w:p>
      <w:pPr>
        <w:pStyle w:val="ListBullet"/>
      </w:pPr>
      <w:r>
        <w:t>Part III - Installed Agent Skills</w:t>
      </w:r>
    </w:p>
    <w:p>
      <w:pPr>
        <w:pStyle w:val="ListBullet"/>
      </w:pPr>
      <w:r>
        <w:t>Shared Findings and Controls</w:t>
      </w:r>
    </w:p>
    <w:p>
      <w:pPr>
        <w:pStyle w:val="ListBullet"/>
      </w:pPr>
      <w:r>
        <w:t>Evidence, References and Appendices</w:t>
      </w:r>
    </w:p>
    <w:p>
      <w:r>
        <w:t>Word heading styles provide the complete navigable outline.</w:t>
      </w:r>
    </w:p>
    <w:p>
      <w:pPr>
        <w:pStyle w:val="Heading1"/>
      </w:pPr>
      <w:r>
        <w:t>Executive Summary</w:t>
      </w:r>
    </w:p>
    <w:p>
      <w:r>
        <w:t xml:space="preserve">Decision: </w:t>
      </w:r>
      <w:r>
        <w:rPr>
          <w:b/>
        </w:rPr>
        <w:t>Defer pending evidence</w:t>
      </w:r>
      <w:r>
        <w:t xml:space="preserve"> for production, customer-data, regulated-data and autonomous read/write deployment. The exact official Microsoft target and every stable 1.26.0 platform package are verified. Static review found meaningful provenance controls and no confirmed malware, but default-enabled Copilot `rw`, powerful SQL/MCP tools, opaque native service code, candidate dependency exposure and absent representative runtime evidence leave High residual risk. </w:t>
      </w:r>
      <w:hyperlink w:anchor="REF_001">
        <w:r>
          <w:rPr>
            <w:color w:val="0563C1"/>
            <w:u w:val="single"/>
          </w:rPr>
          <w:t>[REF-001]</w:t>
        </w:r>
      </w:hyperlink>
      <w:r>
        <w:t xml:space="preserve"> </w:t>
      </w:r>
      <w:hyperlink w:anchor="REF_003">
        <w:r>
          <w:rPr>
            <w:color w:val="0563C1"/>
            <w:u w:val="single"/>
          </w:rPr>
          <w:t>[REF-003]</w:t>
        </w:r>
      </w:hyperlink>
      <w:r>
        <w:t xml:space="preserve"> </w:t>
      </w:r>
      <w:hyperlink w:anchor="REF_005">
        <w:r>
          <w:rPr>
            <w:color w:val="0563C1"/>
            <w:u w:val="single"/>
          </w:rPr>
          <w:t>[REF-005]</w:t>
        </w:r>
      </w:hyperlink>
      <w:r>
        <w:t xml:space="preserve"> </w:t>
      </w:r>
      <w:hyperlink w:anchor="REF_007">
        <w:r>
          <w:rPr>
            <w:color w:val="0563C1"/>
            <w:u w:val="single"/>
          </w:rPr>
          <w:t>[REF-007]</w:t>
        </w:r>
      </w:hyperlink>
    </w:p>
    <w:p>
      <w:pPr>
        <w:pStyle w:val="ListBullet"/>
      </w:pPr>
      <w:r>
        <w:t>Version 1.26.0 is the latest stable release at the assessment date; odd-minor 1.27.x packages are pre-release and excluded.</w:t>
      </w:r>
    </w:p>
    <w:p>
      <w:pPr>
        <w:pStyle w:val="ListBullet"/>
      </w:pPr>
      <w:r>
        <w:t>All seven stable VSIX variants were acquired, safely extracted and hashed; Marketplace signature assets structurally identify Microsoft/Visual Studio Marketplace.</w:t>
      </w:r>
    </w:p>
    <w:p>
      <w:pPr>
        <w:pStyle w:val="ListBullet"/>
      </w:pPr>
      <w:r>
        <w:t>Copilot is enabled by default and defaults to read/write; sixteen model tools include SQL modification and CSV import, so database least privilege is the decisive control.</w:t>
      </w:r>
    </w:p>
    <w:p>
      <w:pPr>
        <w:pStyle w:val="ListBullet"/>
      </w:pPr>
      <w:r>
        <w:t>The local MCP provider uses a language-service URL and bearer token, but actual bind, token, session, confirmation and advisory reachability behavior was not observed.</w:t>
      </w:r>
    </w:p>
    <w:p>
      <w:pPr>
        <w:pStyle w:val="ListBullet"/>
      </w:pPr>
      <w:r>
        <w:t>No extension code was installed or activated because a disposable representative host, synthetic database/tenant, controlled egress and tested rollback were unavailable.</w:t>
      </w:r>
    </w:p>
    <w:p>
      <w:pPr>
        <w:pStyle w:val="Heading1"/>
      </w:pPr>
      <w:r>
        <w:t>Purpose &amp; Function Overview</w:t>
      </w:r>
    </w:p>
    <w:p>
      <w:r>
        <w:t xml:space="preserve">The extension provides PostgreSQL connection management, Object Explorer, query editing/results/history, schema visualisation, performance dashboards, query-plan analysis, Azure management, database backup/restore and Oracle/application migration workflows. GitHub Copilot integration adds agent tools that can inspect database context, query data, modify schema/data, import CSV and analyse operational information. </w:t>
      </w:r>
      <w:hyperlink w:anchor="REF_003">
        <w:r>
          <w:rPr>
            <w:color w:val="0563C1"/>
            <w:u w:val="single"/>
          </w:rPr>
          <w:t>[REF-003]</w:t>
        </w:r>
      </w:hyperlink>
      <w:r>
        <w:t xml:space="preserve"> </w:t>
      </w:r>
      <w:hyperlink w:anchor="REF_004">
        <w:r>
          <w:rPr>
            <w:color w:val="0563C1"/>
            <w:u w:val="single"/>
          </w:rPr>
          <w:t>[REF-004]</w:t>
        </w:r>
      </w:hyperlink>
      <w:r>
        <w:t xml:space="preserve"> </w:t>
      </w:r>
      <w:hyperlink w:anchor="REF_006">
        <w:r>
          <w:rPr>
            <w:color w:val="0563C1"/>
            <w:u w:val="single"/>
          </w:rPr>
          <w:t>[REF-006]</w:t>
        </w:r>
      </w:hyperlink>
    </w:p>
    <w:p>
      <w:pPr>
        <w:pStyle w:val="Heading1"/>
      </w:pPr>
      <w:r>
        <w:t>Scope, Assumptions, Methodology and Criteria</w:t>
      </w:r>
    </w:p>
    <w:tbl>
      <w:tblPr>
        <w:tblStyle w:val="TableGrid"/>
        <w:tblW w:type="auto" w:w="0"/>
        <w:jc w:val="center"/>
        <w:tblLayout w:type="fixed"/>
        <w:tblLook w:firstColumn="1" w:firstRow="1" w:lastColumn="0" w:lastRow="0" w:noHBand="0" w:noVBand="1" w:val="04A0"/>
      </w:tblPr>
      <w:tblGrid>
        <w:gridCol w:w="2448"/>
        <w:gridCol w:w="1008"/>
        <w:gridCol w:w="1584"/>
        <w:gridCol w:w="4320"/>
      </w:tblGrid>
      <w:tr>
        <w:trPr>
          <w:tblHeader/>
        </w:trPr>
        <w:tc>
          <w:tcPr>
            <w:tcW w:type="dxa" w:w="2448"/>
            <w:shd w:fill="17365D"/>
            <w:tcMar>
              <w:top w:w="90" w:type="dxa"/>
              <w:start w:w="90" w:type="dxa"/>
              <w:bottom w:w="90" w:type="dxa"/>
              <w:end w:w="90" w:type="dxa"/>
            </w:tcMar>
          </w:tcPr>
          <w:p>
            <w:r>
              <w:rPr>
                <w:b/>
                <w:color w:val="FFFFFF"/>
                <w:sz w:val="14"/>
              </w:rPr>
              <w:t>Branch</w:t>
            </w:r>
          </w:p>
        </w:tc>
        <w:tc>
          <w:tcPr>
            <w:tcW w:type="dxa" w:w="1008"/>
            <w:shd w:fill="17365D"/>
            <w:tcMar>
              <w:top w:w="90" w:type="dxa"/>
              <w:start w:w="90" w:type="dxa"/>
              <w:bottom w:w="90" w:type="dxa"/>
              <w:end w:w="90" w:type="dxa"/>
            </w:tcMar>
          </w:tcPr>
          <w:p>
            <w:r>
              <w:rPr>
                <w:b/>
                <w:color w:val="FFFFFF"/>
                <w:sz w:val="14"/>
              </w:rPr>
              <w:t>Selected</w:t>
            </w:r>
          </w:p>
        </w:tc>
        <w:tc>
          <w:tcPr>
            <w:tcW w:type="dxa" w:w="1584"/>
            <w:shd w:fill="17365D"/>
            <w:tcMar>
              <w:top w:w="90" w:type="dxa"/>
              <w:start w:w="90" w:type="dxa"/>
              <w:bottom w:w="90" w:type="dxa"/>
              <w:end w:w="90" w:type="dxa"/>
            </w:tcMar>
          </w:tcPr>
          <w:p>
            <w:r>
              <w:rPr>
                <w:b/>
                <w:color w:val="FFFFFF"/>
                <w:sz w:val="14"/>
              </w:rPr>
              <w:t>Result</w:t>
            </w:r>
          </w:p>
        </w:tc>
        <w:tc>
          <w:tcPr>
            <w:tcW w:type="dxa" w:w="4320"/>
            <w:shd w:fill="17365D"/>
            <w:tcMar>
              <w:top w:w="90" w:type="dxa"/>
              <w:start w:w="90" w:type="dxa"/>
              <w:bottom w:w="90" w:type="dxa"/>
              <w:end w:w="90" w:type="dxa"/>
            </w:tcMar>
          </w:tcPr>
          <w:p>
            <w:r>
              <w:rPr>
                <w:b/>
                <w:color w:val="FFFFFF"/>
                <w:sz w:val="14"/>
              </w:rPr>
              <w:t>Material limitation</w:t>
            </w:r>
          </w:p>
        </w:tc>
      </w:tr>
      <w:tr>
        <w:trPr>
          <w:cantSplit/>
        </w:trPr>
        <w:tc>
          <w:tcPr>
            <w:tcW w:type="dxa" w:w="2448"/>
            <w:tcMar>
              <w:top w:w="90" w:type="dxa"/>
              <w:start w:w="90" w:type="dxa"/>
              <w:bottom w:w="90" w:type="dxa"/>
              <w:end w:w="90" w:type="dxa"/>
            </w:tcMar>
            <w:vAlign w:val="center"/>
          </w:tcPr>
          <w:p>
            <w:pPr>
              <w:spacing w:after="20"/>
            </w:pPr>
            <w:r>
              <w:rPr>
                <w:sz w:val="14"/>
              </w:rPr>
              <w:t>Static package/source</w:t>
            </w:r>
          </w:p>
        </w:tc>
        <w:tc>
          <w:tcPr>
            <w:tcW w:type="dxa" w:w="1008"/>
            <w:tcMar>
              <w:top w:w="90" w:type="dxa"/>
              <w:start w:w="90" w:type="dxa"/>
              <w:bottom w:w="90" w:type="dxa"/>
              <w:end w:w="90" w:type="dxa"/>
            </w:tcMar>
            <w:vAlign w:val="center"/>
          </w:tcPr>
          <w:p>
            <w:pPr>
              <w:spacing w:after="20"/>
            </w:pPr>
            <w:r>
              <w:rPr>
                <w:sz w:val="14"/>
              </w:rPr>
              <w:t>Yes</w:t>
            </w:r>
          </w:p>
        </w:tc>
        <w:tc>
          <w:tcPr>
            <w:tcW w:type="dxa" w:w="1584"/>
            <w:tcMar>
              <w:top w:w="90" w:type="dxa"/>
              <w:start w:w="90" w:type="dxa"/>
              <w:bottom w:w="90" w:type="dxa"/>
              <w:end w:w="90" w:type="dxa"/>
            </w:tcMar>
            <w:vAlign w:val="center"/>
          </w:tcPr>
          <w:p>
            <w:pPr>
              <w:spacing w:after="20"/>
            </w:pPr>
            <w:r>
              <w:rPr>
                <w:sz w:val="14"/>
              </w:rPr>
              <w:t>Completed</w:t>
            </w:r>
          </w:p>
        </w:tc>
        <w:tc>
          <w:tcPr>
            <w:tcW w:type="dxa" w:w="4320"/>
            <w:tcMar>
              <w:top w:w="90" w:type="dxa"/>
              <w:start w:w="90" w:type="dxa"/>
              <w:bottom w:w="90" w:type="dxa"/>
              <w:end w:w="90" w:type="dxa"/>
            </w:tcMar>
            <w:vAlign w:val="center"/>
          </w:tcPr>
          <w:p>
            <w:pPr>
              <w:spacing w:after="20"/>
            </w:pPr>
            <w:r>
              <w:rPr>
                <w:sz w:val="14"/>
              </w:rPr>
              <w:t>Public repository is documentation, not full source</w:t>
            </w:r>
          </w:p>
        </w:tc>
      </w:tr>
      <w:tr>
        <w:trPr>
          <w:cantSplit/>
        </w:trPr>
        <w:tc>
          <w:tcPr>
            <w:tcW w:type="dxa" w:w="2448"/>
            <w:tcMar>
              <w:top w:w="90" w:type="dxa"/>
              <w:start w:w="90" w:type="dxa"/>
              <w:bottom w:w="90" w:type="dxa"/>
              <w:end w:w="90" w:type="dxa"/>
            </w:tcMar>
            <w:vAlign w:val="center"/>
            <w:shd w:fill="F3F6F8"/>
          </w:tcPr>
          <w:p>
            <w:pPr>
              <w:spacing w:after="20"/>
            </w:pPr>
            <w:r>
              <w:rPr>
                <w:sz w:val="14"/>
              </w:rPr>
              <w:t>Static malware review</w:t>
            </w:r>
          </w:p>
        </w:tc>
        <w:tc>
          <w:tcPr>
            <w:tcW w:type="dxa" w:w="1008"/>
            <w:tcMar>
              <w:top w:w="90" w:type="dxa"/>
              <w:start w:w="90" w:type="dxa"/>
              <w:bottom w:w="90" w:type="dxa"/>
              <w:end w:w="90" w:type="dxa"/>
            </w:tcMar>
            <w:vAlign w:val="center"/>
            <w:shd w:fill="F3F6F8"/>
          </w:tcPr>
          <w:p>
            <w:pPr>
              <w:spacing w:after="20"/>
            </w:pPr>
            <w:r>
              <w:rPr>
                <w:sz w:val="14"/>
              </w:rPr>
              <w:t>Yes</w:t>
            </w:r>
          </w:p>
        </w:tc>
        <w:tc>
          <w:tcPr>
            <w:tcW w:type="dxa" w:w="1584"/>
            <w:tcMar>
              <w:top w:w="90" w:type="dxa"/>
              <w:start w:w="90" w:type="dxa"/>
              <w:bottom w:w="90" w:type="dxa"/>
              <w:end w:w="90" w:type="dxa"/>
            </w:tcMar>
            <w:vAlign w:val="center"/>
            <w:shd w:fill="F3F6F8"/>
          </w:tcPr>
          <w:p>
            <w:pPr>
              <w:spacing w:after="20"/>
            </w:pPr>
            <w:r>
              <w:rPr>
                <w:sz w:val="14"/>
              </w:rPr>
              <w:t>Completed</w:t>
            </w:r>
          </w:p>
        </w:tc>
        <w:tc>
          <w:tcPr>
            <w:tcW w:type="dxa" w:w="4320"/>
            <w:tcMar>
              <w:top w:w="90" w:type="dxa"/>
              <w:start w:w="90" w:type="dxa"/>
              <w:bottom w:w="90" w:type="dxa"/>
              <w:end w:w="90" w:type="dxa"/>
            </w:tcMar>
            <w:vAlign w:val="center"/>
            <w:shd w:fill="F3F6F8"/>
          </w:tcPr>
          <w:p>
            <w:pPr>
              <w:spacing w:after="20"/>
            </w:pPr>
            <w:r>
              <w:rPr>
                <w:sz w:val="14"/>
              </w:rPr>
              <w:t>No detonation; non-detection is not proof</w:t>
            </w:r>
          </w:p>
        </w:tc>
      </w:tr>
      <w:tr>
        <w:trPr>
          <w:cantSplit/>
        </w:trPr>
        <w:tc>
          <w:tcPr>
            <w:tcW w:type="dxa" w:w="2448"/>
            <w:tcMar>
              <w:top w:w="90" w:type="dxa"/>
              <w:start w:w="90" w:type="dxa"/>
              <w:bottom w:w="90" w:type="dxa"/>
              <w:end w:w="90" w:type="dxa"/>
            </w:tcMar>
            <w:vAlign w:val="center"/>
          </w:tcPr>
          <w:p>
            <w:pPr>
              <w:spacing w:after="20"/>
            </w:pPr>
            <w:r>
              <w:rPr>
                <w:sz w:val="14"/>
              </w:rPr>
              <w:t>Runtime analysis</w:t>
            </w:r>
          </w:p>
        </w:tc>
        <w:tc>
          <w:tcPr>
            <w:tcW w:type="dxa" w:w="1008"/>
            <w:tcMar>
              <w:top w:w="90" w:type="dxa"/>
              <w:start w:w="90" w:type="dxa"/>
              <w:bottom w:w="90" w:type="dxa"/>
              <w:end w:w="90" w:type="dxa"/>
            </w:tcMar>
            <w:vAlign w:val="center"/>
          </w:tcPr>
          <w:p>
            <w:pPr>
              <w:spacing w:after="20"/>
            </w:pPr>
            <w:r>
              <w:rPr>
                <w:sz w:val="14"/>
              </w:rPr>
              <w:t>Yes</w:t>
            </w:r>
          </w:p>
        </w:tc>
        <w:tc>
          <w:tcPr>
            <w:tcW w:type="dxa" w:w="1584"/>
            <w:tcMar>
              <w:top w:w="90" w:type="dxa"/>
              <w:start w:w="90" w:type="dxa"/>
              <w:bottom w:w="90" w:type="dxa"/>
              <w:end w:w="90" w:type="dxa"/>
            </w:tcMar>
            <w:vAlign w:val="center"/>
          </w:tcPr>
          <w:p>
            <w:pPr>
              <w:spacing w:after="20"/>
            </w:pPr>
            <w:r>
              <w:rPr>
                <w:sz w:val="14"/>
              </w:rPr>
              <w:t>Blocked</w:t>
            </w:r>
          </w:p>
        </w:tc>
        <w:tc>
          <w:tcPr>
            <w:tcW w:type="dxa" w:w="4320"/>
            <w:tcMar>
              <w:top w:w="90" w:type="dxa"/>
              <w:start w:w="90" w:type="dxa"/>
              <w:bottom w:w="90" w:type="dxa"/>
              <w:end w:w="90" w:type="dxa"/>
            </w:tcMar>
            <w:vAlign w:val="center"/>
          </w:tcPr>
          <w:p>
            <w:pPr>
              <w:spacing w:after="20"/>
            </w:pPr>
            <w:r>
              <w:rPr>
                <w:sz w:val="14"/>
              </w:rPr>
              <w:t>No representative disposable host/database/tenant</w:t>
            </w:r>
          </w:p>
        </w:tc>
      </w:tr>
      <w:tr>
        <w:trPr>
          <w:cantSplit/>
        </w:trPr>
        <w:tc>
          <w:tcPr>
            <w:tcW w:type="dxa" w:w="2448"/>
            <w:tcMar>
              <w:top w:w="90" w:type="dxa"/>
              <w:start w:w="90" w:type="dxa"/>
              <w:bottom w:w="90" w:type="dxa"/>
              <w:end w:w="90" w:type="dxa"/>
            </w:tcMar>
            <w:vAlign w:val="center"/>
            <w:shd w:fill="F3F6F8"/>
          </w:tcPr>
          <w:p>
            <w:pPr>
              <w:spacing w:after="20"/>
            </w:pPr>
            <w:r>
              <w:rPr>
                <w:sz w:val="14"/>
              </w:rPr>
              <w:t>Privacy assessment</w:t>
            </w:r>
          </w:p>
        </w:tc>
        <w:tc>
          <w:tcPr>
            <w:tcW w:type="dxa" w:w="1008"/>
            <w:tcMar>
              <w:top w:w="90" w:type="dxa"/>
              <w:start w:w="90" w:type="dxa"/>
              <w:bottom w:w="90" w:type="dxa"/>
              <w:end w:w="90" w:type="dxa"/>
            </w:tcMar>
            <w:vAlign w:val="center"/>
            <w:shd w:fill="F3F6F8"/>
          </w:tcPr>
          <w:p>
            <w:pPr>
              <w:spacing w:after="20"/>
            </w:pPr>
            <w:r>
              <w:rPr>
                <w:sz w:val="14"/>
              </w:rPr>
              <w:t>Yes</w:t>
            </w:r>
          </w:p>
        </w:tc>
        <w:tc>
          <w:tcPr>
            <w:tcW w:type="dxa" w:w="1584"/>
            <w:tcMar>
              <w:top w:w="90" w:type="dxa"/>
              <w:start w:w="90" w:type="dxa"/>
              <w:bottom w:w="90" w:type="dxa"/>
              <w:end w:w="90" w:type="dxa"/>
            </w:tcMar>
            <w:vAlign w:val="center"/>
            <w:shd w:fill="F3F6F8"/>
          </w:tcPr>
          <w:p>
            <w:pPr>
              <w:spacing w:after="20"/>
            </w:pPr>
            <w:r>
              <w:rPr>
                <w:sz w:val="14"/>
              </w:rPr>
              <w:t>Completed</w:t>
            </w:r>
          </w:p>
        </w:tc>
        <w:tc>
          <w:tcPr>
            <w:tcW w:type="dxa" w:w="4320"/>
            <w:tcMar>
              <w:top w:w="90" w:type="dxa"/>
              <w:start w:w="90" w:type="dxa"/>
              <w:bottom w:w="90" w:type="dxa"/>
              <w:end w:w="90" w:type="dxa"/>
            </w:tcMar>
            <w:vAlign w:val="center"/>
            <w:shd w:fill="F3F6F8"/>
          </w:tcPr>
          <w:p>
            <w:pPr>
              <w:spacing w:after="20"/>
            </w:pPr>
            <w:r>
              <w:rPr>
                <w:sz w:val="14"/>
              </w:rPr>
              <w:t>Contract and deployment configuration require closure</w:t>
            </w:r>
          </w:p>
        </w:tc>
      </w:tr>
    </w:tbl>
    <w:p>
      <w:pPr>
        <w:spacing w:after="40"/>
      </w:pPr>
    </w:p>
    <w:p>
      <w:r>
        <w:t>Risk uses likelihood and impact from 1 to 5: 1-4 Low, 5-9 Moderate, 10-16 High and 17-25 Critical. Evidence states are Verified, Inferred, Not observed, Not applicable and Unknown. Scanner signals were manually triaged; package presence does not establish reachability.</w:t>
      </w:r>
    </w:p>
    <w:p>
      <w:pPr>
        <w:pStyle w:val="Heading1"/>
      </w:pPr>
      <w:r>
        <w:t>Product Identity and Version</w:t>
      </w:r>
    </w:p>
    <w:tbl>
      <w:tblPr>
        <w:tblStyle w:val="TableGrid"/>
        <w:tblW w:type="auto" w:w="0"/>
        <w:jc w:val="center"/>
        <w:tblLayout w:type="fixed"/>
        <w:tblLook w:firstColumn="1" w:firstRow="1" w:lastColumn="0" w:lastRow="0" w:noHBand="0" w:noVBand="1" w:val="04A0"/>
      </w:tblPr>
      <w:tblGrid>
        <w:gridCol w:w="2160"/>
        <w:gridCol w:w="5328"/>
        <w:gridCol w:w="1872"/>
      </w:tblGrid>
      <w:tr>
        <w:trPr>
          <w:tblHeader/>
        </w:trPr>
        <w:tc>
          <w:tcPr>
            <w:tcW w:type="dxa" w:w="2160"/>
            <w:shd w:fill="17365D"/>
            <w:tcMar>
              <w:top w:w="90" w:type="dxa"/>
              <w:start w:w="90" w:type="dxa"/>
              <w:bottom w:w="90" w:type="dxa"/>
              <w:end w:w="90" w:type="dxa"/>
            </w:tcMar>
          </w:tcPr>
          <w:p>
            <w:r>
              <w:rPr>
                <w:b/>
                <w:color w:val="FFFFFF"/>
                <w:sz w:val="14"/>
              </w:rPr>
              <w:t>Attribute</w:t>
            </w:r>
          </w:p>
        </w:tc>
        <w:tc>
          <w:tcPr>
            <w:tcW w:type="dxa" w:w="5328"/>
            <w:shd w:fill="17365D"/>
            <w:tcMar>
              <w:top w:w="90" w:type="dxa"/>
              <w:start w:w="90" w:type="dxa"/>
              <w:bottom w:w="90" w:type="dxa"/>
              <w:end w:w="90" w:type="dxa"/>
            </w:tcMar>
          </w:tcPr>
          <w:p>
            <w:r>
              <w:rPr>
                <w:b/>
                <w:color w:val="FFFFFF"/>
                <w:sz w:val="14"/>
              </w:rPr>
              <w:t>Verified value</w:t>
            </w:r>
          </w:p>
        </w:tc>
        <w:tc>
          <w:tcPr>
            <w:tcW w:type="dxa" w:w="1872"/>
            <w:shd w:fill="17365D"/>
            <w:tcMar>
              <w:top w:w="90" w:type="dxa"/>
              <w:start w:w="90" w:type="dxa"/>
              <w:bottom w:w="90" w:type="dxa"/>
              <w:end w:w="90" w:type="dxa"/>
            </w:tcMar>
          </w:tcPr>
          <w:p>
            <w:r>
              <w:rPr>
                <w:b/>
                <w:color w:val="FFFFFF"/>
                <w:sz w:val="14"/>
              </w:rPr>
              <w:t>State</w:t>
            </w:r>
          </w:p>
        </w:tc>
      </w:tr>
      <w:tr>
        <w:trPr>
          <w:cantSplit/>
        </w:trPr>
        <w:tc>
          <w:tcPr>
            <w:tcW w:type="dxa" w:w="2160"/>
            <w:tcMar>
              <w:top w:w="90" w:type="dxa"/>
              <w:start w:w="90" w:type="dxa"/>
              <w:bottom w:w="90" w:type="dxa"/>
              <w:end w:w="90" w:type="dxa"/>
            </w:tcMar>
            <w:vAlign w:val="center"/>
          </w:tcPr>
          <w:p>
            <w:pPr>
              <w:spacing w:after="20"/>
            </w:pPr>
            <w:r>
              <w:rPr>
                <w:sz w:val="14"/>
              </w:rPr>
              <w:t>Marketplace name</w:t>
            </w:r>
          </w:p>
        </w:tc>
        <w:tc>
          <w:tcPr>
            <w:tcW w:type="dxa" w:w="5328"/>
            <w:tcMar>
              <w:top w:w="90" w:type="dxa"/>
              <w:start w:w="90" w:type="dxa"/>
              <w:bottom w:w="90" w:type="dxa"/>
              <w:end w:w="90" w:type="dxa"/>
            </w:tcMar>
            <w:vAlign w:val="center"/>
          </w:tcPr>
          <w:p>
            <w:pPr>
              <w:spacing w:after="20"/>
            </w:pPr>
            <w:r>
              <w:rPr>
                <w:sz w:val="14"/>
              </w:rPr>
              <w:t>PostgreSQL</w:t>
            </w:r>
          </w:p>
        </w:tc>
        <w:tc>
          <w:tcPr>
            <w:tcW w:type="dxa" w:w="1872"/>
            <w:tcMar>
              <w:top w:w="90" w:type="dxa"/>
              <w:start w:w="90" w:type="dxa"/>
              <w:bottom w:w="90" w:type="dxa"/>
              <w:end w:w="90" w:type="dxa"/>
            </w:tcMar>
            <w:vAlign w:val="center"/>
          </w:tcPr>
          <w:p>
            <w:pPr>
              <w:spacing w:after="20"/>
            </w:pPr>
            <w:r>
              <w:rPr>
                <w:sz w:val="14"/>
              </w:rPr>
              <w:t>Verified</w:t>
            </w:r>
          </w:p>
        </w:tc>
      </w:tr>
      <w:tr>
        <w:trPr>
          <w:cantSplit/>
        </w:trPr>
        <w:tc>
          <w:tcPr>
            <w:tcW w:type="dxa" w:w="2160"/>
            <w:tcMar>
              <w:top w:w="90" w:type="dxa"/>
              <w:start w:w="90" w:type="dxa"/>
              <w:bottom w:w="90" w:type="dxa"/>
              <w:end w:w="90" w:type="dxa"/>
            </w:tcMar>
            <w:vAlign w:val="center"/>
            <w:shd w:fill="F3F6F8"/>
          </w:tcPr>
          <w:p>
            <w:pPr>
              <w:spacing w:after="20"/>
            </w:pPr>
            <w:r>
              <w:rPr>
                <w:sz w:val="14"/>
              </w:rPr>
              <w:t>Publisher / identifier</w:t>
            </w:r>
          </w:p>
        </w:tc>
        <w:tc>
          <w:tcPr>
            <w:tcW w:type="dxa" w:w="5328"/>
            <w:tcMar>
              <w:top w:w="90" w:type="dxa"/>
              <w:start w:w="90" w:type="dxa"/>
              <w:bottom w:w="90" w:type="dxa"/>
              <w:end w:w="90" w:type="dxa"/>
            </w:tcMar>
            <w:vAlign w:val="center"/>
            <w:shd w:fill="F3F6F8"/>
          </w:tcPr>
          <w:p>
            <w:pPr>
              <w:spacing w:after="20"/>
            </w:pPr>
            <w:r>
              <w:rPr>
                <w:sz w:val="14"/>
              </w:rPr>
              <w:t>Microsoft (ms-ossdata) / ms-ossdata.vscode-pgsql</w:t>
            </w:r>
          </w:p>
        </w:tc>
        <w:tc>
          <w:tcPr>
            <w:tcW w:type="dxa" w:w="1872"/>
            <w:tcMar>
              <w:top w:w="90" w:type="dxa"/>
              <w:start w:w="90" w:type="dxa"/>
              <w:bottom w:w="90" w:type="dxa"/>
              <w:end w:w="90" w:type="dxa"/>
            </w:tcMar>
            <w:vAlign w:val="center"/>
            <w:shd w:fill="F3F6F8"/>
          </w:tcPr>
          <w:p>
            <w:pPr>
              <w:spacing w:after="20"/>
            </w:pPr>
            <w:r>
              <w:rPr>
                <w:sz w:val="14"/>
              </w:rPr>
              <w:t>Verified</w:t>
            </w:r>
          </w:p>
        </w:tc>
      </w:tr>
      <w:tr>
        <w:trPr>
          <w:cantSplit/>
        </w:trPr>
        <w:tc>
          <w:tcPr>
            <w:tcW w:type="dxa" w:w="2160"/>
            <w:tcMar>
              <w:top w:w="90" w:type="dxa"/>
              <w:start w:w="90" w:type="dxa"/>
              <w:bottom w:w="90" w:type="dxa"/>
              <w:end w:w="90" w:type="dxa"/>
            </w:tcMar>
            <w:vAlign w:val="center"/>
          </w:tcPr>
          <w:p>
            <w:pPr>
              <w:spacing w:after="20"/>
            </w:pPr>
            <w:r>
              <w:rPr>
                <w:sz w:val="14"/>
              </w:rPr>
              <w:t>Assessed version</w:t>
            </w:r>
          </w:p>
        </w:tc>
        <w:tc>
          <w:tcPr>
            <w:tcW w:type="dxa" w:w="5328"/>
            <w:tcMar>
              <w:top w:w="90" w:type="dxa"/>
              <w:start w:w="90" w:type="dxa"/>
              <w:bottom w:w="90" w:type="dxa"/>
              <w:end w:w="90" w:type="dxa"/>
            </w:tcMar>
            <w:vAlign w:val="center"/>
          </w:tcPr>
          <w:p>
            <w:pPr>
              <w:spacing w:after="20"/>
            </w:pPr>
            <w:r>
              <w:rPr>
                <w:sz w:val="14"/>
              </w:rPr>
              <w:t>1.26.0 stable</w:t>
            </w:r>
          </w:p>
        </w:tc>
        <w:tc>
          <w:tcPr>
            <w:tcW w:type="dxa" w:w="1872"/>
            <w:tcMar>
              <w:top w:w="90" w:type="dxa"/>
              <w:start w:w="90" w:type="dxa"/>
              <w:bottom w:w="90" w:type="dxa"/>
              <w:end w:w="90" w:type="dxa"/>
            </w:tcMar>
            <w:vAlign w:val="center"/>
          </w:tcPr>
          <w:p>
            <w:pPr>
              <w:spacing w:after="20"/>
            </w:pPr>
            <w:r>
              <w:rPr>
                <w:sz w:val="14"/>
              </w:rPr>
              <w:t>Verified</w:t>
            </w:r>
          </w:p>
        </w:tc>
      </w:tr>
      <w:tr>
        <w:trPr>
          <w:cantSplit/>
        </w:trPr>
        <w:tc>
          <w:tcPr>
            <w:tcW w:type="dxa" w:w="2160"/>
            <w:tcMar>
              <w:top w:w="90" w:type="dxa"/>
              <w:start w:w="90" w:type="dxa"/>
              <w:bottom w:w="90" w:type="dxa"/>
              <w:end w:w="90" w:type="dxa"/>
            </w:tcMar>
            <w:vAlign w:val="center"/>
            <w:shd w:fill="F3F6F8"/>
          </w:tcPr>
          <w:p>
            <w:pPr>
              <w:spacing w:after="20"/>
            </w:pPr>
            <w:r>
              <w:rPr>
                <w:sz w:val="14"/>
              </w:rPr>
              <w:t>Host requirement</w:t>
            </w:r>
          </w:p>
        </w:tc>
        <w:tc>
          <w:tcPr>
            <w:tcW w:type="dxa" w:w="5328"/>
            <w:tcMar>
              <w:top w:w="90" w:type="dxa"/>
              <w:start w:w="90" w:type="dxa"/>
              <w:bottom w:w="90" w:type="dxa"/>
              <w:end w:w="90" w:type="dxa"/>
            </w:tcMar>
            <w:vAlign w:val="center"/>
            <w:shd w:fill="F3F6F8"/>
          </w:tcPr>
          <w:p>
            <w:pPr>
              <w:spacing w:after="20"/>
            </w:pPr>
            <w:r>
              <w:rPr>
                <w:sz w:val="14"/>
              </w:rPr>
              <w:t>VS Code ^1.95.2; Node ^22.11.0; vscode.sql dependency</w:t>
            </w:r>
          </w:p>
        </w:tc>
        <w:tc>
          <w:tcPr>
            <w:tcW w:type="dxa" w:w="1872"/>
            <w:tcMar>
              <w:top w:w="90" w:type="dxa"/>
              <w:start w:w="90" w:type="dxa"/>
              <w:bottom w:w="90" w:type="dxa"/>
              <w:end w:w="90" w:type="dxa"/>
            </w:tcMar>
            <w:vAlign w:val="center"/>
            <w:shd w:fill="F3F6F8"/>
          </w:tcPr>
          <w:p>
            <w:pPr>
              <w:spacing w:after="20"/>
            </w:pPr>
            <w:r>
              <w:rPr>
                <w:sz w:val="14"/>
              </w:rPr>
              <w:t>Verified</w:t>
            </w:r>
          </w:p>
        </w:tc>
      </w:tr>
      <w:tr>
        <w:trPr>
          <w:cantSplit/>
        </w:trPr>
        <w:tc>
          <w:tcPr>
            <w:tcW w:type="dxa" w:w="2160"/>
            <w:tcMar>
              <w:top w:w="90" w:type="dxa"/>
              <w:start w:w="90" w:type="dxa"/>
              <w:bottom w:w="90" w:type="dxa"/>
              <w:end w:w="90" w:type="dxa"/>
            </w:tcMar>
            <w:vAlign w:val="center"/>
          </w:tcPr>
          <w:p>
            <w:pPr>
              <w:spacing w:after="20"/>
            </w:pPr>
            <w:r>
              <w:rPr>
                <w:sz w:val="14"/>
              </w:rPr>
              <w:t>Platform variants</w:t>
            </w:r>
          </w:p>
        </w:tc>
        <w:tc>
          <w:tcPr>
            <w:tcW w:type="dxa" w:w="5328"/>
            <w:tcMar>
              <w:top w:w="90" w:type="dxa"/>
              <w:start w:w="90" w:type="dxa"/>
              <w:bottom w:w="90" w:type="dxa"/>
              <w:end w:w="90" w:type="dxa"/>
            </w:tcMar>
            <w:vAlign w:val="center"/>
          </w:tcPr>
          <w:p>
            <w:pPr>
              <w:spacing w:after="20"/>
            </w:pPr>
            <w:r>
              <w:rPr>
                <w:sz w:val="14"/>
              </w:rPr>
              <w:t>Universal, Windows/Linux/macOS x64 and ARM64</w:t>
            </w:r>
          </w:p>
        </w:tc>
        <w:tc>
          <w:tcPr>
            <w:tcW w:type="dxa" w:w="1872"/>
            <w:tcMar>
              <w:top w:w="90" w:type="dxa"/>
              <w:start w:w="90" w:type="dxa"/>
              <w:bottom w:w="90" w:type="dxa"/>
              <w:end w:w="90" w:type="dxa"/>
            </w:tcMar>
            <w:vAlign w:val="center"/>
          </w:tcPr>
          <w:p>
            <w:pPr>
              <w:spacing w:after="20"/>
            </w:pPr>
            <w:r>
              <w:rPr>
                <w:sz w:val="14"/>
              </w:rPr>
              <w:t>Verified</w:t>
            </w:r>
          </w:p>
        </w:tc>
      </w:tr>
      <w:tr>
        <w:trPr>
          <w:cantSplit/>
        </w:trPr>
        <w:tc>
          <w:tcPr>
            <w:tcW w:type="dxa" w:w="2160"/>
            <w:tcMar>
              <w:top w:w="90" w:type="dxa"/>
              <w:start w:w="90" w:type="dxa"/>
              <w:bottom w:w="90" w:type="dxa"/>
              <w:end w:w="90" w:type="dxa"/>
            </w:tcMar>
            <w:vAlign w:val="center"/>
            <w:shd w:fill="F3F6F8"/>
          </w:tcPr>
          <w:p>
            <w:pPr>
              <w:spacing w:after="20"/>
            </w:pPr>
            <w:r>
              <w:rPr>
                <w:sz w:val="14"/>
              </w:rPr>
              <w:t>Microsoft Visual Studio</w:t>
            </w:r>
          </w:p>
        </w:tc>
        <w:tc>
          <w:tcPr>
            <w:tcW w:type="dxa" w:w="5328"/>
            <w:tcMar>
              <w:top w:w="90" w:type="dxa"/>
              <w:start w:w="90" w:type="dxa"/>
              <w:bottom w:w="90" w:type="dxa"/>
              <w:end w:w="90" w:type="dxa"/>
            </w:tcMar>
            <w:vAlign w:val="center"/>
            <w:shd w:fill="F3F6F8"/>
          </w:tcPr>
          <w:p>
            <w:pPr>
              <w:spacing w:after="20"/>
            </w:pPr>
            <w:r>
              <w:rPr>
                <w:sz w:val="14"/>
              </w:rPr>
              <w:t>Unsupported by this package</w:t>
            </w:r>
          </w:p>
        </w:tc>
        <w:tc>
          <w:tcPr>
            <w:tcW w:type="dxa" w:w="1872"/>
            <w:tcMar>
              <w:top w:w="90" w:type="dxa"/>
              <w:start w:w="90" w:type="dxa"/>
              <w:bottom w:w="90" w:type="dxa"/>
              <w:end w:w="90" w:type="dxa"/>
            </w:tcMar>
            <w:vAlign w:val="center"/>
            <w:shd w:fill="F3F6F8"/>
          </w:tcPr>
          <w:p>
            <w:pPr>
              <w:spacing w:after="20"/>
            </w:pPr>
            <w:r>
              <w:rPr>
                <w:sz w:val="14"/>
              </w:rPr>
              <w:t>Not applicable</w:t>
            </w:r>
          </w:p>
        </w:tc>
      </w:tr>
      <w:tr>
        <w:trPr>
          <w:cantSplit/>
        </w:trPr>
        <w:tc>
          <w:tcPr>
            <w:tcW w:type="dxa" w:w="2160"/>
            <w:tcMar>
              <w:top w:w="90" w:type="dxa"/>
              <w:start w:w="90" w:type="dxa"/>
              <w:bottom w:w="90" w:type="dxa"/>
              <w:end w:w="90" w:type="dxa"/>
            </w:tcMar>
            <w:vAlign w:val="center"/>
          </w:tcPr>
          <w:p>
            <w:pPr>
              <w:spacing w:after="20"/>
            </w:pPr>
            <w:r>
              <w:rPr>
                <w:sz w:val="14"/>
              </w:rPr>
              <w:t>Source correspondence</w:t>
            </w:r>
          </w:p>
        </w:tc>
        <w:tc>
          <w:tcPr>
            <w:tcW w:type="dxa" w:w="5328"/>
            <w:tcMar>
              <w:top w:w="90" w:type="dxa"/>
              <w:start w:w="90" w:type="dxa"/>
              <w:bottom w:w="90" w:type="dxa"/>
              <w:end w:w="90" w:type="dxa"/>
            </w:tcMar>
            <w:vAlign w:val="center"/>
          </w:tcPr>
          <w:p>
            <w:pPr>
              <w:spacing w:after="20"/>
            </w:pPr>
            <w:r>
              <w:rPr>
                <w:sz w:val="14"/>
              </w:rPr>
              <w:t>Official repo is documentation; no reproducible extension source</w:t>
            </w:r>
          </w:p>
        </w:tc>
        <w:tc>
          <w:tcPr>
            <w:tcW w:type="dxa" w:w="1872"/>
            <w:tcMar>
              <w:top w:w="90" w:type="dxa"/>
              <w:start w:w="90" w:type="dxa"/>
              <w:bottom w:w="90" w:type="dxa"/>
              <w:end w:w="90" w:type="dxa"/>
            </w:tcMar>
            <w:vAlign w:val="center"/>
          </w:tcPr>
          <w:p>
            <w:pPr>
              <w:spacing w:after="20"/>
            </w:pPr>
            <w:r>
              <w:rPr>
                <w:sz w:val="14"/>
              </w:rPr>
              <w:t>Unknown</w:t>
            </w:r>
          </w:p>
        </w:tc>
      </w:tr>
    </w:tbl>
    <w:p>
      <w:pPr>
        <w:spacing w:after="40"/>
      </w:pPr>
    </w:p>
    <w:p>
      <w:pPr>
        <w:pStyle w:val="Heading2"/>
      </w:pPr>
      <w:r>
        <w:t>Stable Platform Artefacts</w:t>
      </w:r>
    </w:p>
    <w:tbl>
      <w:tblPr>
        <w:tblStyle w:val="TableGrid"/>
        <w:tblW w:type="auto" w:w="0"/>
        <w:jc w:val="center"/>
        <w:tblLayout w:type="fixed"/>
        <w:tblLook w:firstColumn="1" w:firstRow="1" w:lastColumn="0" w:lastRow="0" w:noHBand="0" w:noVBand="1" w:val="04A0"/>
      </w:tblPr>
      <w:tblGrid>
        <w:gridCol w:w="1440"/>
        <w:gridCol w:w="2880"/>
        <w:gridCol w:w="1008"/>
        <w:gridCol w:w="4032"/>
      </w:tblGrid>
      <w:tr>
        <w:trPr>
          <w:tblHeader/>
        </w:trPr>
        <w:tc>
          <w:tcPr>
            <w:tcW w:type="dxa" w:w="1440"/>
            <w:shd w:fill="17365D"/>
            <w:tcMar>
              <w:top w:w="90" w:type="dxa"/>
              <w:start w:w="90" w:type="dxa"/>
              <w:bottom w:w="90" w:type="dxa"/>
              <w:end w:w="90" w:type="dxa"/>
            </w:tcMar>
          </w:tcPr>
          <w:p>
            <w:r>
              <w:rPr>
                <w:b/>
                <w:color w:val="FFFFFF"/>
                <w:sz w:val="13"/>
              </w:rPr>
              <w:t>Target</w:t>
            </w:r>
          </w:p>
        </w:tc>
        <w:tc>
          <w:tcPr>
            <w:tcW w:type="dxa" w:w="2880"/>
            <w:shd w:fill="17365D"/>
            <w:tcMar>
              <w:top w:w="90" w:type="dxa"/>
              <w:start w:w="90" w:type="dxa"/>
              <w:bottom w:w="90" w:type="dxa"/>
              <w:end w:w="90" w:type="dxa"/>
            </w:tcMar>
          </w:tcPr>
          <w:p>
            <w:r>
              <w:rPr>
                <w:b/>
                <w:color w:val="FFFFFF"/>
                <w:sz w:val="13"/>
              </w:rPr>
              <w:t>SHA-256 prefix</w:t>
            </w:r>
          </w:p>
        </w:tc>
        <w:tc>
          <w:tcPr>
            <w:tcW w:type="dxa" w:w="1008"/>
            <w:shd w:fill="17365D"/>
            <w:tcMar>
              <w:top w:w="90" w:type="dxa"/>
              <w:start w:w="90" w:type="dxa"/>
              <w:bottom w:w="90" w:type="dxa"/>
              <w:end w:w="90" w:type="dxa"/>
            </w:tcMar>
          </w:tcPr>
          <w:p>
            <w:r>
              <w:rPr>
                <w:b/>
                <w:color w:val="FFFFFF"/>
                <w:sz w:val="13"/>
              </w:rPr>
              <w:t>Files</w:t>
            </w:r>
          </w:p>
        </w:tc>
        <w:tc>
          <w:tcPr>
            <w:tcW w:type="dxa" w:w="4032"/>
            <w:shd w:fill="17365D"/>
            <w:tcMar>
              <w:top w:w="90" w:type="dxa"/>
              <w:start w:w="90" w:type="dxa"/>
              <w:bottom w:w="90" w:type="dxa"/>
              <w:end w:w="90" w:type="dxa"/>
            </w:tcMar>
          </w:tcPr>
          <w:p>
            <w:r>
              <w:rPr>
                <w:b/>
                <w:color w:val="FFFFFF"/>
                <w:sz w:val="13"/>
              </w:rPr>
              <w:t>Packaging</w:t>
            </w:r>
          </w:p>
        </w:tc>
      </w:tr>
      <w:tr>
        <w:trPr>
          <w:cantSplit/>
        </w:trPr>
        <w:tc>
          <w:tcPr>
            <w:tcW w:type="dxa" w:w="1440"/>
            <w:tcMar>
              <w:top w:w="90" w:type="dxa"/>
              <w:start w:w="90" w:type="dxa"/>
              <w:bottom w:w="90" w:type="dxa"/>
              <w:end w:w="90" w:type="dxa"/>
            </w:tcMar>
            <w:vAlign w:val="center"/>
          </w:tcPr>
          <w:p>
            <w:pPr>
              <w:spacing w:after="20"/>
            </w:pPr>
            <w:r>
              <w:rPr>
                <w:sz w:val="13"/>
              </w:rPr>
              <w:t>universal</w:t>
            </w:r>
          </w:p>
        </w:tc>
        <w:tc>
          <w:tcPr>
            <w:tcW w:type="dxa" w:w="2880"/>
            <w:tcMar>
              <w:top w:w="90" w:type="dxa"/>
              <w:start w:w="90" w:type="dxa"/>
              <w:bottom w:w="90" w:type="dxa"/>
              <w:end w:w="90" w:type="dxa"/>
            </w:tcMar>
            <w:vAlign w:val="center"/>
          </w:tcPr>
          <w:p>
            <w:pPr>
              <w:spacing w:after="20"/>
            </w:pPr>
            <w:r>
              <w:rPr>
                <w:sz w:val="13"/>
              </w:rPr>
              <w:t>3bbd913bbfca20c3...5480235</w:t>
            </w:r>
          </w:p>
        </w:tc>
        <w:tc>
          <w:tcPr>
            <w:tcW w:type="dxa" w:w="1008"/>
            <w:tcMar>
              <w:top w:w="90" w:type="dxa"/>
              <w:start w:w="90" w:type="dxa"/>
              <w:bottom w:w="90" w:type="dxa"/>
              <w:end w:w="90" w:type="dxa"/>
            </w:tcMar>
            <w:vAlign w:val="center"/>
          </w:tcPr>
          <w:p>
            <w:pPr>
              <w:spacing w:after="20"/>
            </w:pPr>
            <w:r>
              <w:rPr>
                <w:sz w:val="13"/>
              </w:rPr>
              <w:t>536</w:t>
            </w:r>
          </w:p>
        </w:tc>
        <w:tc>
          <w:tcPr>
            <w:tcW w:type="dxa" w:w="4032"/>
            <w:tcMar>
              <w:top w:w="90" w:type="dxa"/>
              <w:start w:w="90" w:type="dxa"/>
              <w:bottom w:w="90" w:type="dxa"/>
              <w:end w:w="90" w:type="dxa"/>
            </w:tcMar>
            <w:vAlign w:val="center"/>
          </w:tcPr>
          <w:p>
            <w:pPr>
              <w:spacing w:after="20"/>
            </w:pPr>
            <w:r>
              <w:rPr>
                <w:sz w:val="13"/>
              </w:rPr>
              <w:t>Extension; tools service acquired on demand</w:t>
            </w:r>
          </w:p>
        </w:tc>
      </w:tr>
      <w:tr>
        <w:trPr>
          <w:cantSplit/>
        </w:trPr>
        <w:tc>
          <w:tcPr>
            <w:tcW w:type="dxa" w:w="1440"/>
            <w:tcMar>
              <w:top w:w="90" w:type="dxa"/>
              <w:start w:w="90" w:type="dxa"/>
              <w:bottom w:w="90" w:type="dxa"/>
              <w:end w:w="90" w:type="dxa"/>
            </w:tcMar>
            <w:vAlign w:val="center"/>
            <w:shd w:fill="F3F6F8"/>
          </w:tcPr>
          <w:p>
            <w:pPr>
              <w:spacing w:after="20"/>
            </w:pPr>
            <w:r>
              <w:rPr>
                <w:sz w:val="13"/>
              </w:rPr>
              <w:t>win32-x64</w:t>
            </w:r>
          </w:p>
        </w:tc>
        <w:tc>
          <w:tcPr>
            <w:tcW w:type="dxa" w:w="2880"/>
            <w:tcMar>
              <w:top w:w="90" w:type="dxa"/>
              <w:start w:w="90" w:type="dxa"/>
              <w:bottom w:w="90" w:type="dxa"/>
              <w:end w:w="90" w:type="dxa"/>
            </w:tcMar>
            <w:vAlign w:val="center"/>
            <w:shd w:fill="F3F6F8"/>
          </w:tcPr>
          <w:p>
            <w:pPr>
              <w:spacing w:after="20"/>
            </w:pPr>
            <w:r>
              <w:rPr>
                <w:sz w:val="13"/>
              </w:rPr>
              <w:t>703c8e6a1a1b2ee1...dc9d2a6</w:t>
            </w:r>
          </w:p>
        </w:tc>
        <w:tc>
          <w:tcPr>
            <w:tcW w:type="dxa" w:w="1008"/>
            <w:tcMar>
              <w:top w:w="90" w:type="dxa"/>
              <w:start w:w="90" w:type="dxa"/>
              <w:bottom w:w="90" w:type="dxa"/>
              <w:end w:w="90" w:type="dxa"/>
            </w:tcMar>
            <w:vAlign w:val="center"/>
            <w:shd w:fill="F3F6F8"/>
          </w:tcPr>
          <w:p>
            <w:pPr>
              <w:spacing w:after="20"/>
            </w:pPr>
            <w:r>
              <w:rPr>
                <w:sz w:val="13"/>
              </w:rPr>
              <w:t>5,657</w:t>
            </w:r>
          </w:p>
        </w:tc>
        <w:tc>
          <w:tcPr>
            <w:tcW w:type="dxa" w:w="4032"/>
            <w:tcMar>
              <w:top w:w="90" w:type="dxa"/>
              <w:start w:w="90" w:type="dxa"/>
              <w:bottom w:w="90" w:type="dxa"/>
              <w:end w:w="90" w:type="dxa"/>
            </w:tcMar>
            <w:vAlign w:val="center"/>
            <w:shd w:fill="F3F6F8"/>
          </w:tcPr>
          <w:p>
            <w:pPr>
              <w:spacing w:after="20"/>
            </w:pPr>
            <w:r>
              <w:rPr>
                <w:sz w:val="13"/>
              </w:rPr>
              <w:t>Tools Service 3.4.1 bundled</w:t>
            </w:r>
          </w:p>
        </w:tc>
      </w:tr>
      <w:tr>
        <w:trPr>
          <w:cantSplit/>
        </w:trPr>
        <w:tc>
          <w:tcPr>
            <w:tcW w:type="dxa" w:w="1440"/>
            <w:tcMar>
              <w:top w:w="90" w:type="dxa"/>
              <w:start w:w="90" w:type="dxa"/>
              <w:bottom w:w="90" w:type="dxa"/>
              <w:end w:w="90" w:type="dxa"/>
            </w:tcMar>
            <w:vAlign w:val="center"/>
          </w:tcPr>
          <w:p>
            <w:pPr>
              <w:spacing w:after="20"/>
            </w:pPr>
            <w:r>
              <w:rPr>
                <w:sz w:val="13"/>
              </w:rPr>
              <w:t>win32-arm64</w:t>
            </w:r>
          </w:p>
        </w:tc>
        <w:tc>
          <w:tcPr>
            <w:tcW w:type="dxa" w:w="2880"/>
            <w:tcMar>
              <w:top w:w="90" w:type="dxa"/>
              <w:start w:w="90" w:type="dxa"/>
              <w:bottom w:w="90" w:type="dxa"/>
              <w:end w:w="90" w:type="dxa"/>
            </w:tcMar>
            <w:vAlign w:val="center"/>
          </w:tcPr>
          <w:p>
            <w:pPr>
              <w:spacing w:after="20"/>
            </w:pPr>
            <w:r>
              <w:rPr>
                <w:sz w:val="13"/>
              </w:rPr>
              <w:t>6e9818df34bb0aaa...b803dd</w:t>
            </w:r>
          </w:p>
        </w:tc>
        <w:tc>
          <w:tcPr>
            <w:tcW w:type="dxa" w:w="1008"/>
            <w:tcMar>
              <w:top w:w="90" w:type="dxa"/>
              <w:start w:w="90" w:type="dxa"/>
              <w:bottom w:w="90" w:type="dxa"/>
              <w:end w:w="90" w:type="dxa"/>
            </w:tcMar>
            <w:vAlign w:val="center"/>
          </w:tcPr>
          <w:p>
            <w:pPr>
              <w:spacing w:after="20"/>
            </w:pPr>
            <w:r>
              <w:rPr>
                <w:sz w:val="13"/>
              </w:rPr>
              <w:t>5,657</w:t>
            </w:r>
          </w:p>
        </w:tc>
        <w:tc>
          <w:tcPr>
            <w:tcW w:type="dxa" w:w="4032"/>
            <w:tcMar>
              <w:top w:w="90" w:type="dxa"/>
              <w:start w:w="90" w:type="dxa"/>
              <w:bottom w:w="90" w:type="dxa"/>
              <w:end w:w="90" w:type="dxa"/>
            </w:tcMar>
            <w:vAlign w:val="center"/>
          </w:tcPr>
          <w:p>
            <w:pPr>
              <w:spacing w:after="20"/>
            </w:pPr>
            <w:r>
              <w:rPr>
                <w:sz w:val="13"/>
              </w:rPr>
              <w:t>Tools Service payload bundled</w:t>
            </w:r>
          </w:p>
        </w:tc>
      </w:tr>
      <w:tr>
        <w:trPr>
          <w:cantSplit/>
        </w:trPr>
        <w:tc>
          <w:tcPr>
            <w:tcW w:type="dxa" w:w="1440"/>
            <w:tcMar>
              <w:top w:w="90" w:type="dxa"/>
              <w:start w:w="90" w:type="dxa"/>
              <w:bottom w:w="90" w:type="dxa"/>
              <w:end w:w="90" w:type="dxa"/>
            </w:tcMar>
            <w:vAlign w:val="center"/>
            <w:shd w:fill="F3F6F8"/>
          </w:tcPr>
          <w:p>
            <w:pPr>
              <w:spacing w:after="20"/>
            </w:pPr>
            <w:r>
              <w:rPr>
                <w:sz w:val="13"/>
              </w:rPr>
              <w:t>linux-x64</w:t>
            </w:r>
          </w:p>
        </w:tc>
        <w:tc>
          <w:tcPr>
            <w:tcW w:type="dxa" w:w="2880"/>
            <w:tcMar>
              <w:top w:w="90" w:type="dxa"/>
              <w:start w:w="90" w:type="dxa"/>
              <w:bottom w:w="90" w:type="dxa"/>
              <w:end w:w="90" w:type="dxa"/>
            </w:tcMar>
            <w:vAlign w:val="center"/>
            <w:shd w:fill="F3F6F8"/>
          </w:tcPr>
          <w:p>
            <w:pPr>
              <w:spacing w:after="20"/>
            </w:pPr>
            <w:r>
              <w:rPr>
                <w:sz w:val="13"/>
              </w:rPr>
              <w:t>047fde4dd8a71a12...1fb798</w:t>
            </w:r>
          </w:p>
        </w:tc>
        <w:tc>
          <w:tcPr>
            <w:tcW w:type="dxa" w:w="1008"/>
            <w:tcMar>
              <w:top w:w="90" w:type="dxa"/>
              <w:start w:w="90" w:type="dxa"/>
              <w:bottom w:w="90" w:type="dxa"/>
              <w:end w:w="90" w:type="dxa"/>
            </w:tcMar>
            <w:vAlign w:val="center"/>
            <w:shd w:fill="F3F6F8"/>
          </w:tcPr>
          <w:p>
            <w:pPr>
              <w:spacing w:after="20"/>
            </w:pPr>
            <w:r>
              <w:rPr>
                <w:sz w:val="13"/>
              </w:rPr>
              <w:t>5,138</w:t>
            </w:r>
          </w:p>
        </w:tc>
        <w:tc>
          <w:tcPr>
            <w:tcW w:type="dxa" w:w="4032"/>
            <w:tcMar>
              <w:top w:w="90" w:type="dxa"/>
              <w:start w:w="90" w:type="dxa"/>
              <w:bottom w:w="90" w:type="dxa"/>
              <w:end w:w="90" w:type="dxa"/>
            </w:tcMar>
            <w:vAlign w:val="center"/>
            <w:shd w:fill="F3F6F8"/>
          </w:tcPr>
          <w:p>
            <w:pPr>
              <w:spacing w:after="20"/>
            </w:pPr>
            <w:r>
              <w:rPr>
                <w:sz w:val="13"/>
              </w:rPr>
              <w:t>Tools Service 3.4.1 bundled</w:t>
            </w:r>
          </w:p>
        </w:tc>
      </w:tr>
      <w:tr>
        <w:trPr>
          <w:cantSplit/>
        </w:trPr>
        <w:tc>
          <w:tcPr>
            <w:tcW w:type="dxa" w:w="1440"/>
            <w:tcMar>
              <w:top w:w="90" w:type="dxa"/>
              <w:start w:w="90" w:type="dxa"/>
              <w:bottom w:w="90" w:type="dxa"/>
              <w:end w:w="90" w:type="dxa"/>
            </w:tcMar>
            <w:vAlign w:val="center"/>
          </w:tcPr>
          <w:p>
            <w:pPr>
              <w:spacing w:after="20"/>
            </w:pPr>
            <w:r>
              <w:rPr>
                <w:sz w:val="13"/>
              </w:rPr>
              <w:t>linux-arm64</w:t>
            </w:r>
          </w:p>
        </w:tc>
        <w:tc>
          <w:tcPr>
            <w:tcW w:type="dxa" w:w="2880"/>
            <w:tcMar>
              <w:top w:w="90" w:type="dxa"/>
              <w:start w:w="90" w:type="dxa"/>
              <w:bottom w:w="90" w:type="dxa"/>
              <w:end w:w="90" w:type="dxa"/>
            </w:tcMar>
            <w:vAlign w:val="center"/>
          </w:tcPr>
          <w:p>
            <w:pPr>
              <w:spacing w:after="20"/>
            </w:pPr>
            <w:r>
              <w:rPr>
                <w:sz w:val="13"/>
              </w:rPr>
              <w:t>458966d7cbf60273...da75e</w:t>
            </w:r>
          </w:p>
        </w:tc>
        <w:tc>
          <w:tcPr>
            <w:tcW w:type="dxa" w:w="1008"/>
            <w:tcMar>
              <w:top w:w="90" w:type="dxa"/>
              <w:start w:w="90" w:type="dxa"/>
              <w:bottom w:w="90" w:type="dxa"/>
              <w:end w:w="90" w:type="dxa"/>
            </w:tcMar>
            <w:vAlign w:val="center"/>
          </w:tcPr>
          <w:p>
            <w:pPr>
              <w:spacing w:after="20"/>
            </w:pPr>
            <w:r>
              <w:rPr>
                <w:sz w:val="13"/>
              </w:rPr>
              <w:t>5,099</w:t>
            </w:r>
          </w:p>
        </w:tc>
        <w:tc>
          <w:tcPr>
            <w:tcW w:type="dxa" w:w="4032"/>
            <w:tcMar>
              <w:top w:w="90" w:type="dxa"/>
              <w:start w:w="90" w:type="dxa"/>
              <w:bottom w:w="90" w:type="dxa"/>
              <w:end w:w="90" w:type="dxa"/>
            </w:tcMar>
            <w:vAlign w:val="center"/>
          </w:tcPr>
          <w:p>
            <w:pPr>
              <w:spacing w:after="20"/>
            </w:pPr>
            <w:r>
              <w:rPr>
                <w:sz w:val="13"/>
              </w:rPr>
              <w:t>Tools Service 3.4.1 bundled</w:t>
            </w:r>
          </w:p>
        </w:tc>
      </w:tr>
      <w:tr>
        <w:trPr>
          <w:cantSplit/>
        </w:trPr>
        <w:tc>
          <w:tcPr>
            <w:tcW w:type="dxa" w:w="1440"/>
            <w:tcMar>
              <w:top w:w="90" w:type="dxa"/>
              <w:start w:w="90" w:type="dxa"/>
              <w:bottom w:w="90" w:type="dxa"/>
              <w:end w:w="90" w:type="dxa"/>
            </w:tcMar>
            <w:vAlign w:val="center"/>
            <w:shd w:fill="F3F6F8"/>
          </w:tcPr>
          <w:p>
            <w:pPr>
              <w:spacing w:after="20"/>
            </w:pPr>
            <w:r>
              <w:rPr>
                <w:sz w:val="13"/>
              </w:rPr>
              <w:t>darwin-x64</w:t>
            </w:r>
          </w:p>
        </w:tc>
        <w:tc>
          <w:tcPr>
            <w:tcW w:type="dxa" w:w="2880"/>
            <w:tcMar>
              <w:top w:w="90" w:type="dxa"/>
              <w:start w:w="90" w:type="dxa"/>
              <w:bottom w:w="90" w:type="dxa"/>
              <w:end w:w="90" w:type="dxa"/>
            </w:tcMar>
            <w:vAlign w:val="center"/>
            <w:shd w:fill="F3F6F8"/>
          </w:tcPr>
          <w:p>
            <w:pPr>
              <w:spacing w:after="20"/>
            </w:pPr>
            <w:r>
              <w:rPr>
                <w:sz w:val="13"/>
              </w:rPr>
              <w:t>c3e2f3e7092bd717...540b14</w:t>
            </w:r>
          </w:p>
        </w:tc>
        <w:tc>
          <w:tcPr>
            <w:tcW w:type="dxa" w:w="1008"/>
            <w:tcMar>
              <w:top w:w="90" w:type="dxa"/>
              <w:start w:w="90" w:type="dxa"/>
              <w:bottom w:w="90" w:type="dxa"/>
              <w:end w:w="90" w:type="dxa"/>
            </w:tcMar>
            <w:vAlign w:val="center"/>
            <w:shd w:fill="F3F6F8"/>
          </w:tcPr>
          <w:p>
            <w:pPr>
              <w:spacing w:after="20"/>
            </w:pPr>
            <w:r>
              <w:rPr>
                <w:sz w:val="13"/>
              </w:rPr>
              <w:t>5,077</w:t>
            </w:r>
          </w:p>
        </w:tc>
        <w:tc>
          <w:tcPr>
            <w:tcW w:type="dxa" w:w="4032"/>
            <w:tcMar>
              <w:top w:w="90" w:type="dxa"/>
              <w:start w:w="90" w:type="dxa"/>
              <w:bottom w:w="90" w:type="dxa"/>
              <w:end w:w="90" w:type="dxa"/>
            </w:tcMar>
            <w:vAlign w:val="center"/>
            <w:shd w:fill="F3F6F8"/>
          </w:tcPr>
          <w:p>
            <w:pPr>
              <w:spacing w:after="20"/>
            </w:pPr>
            <w:r>
              <w:rPr>
                <w:sz w:val="13"/>
              </w:rPr>
              <w:t>Tools Service 3.4.1 bundled</w:t>
            </w:r>
          </w:p>
        </w:tc>
      </w:tr>
      <w:tr>
        <w:trPr>
          <w:cantSplit/>
        </w:trPr>
        <w:tc>
          <w:tcPr>
            <w:tcW w:type="dxa" w:w="1440"/>
            <w:tcMar>
              <w:top w:w="90" w:type="dxa"/>
              <w:start w:w="90" w:type="dxa"/>
              <w:bottom w:w="90" w:type="dxa"/>
              <w:end w:w="90" w:type="dxa"/>
            </w:tcMar>
            <w:vAlign w:val="center"/>
          </w:tcPr>
          <w:p>
            <w:pPr>
              <w:spacing w:after="20"/>
            </w:pPr>
            <w:r>
              <w:rPr>
                <w:sz w:val="13"/>
              </w:rPr>
              <w:t>darwin-arm64</w:t>
            </w:r>
          </w:p>
        </w:tc>
        <w:tc>
          <w:tcPr>
            <w:tcW w:type="dxa" w:w="2880"/>
            <w:tcMar>
              <w:top w:w="90" w:type="dxa"/>
              <w:start w:w="90" w:type="dxa"/>
              <w:bottom w:w="90" w:type="dxa"/>
              <w:end w:w="90" w:type="dxa"/>
            </w:tcMar>
            <w:vAlign w:val="center"/>
          </w:tcPr>
          <w:p>
            <w:pPr>
              <w:spacing w:after="20"/>
            </w:pPr>
            <w:r>
              <w:rPr>
                <w:sz w:val="13"/>
              </w:rPr>
              <w:t>a7e3f3c5890ed0ba...3c7e7</w:t>
            </w:r>
          </w:p>
        </w:tc>
        <w:tc>
          <w:tcPr>
            <w:tcW w:type="dxa" w:w="1008"/>
            <w:tcMar>
              <w:top w:w="90" w:type="dxa"/>
              <w:start w:w="90" w:type="dxa"/>
              <w:bottom w:w="90" w:type="dxa"/>
              <w:end w:w="90" w:type="dxa"/>
            </w:tcMar>
            <w:vAlign w:val="center"/>
          </w:tcPr>
          <w:p>
            <w:pPr>
              <w:spacing w:after="20"/>
            </w:pPr>
            <w:r>
              <w:rPr>
                <w:sz w:val="13"/>
              </w:rPr>
              <w:t>5,082</w:t>
            </w:r>
          </w:p>
        </w:tc>
        <w:tc>
          <w:tcPr>
            <w:tcW w:type="dxa" w:w="4032"/>
            <w:tcMar>
              <w:top w:w="90" w:type="dxa"/>
              <w:start w:w="90" w:type="dxa"/>
              <w:bottom w:w="90" w:type="dxa"/>
              <w:end w:w="90" w:type="dxa"/>
            </w:tcMar>
            <w:vAlign w:val="center"/>
          </w:tcPr>
          <w:p>
            <w:pPr>
              <w:spacing w:after="20"/>
            </w:pPr>
            <w:r>
              <w:rPr>
                <w:sz w:val="13"/>
              </w:rPr>
              <w:t>Tools Service 3.4.1 bundled</w:t>
            </w:r>
          </w:p>
        </w:tc>
      </w:tr>
    </w:tbl>
    <w:p>
      <w:pPr>
        <w:spacing w:after="40"/>
      </w:pPr>
    </w:p>
    <w:p>
      <w:pPr>
        <w:pStyle w:val="Heading1"/>
      </w:pPr>
      <w:r>
        <w:t>Part I - VS Code Assessment</w:t>
      </w:r>
    </w:p>
    <w:p>
      <w:pPr>
        <w:pStyle w:val="Heading2"/>
      </w:pPr>
      <w:r>
        <w:t>VS Code Executive Decision</w:t>
      </w:r>
    </w:p>
    <w:p>
      <w:r>
        <w:t>Defer pending evidence. Identity/archive confidence is High, static design confidence is Medium and runtime confidence is Low. No production, customer-data or regulated use is approved.</w:t>
      </w:r>
    </w:p>
    <w:p>
      <w:pPr>
        <w:pStyle w:val="Heading2"/>
      </w:pPr>
      <w:r>
        <w:t>VS Code Purpose and Function</w:t>
      </w:r>
    </w:p>
    <w:p>
      <w:r>
        <w:t>The extension supplies PostgreSQL development, operations, Azure, migration, Copilot and MCP functions inside VS Code. Its breadth means a developer endpoint can become a privileged database client.</w:t>
      </w:r>
    </w:p>
    <w:p>
      <w:pPr>
        <w:pStyle w:val="Heading2"/>
      </w:pPr>
      <w:r>
        <w:t>VS Code Architecture</w:t>
      </w:r>
    </w:p>
    <w:p>
      <w:r>
        <w:t xml:space="preserve">The extension host loads a minified JavaScript bundle and starts PostgreSQL Tools Service 3.4.1. That service mediates database and language features and exposes the MCP provider described by Microsoft. </w:t>
      </w:r>
      <w:hyperlink w:anchor="REF_003">
        <w:r>
          <w:rPr>
            <w:color w:val="0563C1"/>
            <w:u w:val="single"/>
          </w:rPr>
          <w:t>[REF-003]</w:t>
        </w:r>
      </w:hyperlink>
      <w:r>
        <w:t xml:space="preserve"> </w:t>
      </w:r>
      <w:hyperlink w:anchor="REF_007">
        <w:r>
          <w:rPr>
            <w:color w:val="0563C1"/>
            <w:u w:val="single"/>
          </w:rPr>
          <w:t>[REF-007]</w:t>
        </w:r>
      </w:hyperlink>
    </w:p>
    <w:p>
      <w:r>
        <w:drawing>
          <wp:inline xmlns:a="http://schemas.openxmlformats.org/drawingml/2006/main" xmlns:pic="http://schemas.openxmlformats.org/drawingml/2006/picture">
            <wp:extent cx="5943600" cy="3157538"/>
            <wp:docPr id="1" name="Picture 1" descr="Trust-boundary diagram connecting untrusted workspace, VS Code PostgreSQL extension, Tools Service MCP provider, Copilot, PostgreSQL or Azure data, and local logs, secrets and updates."/>
            <wp:cNvGraphicFramePr>
              <a:graphicFrameLocks noChangeAspect="1"/>
            </wp:cNvGraphicFramePr>
            <a:graphic>
              <a:graphicData uri="http://schemas.openxmlformats.org/drawingml/2006/picture">
                <pic:pic>
                  <pic:nvPicPr>
                    <pic:cNvPr id="0" name="postgresql-trust-boundaries.png"/>
                    <pic:cNvPicPr/>
                  </pic:nvPicPr>
                  <pic:blipFill>
                    <a:blip r:embed="rId11"/>
                    <a:stretch>
                      <a:fillRect/>
                    </a:stretch>
                  </pic:blipFill>
                  <pic:spPr>
                    <a:xfrm>
                      <a:off x="0" y="0"/>
                      <a:ext cx="5943600" cy="3157538"/>
                    </a:xfrm>
                    <a:prstGeom prst="rect"/>
                  </pic:spPr>
                </pic:pic>
              </a:graphicData>
            </a:graphic>
          </wp:inline>
        </w:drawing>
      </w:r>
    </w:p>
    <w:p>
      <w:pPr>
        <w:jc w:val="center"/>
      </w:pPr>
      <w:r>
        <w:t>Figure 1. PostgreSQL extension trust boundaries</w:t>
      </w:r>
    </w:p>
    <w:p>
      <w:pPr>
        <w:pStyle w:val="Heading2"/>
      </w:pPr>
      <w:r>
        <w:t>VS Code Trust Boundaries</w:t>
      </w:r>
    </w:p>
    <w:p>
      <w:r>
        <w:t>Workspace files/settings, database content, CSV/migration files, model output, MCP requests, remote service responses and update artefacts are untrusted. SecretStorage, bearer tokens and database roles are privileged boundaries.</w:t>
      </w:r>
    </w:p>
    <w:p>
      <w:pPr>
        <w:pStyle w:val="Heading2"/>
      </w:pPr>
      <w:r>
        <w:t>VS Code Data Flows</w:t>
      </w:r>
    </w:p>
    <w:p>
      <w:r>
        <w:t>Queries, schema, results, metrics, plans, connection identifiers and migration content can flow among endpoint, database, Azure and Copilot/model services. Logs/history may persist a subset locally.</w:t>
      </w:r>
    </w:p>
    <w:tbl>
      <w:tblPr>
        <w:tblStyle w:val="TableGrid"/>
        <w:tblW w:type="auto" w:w="0"/>
        <w:jc w:val="center"/>
        <w:tblLayout w:type="fixed"/>
        <w:tblLook w:firstColumn="1" w:firstRow="1" w:lastColumn="0" w:lastRow="0" w:noHBand="0" w:noVBand="1" w:val="04A0"/>
      </w:tblPr>
      <w:tblGrid>
        <w:gridCol w:w="1440"/>
        <w:gridCol w:w="2304"/>
        <w:gridCol w:w="2160"/>
        <w:gridCol w:w="3456"/>
      </w:tblGrid>
      <w:tr>
        <w:trPr>
          <w:tblHeader/>
        </w:trPr>
        <w:tc>
          <w:tcPr>
            <w:tcW w:type="dxa" w:w="1440"/>
            <w:shd w:fill="17365D"/>
            <w:tcMar>
              <w:top w:w="90" w:type="dxa"/>
              <w:start w:w="90" w:type="dxa"/>
              <w:bottom w:w="90" w:type="dxa"/>
              <w:end w:w="90" w:type="dxa"/>
            </w:tcMar>
          </w:tcPr>
          <w:p>
            <w:r>
              <w:rPr>
                <w:b/>
                <w:color w:val="FFFFFF"/>
                <w:sz w:val="14"/>
              </w:rPr>
              <w:t>Flow</w:t>
            </w:r>
          </w:p>
        </w:tc>
        <w:tc>
          <w:tcPr>
            <w:tcW w:type="dxa" w:w="2304"/>
            <w:shd w:fill="17365D"/>
            <w:tcMar>
              <w:top w:w="90" w:type="dxa"/>
              <w:start w:w="90" w:type="dxa"/>
              <w:bottom w:w="90" w:type="dxa"/>
              <w:end w:w="90" w:type="dxa"/>
            </w:tcMar>
          </w:tcPr>
          <w:p>
            <w:r>
              <w:rPr>
                <w:b/>
                <w:color w:val="FFFFFF"/>
                <w:sz w:val="14"/>
              </w:rPr>
              <w:t>Data</w:t>
            </w:r>
          </w:p>
        </w:tc>
        <w:tc>
          <w:tcPr>
            <w:tcW w:type="dxa" w:w="2160"/>
            <w:shd w:fill="17365D"/>
            <w:tcMar>
              <w:top w:w="90" w:type="dxa"/>
              <w:start w:w="90" w:type="dxa"/>
              <w:bottom w:w="90" w:type="dxa"/>
              <w:end w:w="90" w:type="dxa"/>
            </w:tcMar>
          </w:tcPr>
          <w:p>
            <w:r>
              <w:rPr>
                <w:b/>
                <w:color w:val="FFFFFF"/>
                <w:sz w:val="14"/>
              </w:rPr>
              <w:t>Destination</w:t>
            </w:r>
          </w:p>
        </w:tc>
        <w:tc>
          <w:tcPr>
            <w:tcW w:type="dxa" w:w="3456"/>
            <w:shd w:fill="17365D"/>
            <w:tcMar>
              <w:top w:w="90" w:type="dxa"/>
              <w:start w:w="90" w:type="dxa"/>
              <w:bottom w:w="90" w:type="dxa"/>
              <w:end w:w="90" w:type="dxa"/>
            </w:tcMar>
          </w:tcPr>
          <w:p>
            <w:r>
              <w:rPr>
                <w:b/>
                <w:color w:val="FFFFFF"/>
                <w:sz w:val="14"/>
              </w:rPr>
              <w:t>Control</w:t>
            </w:r>
          </w:p>
        </w:tc>
      </w:tr>
      <w:tr>
        <w:trPr>
          <w:cantSplit/>
        </w:trPr>
        <w:tc>
          <w:tcPr>
            <w:tcW w:type="dxa" w:w="1440"/>
            <w:tcMar>
              <w:top w:w="90" w:type="dxa"/>
              <w:start w:w="90" w:type="dxa"/>
              <w:bottom w:w="90" w:type="dxa"/>
              <w:end w:w="90" w:type="dxa"/>
            </w:tcMar>
            <w:vAlign w:val="center"/>
          </w:tcPr>
          <w:p>
            <w:pPr>
              <w:spacing w:after="20"/>
            </w:pPr>
            <w:r>
              <w:rPr>
                <w:sz w:val="14"/>
              </w:rPr>
              <w:t>Database</w:t>
            </w:r>
          </w:p>
        </w:tc>
        <w:tc>
          <w:tcPr>
            <w:tcW w:type="dxa" w:w="2304"/>
            <w:tcMar>
              <w:top w:w="90" w:type="dxa"/>
              <w:start w:w="90" w:type="dxa"/>
              <w:bottom w:w="90" w:type="dxa"/>
              <w:end w:w="90" w:type="dxa"/>
            </w:tcMar>
            <w:vAlign w:val="center"/>
          </w:tcPr>
          <w:p>
            <w:pPr>
              <w:spacing w:after="20"/>
            </w:pPr>
            <w:r>
              <w:rPr>
                <w:sz w:val="14"/>
              </w:rPr>
              <w:t>Credentials, queries, results</w:t>
            </w:r>
          </w:p>
        </w:tc>
        <w:tc>
          <w:tcPr>
            <w:tcW w:type="dxa" w:w="2160"/>
            <w:tcMar>
              <w:top w:w="90" w:type="dxa"/>
              <w:start w:w="90" w:type="dxa"/>
              <w:bottom w:w="90" w:type="dxa"/>
              <w:end w:w="90" w:type="dxa"/>
            </w:tcMar>
            <w:vAlign w:val="center"/>
          </w:tcPr>
          <w:p>
            <w:pPr>
              <w:spacing w:after="20"/>
            </w:pPr>
            <w:r>
              <w:rPr>
                <w:sz w:val="14"/>
              </w:rPr>
              <w:t>PostgreSQL/Azure</w:t>
            </w:r>
          </w:p>
        </w:tc>
        <w:tc>
          <w:tcPr>
            <w:tcW w:type="dxa" w:w="3456"/>
            <w:tcMar>
              <w:top w:w="90" w:type="dxa"/>
              <w:start w:w="90" w:type="dxa"/>
              <w:bottom w:w="90" w:type="dxa"/>
              <w:end w:w="90" w:type="dxa"/>
            </w:tcMar>
            <w:vAlign w:val="center"/>
          </w:tcPr>
          <w:p>
            <w:pPr>
              <w:spacing w:after="20"/>
            </w:pPr>
            <w:r>
              <w:rPr>
                <w:sz w:val="14"/>
              </w:rPr>
              <w:t>Verify-Full, least privilege, audit</w:t>
            </w:r>
          </w:p>
        </w:tc>
      </w:tr>
      <w:tr>
        <w:trPr>
          <w:cantSplit/>
        </w:trPr>
        <w:tc>
          <w:tcPr>
            <w:tcW w:type="dxa" w:w="1440"/>
            <w:tcMar>
              <w:top w:w="90" w:type="dxa"/>
              <w:start w:w="90" w:type="dxa"/>
              <w:bottom w:w="90" w:type="dxa"/>
              <w:end w:w="90" w:type="dxa"/>
            </w:tcMar>
            <w:vAlign w:val="center"/>
            <w:shd w:fill="F3F6F8"/>
          </w:tcPr>
          <w:p>
            <w:pPr>
              <w:spacing w:after="20"/>
            </w:pPr>
            <w:r>
              <w:rPr>
                <w:sz w:val="14"/>
              </w:rPr>
              <w:t>Copilot</w:t>
            </w:r>
          </w:p>
        </w:tc>
        <w:tc>
          <w:tcPr>
            <w:tcW w:type="dxa" w:w="2304"/>
            <w:tcMar>
              <w:top w:w="90" w:type="dxa"/>
              <w:start w:w="90" w:type="dxa"/>
              <w:bottom w:w="90" w:type="dxa"/>
              <w:end w:w="90" w:type="dxa"/>
            </w:tcMar>
            <w:vAlign w:val="center"/>
            <w:shd w:fill="F3F6F8"/>
          </w:tcPr>
          <w:p>
            <w:pPr>
              <w:spacing w:after="20"/>
            </w:pPr>
            <w:r>
              <w:rPr>
                <w:sz w:val="14"/>
              </w:rPr>
              <w:t>Prompt, schema, plan, metrics</w:t>
            </w:r>
          </w:p>
        </w:tc>
        <w:tc>
          <w:tcPr>
            <w:tcW w:type="dxa" w:w="2160"/>
            <w:tcMar>
              <w:top w:w="90" w:type="dxa"/>
              <w:start w:w="90" w:type="dxa"/>
              <w:bottom w:w="90" w:type="dxa"/>
              <w:end w:w="90" w:type="dxa"/>
            </w:tcMar>
            <w:vAlign w:val="center"/>
            <w:shd w:fill="F3F6F8"/>
          </w:tcPr>
          <w:p>
            <w:pPr>
              <w:spacing w:after="20"/>
            </w:pPr>
            <w:r>
              <w:rPr>
                <w:sz w:val="14"/>
              </w:rPr>
              <w:t>Approved model provider</w:t>
            </w:r>
          </w:p>
        </w:tc>
        <w:tc>
          <w:tcPr>
            <w:tcW w:type="dxa" w:w="3456"/>
            <w:tcMar>
              <w:top w:w="90" w:type="dxa"/>
              <w:start w:w="90" w:type="dxa"/>
              <w:bottom w:w="90" w:type="dxa"/>
              <w:end w:w="90" w:type="dxa"/>
            </w:tcMar>
            <w:vAlign w:val="center"/>
            <w:shd w:fill="F3F6F8"/>
          </w:tcPr>
          <w:p>
            <w:pPr>
              <w:spacing w:after="20"/>
            </w:pPr>
            <w:r>
              <w:rPr>
                <w:sz w:val="14"/>
              </w:rPr>
              <w:t>Enterprise tenant, minimisation, DPIA</w:t>
            </w:r>
          </w:p>
        </w:tc>
      </w:tr>
      <w:tr>
        <w:trPr>
          <w:cantSplit/>
        </w:trPr>
        <w:tc>
          <w:tcPr>
            <w:tcW w:type="dxa" w:w="1440"/>
            <w:tcMar>
              <w:top w:w="90" w:type="dxa"/>
              <w:start w:w="90" w:type="dxa"/>
              <w:bottom w:w="90" w:type="dxa"/>
              <w:end w:w="90" w:type="dxa"/>
            </w:tcMar>
            <w:vAlign w:val="center"/>
          </w:tcPr>
          <w:p>
            <w:pPr>
              <w:spacing w:after="20"/>
            </w:pPr>
            <w:r>
              <w:rPr>
                <w:sz w:val="14"/>
              </w:rPr>
              <w:t>MCP</w:t>
            </w:r>
          </w:p>
        </w:tc>
        <w:tc>
          <w:tcPr>
            <w:tcW w:type="dxa" w:w="2304"/>
            <w:tcMar>
              <w:top w:w="90" w:type="dxa"/>
              <w:start w:w="90" w:type="dxa"/>
              <w:bottom w:w="90" w:type="dxa"/>
              <w:end w:w="90" w:type="dxa"/>
            </w:tcMar>
            <w:vAlign w:val="center"/>
          </w:tcPr>
          <w:p>
            <w:pPr>
              <w:spacing w:after="20"/>
            </w:pPr>
            <w:r>
              <w:rPr>
                <w:sz w:val="14"/>
              </w:rPr>
              <w:t>Tool schemas, arguments, results</w:t>
            </w:r>
          </w:p>
        </w:tc>
        <w:tc>
          <w:tcPr>
            <w:tcW w:type="dxa" w:w="2160"/>
            <w:tcMar>
              <w:top w:w="90" w:type="dxa"/>
              <w:start w:w="90" w:type="dxa"/>
              <w:bottom w:w="90" w:type="dxa"/>
              <w:end w:w="90" w:type="dxa"/>
            </w:tcMar>
            <w:vAlign w:val="center"/>
          </w:tcPr>
          <w:p>
            <w:pPr>
              <w:spacing w:after="20"/>
            </w:pPr>
            <w:r>
              <w:rPr>
                <w:sz w:val="14"/>
              </w:rPr>
              <w:t>Local provider/host</w:t>
            </w:r>
          </w:p>
        </w:tc>
        <w:tc>
          <w:tcPr>
            <w:tcW w:type="dxa" w:w="3456"/>
            <w:tcMar>
              <w:top w:w="90" w:type="dxa"/>
              <w:start w:w="90" w:type="dxa"/>
              <w:bottom w:w="90" w:type="dxa"/>
              <w:end w:w="90" w:type="dxa"/>
            </w:tcMar>
            <w:vAlign w:val="center"/>
          </w:tcPr>
          <w:p>
            <w:pPr>
              <w:spacing w:after="20"/>
            </w:pPr>
            <w:r>
              <w:rPr>
                <w:sz w:val="14"/>
              </w:rPr>
              <w:t>Token/session isolation and allowlist</w:t>
            </w:r>
          </w:p>
        </w:tc>
      </w:tr>
      <w:tr>
        <w:trPr>
          <w:cantSplit/>
        </w:trPr>
        <w:tc>
          <w:tcPr>
            <w:tcW w:type="dxa" w:w="1440"/>
            <w:tcMar>
              <w:top w:w="90" w:type="dxa"/>
              <w:start w:w="90" w:type="dxa"/>
              <w:bottom w:w="90" w:type="dxa"/>
              <w:end w:w="90" w:type="dxa"/>
            </w:tcMar>
            <w:vAlign w:val="center"/>
            <w:shd w:fill="F3F6F8"/>
          </w:tcPr>
          <w:p>
            <w:pPr>
              <w:spacing w:after="20"/>
            </w:pPr>
            <w:r>
              <w:rPr>
                <w:sz w:val="14"/>
              </w:rPr>
              <w:t>Local state</w:t>
            </w:r>
          </w:p>
        </w:tc>
        <w:tc>
          <w:tcPr>
            <w:tcW w:type="dxa" w:w="2304"/>
            <w:tcMar>
              <w:top w:w="90" w:type="dxa"/>
              <w:start w:w="90" w:type="dxa"/>
              <w:bottom w:w="90" w:type="dxa"/>
              <w:end w:w="90" w:type="dxa"/>
            </w:tcMar>
            <w:vAlign w:val="center"/>
            <w:shd w:fill="F3F6F8"/>
          </w:tcPr>
          <w:p>
            <w:pPr>
              <w:spacing w:after="20"/>
            </w:pPr>
            <w:r>
              <w:rPr>
                <w:sz w:val="14"/>
              </w:rPr>
              <w:t>Profiles, history, logs</w:t>
            </w:r>
          </w:p>
        </w:tc>
        <w:tc>
          <w:tcPr>
            <w:tcW w:type="dxa" w:w="2160"/>
            <w:tcMar>
              <w:top w:w="90" w:type="dxa"/>
              <w:start w:w="90" w:type="dxa"/>
              <w:bottom w:w="90" w:type="dxa"/>
              <w:end w:w="90" w:type="dxa"/>
            </w:tcMar>
            <w:vAlign w:val="center"/>
            <w:shd w:fill="F3F6F8"/>
          </w:tcPr>
          <w:p>
            <w:pPr>
              <w:spacing w:after="20"/>
            </w:pPr>
            <w:r>
              <w:rPr>
                <w:sz w:val="14"/>
              </w:rPr>
              <w:t>VS Code/credential store</w:t>
            </w:r>
          </w:p>
        </w:tc>
        <w:tc>
          <w:tcPr>
            <w:tcW w:type="dxa" w:w="3456"/>
            <w:tcMar>
              <w:top w:w="90" w:type="dxa"/>
              <w:start w:w="90" w:type="dxa"/>
              <w:bottom w:w="90" w:type="dxa"/>
              <w:end w:w="90" w:type="dxa"/>
            </w:tcMar>
            <w:vAlign w:val="center"/>
            <w:shd w:fill="F3F6F8"/>
          </w:tcPr>
          <w:p>
            <w:pPr>
              <w:spacing w:after="20"/>
            </w:pPr>
            <w:r>
              <w:rPr>
                <w:sz w:val="14"/>
              </w:rPr>
              <w:t>Retention, permissions, DLP, cleanup</w:t>
            </w:r>
          </w:p>
        </w:tc>
      </w:tr>
      <w:tr>
        <w:trPr>
          <w:cantSplit/>
        </w:trPr>
        <w:tc>
          <w:tcPr>
            <w:tcW w:type="dxa" w:w="1440"/>
            <w:tcMar>
              <w:top w:w="90" w:type="dxa"/>
              <w:start w:w="90" w:type="dxa"/>
              <w:bottom w:w="90" w:type="dxa"/>
              <w:end w:w="90" w:type="dxa"/>
            </w:tcMar>
            <w:vAlign w:val="center"/>
          </w:tcPr>
          <w:p>
            <w:pPr>
              <w:spacing w:after="20"/>
            </w:pPr>
            <w:r>
              <w:rPr>
                <w:sz w:val="14"/>
              </w:rPr>
              <w:t>Update</w:t>
            </w:r>
          </w:p>
        </w:tc>
        <w:tc>
          <w:tcPr>
            <w:tcW w:type="dxa" w:w="2304"/>
            <w:tcMar>
              <w:top w:w="90" w:type="dxa"/>
              <w:start w:w="90" w:type="dxa"/>
              <w:bottom w:w="90" w:type="dxa"/>
              <w:end w:w="90" w:type="dxa"/>
            </w:tcMar>
            <w:vAlign w:val="center"/>
          </w:tcPr>
          <w:p>
            <w:pPr>
              <w:spacing w:after="20"/>
            </w:pPr>
            <w:r>
              <w:rPr>
                <w:sz w:val="14"/>
              </w:rPr>
              <w:t>VSIX and Tools Service</w:t>
            </w:r>
          </w:p>
        </w:tc>
        <w:tc>
          <w:tcPr>
            <w:tcW w:type="dxa" w:w="2160"/>
            <w:tcMar>
              <w:top w:w="90" w:type="dxa"/>
              <w:start w:w="90" w:type="dxa"/>
              <w:bottom w:w="90" w:type="dxa"/>
              <w:end w:w="90" w:type="dxa"/>
            </w:tcMar>
            <w:vAlign w:val="center"/>
          </w:tcPr>
          <w:p>
            <w:pPr>
              <w:spacing w:after="20"/>
            </w:pPr>
            <w:r>
              <w:rPr>
                <w:sz w:val="14"/>
              </w:rPr>
              <w:t>Marketplace/GitHub</w:t>
            </w:r>
          </w:p>
        </w:tc>
        <w:tc>
          <w:tcPr>
            <w:tcW w:type="dxa" w:w="3456"/>
            <w:tcMar>
              <w:top w:w="90" w:type="dxa"/>
              <w:start w:w="90" w:type="dxa"/>
              <w:bottom w:w="90" w:type="dxa"/>
              <w:end w:w="90" w:type="dxa"/>
            </w:tcMar>
            <w:vAlign w:val="center"/>
          </w:tcPr>
          <w:p>
            <w:pPr>
              <w:spacing w:after="20"/>
            </w:pPr>
            <w:r>
              <w:rPr>
                <w:sz w:val="14"/>
              </w:rPr>
              <w:t>Exact hash, staged approval, rollback</w:t>
            </w:r>
          </w:p>
        </w:tc>
      </w:tr>
    </w:tbl>
    <w:p>
      <w:pPr>
        <w:spacing w:after="40"/>
      </w:pPr>
    </w:p>
    <w:p>
      <w:pPr>
        <w:pStyle w:val="Heading2"/>
      </w:pPr>
      <w:r>
        <w:t>VS Code Installation Manifest and Uninstall</w:t>
      </w:r>
    </w:p>
    <w:p>
      <w:r>
        <w:t>Seven variants contain 536 to 5,657 files. Native packages bundle Tools Service 3.4.1; universal can download it. Uninstall residue in storage, secrets, logs, history and downloads is Unknown.</w:t>
      </w:r>
    </w:p>
    <w:p>
      <w:pPr>
        <w:pStyle w:val="Heading2"/>
      </w:pPr>
      <w:r>
        <w:t>VS Code Runtime and Activation</w:t>
      </w:r>
    </w:p>
    <w:p>
      <w:r>
        <w:t>Activation events include URI, Object Explorer, completion and durable-workbench commands. No activation, process, listener, IPC or resource behavior was observed.</w:t>
      </w:r>
    </w:p>
    <w:p>
      <w:pPr>
        <w:pStyle w:val="Heading2"/>
      </w:pPr>
      <w:r>
        <w:t>VS Code Network</w:t>
      </w:r>
    </w:p>
    <w:p>
      <w:r>
        <w:t>Expected destinations include PostgreSQL, Azure/Microsoft, GitHub Copilot/model provider, Marketplace and GitHub tools-service releases. Actual DNS/TLS routes and local bind addresses are Unknown.</w:t>
      </w:r>
    </w:p>
    <w:p>
      <w:pPr>
        <w:pStyle w:val="Heading2"/>
      </w:pPr>
      <w:r>
        <w:t>VS Code Authentication</w:t>
      </w:r>
    </w:p>
    <w:p>
      <w:r>
        <w:t>Database credentials are documented through SecretStorage/OS credential manager; Entra/AWS and other modes widen the identity surface. MCP uses a service URL and bearer token whose lifecycle requires testing.</w:t>
      </w:r>
    </w:p>
    <w:p>
      <w:pPr>
        <w:pStyle w:val="Heading2"/>
      </w:pPr>
      <w:r>
        <w:t>VS Code Telemetry</w:t>
      </w:r>
    </w:p>
    <w:p>
      <w:r>
        <w:t>The extension collects telemetry that follows VS Code controls. PII logging defaults false, but telemetry payloads and effective enterprise opt-out were not captured.</w:t>
      </w:r>
    </w:p>
    <w:p>
      <w:pPr>
        <w:pStyle w:val="Heading2"/>
      </w:pPr>
      <w:r>
        <w:t>VS Code Privacy</w:t>
      </w:r>
    </w:p>
    <w:p>
      <w:r>
        <w:t>Schema, queries, results, metrics, plans, code and identifiers can be personal or confidential data. Use synthetic data until contract, DPIA, retention and route evidence pass.</w:t>
      </w:r>
    </w:p>
    <w:p>
      <w:pPr>
        <w:pStyle w:val="Heading2"/>
      </w:pPr>
      <w:r>
        <w:t>VS Code MCP and Agent Skills</w:t>
      </w:r>
    </w:p>
    <w:p>
      <w:r>
        <w:t>One MCP provider and sixteen model tools are declared. No SKILL.md exists in any VSIX; host-installed skills remain Unknown.</w:t>
      </w:r>
    </w:p>
    <w:tbl>
      <w:tblPr>
        <w:tblStyle w:val="TableGrid"/>
        <w:tblW w:type="auto" w:w="0"/>
        <w:jc w:val="center"/>
        <w:tblLayout w:type="fixed"/>
        <w:tblLook w:firstColumn="1" w:firstRow="1" w:lastColumn="0" w:lastRow="0" w:noHBand="0" w:noVBand="1" w:val="04A0"/>
      </w:tblPr>
      <w:tblGrid>
        <w:gridCol w:w="2016"/>
        <w:gridCol w:w="1440"/>
        <w:gridCol w:w="2592"/>
        <w:gridCol w:w="3312"/>
      </w:tblGrid>
      <w:tr>
        <w:trPr>
          <w:tblHeader/>
        </w:trPr>
        <w:tc>
          <w:tcPr>
            <w:tcW w:type="dxa" w:w="2016"/>
            <w:shd w:fill="17365D"/>
            <w:tcMar>
              <w:top w:w="90" w:type="dxa"/>
              <w:start w:w="90" w:type="dxa"/>
              <w:bottom w:w="90" w:type="dxa"/>
              <w:end w:w="90" w:type="dxa"/>
            </w:tcMar>
          </w:tcPr>
          <w:p>
            <w:r>
              <w:rPr>
                <w:b/>
                <w:color w:val="FFFFFF"/>
                <w:sz w:val="13"/>
              </w:rPr>
              <w:t>Tool family</w:t>
            </w:r>
          </w:p>
        </w:tc>
        <w:tc>
          <w:tcPr>
            <w:tcW w:type="dxa" w:w="1440"/>
            <w:shd w:fill="17365D"/>
            <w:tcMar>
              <w:top w:w="90" w:type="dxa"/>
              <w:start w:w="90" w:type="dxa"/>
              <w:bottom w:w="90" w:type="dxa"/>
              <w:end w:w="90" w:type="dxa"/>
            </w:tcMar>
          </w:tcPr>
          <w:p>
            <w:r>
              <w:rPr>
                <w:b/>
                <w:color w:val="FFFFFF"/>
                <w:sz w:val="13"/>
              </w:rPr>
              <w:t>Authority</w:t>
            </w:r>
          </w:p>
        </w:tc>
        <w:tc>
          <w:tcPr>
            <w:tcW w:type="dxa" w:w="2592"/>
            <w:shd w:fill="17365D"/>
            <w:tcMar>
              <w:top w:w="90" w:type="dxa"/>
              <w:start w:w="90" w:type="dxa"/>
              <w:bottom w:w="90" w:type="dxa"/>
              <w:end w:w="90" w:type="dxa"/>
            </w:tcMar>
          </w:tcPr>
          <w:p>
            <w:r>
              <w:rPr>
                <w:b/>
                <w:color w:val="FFFFFF"/>
                <w:sz w:val="13"/>
              </w:rPr>
              <w:t>Sensitive data/action</w:t>
            </w:r>
          </w:p>
        </w:tc>
        <w:tc>
          <w:tcPr>
            <w:tcW w:type="dxa" w:w="3312"/>
            <w:shd w:fill="17365D"/>
            <w:tcMar>
              <w:top w:w="90" w:type="dxa"/>
              <w:start w:w="90" w:type="dxa"/>
              <w:bottom w:w="90" w:type="dxa"/>
              <w:end w:w="90" w:type="dxa"/>
            </w:tcMar>
          </w:tcPr>
          <w:p>
            <w:r>
              <w:rPr>
                <w:b/>
                <w:color w:val="FFFFFF"/>
                <w:sz w:val="13"/>
              </w:rPr>
              <w:t>Required control</w:t>
            </w:r>
          </w:p>
        </w:tc>
      </w:tr>
      <w:tr>
        <w:trPr>
          <w:cantSplit/>
        </w:trPr>
        <w:tc>
          <w:tcPr>
            <w:tcW w:type="dxa" w:w="2016"/>
            <w:tcMar>
              <w:top w:w="90" w:type="dxa"/>
              <w:start w:w="90" w:type="dxa"/>
              <w:bottom w:w="90" w:type="dxa"/>
              <w:end w:w="90" w:type="dxa"/>
            </w:tcMar>
            <w:vAlign w:val="center"/>
          </w:tcPr>
          <w:p>
            <w:pPr>
              <w:spacing w:after="20"/>
            </w:pPr>
            <w:r>
              <w:rPr>
                <w:sz w:val="13"/>
              </w:rPr>
              <w:t>pgsql_connect / disconnect</w:t>
            </w:r>
          </w:p>
        </w:tc>
        <w:tc>
          <w:tcPr>
            <w:tcW w:type="dxa" w:w="1440"/>
            <w:tcMar>
              <w:top w:w="90" w:type="dxa"/>
              <w:start w:w="90" w:type="dxa"/>
              <w:bottom w:w="90" w:type="dxa"/>
              <w:end w:w="90" w:type="dxa"/>
            </w:tcMar>
            <w:vAlign w:val="center"/>
          </w:tcPr>
          <w:p>
            <w:pPr>
              <w:spacing w:after="20"/>
            </w:pPr>
            <w:r>
              <w:rPr>
                <w:sz w:val="13"/>
              </w:rPr>
              <w:t>Connection/session</w:t>
            </w:r>
          </w:p>
        </w:tc>
        <w:tc>
          <w:tcPr>
            <w:tcW w:type="dxa" w:w="2592"/>
            <w:tcMar>
              <w:top w:w="90" w:type="dxa"/>
              <w:start w:w="90" w:type="dxa"/>
              <w:bottom w:w="90" w:type="dxa"/>
              <w:end w:w="90" w:type="dxa"/>
            </w:tcMar>
            <w:vAlign w:val="center"/>
          </w:tcPr>
          <w:p>
            <w:pPr>
              <w:spacing w:after="20"/>
            </w:pPr>
            <w:r>
              <w:rPr>
                <w:sz w:val="13"/>
              </w:rPr>
              <w:t>Database profile and credentials</w:t>
            </w:r>
          </w:p>
        </w:tc>
        <w:tc>
          <w:tcPr>
            <w:tcW w:type="dxa" w:w="3312"/>
            <w:tcMar>
              <w:top w:w="90" w:type="dxa"/>
              <w:start w:w="90" w:type="dxa"/>
              <w:bottom w:w="90" w:type="dxa"/>
              <w:end w:w="90" w:type="dxa"/>
            </w:tcMar>
            <w:vAlign w:val="center"/>
          </w:tcPr>
          <w:p>
            <w:pPr>
              <w:spacing w:after="20"/>
            </w:pPr>
            <w:r>
              <w:rPr>
                <w:sz w:val="13"/>
              </w:rPr>
              <w:t>Explicit profile/database identity; least privilege</w:t>
            </w:r>
          </w:p>
        </w:tc>
      </w:tr>
      <w:tr>
        <w:trPr>
          <w:cantSplit/>
        </w:trPr>
        <w:tc>
          <w:tcPr>
            <w:tcW w:type="dxa" w:w="2016"/>
            <w:tcMar>
              <w:top w:w="90" w:type="dxa"/>
              <w:start w:w="90" w:type="dxa"/>
              <w:bottom w:w="90" w:type="dxa"/>
              <w:end w:w="90" w:type="dxa"/>
            </w:tcMar>
            <w:vAlign w:val="center"/>
            <w:shd w:fill="F3F6F8"/>
          </w:tcPr>
          <w:p>
            <w:pPr>
              <w:spacing w:after="20"/>
            </w:pPr>
            <w:r>
              <w:rPr>
                <w:sz w:val="13"/>
              </w:rPr>
              <w:t>pgsql_list_databases / profiles</w:t>
            </w:r>
          </w:p>
        </w:tc>
        <w:tc>
          <w:tcPr>
            <w:tcW w:type="dxa" w:w="1440"/>
            <w:tcMar>
              <w:top w:w="90" w:type="dxa"/>
              <w:start w:w="90" w:type="dxa"/>
              <w:bottom w:w="90" w:type="dxa"/>
              <w:end w:w="90" w:type="dxa"/>
            </w:tcMar>
            <w:vAlign w:val="center"/>
            <w:shd w:fill="F3F6F8"/>
          </w:tcPr>
          <w:p>
            <w:pPr>
              <w:spacing w:after="20"/>
            </w:pPr>
            <w:r>
              <w:rPr>
                <w:sz w:val="13"/>
              </w:rPr>
              <w:t>Discovery</w:t>
            </w:r>
          </w:p>
        </w:tc>
        <w:tc>
          <w:tcPr>
            <w:tcW w:type="dxa" w:w="2592"/>
            <w:tcMar>
              <w:top w:w="90" w:type="dxa"/>
              <w:start w:w="90" w:type="dxa"/>
              <w:bottom w:w="90" w:type="dxa"/>
              <w:end w:w="90" w:type="dxa"/>
            </w:tcMar>
            <w:vAlign w:val="center"/>
            <w:shd w:fill="F3F6F8"/>
          </w:tcPr>
          <w:p>
            <w:pPr>
              <w:spacing w:after="20"/>
            </w:pPr>
            <w:r>
              <w:rPr>
                <w:sz w:val="13"/>
              </w:rPr>
              <w:t>Names, hosts and account metadata</w:t>
            </w:r>
          </w:p>
        </w:tc>
        <w:tc>
          <w:tcPr>
            <w:tcW w:type="dxa" w:w="3312"/>
            <w:tcMar>
              <w:top w:w="90" w:type="dxa"/>
              <w:start w:w="90" w:type="dxa"/>
              <w:bottom w:w="90" w:type="dxa"/>
              <w:end w:w="90" w:type="dxa"/>
            </w:tcMar>
            <w:vAlign w:val="center"/>
            <w:shd w:fill="F3F6F8"/>
          </w:tcPr>
          <w:p>
            <w:pPr>
              <w:spacing w:after="20"/>
            </w:pPr>
            <w:r>
              <w:rPr>
                <w:sz w:val="13"/>
              </w:rPr>
              <w:t>Approved profile allowlist; redact outputs</w:t>
            </w:r>
          </w:p>
        </w:tc>
      </w:tr>
      <w:tr>
        <w:trPr>
          <w:cantSplit/>
        </w:trPr>
        <w:tc>
          <w:tcPr>
            <w:tcW w:type="dxa" w:w="2016"/>
            <w:tcMar>
              <w:top w:w="90" w:type="dxa"/>
              <w:start w:w="90" w:type="dxa"/>
              <w:bottom w:w="90" w:type="dxa"/>
              <w:end w:w="90" w:type="dxa"/>
            </w:tcMar>
            <w:vAlign w:val="center"/>
          </w:tcPr>
          <w:p>
            <w:pPr>
              <w:spacing w:after="20"/>
            </w:pPr>
            <w:r>
              <w:rPr>
                <w:sz w:val="13"/>
              </w:rPr>
              <w:t>pgsql_db_context</w:t>
            </w:r>
          </w:p>
        </w:tc>
        <w:tc>
          <w:tcPr>
            <w:tcW w:type="dxa" w:w="1440"/>
            <w:tcMar>
              <w:top w:w="90" w:type="dxa"/>
              <w:start w:w="90" w:type="dxa"/>
              <w:bottom w:w="90" w:type="dxa"/>
              <w:end w:w="90" w:type="dxa"/>
            </w:tcMar>
            <w:vAlign w:val="center"/>
          </w:tcPr>
          <w:p>
            <w:pPr>
              <w:spacing w:after="20"/>
            </w:pPr>
            <w:r>
              <w:rPr>
                <w:sz w:val="13"/>
              </w:rPr>
              <w:t>Read</w:t>
            </w:r>
          </w:p>
        </w:tc>
        <w:tc>
          <w:tcPr>
            <w:tcW w:type="dxa" w:w="2592"/>
            <w:tcMar>
              <w:top w:w="90" w:type="dxa"/>
              <w:start w:w="90" w:type="dxa"/>
              <w:bottom w:w="90" w:type="dxa"/>
              <w:end w:w="90" w:type="dxa"/>
            </w:tcMar>
            <w:vAlign w:val="center"/>
          </w:tcPr>
          <w:p>
            <w:pPr>
              <w:spacing w:after="20"/>
            </w:pPr>
            <w:r>
              <w:rPr>
                <w:sz w:val="13"/>
              </w:rPr>
              <w:t>Schema, objects, grants and metadata</w:t>
            </w:r>
          </w:p>
        </w:tc>
        <w:tc>
          <w:tcPr>
            <w:tcW w:type="dxa" w:w="3312"/>
            <w:tcMar>
              <w:top w:w="90" w:type="dxa"/>
              <w:start w:w="90" w:type="dxa"/>
              <w:bottom w:w="90" w:type="dxa"/>
              <w:end w:w="90" w:type="dxa"/>
            </w:tcMar>
            <w:vAlign w:val="center"/>
          </w:tcPr>
          <w:p>
            <w:pPr>
              <w:spacing w:after="20"/>
            </w:pPr>
            <w:r>
              <w:rPr>
                <w:sz w:val="13"/>
              </w:rPr>
              <w:t>Read-only role; minimise context</w:t>
            </w:r>
          </w:p>
        </w:tc>
      </w:tr>
      <w:tr>
        <w:trPr>
          <w:cantSplit/>
        </w:trPr>
        <w:tc>
          <w:tcPr>
            <w:tcW w:type="dxa" w:w="2016"/>
            <w:tcMar>
              <w:top w:w="90" w:type="dxa"/>
              <w:start w:w="90" w:type="dxa"/>
              <w:bottom w:w="90" w:type="dxa"/>
              <w:end w:w="90" w:type="dxa"/>
            </w:tcMar>
            <w:vAlign w:val="center"/>
            <w:shd w:fill="F3F6F8"/>
          </w:tcPr>
          <w:p>
            <w:pPr>
              <w:spacing w:after="20"/>
            </w:pPr>
            <w:r>
              <w:rPr>
                <w:sz w:val="13"/>
              </w:rPr>
              <w:t>pgsql_query</w:t>
            </w:r>
          </w:p>
        </w:tc>
        <w:tc>
          <w:tcPr>
            <w:tcW w:type="dxa" w:w="1440"/>
            <w:tcMar>
              <w:top w:w="90" w:type="dxa"/>
              <w:start w:w="90" w:type="dxa"/>
              <w:bottom w:w="90" w:type="dxa"/>
              <w:end w:w="90" w:type="dxa"/>
            </w:tcMar>
            <w:vAlign w:val="center"/>
            <w:shd w:fill="F3F6F8"/>
          </w:tcPr>
          <w:p>
            <w:pPr>
              <w:spacing w:after="20"/>
            </w:pPr>
            <w:r>
              <w:rPr>
                <w:sz w:val="13"/>
              </w:rPr>
              <w:t>Read or write by SQL</w:t>
            </w:r>
          </w:p>
        </w:tc>
        <w:tc>
          <w:tcPr>
            <w:tcW w:type="dxa" w:w="2592"/>
            <w:tcMar>
              <w:top w:w="90" w:type="dxa"/>
              <w:start w:w="90" w:type="dxa"/>
              <w:bottom w:w="90" w:type="dxa"/>
              <w:end w:w="90" w:type="dxa"/>
            </w:tcMar>
            <w:vAlign w:val="center"/>
            <w:shd w:fill="F3F6F8"/>
          </w:tcPr>
          <w:p>
            <w:pPr>
              <w:spacing w:after="20"/>
            </w:pPr>
            <w:r>
              <w:rPr>
                <w:sz w:val="13"/>
              </w:rPr>
              <w:t>Queries and results</w:t>
            </w:r>
          </w:p>
        </w:tc>
        <w:tc>
          <w:tcPr>
            <w:tcW w:type="dxa" w:w="3312"/>
            <w:tcMar>
              <w:top w:w="90" w:type="dxa"/>
              <w:start w:w="90" w:type="dxa"/>
              <w:bottom w:w="90" w:type="dxa"/>
              <w:end w:w="90" w:type="dxa"/>
            </w:tcMar>
            <w:vAlign w:val="center"/>
            <w:shd w:fill="F3F6F8"/>
          </w:tcPr>
          <w:p>
            <w:pPr>
              <w:spacing w:after="20"/>
            </w:pPr>
            <w:r>
              <w:rPr>
                <w:sz w:val="13"/>
              </w:rPr>
              <w:t>Allowlisted SQL policy and database audit</w:t>
            </w:r>
          </w:p>
        </w:tc>
      </w:tr>
      <w:tr>
        <w:trPr>
          <w:cantSplit/>
        </w:trPr>
        <w:tc>
          <w:tcPr>
            <w:tcW w:type="dxa" w:w="2016"/>
            <w:tcMar>
              <w:top w:w="90" w:type="dxa"/>
              <w:start w:w="90" w:type="dxa"/>
              <w:bottom w:w="90" w:type="dxa"/>
              <w:end w:w="90" w:type="dxa"/>
            </w:tcMar>
            <w:vAlign w:val="center"/>
          </w:tcPr>
          <w:p>
            <w:pPr>
              <w:spacing w:after="20"/>
            </w:pPr>
            <w:r>
              <w:rPr>
                <w:sz w:val="13"/>
              </w:rPr>
              <w:t>pgsql_modify</w:t>
            </w:r>
          </w:p>
        </w:tc>
        <w:tc>
          <w:tcPr>
            <w:tcW w:type="dxa" w:w="1440"/>
            <w:tcMar>
              <w:top w:w="90" w:type="dxa"/>
              <w:start w:w="90" w:type="dxa"/>
              <w:bottom w:w="90" w:type="dxa"/>
              <w:end w:w="90" w:type="dxa"/>
            </w:tcMar>
            <w:vAlign w:val="center"/>
          </w:tcPr>
          <w:p>
            <w:pPr>
              <w:spacing w:after="20"/>
            </w:pPr>
            <w:r>
              <w:rPr>
                <w:sz w:val="13"/>
              </w:rPr>
              <w:t>DDL/DML</w:t>
            </w:r>
          </w:p>
        </w:tc>
        <w:tc>
          <w:tcPr>
            <w:tcW w:type="dxa" w:w="2592"/>
            <w:tcMar>
              <w:top w:w="90" w:type="dxa"/>
              <w:start w:w="90" w:type="dxa"/>
              <w:bottom w:w="90" w:type="dxa"/>
              <w:end w:w="90" w:type="dxa"/>
            </w:tcMar>
            <w:vAlign w:val="center"/>
          </w:tcPr>
          <w:p>
            <w:pPr>
              <w:spacing w:after="20"/>
            </w:pPr>
            <w:r>
              <w:rPr>
                <w:sz w:val="13"/>
              </w:rPr>
              <w:t>Schema and data integrity</w:t>
            </w:r>
          </w:p>
        </w:tc>
        <w:tc>
          <w:tcPr>
            <w:tcW w:type="dxa" w:w="3312"/>
            <w:tcMar>
              <w:top w:w="90" w:type="dxa"/>
              <w:start w:w="90" w:type="dxa"/>
              <w:bottom w:w="90" w:type="dxa"/>
              <w:end w:w="90" w:type="dxa"/>
            </w:tcMar>
            <w:vAlign w:val="center"/>
          </w:tcPr>
          <w:p>
            <w:pPr>
              <w:spacing w:after="20"/>
            </w:pPr>
            <w:r>
              <w:rPr>
                <w:sz w:val="13"/>
              </w:rPr>
              <w:t>Disabled by default; timely statement confirmation</w:t>
            </w:r>
          </w:p>
        </w:tc>
      </w:tr>
      <w:tr>
        <w:trPr>
          <w:cantSplit/>
        </w:trPr>
        <w:tc>
          <w:tcPr>
            <w:tcW w:type="dxa" w:w="2016"/>
            <w:tcMar>
              <w:top w:w="90" w:type="dxa"/>
              <w:start w:w="90" w:type="dxa"/>
              <w:bottom w:w="90" w:type="dxa"/>
              <w:end w:w="90" w:type="dxa"/>
            </w:tcMar>
            <w:vAlign w:val="center"/>
            <w:shd w:fill="F3F6F8"/>
          </w:tcPr>
          <w:p>
            <w:pPr>
              <w:spacing w:after="20"/>
            </w:pPr>
            <w:r>
              <w:rPr>
                <w:sz w:val="13"/>
              </w:rPr>
              <w:t>pgsql_bulk_load_csv</w:t>
            </w:r>
          </w:p>
        </w:tc>
        <w:tc>
          <w:tcPr>
            <w:tcW w:type="dxa" w:w="1440"/>
            <w:tcMar>
              <w:top w:w="90" w:type="dxa"/>
              <w:start w:w="90" w:type="dxa"/>
              <w:bottom w:w="90" w:type="dxa"/>
              <w:end w:w="90" w:type="dxa"/>
            </w:tcMar>
            <w:vAlign w:val="center"/>
            <w:shd w:fill="F3F6F8"/>
          </w:tcPr>
          <w:p>
            <w:pPr>
              <w:spacing w:after="20"/>
            </w:pPr>
            <w:r>
              <w:rPr>
                <w:sz w:val="13"/>
              </w:rPr>
              <w:t>File plus write</w:t>
            </w:r>
          </w:p>
        </w:tc>
        <w:tc>
          <w:tcPr>
            <w:tcW w:type="dxa" w:w="2592"/>
            <w:tcMar>
              <w:top w:w="90" w:type="dxa"/>
              <w:start w:w="90" w:type="dxa"/>
              <w:bottom w:w="90" w:type="dxa"/>
              <w:end w:w="90" w:type="dxa"/>
            </w:tcMar>
            <w:vAlign w:val="center"/>
            <w:shd w:fill="F3F6F8"/>
          </w:tcPr>
          <w:p>
            <w:pPr>
              <w:spacing w:after="20"/>
            </w:pPr>
            <w:r>
              <w:rPr>
                <w:sz w:val="13"/>
              </w:rPr>
              <w:t>Local path, CSV content, database rows</w:t>
            </w:r>
          </w:p>
        </w:tc>
        <w:tc>
          <w:tcPr>
            <w:tcW w:type="dxa" w:w="3312"/>
            <w:tcMar>
              <w:top w:w="90" w:type="dxa"/>
              <w:start w:w="90" w:type="dxa"/>
              <w:bottom w:w="90" w:type="dxa"/>
              <w:end w:w="90" w:type="dxa"/>
            </w:tcMar>
            <w:vAlign w:val="center"/>
            <w:shd w:fill="F3F6F8"/>
          </w:tcPr>
          <w:p>
            <w:pPr>
              <w:spacing w:after="20"/>
            </w:pPr>
            <w:r>
              <w:rPr>
                <w:sz w:val="13"/>
              </w:rPr>
              <w:t>Approved directory/schema; size and type limits</w:t>
            </w:r>
          </w:p>
        </w:tc>
      </w:tr>
      <w:tr>
        <w:trPr>
          <w:cantSplit/>
        </w:trPr>
        <w:tc>
          <w:tcPr>
            <w:tcW w:type="dxa" w:w="2016"/>
            <w:tcMar>
              <w:top w:w="90" w:type="dxa"/>
              <w:start w:w="90" w:type="dxa"/>
              <w:bottom w:w="90" w:type="dxa"/>
              <w:end w:w="90" w:type="dxa"/>
            </w:tcMar>
            <w:vAlign w:val="center"/>
          </w:tcPr>
          <w:p>
            <w:pPr>
              <w:spacing w:after="20"/>
            </w:pPr>
            <w:r>
              <w:rPr>
                <w:sz w:val="13"/>
              </w:rPr>
              <w:t>dashboard context/data</w:t>
            </w:r>
          </w:p>
        </w:tc>
        <w:tc>
          <w:tcPr>
            <w:tcW w:type="dxa" w:w="1440"/>
            <w:tcMar>
              <w:top w:w="90" w:type="dxa"/>
              <w:start w:w="90" w:type="dxa"/>
              <w:bottom w:w="90" w:type="dxa"/>
              <w:end w:w="90" w:type="dxa"/>
            </w:tcMar>
            <w:vAlign w:val="center"/>
          </w:tcPr>
          <w:p>
            <w:pPr>
              <w:spacing w:after="20"/>
            </w:pPr>
            <w:r>
              <w:rPr>
                <w:sz w:val="13"/>
              </w:rPr>
              <w:t>Operational read</w:t>
            </w:r>
          </w:p>
        </w:tc>
        <w:tc>
          <w:tcPr>
            <w:tcW w:type="dxa" w:w="2592"/>
            <w:tcMar>
              <w:top w:w="90" w:type="dxa"/>
              <w:start w:w="90" w:type="dxa"/>
              <w:bottom w:w="90" w:type="dxa"/>
              <w:end w:w="90" w:type="dxa"/>
            </w:tcMar>
            <w:vAlign w:val="center"/>
          </w:tcPr>
          <w:p>
            <w:pPr>
              <w:spacing w:after="20"/>
            </w:pPr>
            <w:r>
              <w:rPr>
                <w:sz w:val="13"/>
              </w:rPr>
              <w:t>Metrics, sessions and workload details</w:t>
            </w:r>
          </w:p>
        </w:tc>
        <w:tc>
          <w:tcPr>
            <w:tcW w:type="dxa" w:w="3312"/>
            <w:tcMar>
              <w:top w:w="90" w:type="dxa"/>
              <w:start w:w="90" w:type="dxa"/>
              <w:bottom w:w="90" w:type="dxa"/>
              <w:end w:w="90" w:type="dxa"/>
            </w:tcMar>
            <w:vAlign w:val="center"/>
          </w:tcPr>
          <w:p>
            <w:pPr>
              <w:spacing w:after="20"/>
            </w:pPr>
            <w:r>
              <w:rPr>
                <w:sz w:val="13"/>
              </w:rPr>
              <w:t>Read-only monitoring role</w:t>
            </w:r>
          </w:p>
        </w:tc>
      </w:tr>
      <w:tr>
        <w:trPr>
          <w:cantSplit/>
        </w:trPr>
        <w:tc>
          <w:tcPr>
            <w:tcW w:type="dxa" w:w="2016"/>
            <w:tcMar>
              <w:top w:w="90" w:type="dxa"/>
              <w:start w:w="90" w:type="dxa"/>
              <w:bottom w:w="90" w:type="dxa"/>
              <w:end w:w="90" w:type="dxa"/>
            </w:tcMar>
            <w:vAlign w:val="center"/>
            <w:shd w:fill="F3F6F8"/>
          </w:tcPr>
          <w:p>
            <w:pPr>
              <w:spacing w:after="20"/>
            </w:pPr>
            <w:r>
              <w:rPr>
                <w:sz w:val="13"/>
              </w:rPr>
              <w:t>query plan / visualise schema</w:t>
            </w:r>
          </w:p>
        </w:tc>
        <w:tc>
          <w:tcPr>
            <w:tcW w:type="dxa" w:w="1440"/>
            <w:tcMar>
              <w:top w:w="90" w:type="dxa"/>
              <w:start w:w="90" w:type="dxa"/>
              <w:bottom w:w="90" w:type="dxa"/>
              <w:end w:w="90" w:type="dxa"/>
            </w:tcMar>
            <w:vAlign w:val="center"/>
            <w:shd w:fill="F3F6F8"/>
          </w:tcPr>
          <w:p>
            <w:pPr>
              <w:spacing w:after="20"/>
            </w:pPr>
            <w:r>
              <w:rPr>
                <w:sz w:val="13"/>
              </w:rPr>
              <w:t>Read/analysis</w:t>
            </w:r>
          </w:p>
        </w:tc>
        <w:tc>
          <w:tcPr>
            <w:tcW w:type="dxa" w:w="2592"/>
            <w:tcMar>
              <w:top w:w="90" w:type="dxa"/>
              <w:start w:w="90" w:type="dxa"/>
              <w:bottom w:w="90" w:type="dxa"/>
              <w:end w:w="90" w:type="dxa"/>
            </w:tcMar>
            <w:vAlign w:val="center"/>
            <w:shd w:fill="F3F6F8"/>
          </w:tcPr>
          <w:p>
            <w:pPr>
              <w:spacing w:after="20"/>
            </w:pPr>
            <w:r>
              <w:rPr>
                <w:sz w:val="13"/>
              </w:rPr>
              <w:t>Queries, plans and schema topology</w:t>
            </w:r>
          </w:p>
        </w:tc>
        <w:tc>
          <w:tcPr>
            <w:tcW w:type="dxa" w:w="3312"/>
            <w:tcMar>
              <w:top w:w="90" w:type="dxa"/>
              <w:start w:w="90" w:type="dxa"/>
              <w:bottom w:w="90" w:type="dxa"/>
              <w:end w:w="90" w:type="dxa"/>
            </w:tcMar>
            <w:vAlign w:val="center"/>
            <w:shd w:fill="F3F6F8"/>
          </w:tcPr>
          <w:p>
            <w:pPr>
              <w:spacing w:after="20"/>
            </w:pPr>
            <w:r>
              <w:rPr>
                <w:sz w:val="13"/>
              </w:rPr>
              <w:t>Minimise prompt data; no production pilot</w:t>
            </w:r>
          </w:p>
        </w:tc>
      </w:tr>
      <w:tr>
        <w:trPr>
          <w:cantSplit/>
        </w:trPr>
        <w:tc>
          <w:tcPr>
            <w:tcW w:type="dxa" w:w="2016"/>
            <w:tcMar>
              <w:top w:w="90" w:type="dxa"/>
              <w:start w:w="90" w:type="dxa"/>
              <w:bottom w:w="90" w:type="dxa"/>
              <w:end w:w="90" w:type="dxa"/>
            </w:tcMar>
            <w:vAlign w:val="center"/>
          </w:tcPr>
          <w:p>
            <w:pPr>
              <w:spacing w:after="20"/>
            </w:pPr>
            <w:r>
              <w:rPr>
                <w:sz w:val="13"/>
              </w:rPr>
              <w:t>migration tools</w:t>
            </w:r>
          </w:p>
        </w:tc>
        <w:tc>
          <w:tcPr>
            <w:tcW w:type="dxa" w:w="1440"/>
            <w:tcMar>
              <w:top w:w="90" w:type="dxa"/>
              <w:start w:w="90" w:type="dxa"/>
              <w:bottom w:w="90" w:type="dxa"/>
              <w:end w:w="90" w:type="dxa"/>
            </w:tcMar>
            <w:vAlign w:val="center"/>
          </w:tcPr>
          <w:p>
            <w:pPr>
              <w:spacing w:after="20"/>
            </w:pPr>
            <w:r>
              <w:rPr>
                <w:sz w:val="13"/>
              </w:rPr>
              <w:t>Code/data transformation</w:t>
            </w:r>
          </w:p>
        </w:tc>
        <w:tc>
          <w:tcPr>
            <w:tcW w:type="dxa" w:w="2592"/>
            <w:tcMar>
              <w:top w:w="90" w:type="dxa"/>
              <w:start w:w="90" w:type="dxa"/>
              <w:bottom w:w="90" w:type="dxa"/>
              <w:end w:w="90" w:type="dxa"/>
            </w:tcMar>
            <w:vAlign w:val="center"/>
          </w:tcPr>
          <w:p>
            <w:pPr>
              <w:spacing w:after="20"/>
            </w:pPr>
            <w:r>
              <w:rPr>
                <w:sz w:val="13"/>
              </w:rPr>
              <w:t>Oracle schema/application source and reports</w:t>
            </w:r>
          </w:p>
        </w:tc>
        <w:tc>
          <w:tcPr>
            <w:tcW w:type="dxa" w:w="3312"/>
            <w:tcMar>
              <w:top w:w="90" w:type="dxa"/>
              <w:start w:w="90" w:type="dxa"/>
              <w:bottom w:w="90" w:type="dxa"/>
              <w:end w:w="90" w:type="dxa"/>
            </w:tcMar>
            <w:vAlign w:val="center"/>
          </w:tcPr>
          <w:p>
            <w:pPr>
              <w:spacing w:after="20"/>
            </w:pPr>
            <w:r>
              <w:rPr>
                <w:sz w:val="13"/>
              </w:rPr>
              <w:t>Separate non-production migration approval</w:t>
            </w:r>
          </w:p>
        </w:tc>
      </w:tr>
    </w:tbl>
    <w:p>
      <w:pPr>
        <w:spacing w:after="40"/>
      </w:pPr>
    </w:p>
    <w:p>
      <w:pPr>
        <w:pStyle w:val="Heading2"/>
      </w:pPr>
      <w:r>
        <w:t>VS Code Supply Chain and Dependencies</w:t>
      </w:r>
    </w:p>
    <w:p>
      <w:r>
        <w:t>Marketplace provenance is positive. Windows x64 directly contains mcp 1.26.0 inside three High advisory ranges; affected transport/feature reachability is Unknown. Assurance is also limited by opaque/minified code, a large frozen Python/native service, seven variants and universal download behavior.</w:t>
      </w:r>
    </w:p>
    <w:p>
      <w:pPr>
        <w:pStyle w:val="Heading2"/>
      </w:pPr>
      <w:r>
        <w:t>VS Code Threats and Findings</w:t>
      </w:r>
    </w:p>
    <w:p>
      <w:r>
        <w:t>Principal threats are prompt/tool injection, excessive agency, confused database identity, token/session misuse, SQL/CSV abuse, credential exposure, data exfiltration and update compromise.</w:t>
      </w:r>
    </w:p>
    <w:p>
      <w:pPr>
        <w:pStyle w:val="Heading2"/>
      </w:pPr>
      <w:r>
        <w:t>VS Code Framework Disposition</w:t>
      </w:r>
    </w:p>
    <w:p>
      <w:r>
        <w:t>OWASP LLM/Agentic/MCP, ASVS, MITRE ATLAS, NIST AI RMF/600-1, CIS, ISO, NCSC and UK privacy controls apply as mapped.</w:t>
      </w:r>
    </w:p>
    <w:p>
      <w:pPr>
        <w:pStyle w:val="Heading2"/>
      </w:pPr>
      <w:r>
        <w:t>VS Code Controls and Detection</w:t>
      </w:r>
    </w:p>
    <w:p>
      <w:r>
        <w:t>Managed disable-by-default AI, ro mode, non-production profiles, least-privilege database roles, Verify-Full TLS, exact hashes, MCP/tool restrictions and database/endpoint audit are required.</w:t>
      </w:r>
    </w:p>
    <w:p>
      <w:pPr>
        <w:pStyle w:val="Heading2"/>
      </w:pPr>
      <w:r>
        <w:t>VS Code Residual Risk</w:t>
      </w:r>
    </w:p>
    <w:p>
      <w:r>
        <w:t>High. RISK-001 through RISK-006 must close before any pilot; remaining Moderate items require accountable acceptance and monitoring.</w:t>
      </w:r>
    </w:p>
    <w:p>
      <w:pPr>
        <w:pStyle w:val="Heading2"/>
      </w:pPr>
      <w:r>
        <w:t>VS Code Confidence</w:t>
      </w:r>
    </w:p>
    <w:p>
      <w:r>
        <w:t>High for identity, version and archive bytes; Medium for manifest/dependency design; Low for actual runtime, transport, consent and cleanup.</w:t>
      </w:r>
    </w:p>
    <w:p>
      <w:pPr>
        <w:pStyle w:val="Heading2"/>
      </w:pPr>
      <w:r>
        <w:t>VS Code Limitations</w:t>
      </w:r>
    </w:p>
    <w:p>
      <w:r>
        <w:t>No activation, authentication, network capture, live database, Copilot tenant, update or uninstall; official repository is not complete source.</w:t>
      </w:r>
    </w:p>
    <w:p>
      <w:pPr>
        <w:pStyle w:val="Heading2"/>
      </w:pPr>
      <w:r>
        <w:t>VS Code Evidence</w:t>
      </w:r>
    </w:p>
    <w:p>
      <w:r>
        <w:t>Evidence EVD-001 through EVD-019 binds Marketplace, package, documentation, scanners, dependency inventory, privacy, runtime readiness and citation-correction provenance.</w:t>
      </w:r>
    </w:p>
    <w:p>
      <w:pPr>
        <w:pStyle w:val="Heading2"/>
      </w:pPr>
      <w:r>
        <w:t>VS Code Verification Procedure</w:t>
      </w:r>
    </w:p>
    <w:p>
      <w:r>
        <w:t>Use exact local hashes in disposable managed endpoints, synthetic database/tenant, controlled egress and before/after capture. Exercise every negative case before approval.</w:t>
      </w:r>
    </w:p>
    <w:p>
      <w:pPr>
        <w:pStyle w:val="Heading1"/>
      </w:pPr>
      <w:r>
        <w:t>Part II - Microsoft Visual Studio Assessment</w:t>
      </w:r>
    </w:p>
    <w:p>
      <w:pPr>
        <w:pStyle w:val="Heading2"/>
      </w:pPr>
      <w:r>
        <w:t>Visual Studio Executive Decision</w:t>
      </w:r>
    </w:p>
    <w:p>
      <w:r>
        <w:t>Not applicable. The exact official target is a VS Code extension and no Microsoft Visual Studio approval is granted.</w:t>
      </w:r>
    </w:p>
    <w:p>
      <w:pPr>
        <w:pStyle w:val="Heading2"/>
      </w:pPr>
      <w:r>
        <w:t>Visual Studio Purpose and Function</w:t>
      </w:r>
    </w:p>
    <w:p>
      <w:r>
        <w:t>No supported Microsoft Visual Studio function was identified for this package.</w:t>
      </w:r>
    </w:p>
    <w:p>
      <w:pPr>
        <w:pStyle w:val="Heading2"/>
      </w:pPr>
      <w:r>
        <w:t>Visual Studio Architecture</w:t>
      </w:r>
    </w:p>
    <w:p>
      <w:r>
        <w:t>No Visual Studio VSIX, MEF, service, registry or package architecture applies.</w:t>
      </w:r>
    </w:p>
    <w:p>
      <w:pPr>
        <w:pStyle w:val="Heading2"/>
      </w:pPr>
      <w:r>
        <w:t>Visual Studio Trust Boundaries</w:t>
      </w:r>
    </w:p>
    <w:p>
      <w:r>
        <w:t>VS Code boundaries cannot be transplanted. Any future Visual Studio artefact needs a new identity and trust-boundary assessment.</w:t>
      </w:r>
    </w:p>
    <w:p>
      <w:pPr>
        <w:pStyle w:val="Heading2"/>
      </w:pPr>
      <w:r>
        <w:t>Visual Studio Data Flows</w:t>
      </w:r>
    </w:p>
    <w:p>
      <w:r>
        <w:t>Not applicable for this package.</w:t>
      </w:r>
    </w:p>
    <w:p>
      <w:pPr>
        <w:pStyle w:val="Heading2"/>
      </w:pPr>
      <w:r>
        <w:t>Visual Studio Installation Manifest and Uninstall</w:t>
      </w:r>
    </w:p>
    <w:p>
      <w:r>
        <w:t>Do not force-install or repackage the VS Code VSIX. Installation and residue are Not applicable.</w:t>
      </w:r>
    </w:p>
    <w:p>
      <w:pPr>
        <w:pStyle w:val="Heading2"/>
      </w:pPr>
      <w:r>
        <w:t>Visual Studio Runtime and Activation</w:t>
      </w:r>
    </w:p>
    <w:p>
      <w:r>
        <w:t>Not applicable; no execution occurred.</w:t>
      </w:r>
    </w:p>
    <w:p>
      <w:pPr>
        <w:pStyle w:val="Heading2"/>
      </w:pPr>
      <w:r>
        <w:t>Visual Studio Network</w:t>
      </w:r>
    </w:p>
    <w:p>
      <w:r>
        <w:t>Not applicable to this package.</w:t>
      </w:r>
    </w:p>
    <w:p>
      <w:pPr>
        <w:pStyle w:val="Heading2"/>
      </w:pPr>
      <w:r>
        <w:t>Visual Studio Authentication</w:t>
      </w:r>
    </w:p>
    <w:p>
      <w:r>
        <w:t>Not applicable; a different Visual Studio product would require independent credential evidence.</w:t>
      </w:r>
    </w:p>
    <w:p>
      <w:pPr>
        <w:pStyle w:val="Heading2"/>
      </w:pPr>
      <w:r>
        <w:t>Visual Studio Telemetry</w:t>
      </w:r>
    </w:p>
    <w:p>
      <w:r>
        <w:t>Not applicable to this package.</w:t>
      </w:r>
    </w:p>
    <w:p>
      <w:pPr>
        <w:pStyle w:val="Heading2"/>
      </w:pPr>
      <w:r>
        <w:t>Visual Studio Privacy</w:t>
      </w:r>
    </w:p>
    <w:p>
      <w:r>
        <w:t>Not applicable product-specifically; organizational AI/database privacy governance still applies.</w:t>
      </w:r>
    </w:p>
    <w:p>
      <w:pPr>
        <w:pStyle w:val="Heading2"/>
      </w:pPr>
      <w:r>
        <w:t>Visual Studio MCP and Agent Skills</w:t>
      </w:r>
    </w:p>
    <w:p>
      <w:r>
        <w:t>Not applicable. Do not assume VS Code MCP tools or host skills are portable.</w:t>
      </w:r>
    </w:p>
    <w:p>
      <w:pPr>
        <w:pStyle w:val="Heading2"/>
      </w:pPr>
      <w:r>
        <w:t>Visual Studio Supply Chain and Dependencies</w:t>
      </w:r>
    </w:p>
    <w:p>
      <w:r>
        <w:t>Not applicable to the target bytes. Similarly named third-party products have separate publishers and updates.</w:t>
      </w:r>
    </w:p>
    <w:p>
      <w:pPr>
        <w:pStyle w:val="Heading2"/>
      </w:pPr>
      <w:r>
        <w:t>Visual Studio Threats and Findings</w:t>
      </w:r>
    </w:p>
    <w:p>
      <w:r>
        <w:t>Identity confusion is the primary concern: this report must not be used to approve another product.</w:t>
      </w:r>
    </w:p>
    <w:p>
      <w:pPr>
        <w:pStyle w:val="Heading2"/>
      </w:pPr>
      <w:r>
        <w:t>Visual Studio Framework Disposition</w:t>
      </w:r>
    </w:p>
    <w:p>
      <w:r>
        <w:t>Product-specific mappings are Not applicable; enterprise-wide frameworks remain governing context.</w:t>
      </w:r>
    </w:p>
    <w:p>
      <w:pPr>
        <w:pStyle w:val="Heading2"/>
      </w:pPr>
      <w:r>
        <w:t>Visual Studio Controls and Detection</w:t>
      </w:r>
    </w:p>
    <w:p>
      <w:r>
        <w:t>Use exact publisher/identifier allowlists and block unassessed similarly named products.</w:t>
      </w:r>
    </w:p>
    <w:p>
      <w:pPr>
        <w:pStyle w:val="Heading2"/>
      </w:pPr>
      <w:r>
        <w:t>Visual Studio Residual Risk</w:t>
      </w:r>
    </w:p>
    <w:p>
      <w:r>
        <w:t>No approval decision exists because the package is unsupported. Status: Not applicable.</w:t>
      </w:r>
    </w:p>
    <w:p>
      <w:pPr>
        <w:pStyle w:val="Heading2"/>
      </w:pPr>
      <w:r>
        <w:t>Visual Studio Confidence</w:t>
      </w:r>
    </w:p>
    <w:p>
      <w:r>
        <w:t>High confidence in the incompatibility conclusion from package identity and Marketplace type.</w:t>
      </w:r>
    </w:p>
    <w:p>
      <w:pPr>
        <w:pStyle w:val="Heading2"/>
      </w:pPr>
      <w:r>
        <w:t>Visual Studio Limitations</w:t>
      </w:r>
    </w:p>
    <w:p>
      <w:r>
        <w:t>No Microsoft Visual Studio artefact was proposed or assessed.</w:t>
      </w:r>
    </w:p>
    <w:p>
      <w:pPr>
        <w:pStyle w:val="Heading2"/>
      </w:pPr>
      <w:r>
        <w:t>Visual Studio Evidence</w:t>
      </w:r>
    </w:p>
    <w:p>
      <w:r>
        <w:t>Marketplace and package metadata establish VS Code identity; no Visual Studio package evidence exists.</w:t>
      </w:r>
    </w:p>
    <w:p>
      <w:pPr>
        <w:pStyle w:val="Heading2"/>
      </w:pPr>
      <w:r>
        <w:t>Visual Studio Verification Procedure</w:t>
      </w:r>
    </w:p>
    <w:p>
      <w:r>
        <w:t>Start a new assessment if an official or third-party Visual Studio artefact is proposed.</w:t>
      </w:r>
    </w:p>
    <w:tbl>
      <w:tblPr>
        <w:tblStyle w:val="TableGrid"/>
        <w:tblW w:type="auto" w:w="0"/>
        <w:jc w:val="center"/>
        <w:tblLayout w:type="fixed"/>
        <w:tblLook w:firstColumn="1" w:firstRow="1" w:lastColumn="0" w:lastRow="0" w:noHBand="0" w:noVBand="1" w:val="04A0"/>
      </w:tblPr>
      <w:tblGrid>
        <w:gridCol w:w="1584"/>
        <w:gridCol w:w="1872"/>
        <w:gridCol w:w="3744"/>
        <w:gridCol w:w="2160"/>
      </w:tblGrid>
      <w:tr>
        <w:trPr>
          <w:tblHeader/>
        </w:trPr>
        <w:tc>
          <w:tcPr>
            <w:tcW w:type="dxa" w:w="1584"/>
            <w:shd w:fill="17365D"/>
            <w:tcMar>
              <w:top w:w="90" w:type="dxa"/>
              <w:start w:w="90" w:type="dxa"/>
              <w:bottom w:w="90" w:type="dxa"/>
              <w:end w:w="90" w:type="dxa"/>
            </w:tcMar>
          </w:tcPr>
          <w:p>
            <w:r>
              <w:rPr>
                <w:b/>
                <w:color w:val="FFFFFF"/>
                <w:sz w:val="14"/>
              </w:rPr>
              <w:t>IDE</w:t>
            </w:r>
          </w:p>
        </w:tc>
        <w:tc>
          <w:tcPr>
            <w:tcW w:type="dxa" w:w="1872"/>
            <w:shd w:fill="17365D"/>
            <w:tcMar>
              <w:top w:w="90" w:type="dxa"/>
              <w:start w:w="90" w:type="dxa"/>
              <w:bottom w:w="90" w:type="dxa"/>
              <w:end w:w="90" w:type="dxa"/>
            </w:tcMar>
          </w:tcPr>
          <w:p>
            <w:r>
              <w:rPr>
                <w:b/>
                <w:color w:val="FFFFFF"/>
                <w:sz w:val="14"/>
              </w:rPr>
              <w:t>Official support</w:t>
            </w:r>
          </w:p>
        </w:tc>
        <w:tc>
          <w:tcPr>
            <w:tcW w:type="dxa" w:w="3744"/>
            <w:shd w:fill="17365D"/>
            <w:tcMar>
              <w:top w:w="90" w:type="dxa"/>
              <w:start w:w="90" w:type="dxa"/>
              <w:bottom w:w="90" w:type="dxa"/>
              <w:end w:w="90" w:type="dxa"/>
            </w:tcMar>
          </w:tcPr>
          <w:p>
            <w:r>
              <w:rPr>
                <w:b/>
                <w:color w:val="FFFFFF"/>
                <w:sz w:val="14"/>
              </w:rPr>
              <w:t>Package assessed</w:t>
            </w:r>
          </w:p>
        </w:tc>
        <w:tc>
          <w:tcPr>
            <w:tcW w:type="dxa" w:w="2160"/>
            <w:shd w:fill="17365D"/>
            <w:tcMar>
              <w:top w:w="90" w:type="dxa"/>
              <w:start w:w="90" w:type="dxa"/>
              <w:bottom w:w="90" w:type="dxa"/>
              <w:end w:w="90" w:type="dxa"/>
            </w:tcMar>
          </w:tcPr>
          <w:p>
            <w:r>
              <w:rPr>
                <w:b/>
                <w:color w:val="FFFFFF"/>
                <w:sz w:val="14"/>
              </w:rPr>
              <w:t>Decision</w:t>
            </w:r>
          </w:p>
        </w:tc>
      </w:tr>
      <w:tr>
        <w:trPr>
          <w:cantSplit/>
        </w:trPr>
        <w:tc>
          <w:tcPr>
            <w:tcW w:type="dxa" w:w="1584"/>
            <w:tcMar>
              <w:top w:w="90" w:type="dxa"/>
              <w:start w:w="90" w:type="dxa"/>
              <w:bottom w:w="90" w:type="dxa"/>
              <w:end w:w="90" w:type="dxa"/>
            </w:tcMar>
            <w:vAlign w:val="center"/>
          </w:tcPr>
          <w:p>
            <w:pPr>
              <w:spacing w:after="20"/>
            </w:pPr>
            <w:r>
              <w:rPr>
                <w:sz w:val="14"/>
              </w:rPr>
              <w:t>VS Code</w:t>
            </w:r>
          </w:p>
        </w:tc>
        <w:tc>
          <w:tcPr>
            <w:tcW w:type="dxa" w:w="1872"/>
            <w:tcMar>
              <w:top w:w="90" w:type="dxa"/>
              <w:start w:w="90" w:type="dxa"/>
              <w:bottom w:w="90" w:type="dxa"/>
              <w:end w:w="90" w:type="dxa"/>
            </w:tcMar>
            <w:vAlign w:val="center"/>
          </w:tcPr>
          <w:p>
            <w:pPr>
              <w:spacing w:after="20"/>
            </w:pPr>
            <w:r>
              <w:rPr>
                <w:sz w:val="14"/>
              </w:rPr>
              <w:t>Yes</w:t>
            </w:r>
          </w:p>
        </w:tc>
        <w:tc>
          <w:tcPr>
            <w:tcW w:type="dxa" w:w="3744"/>
            <w:tcMar>
              <w:top w:w="90" w:type="dxa"/>
              <w:start w:w="90" w:type="dxa"/>
              <w:bottom w:w="90" w:type="dxa"/>
              <w:end w:w="90" w:type="dxa"/>
            </w:tcMar>
            <w:vAlign w:val="center"/>
          </w:tcPr>
          <w:p>
            <w:pPr>
              <w:spacing w:after="20"/>
            </w:pPr>
            <w:r>
              <w:rPr>
                <w:sz w:val="14"/>
              </w:rPr>
              <w:t>Seven Microsoft PostgreSQL 1.26.0 variants</w:t>
            </w:r>
          </w:p>
        </w:tc>
        <w:tc>
          <w:tcPr>
            <w:tcW w:type="dxa" w:w="2160"/>
            <w:tcMar>
              <w:top w:w="90" w:type="dxa"/>
              <w:start w:w="90" w:type="dxa"/>
              <w:bottom w:w="90" w:type="dxa"/>
              <w:end w:w="90" w:type="dxa"/>
            </w:tcMar>
            <w:vAlign w:val="center"/>
          </w:tcPr>
          <w:p>
            <w:pPr>
              <w:spacing w:after="20"/>
            </w:pPr>
            <w:r>
              <w:rPr>
                <w:sz w:val="14"/>
              </w:rPr>
              <w:t>Defer pending evidence</w:t>
            </w:r>
          </w:p>
        </w:tc>
      </w:tr>
      <w:tr>
        <w:trPr>
          <w:cantSplit/>
        </w:trPr>
        <w:tc>
          <w:tcPr>
            <w:tcW w:type="dxa" w:w="1584"/>
            <w:tcMar>
              <w:top w:w="90" w:type="dxa"/>
              <w:start w:w="90" w:type="dxa"/>
              <w:bottom w:w="90" w:type="dxa"/>
              <w:end w:w="90" w:type="dxa"/>
            </w:tcMar>
            <w:vAlign w:val="center"/>
            <w:shd w:fill="F3F6F8"/>
          </w:tcPr>
          <w:p>
            <w:pPr>
              <w:spacing w:after="20"/>
            </w:pPr>
            <w:r>
              <w:rPr>
                <w:sz w:val="14"/>
              </w:rPr>
              <w:t>Microsoft Visual Studio</w:t>
            </w:r>
          </w:p>
        </w:tc>
        <w:tc>
          <w:tcPr>
            <w:tcW w:type="dxa" w:w="1872"/>
            <w:tcMar>
              <w:top w:w="90" w:type="dxa"/>
              <w:start w:w="90" w:type="dxa"/>
              <w:bottom w:w="90" w:type="dxa"/>
              <w:end w:w="90" w:type="dxa"/>
            </w:tcMar>
            <w:vAlign w:val="center"/>
            <w:shd w:fill="F3F6F8"/>
          </w:tcPr>
          <w:p>
            <w:pPr>
              <w:spacing w:after="20"/>
            </w:pPr>
            <w:r>
              <w:rPr>
                <w:sz w:val="14"/>
              </w:rPr>
              <w:t>No</w:t>
            </w:r>
          </w:p>
        </w:tc>
        <w:tc>
          <w:tcPr>
            <w:tcW w:type="dxa" w:w="3744"/>
            <w:tcMar>
              <w:top w:w="90" w:type="dxa"/>
              <w:start w:w="90" w:type="dxa"/>
              <w:bottom w:w="90" w:type="dxa"/>
              <w:end w:w="90" w:type="dxa"/>
            </w:tcMar>
            <w:vAlign w:val="center"/>
            <w:shd w:fill="F3F6F8"/>
          </w:tcPr>
          <w:p>
            <w:pPr>
              <w:spacing w:after="20"/>
            </w:pPr>
            <w:r>
              <w:rPr>
                <w:sz w:val="14"/>
              </w:rPr>
              <w:t>None</w:t>
            </w:r>
          </w:p>
        </w:tc>
        <w:tc>
          <w:tcPr>
            <w:tcW w:type="dxa" w:w="2160"/>
            <w:tcMar>
              <w:top w:w="90" w:type="dxa"/>
              <w:start w:w="90" w:type="dxa"/>
              <w:bottom w:w="90" w:type="dxa"/>
              <w:end w:w="90" w:type="dxa"/>
            </w:tcMar>
            <w:vAlign w:val="center"/>
            <w:shd w:fill="F3F6F8"/>
          </w:tcPr>
          <w:p>
            <w:pPr>
              <w:spacing w:after="20"/>
            </w:pPr>
            <w:r>
              <w:rPr>
                <w:sz w:val="14"/>
              </w:rPr>
              <w:t>Not applicable</w:t>
            </w:r>
          </w:p>
        </w:tc>
      </w:tr>
    </w:tbl>
    <w:p>
      <w:pPr>
        <w:spacing w:after="40"/>
      </w:pPr>
    </w:p>
    <w:p>
      <w:pPr>
        <w:pStyle w:val="Heading1"/>
      </w:pPr>
      <w:r>
        <w:t>Part III - Installed Agent Skills</w:t>
      </w:r>
    </w:p>
    <w:p>
      <w:pPr>
        <w:pStyle w:val="Heading2"/>
      </w:pPr>
      <w:r>
        <w:t>Installed Agent Skills Inventory</w:t>
      </w:r>
    </w:p>
    <w:p>
      <w:r>
        <w:t>No `SKILL.md` was observed in any of the seven VSIX packages. This is a package-byte conclusion, not a host-state conclusion, because no VS Code profile was inspected. Host-installed Agent Skills remain Unknown.</w:t>
      </w:r>
    </w:p>
    <w:tbl>
      <w:tblPr>
        <w:tblStyle w:val="TableGrid"/>
        <w:tblW w:type="auto" w:w="0"/>
        <w:jc w:val="center"/>
        <w:tblLayout w:type="fixed"/>
        <w:tblLook w:firstColumn="1" w:firstRow="1" w:lastColumn="0" w:lastRow="0" w:noHBand="0" w:noVBand="1" w:val="04A0"/>
      </w:tblPr>
      <w:tblGrid>
        <w:gridCol w:w="1728"/>
        <w:gridCol w:w="2592"/>
        <w:gridCol w:w="2160"/>
        <w:gridCol w:w="2880"/>
      </w:tblGrid>
      <w:tr>
        <w:trPr>
          <w:tblHeader/>
        </w:trPr>
        <w:tc>
          <w:tcPr>
            <w:tcW w:type="dxa" w:w="1728"/>
            <w:shd w:fill="17365D"/>
            <w:tcMar>
              <w:top w:w="90" w:type="dxa"/>
              <w:start w:w="90" w:type="dxa"/>
              <w:bottom w:w="90" w:type="dxa"/>
              <w:end w:w="90" w:type="dxa"/>
            </w:tcMar>
          </w:tcPr>
          <w:p>
            <w:r>
              <w:rPr>
                <w:b/>
                <w:color w:val="FFFFFF"/>
                <w:sz w:val="14"/>
              </w:rPr>
              <w:t>Scope</w:t>
            </w:r>
          </w:p>
        </w:tc>
        <w:tc>
          <w:tcPr>
            <w:tcW w:type="dxa" w:w="2592"/>
            <w:shd w:fill="17365D"/>
            <w:tcMar>
              <w:top w:w="90" w:type="dxa"/>
              <w:start w:w="90" w:type="dxa"/>
              <w:bottom w:w="90" w:type="dxa"/>
              <w:end w:w="90" w:type="dxa"/>
            </w:tcMar>
          </w:tcPr>
          <w:p>
            <w:r>
              <w:rPr>
                <w:b/>
                <w:color w:val="FFFFFF"/>
                <w:sz w:val="14"/>
              </w:rPr>
              <w:t>Observed</w:t>
            </w:r>
          </w:p>
        </w:tc>
        <w:tc>
          <w:tcPr>
            <w:tcW w:type="dxa" w:w="2160"/>
            <w:shd w:fill="17365D"/>
            <w:tcMar>
              <w:top w:w="90" w:type="dxa"/>
              <w:start w:w="90" w:type="dxa"/>
              <w:bottom w:w="90" w:type="dxa"/>
              <w:end w:w="90" w:type="dxa"/>
            </w:tcMar>
          </w:tcPr>
          <w:p>
            <w:r>
              <w:rPr>
                <w:b/>
                <w:color w:val="FFFFFF"/>
                <w:sz w:val="14"/>
              </w:rPr>
              <w:t>Decision</w:t>
            </w:r>
          </w:p>
        </w:tc>
        <w:tc>
          <w:tcPr>
            <w:tcW w:type="dxa" w:w="2880"/>
            <w:shd w:fill="17365D"/>
            <w:tcMar>
              <w:top w:w="90" w:type="dxa"/>
              <w:start w:w="90" w:type="dxa"/>
              <w:bottom w:w="90" w:type="dxa"/>
              <w:end w:w="90" w:type="dxa"/>
            </w:tcMar>
          </w:tcPr>
          <w:p>
            <w:r>
              <w:rPr>
                <w:b/>
                <w:color w:val="FFFFFF"/>
                <w:sz w:val="14"/>
              </w:rPr>
              <w:t>Verification</w:t>
            </w:r>
          </w:p>
        </w:tc>
      </w:tr>
      <w:tr>
        <w:trPr>
          <w:cantSplit/>
        </w:trPr>
        <w:tc>
          <w:tcPr>
            <w:tcW w:type="dxa" w:w="1728"/>
            <w:tcMar>
              <w:top w:w="90" w:type="dxa"/>
              <w:start w:w="90" w:type="dxa"/>
              <w:bottom w:w="90" w:type="dxa"/>
              <w:end w:w="90" w:type="dxa"/>
            </w:tcMar>
            <w:vAlign w:val="center"/>
          </w:tcPr>
          <w:p>
            <w:pPr>
              <w:spacing w:after="20"/>
            </w:pPr>
            <w:r>
              <w:rPr>
                <w:sz w:val="14"/>
              </w:rPr>
              <w:t>VSIX package</w:t>
            </w:r>
          </w:p>
        </w:tc>
        <w:tc>
          <w:tcPr>
            <w:tcW w:type="dxa" w:w="2592"/>
            <w:tcMar>
              <w:top w:w="90" w:type="dxa"/>
              <w:start w:w="90" w:type="dxa"/>
              <w:bottom w:w="90" w:type="dxa"/>
              <w:end w:w="90" w:type="dxa"/>
            </w:tcMar>
            <w:vAlign w:val="center"/>
          </w:tcPr>
          <w:p>
            <w:pPr>
              <w:spacing w:after="20"/>
            </w:pPr>
            <w:r>
              <w:rPr>
                <w:sz w:val="14"/>
              </w:rPr>
              <w:t>No SKILL.md in seven variants</w:t>
            </w:r>
          </w:p>
        </w:tc>
        <w:tc>
          <w:tcPr>
            <w:tcW w:type="dxa" w:w="2160"/>
            <w:tcMar>
              <w:top w:w="90" w:type="dxa"/>
              <w:start w:w="90" w:type="dxa"/>
              <w:bottom w:w="90" w:type="dxa"/>
              <w:end w:w="90" w:type="dxa"/>
            </w:tcMar>
            <w:vAlign w:val="center"/>
          </w:tcPr>
          <w:p>
            <w:pPr>
              <w:spacing w:after="20"/>
            </w:pPr>
            <w:r>
              <w:rPr>
                <w:sz w:val="14"/>
              </w:rPr>
              <w:t>None assessed/approved</w:t>
            </w:r>
          </w:p>
        </w:tc>
        <w:tc>
          <w:tcPr>
            <w:tcW w:type="dxa" w:w="2880"/>
            <w:tcMar>
              <w:top w:w="90" w:type="dxa"/>
              <w:start w:w="90" w:type="dxa"/>
              <w:bottom w:w="90" w:type="dxa"/>
              <w:end w:w="90" w:type="dxa"/>
            </w:tcMar>
            <w:vAlign w:val="center"/>
          </w:tcPr>
          <w:p>
            <w:pPr>
              <w:spacing w:after="20"/>
            </w:pPr>
            <w:r>
              <w:rPr>
                <w:sz w:val="14"/>
              </w:rPr>
              <w:t>Hash inventory</w:t>
            </w:r>
          </w:p>
        </w:tc>
      </w:tr>
      <w:tr>
        <w:trPr>
          <w:cantSplit/>
        </w:trPr>
        <w:tc>
          <w:tcPr>
            <w:tcW w:type="dxa" w:w="1728"/>
            <w:tcMar>
              <w:top w:w="90" w:type="dxa"/>
              <w:start w:w="90" w:type="dxa"/>
              <w:bottom w:w="90" w:type="dxa"/>
              <w:end w:w="90" w:type="dxa"/>
            </w:tcMar>
            <w:vAlign w:val="center"/>
            <w:shd w:fill="F3F6F8"/>
          </w:tcPr>
          <w:p>
            <w:pPr>
              <w:spacing w:after="20"/>
            </w:pPr>
            <w:r>
              <w:rPr>
                <w:sz w:val="14"/>
              </w:rPr>
              <w:t>VS Code host</w:t>
            </w:r>
          </w:p>
        </w:tc>
        <w:tc>
          <w:tcPr>
            <w:tcW w:type="dxa" w:w="2592"/>
            <w:tcMar>
              <w:top w:w="90" w:type="dxa"/>
              <w:start w:w="90" w:type="dxa"/>
              <w:bottom w:w="90" w:type="dxa"/>
              <w:end w:w="90" w:type="dxa"/>
            </w:tcMar>
            <w:vAlign w:val="center"/>
            <w:shd w:fill="F3F6F8"/>
          </w:tcPr>
          <w:p>
            <w:pPr>
              <w:spacing w:after="20"/>
            </w:pPr>
            <w:r>
              <w:rPr>
                <w:sz w:val="14"/>
              </w:rPr>
              <w:t>Not inspected</w:t>
            </w:r>
          </w:p>
        </w:tc>
        <w:tc>
          <w:tcPr>
            <w:tcW w:type="dxa" w:w="2160"/>
            <w:tcMar>
              <w:top w:w="90" w:type="dxa"/>
              <w:start w:w="90" w:type="dxa"/>
              <w:bottom w:w="90" w:type="dxa"/>
              <w:end w:w="90" w:type="dxa"/>
            </w:tcMar>
            <w:vAlign w:val="center"/>
            <w:shd w:fill="F3F6F8"/>
          </w:tcPr>
          <w:p>
            <w:pPr>
              <w:spacing w:after="20"/>
            </w:pPr>
            <w:r>
              <w:rPr>
                <w:sz w:val="14"/>
              </w:rPr>
              <w:t>Unknown</w:t>
            </w:r>
          </w:p>
        </w:tc>
        <w:tc>
          <w:tcPr>
            <w:tcW w:type="dxa" w:w="2880"/>
            <w:tcMar>
              <w:top w:w="90" w:type="dxa"/>
              <w:start w:w="90" w:type="dxa"/>
              <w:bottom w:w="90" w:type="dxa"/>
              <w:end w:w="90" w:type="dxa"/>
            </w:tcMar>
            <w:vAlign w:val="center"/>
            <w:shd w:fill="F3F6F8"/>
          </w:tcPr>
          <w:p>
            <w:pPr>
              <w:spacing w:after="20"/>
            </w:pPr>
            <w:r>
              <w:rPr>
                <w:sz w:val="14"/>
              </w:rPr>
              <w:t>Runtime profile inventory</w:t>
            </w:r>
          </w:p>
        </w:tc>
      </w:tr>
      <w:tr>
        <w:trPr>
          <w:cantSplit/>
        </w:trPr>
        <w:tc>
          <w:tcPr>
            <w:tcW w:type="dxa" w:w="1728"/>
            <w:tcMar>
              <w:top w:w="90" w:type="dxa"/>
              <w:start w:w="90" w:type="dxa"/>
              <w:bottom w:w="90" w:type="dxa"/>
              <w:end w:w="90" w:type="dxa"/>
            </w:tcMar>
            <w:vAlign w:val="center"/>
          </w:tcPr>
          <w:p>
            <w:pPr>
              <w:spacing w:after="20"/>
            </w:pPr>
            <w:r>
              <w:rPr>
                <w:sz w:val="14"/>
              </w:rPr>
              <w:t>MCP tools</w:t>
            </w:r>
          </w:p>
        </w:tc>
        <w:tc>
          <w:tcPr>
            <w:tcW w:type="dxa" w:w="2592"/>
            <w:tcMar>
              <w:top w:w="90" w:type="dxa"/>
              <w:start w:w="90" w:type="dxa"/>
              <w:bottom w:w="90" w:type="dxa"/>
              <w:end w:w="90" w:type="dxa"/>
            </w:tcMar>
            <w:vAlign w:val="center"/>
          </w:tcPr>
          <w:p>
            <w:pPr>
              <w:spacing w:after="20"/>
            </w:pPr>
            <w:r>
              <w:rPr>
                <w:sz w:val="14"/>
              </w:rPr>
              <w:t>Sixteen declared tools</w:t>
            </w:r>
          </w:p>
        </w:tc>
        <w:tc>
          <w:tcPr>
            <w:tcW w:type="dxa" w:w="2160"/>
            <w:tcMar>
              <w:top w:w="90" w:type="dxa"/>
              <w:start w:w="90" w:type="dxa"/>
              <w:bottom w:w="90" w:type="dxa"/>
              <w:end w:w="90" w:type="dxa"/>
            </w:tcMar>
            <w:vAlign w:val="center"/>
          </w:tcPr>
          <w:p>
            <w:pPr>
              <w:spacing w:after="20"/>
            </w:pPr>
            <w:r>
              <w:rPr>
                <w:sz w:val="14"/>
              </w:rPr>
              <w:t>Not Agent Skills</w:t>
            </w:r>
          </w:p>
        </w:tc>
        <w:tc>
          <w:tcPr>
            <w:tcW w:type="dxa" w:w="2880"/>
            <w:tcMar>
              <w:top w:w="90" w:type="dxa"/>
              <w:start w:w="90" w:type="dxa"/>
              <w:bottom w:w="90" w:type="dxa"/>
              <w:end w:w="90" w:type="dxa"/>
            </w:tcMar>
            <w:vAlign w:val="center"/>
          </w:tcPr>
          <w:p>
            <w:pPr>
              <w:spacing w:after="20"/>
            </w:pPr>
            <w:r>
              <w:rPr>
                <w:sz w:val="14"/>
              </w:rPr>
              <w:t>Manifest plus runtime schema snapshot</w:t>
            </w:r>
          </w:p>
        </w:tc>
      </w:tr>
      <w:tr>
        <w:trPr>
          <w:cantSplit/>
        </w:trPr>
        <w:tc>
          <w:tcPr>
            <w:tcW w:type="dxa" w:w="1728"/>
            <w:tcMar>
              <w:top w:w="90" w:type="dxa"/>
              <w:start w:w="90" w:type="dxa"/>
              <w:bottom w:w="90" w:type="dxa"/>
              <w:end w:w="90" w:type="dxa"/>
            </w:tcMar>
            <w:vAlign w:val="center"/>
            <w:shd w:fill="F3F6F8"/>
          </w:tcPr>
          <w:p>
            <w:pPr>
              <w:spacing w:after="20"/>
            </w:pPr>
            <w:r>
              <w:rPr>
                <w:sz w:val="14"/>
              </w:rPr>
              <w:t>Future skills</w:t>
            </w:r>
          </w:p>
        </w:tc>
        <w:tc>
          <w:tcPr>
            <w:tcW w:type="dxa" w:w="2592"/>
            <w:tcMar>
              <w:top w:w="90" w:type="dxa"/>
              <w:start w:w="90" w:type="dxa"/>
              <w:bottom w:w="90" w:type="dxa"/>
              <w:end w:w="90" w:type="dxa"/>
            </w:tcMar>
            <w:vAlign w:val="center"/>
            <w:shd w:fill="F3F6F8"/>
          </w:tcPr>
          <w:p>
            <w:pPr>
              <w:spacing w:after="20"/>
            </w:pPr>
            <w:r>
              <w:rPr>
                <w:sz w:val="14"/>
              </w:rPr>
              <w:t>Out of scope</w:t>
            </w:r>
          </w:p>
        </w:tc>
        <w:tc>
          <w:tcPr>
            <w:tcW w:type="dxa" w:w="2160"/>
            <w:tcMar>
              <w:top w:w="90" w:type="dxa"/>
              <w:start w:w="90" w:type="dxa"/>
              <w:bottom w:w="90" w:type="dxa"/>
              <w:end w:w="90" w:type="dxa"/>
            </w:tcMar>
            <w:vAlign w:val="center"/>
            <w:shd w:fill="F3F6F8"/>
          </w:tcPr>
          <w:p>
            <w:pPr>
              <w:spacing w:after="20"/>
            </w:pPr>
            <w:r>
              <w:rPr>
                <w:sz w:val="14"/>
              </w:rPr>
              <w:t>Separate assessment required</w:t>
            </w:r>
          </w:p>
        </w:tc>
        <w:tc>
          <w:tcPr>
            <w:tcW w:type="dxa" w:w="2880"/>
            <w:tcMar>
              <w:top w:w="90" w:type="dxa"/>
              <w:start w:w="90" w:type="dxa"/>
              <w:bottom w:w="90" w:type="dxa"/>
              <w:end w:w="90" w:type="dxa"/>
            </w:tcMar>
            <w:vAlign w:val="center"/>
            <w:shd w:fill="F3F6F8"/>
          </w:tcPr>
          <w:p>
            <w:pPr>
              <w:spacing w:after="20"/>
            </w:pPr>
            <w:r>
              <w:rPr>
                <w:sz w:val="14"/>
              </w:rPr>
              <w:t>Transitive files, triggers and tool allowlists</w:t>
            </w:r>
          </w:p>
        </w:tc>
      </w:tr>
    </w:tbl>
    <w:p>
      <w:pPr>
        <w:spacing w:after="40"/>
      </w:pPr>
    </w:p>
    <w:p>
      <w:pPr>
        <w:pStyle w:val="Heading2"/>
      </w:pPr>
      <w:r>
        <w:t>Installed Agent Skills Threat Analysis</w:t>
      </w:r>
    </w:p>
    <w:p>
      <w:r>
        <w:t>A future skill could invoke PostgreSQL MCP tools, embed prompt injection, widen database authority or persist instructions. Require immutable provenance, transitive review, narrow triggers, no wildcard tools, ro database roles and isolated adversarial testing.</w:t>
      </w:r>
    </w:p>
    <w:p>
      <w:pPr>
        <w:pStyle w:val="Heading1"/>
      </w:pPr>
      <w:r>
        <w:t>Cross-IDE Comparison and Composition Risk</w:t>
      </w:r>
    </w:p>
    <w:tbl>
      <w:tblPr>
        <w:tblStyle w:val="TableGrid"/>
        <w:tblW w:type="auto" w:w="0"/>
        <w:jc w:val="center"/>
        <w:tblLayout w:type="fixed"/>
        <w:tblLook w:firstColumn="1" w:firstRow="1" w:lastColumn="0" w:lastRow="0" w:noHBand="0" w:noVBand="1" w:val="04A0"/>
      </w:tblPr>
      <w:tblGrid>
        <w:gridCol w:w="1584"/>
        <w:gridCol w:w="2448"/>
        <w:gridCol w:w="2160"/>
        <w:gridCol w:w="3168"/>
      </w:tblGrid>
      <w:tr>
        <w:trPr>
          <w:tblHeader/>
        </w:trPr>
        <w:tc>
          <w:tcPr>
            <w:tcW w:type="dxa" w:w="1584"/>
            <w:shd w:fill="17365D"/>
            <w:tcMar>
              <w:top w:w="90" w:type="dxa"/>
              <w:start w:w="90" w:type="dxa"/>
              <w:bottom w:w="90" w:type="dxa"/>
              <w:end w:w="90" w:type="dxa"/>
            </w:tcMar>
          </w:tcPr>
          <w:p>
            <w:r>
              <w:rPr>
                <w:b/>
                <w:color w:val="FFFFFF"/>
                <w:sz w:val="14"/>
              </w:rPr>
              <w:t>Dimension</w:t>
            </w:r>
          </w:p>
        </w:tc>
        <w:tc>
          <w:tcPr>
            <w:tcW w:type="dxa" w:w="2448"/>
            <w:shd w:fill="17365D"/>
            <w:tcMar>
              <w:top w:w="90" w:type="dxa"/>
              <w:start w:w="90" w:type="dxa"/>
              <w:bottom w:w="90" w:type="dxa"/>
              <w:end w:w="90" w:type="dxa"/>
            </w:tcMar>
          </w:tcPr>
          <w:p>
            <w:r>
              <w:rPr>
                <w:b/>
                <w:color w:val="FFFFFF"/>
                <w:sz w:val="14"/>
              </w:rPr>
              <w:t>VS Code</w:t>
            </w:r>
          </w:p>
        </w:tc>
        <w:tc>
          <w:tcPr>
            <w:tcW w:type="dxa" w:w="2160"/>
            <w:shd w:fill="17365D"/>
            <w:tcMar>
              <w:top w:w="90" w:type="dxa"/>
              <w:start w:w="90" w:type="dxa"/>
              <w:bottom w:w="90" w:type="dxa"/>
              <w:end w:w="90" w:type="dxa"/>
            </w:tcMar>
          </w:tcPr>
          <w:p>
            <w:r>
              <w:rPr>
                <w:b/>
                <w:color w:val="FFFFFF"/>
                <w:sz w:val="14"/>
              </w:rPr>
              <w:t>Microsoft Visual Studio</w:t>
            </w:r>
          </w:p>
        </w:tc>
        <w:tc>
          <w:tcPr>
            <w:tcW w:type="dxa" w:w="3168"/>
            <w:shd w:fill="17365D"/>
            <w:tcMar>
              <w:top w:w="90" w:type="dxa"/>
              <w:start w:w="90" w:type="dxa"/>
              <w:bottom w:w="90" w:type="dxa"/>
              <w:end w:w="90" w:type="dxa"/>
            </w:tcMar>
          </w:tcPr>
          <w:p>
            <w:r>
              <w:rPr>
                <w:b/>
                <w:color w:val="FFFFFF"/>
                <w:sz w:val="14"/>
              </w:rPr>
              <w:t>Composition risk</w:t>
            </w:r>
          </w:p>
        </w:tc>
      </w:tr>
      <w:tr>
        <w:trPr>
          <w:cantSplit/>
        </w:trPr>
        <w:tc>
          <w:tcPr>
            <w:tcW w:type="dxa" w:w="1584"/>
            <w:tcMar>
              <w:top w:w="90" w:type="dxa"/>
              <w:start w:w="90" w:type="dxa"/>
              <w:bottom w:w="90" w:type="dxa"/>
              <w:end w:w="90" w:type="dxa"/>
            </w:tcMar>
            <w:vAlign w:val="center"/>
          </w:tcPr>
          <w:p>
            <w:pPr>
              <w:spacing w:after="20"/>
            </w:pPr>
            <w:r>
              <w:rPr>
                <w:sz w:val="14"/>
              </w:rPr>
              <w:t>Support</w:t>
            </w:r>
          </w:p>
        </w:tc>
        <w:tc>
          <w:tcPr>
            <w:tcW w:type="dxa" w:w="2448"/>
            <w:tcMar>
              <w:top w:w="90" w:type="dxa"/>
              <w:start w:w="90" w:type="dxa"/>
              <w:bottom w:w="90" w:type="dxa"/>
              <w:end w:w="90" w:type="dxa"/>
            </w:tcMar>
            <w:vAlign w:val="center"/>
          </w:tcPr>
          <w:p>
            <w:pPr>
              <w:spacing w:after="20"/>
            </w:pPr>
            <w:r>
              <w:rPr>
                <w:sz w:val="14"/>
              </w:rPr>
              <w:t>Official Marketplace extension</w:t>
            </w:r>
          </w:p>
        </w:tc>
        <w:tc>
          <w:tcPr>
            <w:tcW w:type="dxa" w:w="2160"/>
            <w:tcMar>
              <w:top w:w="90" w:type="dxa"/>
              <w:start w:w="90" w:type="dxa"/>
              <w:bottom w:w="90" w:type="dxa"/>
              <w:end w:w="90" w:type="dxa"/>
            </w:tcMar>
            <w:vAlign w:val="center"/>
          </w:tcPr>
          <w:p>
            <w:pPr>
              <w:spacing w:after="20"/>
            </w:pPr>
            <w:r>
              <w:rPr>
                <w:sz w:val="14"/>
              </w:rPr>
              <w:t>Unsupported</w:t>
            </w:r>
          </w:p>
        </w:tc>
        <w:tc>
          <w:tcPr>
            <w:tcW w:type="dxa" w:w="3168"/>
            <w:tcMar>
              <w:top w:w="90" w:type="dxa"/>
              <w:start w:w="90" w:type="dxa"/>
              <w:bottom w:w="90" w:type="dxa"/>
              <w:end w:w="90" w:type="dxa"/>
            </w:tcMar>
            <w:vAlign w:val="center"/>
          </w:tcPr>
          <w:p>
            <w:pPr>
              <w:spacing w:after="20"/>
            </w:pPr>
            <w:r>
              <w:rPr>
                <w:sz w:val="14"/>
              </w:rPr>
              <w:t>Name confusion</w:t>
            </w:r>
          </w:p>
        </w:tc>
      </w:tr>
      <w:tr>
        <w:trPr>
          <w:cantSplit/>
        </w:trPr>
        <w:tc>
          <w:tcPr>
            <w:tcW w:type="dxa" w:w="1584"/>
            <w:tcMar>
              <w:top w:w="90" w:type="dxa"/>
              <w:start w:w="90" w:type="dxa"/>
              <w:bottom w:w="90" w:type="dxa"/>
              <w:end w:w="90" w:type="dxa"/>
            </w:tcMar>
            <w:vAlign w:val="center"/>
            <w:shd w:fill="F3F6F8"/>
          </w:tcPr>
          <w:p>
            <w:pPr>
              <w:spacing w:after="20"/>
            </w:pPr>
            <w:r>
              <w:rPr>
                <w:sz w:val="14"/>
              </w:rPr>
              <w:t>Runtime</w:t>
            </w:r>
          </w:p>
        </w:tc>
        <w:tc>
          <w:tcPr>
            <w:tcW w:type="dxa" w:w="2448"/>
            <w:tcMar>
              <w:top w:w="90" w:type="dxa"/>
              <w:start w:w="90" w:type="dxa"/>
              <w:bottom w:w="90" w:type="dxa"/>
              <w:end w:w="90" w:type="dxa"/>
            </w:tcMar>
            <w:vAlign w:val="center"/>
            <w:shd w:fill="F3F6F8"/>
          </w:tcPr>
          <w:p>
            <w:pPr>
              <w:spacing w:after="20"/>
            </w:pPr>
            <w:r>
              <w:rPr>
                <w:sz w:val="14"/>
              </w:rPr>
              <w:t>JS extension plus Tools Service</w:t>
            </w:r>
          </w:p>
        </w:tc>
        <w:tc>
          <w:tcPr>
            <w:tcW w:type="dxa" w:w="2160"/>
            <w:tcMar>
              <w:top w:w="90" w:type="dxa"/>
              <w:start w:w="90" w:type="dxa"/>
              <w:bottom w:w="90" w:type="dxa"/>
              <w:end w:w="90" w:type="dxa"/>
            </w:tcMar>
            <w:vAlign w:val="center"/>
            <w:shd w:fill="F3F6F8"/>
          </w:tcPr>
          <w:p>
            <w:pPr>
              <w:spacing w:after="20"/>
            </w:pPr>
            <w:r>
              <w:rPr>
                <w:sz w:val="14"/>
              </w:rPr>
              <w:t>Not assessed</w:t>
            </w:r>
          </w:p>
        </w:tc>
        <w:tc>
          <w:tcPr>
            <w:tcW w:type="dxa" w:w="3168"/>
            <w:tcMar>
              <w:top w:w="90" w:type="dxa"/>
              <w:start w:w="90" w:type="dxa"/>
              <w:bottom w:w="90" w:type="dxa"/>
              <w:end w:w="90" w:type="dxa"/>
            </w:tcMar>
            <w:vAlign w:val="center"/>
            <w:shd w:fill="F3F6F8"/>
          </w:tcPr>
          <w:p>
            <w:pPr>
              <w:spacing w:after="20"/>
            </w:pPr>
            <w:r>
              <w:rPr>
                <w:sz w:val="14"/>
              </w:rPr>
              <w:t>Shared database identity</w:t>
            </w:r>
          </w:p>
        </w:tc>
      </w:tr>
      <w:tr>
        <w:trPr>
          <w:cantSplit/>
        </w:trPr>
        <w:tc>
          <w:tcPr>
            <w:tcW w:type="dxa" w:w="1584"/>
            <w:tcMar>
              <w:top w:w="90" w:type="dxa"/>
              <w:start w:w="90" w:type="dxa"/>
              <w:bottom w:w="90" w:type="dxa"/>
              <w:end w:w="90" w:type="dxa"/>
            </w:tcMar>
            <w:vAlign w:val="center"/>
          </w:tcPr>
          <w:p>
            <w:pPr>
              <w:spacing w:after="20"/>
            </w:pPr>
            <w:r>
              <w:rPr>
                <w:sz w:val="14"/>
              </w:rPr>
              <w:t>MCP</w:t>
            </w:r>
          </w:p>
        </w:tc>
        <w:tc>
          <w:tcPr>
            <w:tcW w:type="dxa" w:w="2448"/>
            <w:tcMar>
              <w:top w:w="90" w:type="dxa"/>
              <w:start w:w="90" w:type="dxa"/>
              <w:bottom w:w="90" w:type="dxa"/>
              <w:end w:w="90" w:type="dxa"/>
            </w:tcMar>
            <w:vAlign w:val="center"/>
          </w:tcPr>
          <w:p>
            <w:pPr>
              <w:spacing w:after="20"/>
            </w:pPr>
            <w:r>
              <w:rPr>
                <w:sz w:val="14"/>
              </w:rPr>
              <w:t>Provider plus sixteen tools</w:t>
            </w:r>
          </w:p>
        </w:tc>
        <w:tc>
          <w:tcPr>
            <w:tcW w:type="dxa" w:w="2160"/>
            <w:tcMar>
              <w:top w:w="90" w:type="dxa"/>
              <w:start w:w="90" w:type="dxa"/>
              <w:bottom w:w="90" w:type="dxa"/>
              <w:end w:w="90" w:type="dxa"/>
            </w:tcMar>
            <w:vAlign w:val="center"/>
          </w:tcPr>
          <w:p>
            <w:pPr>
              <w:spacing w:after="20"/>
            </w:pPr>
            <w:r>
              <w:rPr>
                <w:sz w:val="14"/>
              </w:rPr>
              <w:t>Not assessed</w:t>
            </w:r>
          </w:p>
        </w:tc>
        <w:tc>
          <w:tcPr>
            <w:tcW w:type="dxa" w:w="3168"/>
            <w:tcMar>
              <w:top w:w="90" w:type="dxa"/>
              <w:start w:w="90" w:type="dxa"/>
              <w:bottom w:w="90" w:type="dxa"/>
              <w:end w:w="90" w:type="dxa"/>
            </w:tcMar>
            <w:vAlign w:val="center"/>
          </w:tcPr>
          <w:p>
            <w:pPr>
              <w:spacing w:after="20"/>
            </w:pPr>
            <w:r>
              <w:rPr>
                <w:sz w:val="14"/>
              </w:rPr>
              <w:t>Cross-tool prompt/result injection</w:t>
            </w:r>
          </w:p>
        </w:tc>
      </w:tr>
      <w:tr>
        <w:trPr>
          <w:cantSplit/>
        </w:trPr>
        <w:tc>
          <w:tcPr>
            <w:tcW w:type="dxa" w:w="1584"/>
            <w:tcMar>
              <w:top w:w="90" w:type="dxa"/>
              <w:start w:w="90" w:type="dxa"/>
              <w:bottom w:w="90" w:type="dxa"/>
              <w:end w:w="90" w:type="dxa"/>
            </w:tcMar>
            <w:vAlign w:val="center"/>
            <w:shd w:fill="F3F6F8"/>
          </w:tcPr>
          <w:p>
            <w:pPr>
              <w:spacing w:after="20"/>
            </w:pPr>
            <w:r>
              <w:rPr>
                <w:sz w:val="14"/>
              </w:rPr>
              <w:t>Skills</w:t>
            </w:r>
          </w:p>
        </w:tc>
        <w:tc>
          <w:tcPr>
            <w:tcW w:type="dxa" w:w="2448"/>
            <w:tcMar>
              <w:top w:w="90" w:type="dxa"/>
              <w:start w:w="90" w:type="dxa"/>
              <w:bottom w:w="90" w:type="dxa"/>
              <w:end w:w="90" w:type="dxa"/>
            </w:tcMar>
            <w:vAlign w:val="center"/>
            <w:shd w:fill="F3F6F8"/>
          </w:tcPr>
          <w:p>
            <w:pPr>
              <w:spacing w:after="20"/>
            </w:pPr>
            <w:r>
              <w:rPr>
                <w:sz w:val="14"/>
              </w:rPr>
              <w:t>None in package; host Unknown</w:t>
            </w:r>
          </w:p>
        </w:tc>
        <w:tc>
          <w:tcPr>
            <w:tcW w:type="dxa" w:w="2160"/>
            <w:tcMar>
              <w:top w:w="90" w:type="dxa"/>
              <w:start w:w="90" w:type="dxa"/>
              <w:bottom w:w="90" w:type="dxa"/>
              <w:end w:w="90" w:type="dxa"/>
            </w:tcMar>
            <w:vAlign w:val="center"/>
            <w:shd w:fill="F3F6F8"/>
          </w:tcPr>
          <w:p>
            <w:pPr>
              <w:spacing w:after="20"/>
            </w:pPr>
            <w:r>
              <w:rPr>
                <w:sz w:val="14"/>
              </w:rPr>
              <w:t>Not assessed</w:t>
            </w:r>
          </w:p>
        </w:tc>
        <w:tc>
          <w:tcPr>
            <w:tcW w:type="dxa" w:w="3168"/>
            <w:tcMar>
              <w:top w:w="90" w:type="dxa"/>
              <w:start w:w="90" w:type="dxa"/>
              <w:bottom w:w="90" w:type="dxa"/>
              <w:end w:w="90" w:type="dxa"/>
            </w:tcMar>
            <w:vAlign w:val="center"/>
            <w:shd w:fill="F3F6F8"/>
          </w:tcPr>
          <w:p>
            <w:pPr>
              <w:spacing w:after="20"/>
            </w:pPr>
            <w:r>
              <w:rPr>
                <w:sz w:val="14"/>
              </w:rPr>
              <w:t>Future skill may widen authority</w:t>
            </w:r>
          </w:p>
        </w:tc>
      </w:tr>
      <w:tr>
        <w:trPr>
          <w:cantSplit/>
        </w:trPr>
        <w:tc>
          <w:tcPr>
            <w:tcW w:type="dxa" w:w="1584"/>
            <w:tcMar>
              <w:top w:w="90" w:type="dxa"/>
              <w:start w:w="90" w:type="dxa"/>
              <w:bottom w:w="90" w:type="dxa"/>
              <w:end w:w="90" w:type="dxa"/>
            </w:tcMar>
            <w:vAlign w:val="center"/>
          </w:tcPr>
          <w:p>
            <w:pPr>
              <w:spacing w:after="20"/>
            </w:pPr>
            <w:r>
              <w:rPr>
                <w:sz w:val="14"/>
              </w:rPr>
              <w:t>Privacy</w:t>
            </w:r>
          </w:p>
        </w:tc>
        <w:tc>
          <w:tcPr>
            <w:tcW w:type="dxa" w:w="2448"/>
            <w:tcMar>
              <w:top w:w="90" w:type="dxa"/>
              <w:start w:w="90" w:type="dxa"/>
              <w:bottom w:w="90" w:type="dxa"/>
              <w:end w:w="90" w:type="dxa"/>
            </w:tcMar>
            <w:vAlign w:val="center"/>
          </w:tcPr>
          <w:p>
            <w:pPr>
              <w:spacing w:after="20"/>
            </w:pPr>
            <w:r>
              <w:rPr>
                <w:sz w:val="14"/>
              </w:rPr>
              <w:t>Database/model/log/history flows</w:t>
            </w:r>
          </w:p>
        </w:tc>
        <w:tc>
          <w:tcPr>
            <w:tcW w:type="dxa" w:w="2160"/>
            <w:tcMar>
              <w:top w:w="90" w:type="dxa"/>
              <w:start w:w="90" w:type="dxa"/>
              <w:bottom w:w="90" w:type="dxa"/>
              <w:end w:w="90" w:type="dxa"/>
            </w:tcMar>
            <w:vAlign w:val="center"/>
          </w:tcPr>
          <w:p>
            <w:pPr>
              <w:spacing w:after="20"/>
            </w:pPr>
            <w:r>
              <w:rPr>
                <w:sz w:val="14"/>
              </w:rPr>
              <w:t>Not assessed</w:t>
            </w:r>
          </w:p>
        </w:tc>
        <w:tc>
          <w:tcPr>
            <w:tcW w:type="dxa" w:w="3168"/>
            <w:tcMar>
              <w:top w:w="90" w:type="dxa"/>
              <w:start w:w="90" w:type="dxa"/>
              <w:bottom w:w="90" w:type="dxa"/>
              <w:end w:w="90" w:type="dxa"/>
            </w:tcMar>
            <w:vAlign w:val="center"/>
          </w:tcPr>
          <w:p>
            <w:pPr>
              <w:spacing w:after="20"/>
            </w:pPr>
            <w:r>
              <w:rPr>
                <w:sz w:val="14"/>
              </w:rPr>
              <w:t>Shared tenant/data route</w:t>
            </w:r>
          </w:p>
        </w:tc>
      </w:tr>
    </w:tbl>
    <w:p>
      <w:pPr>
        <w:spacing w:after="40"/>
      </w:pPr>
    </w:p>
    <w:p>
      <w:pPr>
        <w:pStyle w:val="Heading1"/>
      </w:pPr>
      <w:r>
        <w:t>Consolidated Supply Chain Assessment</w:t>
      </w:r>
    </w:p>
    <w:p>
      <w:r>
        <w:t xml:space="preserve">Positive evidence includes exact stable selection, seven acquired variants, Marketplace hashes, structural signer identity, safe archives and scanner coverage. Gaps include unpublished complete source, no reproducible build, large native/frozen dependency surface, candidate advisory matches and an on-demand service path. Result: High residual assurance risk, not a malware allegation. </w:t>
      </w:r>
      <w:hyperlink w:anchor="REF_001">
        <w:r>
          <w:rPr>
            <w:color w:val="0563C1"/>
            <w:u w:val="single"/>
          </w:rPr>
          <w:t>[REF-001]</w:t>
        </w:r>
      </w:hyperlink>
      <w:r>
        <w:t xml:space="preserve"> </w:t>
      </w:r>
      <w:hyperlink w:anchor="REF_008">
        <w:r>
          <w:rPr>
            <w:color w:val="0563C1"/>
            <w:u w:val="single"/>
          </w:rPr>
          <w:t>[REF-008]</w:t>
        </w:r>
      </w:hyperlink>
      <w:r>
        <w:t xml:space="preserve"> </w:t>
      </w:r>
      <w:hyperlink w:anchor="REF_011">
        <w:r>
          <w:rPr>
            <w:color w:val="0563C1"/>
            <w:u w:val="single"/>
          </w:rPr>
          <w:t>[REF-011]</w:t>
        </w:r>
      </w:hyperlink>
      <w:r>
        <w:t xml:space="preserve"> </w:t>
      </w:r>
      <w:hyperlink w:anchor="REF_012">
        <w:r>
          <w:rPr>
            <w:color w:val="0563C1"/>
            <w:u w:val="single"/>
          </w:rPr>
          <w:t>[REF-012]</w:t>
        </w:r>
      </w:hyperlink>
      <w:r>
        <w:t xml:space="preserve"> </w:t>
      </w:r>
      <w:hyperlink w:anchor="REF_013">
        <w:r>
          <w:rPr>
            <w:color w:val="0563C1"/>
            <w:u w:val="single"/>
          </w:rPr>
          <w:t>[REF-013]</w:t>
        </w:r>
      </w:hyperlink>
    </w:p>
    <w:p>
      <w:pPr>
        <w:pStyle w:val="Heading1"/>
      </w:pPr>
      <w:r>
        <w:t>Consolidated Privacy and Data Protection</w:t>
      </w:r>
    </w:p>
    <w:p>
      <w:r>
        <w:t xml:space="preserve">Database, model, log and history flows may contain personal, confidential and security-sensitive data. Require synthetic-only pilot, enterprise Copilot terms/settings, DPIA, minimisation, retention/deletion, transfer/subprocessor evidence, least-privilege data access and breach/incident procedures. </w:t>
      </w:r>
      <w:hyperlink w:anchor="REF_009">
        <w:r>
          <w:rPr>
            <w:color w:val="0563C1"/>
            <w:u w:val="single"/>
          </w:rPr>
          <w:t>[REF-009]</w:t>
        </w:r>
      </w:hyperlink>
      <w:r>
        <w:t xml:space="preserve"> </w:t>
      </w:r>
      <w:hyperlink w:anchor="REF_022">
        <w:r>
          <w:rPr>
            <w:color w:val="0563C1"/>
            <w:u w:val="single"/>
          </w:rPr>
          <w:t>[REF-022]</w:t>
        </w:r>
      </w:hyperlink>
      <w:r>
        <w:t xml:space="preserve"> </w:t>
      </w:r>
      <w:hyperlink w:anchor="REF_025">
        <w:r>
          <w:rPr>
            <w:color w:val="0563C1"/>
            <w:u w:val="single"/>
          </w:rPr>
          <w:t>[REF-025]</w:t>
        </w:r>
      </w:hyperlink>
    </w:p>
    <w:tbl>
      <w:tblPr>
        <w:tblStyle w:val="TableGrid"/>
        <w:tblW w:type="auto" w:w="0"/>
        <w:jc w:val="center"/>
        <w:tblLayout w:type="fixed"/>
        <w:tblLook w:firstColumn="1" w:firstRow="1" w:lastColumn="0" w:lastRow="0" w:noHBand="0" w:noVBand="1" w:val="04A0"/>
      </w:tblPr>
      <w:tblGrid>
        <w:gridCol w:w="1728"/>
        <w:gridCol w:w="2304"/>
        <w:gridCol w:w="2448"/>
        <w:gridCol w:w="2880"/>
      </w:tblGrid>
      <w:tr>
        <w:trPr>
          <w:tblHeader/>
        </w:trPr>
        <w:tc>
          <w:tcPr>
            <w:tcW w:type="dxa" w:w="1728"/>
            <w:shd w:fill="17365D"/>
            <w:tcMar>
              <w:top w:w="90" w:type="dxa"/>
              <w:start w:w="90" w:type="dxa"/>
              <w:bottom w:w="90" w:type="dxa"/>
              <w:end w:w="90" w:type="dxa"/>
            </w:tcMar>
          </w:tcPr>
          <w:p>
            <w:r>
              <w:rPr>
                <w:b/>
                <w:color w:val="FFFFFF"/>
                <w:sz w:val="14"/>
              </w:rPr>
              <w:t>Data class</w:t>
            </w:r>
          </w:p>
        </w:tc>
        <w:tc>
          <w:tcPr>
            <w:tcW w:type="dxa" w:w="2304"/>
            <w:shd w:fill="17365D"/>
            <w:tcMar>
              <w:top w:w="90" w:type="dxa"/>
              <w:start w:w="90" w:type="dxa"/>
              <w:bottom w:w="90" w:type="dxa"/>
              <w:end w:w="90" w:type="dxa"/>
            </w:tcMar>
          </w:tcPr>
          <w:p>
            <w:r>
              <w:rPr>
                <w:b/>
                <w:color w:val="FFFFFF"/>
                <w:sz w:val="14"/>
              </w:rPr>
              <w:t>Location/recipient</w:t>
            </w:r>
          </w:p>
        </w:tc>
        <w:tc>
          <w:tcPr>
            <w:tcW w:type="dxa" w:w="2448"/>
            <w:shd w:fill="17365D"/>
            <w:tcMar>
              <w:top w:w="90" w:type="dxa"/>
              <w:start w:w="90" w:type="dxa"/>
              <w:bottom w:w="90" w:type="dxa"/>
              <w:end w:w="90" w:type="dxa"/>
            </w:tcMar>
          </w:tcPr>
          <w:p>
            <w:r>
              <w:rPr>
                <w:b/>
                <w:color w:val="FFFFFF"/>
                <w:sz w:val="14"/>
              </w:rPr>
              <w:t>Risk</w:t>
            </w:r>
          </w:p>
        </w:tc>
        <w:tc>
          <w:tcPr>
            <w:tcW w:type="dxa" w:w="2880"/>
            <w:shd w:fill="17365D"/>
            <w:tcMar>
              <w:top w:w="90" w:type="dxa"/>
              <w:start w:w="90" w:type="dxa"/>
              <w:bottom w:w="90" w:type="dxa"/>
              <w:end w:w="90" w:type="dxa"/>
            </w:tcMar>
          </w:tcPr>
          <w:p>
            <w:r>
              <w:rPr>
                <w:b/>
                <w:color w:val="FFFFFF"/>
                <w:sz w:val="14"/>
              </w:rPr>
              <w:t>Required evidence</w:t>
            </w:r>
          </w:p>
        </w:tc>
      </w:tr>
      <w:tr>
        <w:trPr>
          <w:cantSplit/>
        </w:trPr>
        <w:tc>
          <w:tcPr>
            <w:tcW w:type="dxa" w:w="1728"/>
            <w:tcMar>
              <w:top w:w="90" w:type="dxa"/>
              <w:start w:w="90" w:type="dxa"/>
              <w:bottom w:w="90" w:type="dxa"/>
              <w:end w:w="90" w:type="dxa"/>
            </w:tcMar>
            <w:vAlign w:val="center"/>
          </w:tcPr>
          <w:p>
            <w:pPr>
              <w:spacing w:after="20"/>
            </w:pPr>
            <w:r>
              <w:rPr>
                <w:sz w:val="14"/>
              </w:rPr>
              <w:t>Credentials/tokens</w:t>
            </w:r>
          </w:p>
        </w:tc>
        <w:tc>
          <w:tcPr>
            <w:tcW w:type="dxa" w:w="2304"/>
            <w:tcMar>
              <w:top w:w="90" w:type="dxa"/>
              <w:start w:w="90" w:type="dxa"/>
              <w:bottom w:w="90" w:type="dxa"/>
              <w:end w:w="90" w:type="dxa"/>
            </w:tcMar>
            <w:vAlign w:val="center"/>
          </w:tcPr>
          <w:p>
            <w:pPr>
              <w:spacing w:after="20"/>
            </w:pPr>
            <w:r>
              <w:rPr>
                <w:sz w:val="14"/>
              </w:rPr>
              <w:t>SecretStorage, DB, MCP</w:t>
            </w:r>
          </w:p>
        </w:tc>
        <w:tc>
          <w:tcPr>
            <w:tcW w:type="dxa" w:w="2448"/>
            <w:tcMar>
              <w:top w:w="90" w:type="dxa"/>
              <w:start w:w="90" w:type="dxa"/>
              <w:bottom w:w="90" w:type="dxa"/>
              <w:end w:w="90" w:type="dxa"/>
            </w:tcMar>
            <w:vAlign w:val="center"/>
          </w:tcPr>
          <w:p>
            <w:pPr>
              <w:spacing w:after="20"/>
            </w:pPr>
            <w:r>
              <w:rPr>
                <w:sz w:val="14"/>
              </w:rPr>
              <w:t>Theft/replay/wrong target</w:t>
            </w:r>
          </w:p>
        </w:tc>
        <w:tc>
          <w:tcPr>
            <w:tcW w:type="dxa" w:w="2880"/>
            <w:tcMar>
              <w:top w:w="90" w:type="dxa"/>
              <w:start w:w="90" w:type="dxa"/>
              <w:bottom w:w="90" w:type="dxa"/>
              <w:end w:w="90" w:type="dxa"/>
            </w:tcMar>
            <w:vAlign w:val="center"/>
          </w:tcPr>
          <w:p>
            <w:pPr>
              <w:spacing w:after="20"/>
            </w:pPr>
            <w:r>
              <w:rPr>
                <w:sz w:val="14"/>
              </w:rPr>
              <w:t>Storage, scope, rotation and revoke tests</w:t>
            </w:r>
          </w:p>
        </w:tc>
      </w:tr>
      <w:tr>
        <w:trPr>
          <w:cantSplit/>
        </w:trPr>
        <w:tc>
          <w:tcPr>
            <w:tcW w:type="dxa" w:w="1728"/>
            <w:tcMar>
              <w:top w:w="90" w:type="dxa"/>
              <w:start w:w="90" w:type="dxa"/>
              <w:bottom w:w="90" w:type="dxa"/>
              <w:end w:w="90" w:type="dxa"/>
            </w:tcMar>
            <w:vAlign w:val="center"/>
            <w:shd w:fill="F3F6F8"/>
          </w:tcPr>
          <w:p>
            <w:pPr>
              <w:spacing w:after="20"/>
            </w:pPr>
            <w:r>
              <w:rPr>
                <w:sz w:val="14"/>
              </w:rPr>
              <w:t>Schema/query/results</w:t>
            </w:r>
          </w:p>
        </w:tc>
        <w:tc>
          <w:tcPr>
            <w:tcW w:type="dxa" w:w="2304"/>
            <w:tcMar>
              <w:top w:w="90" w:type="dxa"/>
              <w:start w:w="90" w:type="dxa"/>
              <w:bottom w:w="90" w:type="dxa"/>
              <w:end w:w="90" w:type="dxa"/>
            </w:tcMar>
            <w:vAlign w:val="center"/>
            <w:shd w:fill="F3F6F8"/>
          </w:tcPr>
          <w:p>
            <w:pPr>
              <w:spacing w:after="20"/>
            </w:pPr>
            <w:r>
              <w:rPr>
                <w:sz w:val="14"/>
              </w:rPr>
              <w:t>DB, model, history/logs</w:t>
            </w:r>
          </w:p>
        </w:tc>
        <w:tc>
          <w:tcPr>
            <w:tcW w:type="dxa" w:w="2448"/>
            <w:tcMar>
              <w:top w:w="90" w:type="dxa"/>
              <w:start w:w="90" w:type="dxa"/>
              <w:bottom w:w="90" w:type="dxa"/>
              <w:end w:w="90" w:type="dxa"/>
            </w:tcMar>
            <w:vAlign w:val="center"/>
            <w:shd w:fill="F3F6F8"/>
          </w:tcPr>
          <w:p>
            <w:pPr>
              <w:spacing w:after="20"/>
            </w:pPr>
            <w:r>
              <w:rPr>
                <w:sz w:val="14"/>
              </w:rPr>
              <w:t>Personal/confidential disclosure</w:t>
            </w:r>
          </w:p>
        </w:tc>
        <w:tc>
          <w:tcPr>
            <w:tcW w:type="dxa" w:w="2880"/>
            <w:tcMar>
              <w:top w:w="90" w:type="dxa"/>
              <w:start w:w="90" w:type="dxa"/>
              <w:bottom w:w="90" w:type="dxa"/>
              <w:end w:w="90" w:type="dxa"/>
            </w:tcMar>
            <w:vAlign w:val="center"/>
            <w:shd w:fill="F3F6F8"/>
          </w:tcPr>
          <w:p>
            <w:pPr>
              <w:spacing w:after="20"/>
            </w:pPr>
            <w:r>
              <w:rPr>
                <w:sz w:val="14"/>
              </w:rPr>
              <w:t>DPIA, minimisation and route capture</w:t>
            </w:r>
          </w:p>
        </w:tc>
      </w:tr>
      <w:tr>
        <w:trPr>
          <w:cantSplit/>
        </w:trPr>
        <w:tc>
          <w:tcPr>
            <w:tcW w:type="dxa" w:w="1728"/>
            <w:tcMar>
              <w:top w:w="90" w:type="dxa"/>
              <w:start w:w="90" w:type="dxa"/>
              <w:bottom w:w="90" w:type="dxa"/>
              <w:end w:w="90" w:type="dxa"/>
            </w:tcMar>
            <w:vAlign w:val="center"/>
          </w:tcPr>
          <w:p>
            <w:pPr>
              <w:spacing w:after="20"/>
            </w:pPr>
            <w:r>
              <w:rPr>
                <w:sz w:val="14"/>
              </w:rPr>
              <w:t>Migration code/data</w:t>
            </w:r>
          </w:p>
        </w:tc>
        <w:tc>
          <w:tcPr>
            <w:tcW w:type="dxa" w:w="2304"/>
            <w:tcMar>
              <w:top w:w="90" w:type="dxa"/>
              <w:start w:w="90" w:type="dxa"/>
              <w:bottom w:w="90" w:type="dxa"/>
              <w:end w:w="90" w:type="dxa"/>
            </w:tcMar>
            <w:vAlign w:val="center"/>
          </w:tcPr>
          <w:p>
            <w:pPr>
              <w:spacing w:after="20"/>
            </w:pPr>
            <w:r>
              <w:rPr>
                <w:sz w:val="14"/>
              </w:rPr>
              <w:t>Workspace, Azure/model</w:t>
            </w:r>
          </w:p>
        </w:tc>
        <w:tc>
          <w:tcPr>
            <w:tcW w:type="dxa" w:w="2448"/>
            <w:tcMar>
              <w:top w:w="90" w:type="dxa"/>
              <w:start w:w="90" w:type="dxa"/>
              <w:bottom w:w="90" w:type="dxa"/>
              <w:end w:w="90" w:type="dxa"/>
            </w:tcMar>
            <w:vAlign w:val="center"/>
          </w:tcPr>
          <w:p>
            <w:pPr>
              <w:spacing w:after="20"/>
            </w:pPr>
            <w:r>
              <w:rPr>
                <w:sz w:val="14"/>
              </w:rPr>
              <w:t>IP/customer-data exposure</w:t>
            </w:r>
          </w:p>
        </w:tc>
        <w:tc>
          <w:tcPr>
            <w:tcW w:type="dxa" w:w="2880"/>
            <w:tcMar>
              <w:top w:w="90" w:type="dxa"/>
              <w:start w:w="90" w:type="dxa"/>
              <w:bottom w:w="90" w:type="dxa"/>
              <w:end w:w="90" w:type="dxa"/>
            </w:tcMar>
            <w:vAlign w:val="center"/>
          </w:tcPr>
          <w:p>
            <w:pPr>
              <w:spacing w:after="20"/>
            </w:pPr>
            <w:r>
              <w:rPr>
                <w:sz w:val="14"/>
              </w:rPr>
              <w:t>Separate migration approval and contract</w:t>
            </w:r>
          </w:p>
        </w:tc>
      </w:tr>
      <w:tr>
        <w:trPr>
          <w:cantSplit/>
        </w:trPr>
        <w:tc>
          <w:tcPr>
            <w:tcW w:type="dxa" w:w="1728"/>
            <w:tcMar>
              <w:top w:w="90" w:type="dxa"/>
              <w:start w:w="90" w:type="dxa"/>
              <w:bottom w:w="90" w:type="dxa"/>
              <w:end w:w="90" w:type="dxa"/>
            </w:tcMar>
            <w:vAlign w:val="center"/>
            <w:shd w:fill="F3F6F8"/>
          </w:tcPr>
          <w:p>
            <w:pPr>
              <w:spacing w:after="20"/>
            </w:pPr>
            <w:r>
              <w:rPr>
                <w:sz w:val="14"/>
              </w:rPr>
              <w:t>Telemetry/logs</w:t>
            </w:r>
          </w:p>
        </w:tc>
        <w:tc>
          <w:tcPr>
            <w:tcW w:type="dxa" w:w="2304"/>
            <w:tcMar>
              <w:top w:w="90" w:type="dxa"/>
              <w:start w:w="90" w:type="dxa"/>
              <w:bottom w:w="90" w:type="dxa"/>
              <w:end w:w="90" w:type="dxa"/>
            </w:tcMar>
            <w:vAlign w:val="center"/>
            <w:shd w:fill="F3F6F8"/>
          </w:tcPr>
          <w:p>
            <w:pPr>
              <w:spacing w:after="20"/>
            </w:pPr>
            <w:r>
              <w:rPr>
                <w:sz w:val="14"/>
              </w:rPr>
              <w:t>Local and Microsoft services</w:t>
            </w:r>
          </w:p>
        </w:tc>
        <w:tc>
          <w:tcPr>
            <w:tcW w:type="dxa" w:w="2448"/>
            <w:tcMar>
              <w:top w:w="90" w:type="dxa"/>
              <w:start w:w="90" w:type="dxa"/>
              <w:bottom w:w="90" w:type="dxa"/>
              <w:end w:w="90" w:type="dxa"/>
            </w:tcMar>
            <w:vAlign w:val="center"/>
            <w:shd w:fill="F3F6F8"/>
          </w:tcPr>
          <w:p>
            <w:pPr>
              <w:spacing w:after="20"/>
            </w:pPr>
            <w:r>
              <w:rPr>
                <w:sz w:val="14"/>
              </w:rPr>
              <w:t>Identifier/content retention</w:t>
            </w:r>
          </w:p>
        </w:tc>
        <w:tc>
          <w:tcPr>
            <w:tcW w:type="dxa" w:w="2880"/>
            <w:tcMar>
              <w:top w:w="90" w:type="dxa"/>
              <w:start w:w="90" w:type="dxa"/>
              <w:bottom w:w="90" w:type="dxa"/>
              <w:end w:w="90" w:type="dxa"/>
            </w:tcMar>
            <w:vAlign w:val="center"/>
            <w:shd w:fill="F3F6F8"/>
          </w:tcPr>
          <w:p>
            <w:pPr>
              <w:spacing w:after="20"/>
            </w:pPr>
            <w:r>
              <w:rPr>
                <w:sz w:val="14"/>
              </w:rPr>
              <w:t>Payload, opt-out, retention and DLP</w:t>
            </w:r>
          </w:p>
        </w:tc>
      </w:tr>
    </w:tbl>
    <w:p>
      <w:pPr>
        <w:spacing w:after="40"/>
      </w:pPr>
    </w:p>
    <w:p>
      <w:pPr>
        <w:pStyle w:val="Heading1"/>
      </w:pPr>
      <w:r>
        <w:t>Enterprise Controls Roadmap</w:t>
      </w:r>
    </w:p>
    <w:tbl>
      <w:tblPr>
        <w:tblStyle w:val="TableGrid"/>
        <w:tblW w:type="auto" w:w="0"/>
        <w:jc w:val="center"/>
        <w:tblLayout w:type="fixed"/>
        <w:tblLook w:firstColumn="1" w:firstRow="1" w:lastColumn="0" w:lastRow="0" w:noHBand="0" w:noVBand="1" w:val="04A0"/>
      </w:tblPr>
      <w:tblGrid>
        <w:gridCol w:w="1296"/>
        <w:gridCol w:w="3600"/>
        <w:gridCol w:w="2160"/>
        <w:gridCol w:w="2304"/>
      </w:tblGrid>
      <w:tr>
        <w:trPr>
          <w:tblHeader/>
        </w:trPr>
        <w:tc>
          <w:tcPr>
            <w:tcW w:type="dxa" w:w="1296"/>
            <w:shd w:fill="17365D"/>
            <w:tcMar>
              <w:top w:w="90" w:type="dxa"/>
              <w:start w:w="90" w:type="dxa"/>
              <w:bottom w:w="90" w:type="dxa"/>
              <w:end w:w="90" w:type="dxa"/>
            </w:tcMar>
          </w:tcPr>
          <w:p>
            <w:r>
              <w:rPr>
                <w:b/>
                <w:color w:val="FFFFFF"/>
                <w:sz w:val="14"/>
              </w:rPr>
              <w:t>Phase</w:t>
            </w:r>
          </w:p>
        </w:tc>
        <w:tc>
          <w:tcPr>
            <w:tcW w:type="dxa" w:w="3600"/>
            <w:shd w:fill="17365D"/>
            <w:tcMar>
              <w:top w:w="90" w:type="dxa"/>
              <w:start w:w="90" w:type="dxa"/>
              <w:bottom w:w="90" w:type="dxa"/>
              <w:end w:w="90" w:type="dxa"/>
            </w:tcMar>
          </w:tcPr>
          <w:p>
            <w:r>
              <w:rPr>
                <w:b/>
                <w:color w:val="FFFFFF"/>
                <w:sz w:val="14"/>
              </w:rPr>
              <w:t>Control outcome</w:t>
            </w:r>
          </w:p>
        </w:tc>
        <w:tc>
          <w:tcPr>
            <w:tcW w:type="dxa" w:w="2160"/>
            <w:shd w:fill="17365D"/>
            <w:tcMar>
              <w:top w:w="90" w:type="dxa"/>
              <w:start w:w="90" w:type="dxa"/>
              <w:bottom w:w="90" w:type="dxa"/>
              <w:end w:w="90" w:type="dxa"/>
            </w:tcMar>
          </w:tcPr>
          <w:p>
            <w:r>
              <w:rPr>
                <w:b/>
                <w:color w:val="FFFFFF"/>
                <w:sz w:val="14"/>
              </w:rPr>
              <w:t>Owner</w:t>
            </w:r>
          </w:p>
        </w:tc>
        <w:tc>
          <w:tcPr>
            <w:tcW w:type="dxa" w:w="2304"/>
            <w:shd w:fill="17365D"/>
            <w:tcMar>
              <w:top w:w="90" w:type="dxa"/>
              <w:start w:w="90" w:type="dxa"/>
              <w:bottom w:w="90" w:type="dxa"/>
              <w:end w:w="90" w:type="dxa"/>
            </w:tcMar>
          </w:tcPr>
          <w:p>
            <w:r>
              <w:rPr>
                <w:b/>
                <w:color w:val="FFFFFF"/>
                <w:sz w:val="14"/>
              </w:rPr>
              <w:t>Exit criterion</w:t>
            </w:r>
          </w:p>
        </w:tc>
      </w:tr>
      <w:tr>
        <w:trPr>
          <w:cantSplit/>
        </w:trPr>
        <w:tc>
          <w:tcPr>
            <w:tcW w:type="dxa" w:w="1296"/>
            <w:tcMar>
              <w:top w:w="90" w:type="dxa"/>
              <w:start w:w="90" w:type="dxa"/>
              <w:bottom w:w="90" w:type="dxa"/>
              <w:end w:w="90" w:type="dxa"/>
            </w:tcMar>
            <w:vAlign w:val="center"/>
          </w:tcPr>
          <w:p>
            <w:pPr>
              <w:spacing w:after="20"/>
            </w:pPr>
            <w:r>
              <w:rPr>
                <w:sz w:val="14"/>
              </w:rPr>
              <w:t>0-30 days</w:t>
            </w:r>
          </w:p>
        </w:tc>
        <w:tc>
          <w:tcPr>
            <w:tcW w:type="dxa" w:w="3600"/>
            <w:tcMar>
              <w:top w:w="90" w:type="dxa"/>
              <w:start w:w="90" w:type="dxa"/>
              <w:bottom w:w="90" w:type="dxa"/>
              <w:end w:w="90" w:type="dxa"/>
            </w:tcMar>
            <w:vAlign w:val="center"/>
          </w:tcPr>
          <w:p>
            <w:pPr>
              <w:spacing w:after="20"/>
            </w:pPr>
            <w:r>
              <w:rPr>
                <w:sz w:val="14"/>
              </w:rPr>
              <w:t>Disable AI by default; exact hash and non-production DB policy</w:t>
            </w:r>
          </w:p>
        </w:tc>
        <w:tc>
          <w:tcPr>
            <w:tcW w:type="dxa" w:w="2160"/>
            <w:tcMar>
              <w:top w:w="90" w:type="dxa"/>
              <w:start w:w="90" w:type="dxa"/>
              <w:bottom w:w="90" w:type="dxa"/>
              <w:end w:w="90" w:type="dxa"/>
            </w:tcMar>
            <w:vAlign w:val="center"/>
          </w:tcPr>
          <w:p>
            <w:pPr>
              <w:spacing w:after="20"/>
            </w:pPr>
            <w:r>
              <w:rPr>
                <w:sz w:val="14"/>
              </w:rPr>
              <w:t>Platform / DB Security</w:t>
            </w:r>
          </w:p>
        </w:tc>
        <w:tc>
          <w:tcPr>
            <w:tcW w:type="dxa" w:w="2304"/>
            <w:tcMar>
              <w:top w:w="90" w:type="dxa"/>
              <w:start w:w="90" w:type="dxa"/>
              <w:bottom w:w="90" w:type="dxa"/>
              <w:end w:w="90" w:type="dxa"/>
            </w:tcMar>
            <w:vAlign w:val="center"/>
          </w:tcPr>
          <w:p>
            <w:pPr>
              <w:spacing w:after="20"/>
            </w:pPr>
            <w:r>
              <w:rPr>
                <w:sz w:val="14"/>
              </w:rPr>
              <w:t>Managed policy and DB-role readback</w:t>
            </w:r>
          </w:p>
        </w:tc>
      </w:tr>
      <w:tr>
        <w:trPr>
          <w:cantSplit/>
        </w:trPr>
        <w:tc>
          <w:tcPr>
            <w:tcW w:type="dxa" w:w="1296"/>
            <w:tcMar>
              <w:top w:w="90" w:type="dxa"/>
              <w:start w:w="90" w:type="dxa"/>
              <w:bottom w:w="90" w:type="dxa"/>
              <w:end w:w="90" w:type="dxa"/>
            </w:tcMar>
            <w:vAlign w:val="center"/>
            <w:shd w:fill="F3F6F8"/>
          </w:tcPr>
          <w:p>
            <w:pPr>
              <w:spacing w:after="20"/>
            </w:pPr>
            <w:r>
              <w:rPr>
                <w:sz w:val="14"/>
              </w:rPr>
              <w:t>30-60 days</w:t>
            </w:r>
          </w:p>
        </w:tc>
        <w:tc>
          <w:tcPr>
            <w:tcW w:type="dxa" w:w="3600"/>
            <w:tcMar>
              <w:top w:w="90" w:type="dxa"/>
              <w:start w:w="90" w:type="dxa"/>
              <w:bottom w:w="90" w:type="dxa"/>
              <w:end w:w="90" w:type="dxa"/>
            </w:tcMar>
            <w:vAlign w:val="center"/>
            <w:shd w:fill="F3F6F8"/>
          </w:tcPr>
          <w:p>
            <w:pPr>
              <w:spacing w:after="20"/>
            </w:pPr>
            <w:r>
              <w:rPr>
                <w:sz w:val="14"/>
              </w:rPr>
              <w:t>Vendor SBOM/VEX/privacy evidence and isolated runtime</w:t>
            </w:r>
          </w:p>
        </w:tc>
        <w:tc>
          <w:tcPr>
            <w:tcW w:type="dxa" w:w="2160"/>
            <w:tcMar>
              <w:top w:w="90" w:type="dxa"/>
              <w:start w:w="90" w:type="dxa"/>
              <w:bottom w:w="90" w:type="dxa"/>
              <w:end w:w="90" w:type="dxa"/>
            </w:tcMar>
            <w:vAlign w:val="center"/>
            <w:shd w:fill="F3F6F8"/>
          </w:tcPr>
          <w:p>
            <w:pPr>
              <w:spacing w:after="20"/>
            </w:pPr>
            <w:r>
              <w:rPr>
                <w:sz w:val="14"/>
              </w:rPr>
              <w:t>Third-Party / Privacy / Endpoint</w:t>
            </w:r>
          </w:p>
        </w:tc>
        <w:tc>
          <w:tcPr>
            <w:tcW w:type="dxa" w:w="2304"/>
            <w:tcMar>
              <w:top w:w="90" w:type="dxa"/>
              <w:start w:w="90" w:type="dxa"/>
              <w:bottom w:w="90" w:type="dxa"/>
              <w:end w:w="90" w:type="dxa"/>
            </w:tcMar>
            <w:vAlign w:val="center"/>
            <w:shd w:fill="F3F6F8"/>
          </w:tcPr>
          <w:p>
            <w:pPr>
              <w:spacing w:after="20"/>
            </w:pPr>
            <w:r>
              <w:rPr>
                <w:sz w:val="14"/>
              </w:rPr>
              <w:t>RISK-001 through RISK-006 close</w:t>
            </w:r>
          </w:p>
        </w:tc>
      </w:tr>
      <w:tr>
        <w:trPr>
          <w:cantSplit/>
        </w:trPr>
        <w:tc>
          <w:tcPr>
            <w:tcW w:type="dxa" w:w="1296"/>
            <w:tcMar>
              <w:top w:w="90" w:type="dxa"/>
              <w:start w:w="90" w:type="dxa"/>
              <w:bottom w:w="90" w:type="dxa"/>
              <w:end w:w="90" w:type="dxa"/>
            </w:tcMar>
            <w:vAlign w:val="center"/>
          </w:tcPr>
          <w:p>
            <w:pPr>
              <w:spacing w:after="20"/>
            </w:pPr>
            <w:r>
              <w:rPr>
                <w:sz w:val="14"/>
              </w:rPr>
              <w:t>60-90 days</w:t>
            </w:r>
          </w:p>
        </w:tc>
        <w:tc>
          <w:tcPr>
            <w:tcW w:type="dxa" w:w="3600"/>
            <w:tcMar>
              <w:top w:w="90" w:type="dxa"/>
              <w:start w:w="90" w:type="dxa"/>
              <w:bottom w:w="90" w:type="dxa"/>
              <w:end w:w="90" w:type="dxa"/>
            </w:tcMar>
            <w:vAlign w:val="center"/>
          </w:tcPr>
          <w:p>
            <w:pPr>
              <w:spacing w:after="20"/>
            </w:pPr>
            <w:r>
              <w:rPr>
                <w:sz w:val="14"/>
              </w:rPr>
              <w:t>Bounded synthetic ro pilot with monitoring</w:t>
            </w:r>
          </w:p>
        </w:tc>
        <w:tc>
          <w:tcPr>
            <w:tcW w:type="dxa" w:w="2160"/>
            <w:tcMar>
              <w:top w:w="90" w:type="dxa"/>
              <w:start w:w="90" w:type="dxa"/>
              <w:bottom w:w="90" w:type="dxa"/>
              <w:end w:w="90" w:type="dxa"/>
            </w:tcMar>
            <w:vAlign w:val="center"/>
          </w:tcPr>
          <w:p>
            <w:pPr>
              <w:spacing w:after="20"/>
            </w:pPr>
            <w:r>
              <w:rPr>
                <w:sz w:val="14"/>
              </w:rPr>
              <w:t>Developer Platform</w:t>
            </w:r>
          </w:p>
        </w:tc>
        <w:tc>
          <w:tcPr>
            <w:tcW w:type="dxa" w:w="2304"/>
            <w:tcMar>
              <w:top w:w="90" w:type="dxa"/>
              <w:start w:w="90" w:type="dxa"/>
              <w:bottom w:w="90" w:type="dxa"/>
              <w:end w:w="90" w:type="dxa"/>
            </w:tcMar>
            <w:vAlign w:val="center"/>
          </w:tcPr>
          <w:p>
            <w:pPr>
              <w:spacing w:after="20"/>
            </w:pPr>
            <w:r>
              <w:rPr>
                <w:sz w:val="14"/>
              </w:rPr>
              <w:t>Negative tests and incident drill pass</w:t>
            </w:r>
          </w:p>
        </w:tc>
      </w:tr>
      <w:tr>
        <w:trPr>
          <w:cantSplit/>
        </w:trPr>
        <w:tc>
          <w:tcPr>
            <w:tcW w:type="dxa" w:w="1296"/>
            <w:tcMar>
              <w:top w:w="90" w:type="dxa"/>
              <w:start w:w="90" w:type="dxa"/>
              <w:bottom w:w="90" w:type="dxa"/>
              <w:end w:w="90" w:type="dxa"/>
            </w:tcMar>
            <w:vAlign w:val="center"/>
            <w:shd w:fill="F3F6F8"/>
          </w:tcPr>
          <w:p>
            <w:pPr>
              <w:spacing w:after="20"/>
            </w:pPr>
            <w:r>
              <w:rPr>
                <w:sz w:val="14"/>
              </w:rPr>
              <w:t>Ongoing</w:t>
            </w:r>
          </w:p>
        </w:tc>
        <w:tc>
          <w:tcPr>
            <w:tcW w:type="dxa" w:w="3600"/>
            <w:tcMar>
              <w:top w:w="90" w:type="dxa"/>
              <w:start w:w="90" w:type="dxa"/>
              <w:bottom w:w="90" w:type="dxa"/>
              <w:end w:w="90" w:type="dxa"/>
            </w:tcMar>
            <w:vAlign w:val="center"/>
            <w:shd w:fill="F3F6F8"/>
          </w:tcPr>
          <w:p>
            <w:pPr>
              <w:spacing w:after="20"/>
            </w:pPr>
            <w:r>
              <w:rPr>
                <w:sz w:val="14"/>
              </w:rPr>
              <w:t>Version, tools-service, advisory, tool-schema and policy monitoring</w:t>
            </w:r>
          </w:p>
        </w:tc>
        <w:tc>
          <w:tcPr>
            <w:tcW w:type="dxa" w:w="2160"/>
            <w:tcMar>
              <w:top w:w="90" w:type="dxa"/>
              <w:start w:w="90" w:type="dxa"/>
              <w:bottom w:w="90" w:type="dxa"/>
              <w:end w:w="90" w:type="dxa"/>
            </w:tcMar>
            <w:vAlign w:val="center"/>
            <w:shd w:fill="F3F6F8"/>
          </w:tcPr>
          <w:p>
            <w:pPr>
              <w:spacing w:after="20"/>
            </w:pPr>
            <w:r>
              <w:rPr>
                <w:sz w:val="14"/>
              </w:rPr>
              <w:t>Vulnerability / Endpoint</w:t>
            </w:r>
          </w:p>
        </w:tc>
        <w:tc>
          <w:tcPr>
            <w:tcW w:type="dxa" w:w="2304"/>
            <w:tcMar>
              <w:top w:w="90" w:type="dxa"/>
              <w:start w:w="90" w:type="dxa"/>
              <w:bottom w:w="90" w:type="dxa"/>
              <w:end w:w="90" w:type="dxa"/>
            </w:tcMar>
            <w:vAlign w:val="center"/>
            <w:shd w:fill="F3F6F8"/>
          </w:tcPr>
          <w:p>
            <w:pPr>
              <w:spacing w:after="20"/>
            </w:pPr>
            <w:r>
              <w:rPr>
                <w:sz w:val="14"/>
              </w:rPr>
              <w:t>Quarterly/material-change review</w:t>
            </w:r>
          </w:p>
        </w:tc>
      </w:tr>
    </w:tbl>
    <w:p>
      <w:pPr>
        <w:spacing w:after="40"/>
      </w:pPr>
    </w:p>
    <w:p>
      <w:pPr>
        <w:pStyle w:val="Heading1"/>
      </w:pPr>
      <w:r>
        <w:t>Detection Opportunities and Monitoring Plan</w:t>
      </w:r>
    </w:p>
    <w:tbl>
      <w:tblPr>
        <w:tblStyle w:val="TableGrid"/>
        <w:tblW w:type="auto" w:w="0"/>
        <w:jc w:val="center"/>
        <w:tblLayout w:type="fixed"/>
        <w:tblLook w:firstColumn="1" w:firstRow="1" w:lastColumn="0" w:lastRow="0" w:noHBand="0" w:noVBand="1" w:val="04A0"/>
      </w:tblPr>
      <w:tblGrid>
        <w:gridCol w:w="2160"/>
        <w:gridCol w:w="2160"/>
        <w:gridCol w:w="2880"/>
        <w:gridCol w:w="2160"/>
      </w:tblGrid>
      <w:tr>
        <w:trPr>
          <w:tblHeader/>
        </w:trPr>
        <w:tc>
          <w:tcPr>
            <w:tcW w:type="dxa" w:w="2160"/>
            <w:shd w:fill="17365D"/>
            <w:tcMar>
              <w:top w:w="90" w:type="dxa"/>
              <w:start w:w="90" w:type="dxa"/>
              <w:bottom w:w="90" w:type="dxa"/>
              <w:end w:w="90" w:type="dxa"/>
            </w:tcMar>
          </w:tcPr>
          <w:p>
            <w:r>
              <w:rPr>
                <w:b/>
                <w:color w:val="FFFFFF"/>
                <w:sz w:val="14"/>
              </w:rPr>
              <w:t>Signal</w:t>
            </w:r>
          </w:p>
        </w:tc>
        <w:tc>
          <w:tcPr>
            <w:tcW w:type="dxa" w:w="2160"/>
            <w:shd w:fill="17365D"/>
            <w:tcMar>
              <w:top w:w="90" w:type="dxa"/>
              <w:start w:w="90" w:type="dxa"/>
              <w:bottom w:w="90" w:type="dxa"/>
              <w:end w:w="90" w:type="dxa"/>
            </w:tcMar>
          </w:tcPr>
          <w:p>
            <w:r>
              <w:rPr>
                <w:b/>
                <w:color w:val="FFFFFF"/>
                <w:sz w:val="14"/>
              </w:rPr>
              <w:t>Source</w:t>
            </w:r>
          </w:p>
        </w:tc>
        <w:tc>
          <w:tcPr>
            <w:tcW w:type="dxa" w:w="2880"/>
            <w:shd w:fill="17365D"/>
            <w:tcMar>
              <w:top w:w="90" w:type="dxa"/>
              <w:start w:w="90" w:type="dxa"/>
              <w:bottom w:w="90" w:type="dxa"/>
              <w:end w:w="90" w:type="dxa"/>
            </w:tcMar>
          </w:tcPr>
          <w:p>
            <w:r>
              <w:rPr>
                <w:b/>
                <w:color w:val="FFFFFF"/>
                <w:sz w:val="14"/>
              </w:rPr>
              <w:t>Alert/response</w:t>
            </w:r>
          </w:p>
        </w:tc>
        <w:tc>
          <w:tcPr>
            <w:tcW w:type="dxa" w:w="2160"/>
            <w:shd w:fill="17365D"/>
            <w:tcMar>
              <w:top w:w="90" w:type="dxa"/>
              <w:start w:w="90" w:type="dxa"/>
              <w:bottom w:w="90" w:type="dxa"/>
              <w:end w:w="90" w:type="dxa"/>
            </w:tcMar>
          </w:tcPr>
          <w:p>
            <w:r>
              <w:rPr>
                <w:b/>
                <w:color w:val="FFFFFF"/>
                <w:sz w:val="14"/>
              </w:rPr>
              <w:t>Limitation</w:t>
            </w:r>
          </w:p>
        </w:tc>
      </w:tr>
      <w:tr>
        <w:trPr>
          <w:cantSplit/>
        </w:trPr>
        <w:tc>
          <w:tcPr>
            <w:tcW w:type="dxa" w:w="2160"/>
            <w:tcMar>
              <w:top w:w="90" w:type="dxa"/>
              <w:start w:w="90" w:type="dxa"/>
              <w:bottom w:w="90" w:type="dxa"/>
              <w:end w:w="90" w:type="dxa"/>
            </w:tcMar>
            <w:vAlign w:val="center"/>
          </w:tcPr>
          <w:p>
            <w:pPr>
              <w:spacing w:after="20"/>
            </w:pPr>
            <w:r>
              <w:rPr>
                <w:sz w:val="14"/>
              </w:rPr>
              <w:t>Unapproved version/hash</w:t>
            </w:r>
          </w:p>
        </w:tc>
        <w:tc>
          <w:tcPr>
            <w:tcW w:type="dxa" w:w="2160"/>
            <w:tcMar>
              <w:top w:w="90" w:type="dxa"/>
              <w:start w:w="90" w:type="dxa"/>
              <w:bottom w:w="90" w:type="dxa"/>
              <w:end w:w="90" w:type="dxa"/>
            </w:tcMar>
            <w:vAlign w:val="center"/>
          </w:tcPr>
          <w:p>
            <w:pPr>
              <w:spacing w:after="20"/>
            </w:pPr>
            <w:r>
              <w:rPr>
                <w:sz w:val="14"/>
              </w:rPr>
              <w:t>Endpoint/VS Code inventory</w:t>
            </w:r>
          </w:p>
        </w:tc>
        <w:tc>
          <w:tcPr>
            <w:tcW w:type="dxa" w:w="2880"/>
            <w:tcMar>
              <w:top w:w="90" w:type="dxa"/>
              <w:start w:w="90" w:type="dxa"/>
              <w:bottom w:w="90" w:type="dxa"/>
              <w:end w:w="90" w:type="dxa"/>
            </w:tcMar>
            <w:vAlign w:val="center"/>
          </w:tcPr>
          <w:p>
            <w:pPr>
              <w:spacing w:after="20"/>
            </w:pPr>
            <w:r>
              <w:rPr>
                <w:sz w:val="14"/>
              </w:rPr>
              <w:t>Block and investigate update path</w:t>
            </w:r>
          </w:p>
        </w:tc>
        <w:tc>
          <w:tcPr>
            <w:tcW w:type="dxa" w:w="2160"/>
            <w:tcMar>
              <w:top w:w="90" w:type="dxa"/>
              <w:start w:w="90" w:type="dxa"/>
              <w:bottom w:w="90" w:type="dxa"/>
              <w:end w:w="90" w:type="dxa"/>
            </w:tcMar>
            <w:vAlign w:val="center"/>
          </w:tcPr>
          <w:p>
            <w:pPr>
              <w:spacing w:after="20"/>
            </w:pPr>
            <w:r>
              <w:rPr>
                <w:sz w:val="14"/>
              </w:rPr>
              <w:t>Seven platform sets</w:t>
            </w:r>
          </w:p>
        </w:tc>
      </w:tr>
      <w:tr>
        <w:trPr>
          <w:cantSplit/>
        </w:trPr>
        <w:tc>
          <w:tcPr>
            <w:tcW w:type="dxa" w:w="2160"/>
            <w:tcMar>
              <w:top w:w="90" w:type="dxa"/>
              <w:start w:w="90" w:type="dxa"/>
              <w:bottom w:w="90" w:type="dxa"/>
              <w:end w:w="90" w:type="dxa"/>
            </w:tcMar>
            <w:vAlign w:val="center"/>
            <w:shd w:fill="F3F6F8"/>
          </w:tcPr>
          <w:p>
            <w:pPr>
              <w:spacing w:after="20"/>
            </w:pPr>
            <w:r>
              <w:rPr>
                <w:sz w:val="14"/>
              </w:rPr>
              <w:t>New MCP/tool/settings</w:t>
            </w:r>
          </w:p>
        </w:tc>
        <w:tc>
          <w:tcPr>
            <w:tcW w:type="dxa" w:w="2160"/>
            <w:tcMar>
              <w:top w:w="90" w:type="dxa"/>
              <w:start w:w="90" w:type="dxa"/>
              <w:bottom w:w="90" w:type="dxa"/>
              <w:end w:w="90" w:type="dxa"/>
            </w:tcMar>
            <w:vAlign w:val="center"/>
            <w:shd w:fill="F3F6F8"/>
          </w:tcPr>
          <w:p>
            <w:pPr>
              <w:spacing w:after="20"/>
            </w:pPr>
            <w:r>
              <w:rPr>
                <w:sz w:val="14"/>
              </w:rPr>
              <w:t>VS Code policy/profile inventory</w:t>
            </w:r>
          </w:p>
        </w:tc>
        <w:tc>
          <w:tcPr>
            <w:tcW w:type="dxa" w:w="2880"/>
            <w:tcMar>
              <w:top w:w="90" w:type="dxa"/>
              <w:start w:w="90" w:type="dxa"/>
              <w:bottom w:w="90" w:type="dxa"/>
              <w:end w:w="90" w:type="dxa"/>
            </w:tcMar>
            <w:vAlign w:val="center"/>
            <w:shd w:fill="F3F6F8"/>
          </w:tcPr>
          <w:p>
            <w:pPr>
              <w:spacing w:after="20"/>
            </w:pPr>
            <w:r>
              <w:rPr>
                <w:sz w:val="14"/>
              </w:rPr>
              <w:t>Disable and require assessment</w:t>
            </w:r>
          </w:p>
        </w:tc>
        <w:tc>
          <w:tcPr>
            <w:tcW w:type="dxa" w:w="2160"/>
            <w:tcMar>
              <w:top w:w="90" w:type="dxa"/>
              <w:start w:w="90" w:type="dxa"/>
              <w:bottom w:w="90" w:type="dxa"/>
              <w:end w:w="90" w:type="dxa"/>
            </w:tcMar>
            <w:vAlign w:val="center"/>
            <w:shd w:fill="F3F6F8"/>
          </w:tcPr>
          <w:p>
            <w:pPr>
              <w:spacing w:after="20"/>
            </w:pPr>
            <w:r>
              <w:rPr>
                <w:sz w:val="14"/>
              </w:rPr>
              <w:t>Runtime schema needed</w:t>
            </w:r>
          </w:p>
        </w:tc>
      </w:tr>
      <w:tr>
        <w:trPr>
          <w:cantSplit/>
        </w:trPr>
        <w:tc>
          <w:tcPr>
            <w:tcW w:type="dxa" w:w="2160"/>
            <w:tcMar>
              <w:top w:w="90" w:type="dxa"/>
              <w:start w:w="90" w:type="dxa"/>
              <w:bottom w:w="90" w:type="dxa"/>
              <w:end w:w="90" w:type="dxa"/>
            </w:tcMar>
            <w:vAlign w:val="center"/>
          </w:tcPr>
          <w:p>
            <w:pPr>
              <w:spacing w:after="20"/>
            </w:pPr>
            <w:r>
              <w:rPr>
                <w:sz w:val="14"/>
              </w:rPr>
              <w:t>Unexpected listener/domain/process</w:t>
            </w:r>
          </w:p>
        </w:tc>
        <w:tc>
          <w:tcPr>
            <w:tcW w:type="dxa" w:w="2160"/>
            <w:tcMar>
              <w:top w:w="90" w:type="dxa"/>
              <w:start w:w="90" w:type="dxa"/>
              <w:bottom w:w="90" w:type="dxa"/>
              <w:end w:w="90" w:type="dxa"/>
            </w:tcMar>
            <w:vAlign w:val="center"/>
          </w:tcPr>
          <w:p>
            <w:pPr>
              <w:spacing w:after="20"/>
            </w:pPr>
            <w:r>
              <w:rPr>
                <w:sz w:val="14"/>
              </w:rPr>
              <w:t>EDR, DNS, proxy</w:t>
            </w:r>
          </w:p>
        </w:tc>
        <w:tc>
          <w:tcPr>
            <w:tcW w:type="dxa" w:w="2880"/>
            <w:tcMar>
              <w:top w:w="90" w:type="dxa"/>
              <w:start w:w="90" w:type="dxa"/>
              <w:bottom w:w="90" w:type="dxa"/>
              <w:end w:w="90" w:type="dxa"/>
            </w:tcMar>
            <w:vAlign w:val="center"/>
          </w:tcPr>
          <w:p>
            <w:pPr>
              <w:spacing w:after="20"/>
            </w:pPr>
            <w:r>
              <w:rPr>
                <w:sz w:val="14"/>
              </w:rPr>
              <w:t>Isolate, revoke and preserve evidence</w:t>
            </w:r>
          </w:p>
        </w:tc>
        <w:tc>
          <w:tcPr>
            <w:tcW w:type="dxa" w:w="2160"/>
            <w:tcMar>
              <w:top w:w="90" w:type="dxa"/>
              <w:start w:w="90" w:type="dxa"/>
              <w:bottom w:w="90" w:type="dxa"/>
              <w:end w:w="90" w:type="dxa"/>
            </w:tcMar>
            <w:vAlign w:val="center"/>
          </w:tcPr>
          <w:p>
            <w:pPr>
              <w:spacing w:after="20"/>
            </w:pPr>
            <w:r>
              <w:rPr>
                <w:sz w:val="14"/>
              </w:rPr>
              <w:t>Encrypted payload</w:t>
            </w:r>
          </w:p>
        </w:tc>
      </w:tr>
      <w:tr>
        <w:trPr>
          <w:cantSplit/>
        </w:trPr>
        <w:tc>
          <w:tcPr>
            <w:tcW w:type="dxa" w:w="2160"/>
            <w:tcMar>
              <w:top w:w="90" w:type="dxa"/>
              <w:start w:w="90" w:type="dxa"/>
              <w:bottom w:w="90" w:type="dxa"/>
              <w:end w:w="90" w:type="dxa"/>
            </w:tcMar>
            <w:vAlign w:val="center"/>
            <w:shd w:fill="F3F6F8"/>
          </w:tcPr>
          <w:p>
            <w:pPr>
              <w:spacing w:after="20"/>
            </w:pPr>
            <w:r>
              <w:rPr>
                <w:sz w:val="14"/>
              </w:rPr>
              <w:t>DDL/DML or bulk load</w:t>
            </w:r>
          </w:p>
        </w:tc>
        <w:tc>
          <w:tcPr>
            <w:tcW w:type="dxa" w:w="2160"/>
            <w:tcMar>
              <w:top w:w="90" w:type="dxa"/>
              <w:start w:w="90" w:type="dxa"/>
              <w:bottom w:w="90" w:type="dxa"/>
              <w:end w:w="90" w:type="dxa"/>
            </w:tcMar>
            <w:vAlign w:val="center"/>
            <w:shd w:fill="F3F6F8"/>
          </w:tcPr>
          <w:p>
            <w:pPr>
              <w:spacing w:after="20"/>
            </w:pPr>
            <w:r>
              <w:rPr>
                <w:sz w:val="14"/>
              </w:rPr>
              <w:t>PostgreSQL audit</w:t>
            </w:r>
          </w:p>
        </w:tc>
        <w:tc>
          <w:tcPr>
            <w:tcW w:type="dxa" w:w="2880"/>
            <w:tcMar>
              <w:top w:w="90" w:type="dxa"/>
              <w:start w:w="90" w:type="dxa"/>
              <w:bottom w:w="90" w:type="dxa"/>
              <w:end w:w="90" w:type="dxa"/>
            </w:tcMar>
            <w:vAlign w:val="center"/>
            <w:shd w:fill="F3F6F8"/>
          </w:tcPr>
          <w:p>
            <w:pPr>
              <w:spacing w:after="20"/>
            </w:pPr>
            <w:r>
              <w:rPr>
                <w:sz w:val="14"/>
              </w:rPr>
              <w:t>Stop session and reconcile changes</w:t>
            </w:r>
          </w:p>
        </w:tc>
        <w:tc>
          <w:tcPr>
            <w:tcW w:type="dxa" w:w="2160"/>
            <w:tcMar>
              <w:top w:w="90" w:type="dxa"/>
              <w:start w:w="90" w:type="dxa"/>
              <w:bottom w:w="90" w:type="dxa"/>
              <w:end w:w="90" w:type="dxa"/>
            </w:tcMar>
            <w:vAlign w:val="center"/>
            <w:shd w:fill="F3F6F8"/>
          </w:tcPr>
          <w:p>
            <w:pPr>
              <w:spacing w:after="20"/>
            </w:pPr>
            <w:r>
              <w:rPr>
                <w:sz w:val="14"/>
              </w:rPr>
              <w:t>Audit must be enabled</w:t>
            </w:r>
          </w:p>
        </w:tc>
      </w:tr>
      <w:tr>
        <w:trPr>
          <w:cantSplit/>
        </w:trPr>
        <w:tc>
          <w:tcPr>
            <w:tcW w:type="dxa" w:w="2160"/>
            <w:tcMar>
              <w:top w:w="90" w:type="dxa"/>
              <w:start w:w="90" w:type="dxa"/>
              <w:bottom w:w="90" w:type="dxa"/>
              <w:end w:w="90" w:type="dxa"/>
            </w:tcMar>
            <w:vAlign w:val="center"/>
          </w:tcPr>
          <w:p>
            <w:pPr>
              <w:spacing w:after="20"/>
            </w:pPr>
            <w:r>
              <w:rPr>
                <w:sz w:val="14"/>
              </w:rPr>
              <w:t>Sensitive logs/history</w:t>
            </w:r>
          </w:p>
        </w:tc>
        <w:tc>
          <w:tcPr>
            <w:tcW w:type="dxa" w:w="2160"/>
            <w:tcMar>
              <w:top w:w="90" w:type="dxa"/>
              <w:start w:w="90" w:type="dxa"/>
              <w:bottom w:w="90" w:type="dxa"/>
              <w:end w:w="90" w:type="dxa"/>
            </w:tcMar>
            <w:vAlign w:val="center"/>
          </w:tcPr>
          <w:p>
            <w:pPr>
              <w:spacing w:after="20"/>
            </w:pPr>
            <w:r>
              <w:rPr>
                <w:sz w:val="14"/>
              </w:rPr>
              <w:t>DLP/file monitoring</w:t>
            </w:r>
          </w:p>
        </w:tc>
        <w:tc>
          <w:tcPr>
            <w:tcW w:type="dxa" w:w="2880"/>
            <w:tcMar>
              <w:top w:w="90" w:type="dxa"/>
              <w:start w:w="90" w:type="dxa"/>
              <w:bottom w:w="90" w:type="dxa"/>
              <w:end w:w="90" w:type="dxa"/>
            </w:tcMar>
            <w:vAlign w:val="center"/>
          </w:tcPr>
          <w:p>
            <w:pPr>
              <w:spacing w:after="20"/>
            </w:pPr>
            <w:r>
              <w:rPr>
                <w:sz w:val="14"/>
              </w:rPr>
              <w:t>Quarantine/minimise and assess exposure</w:t>
            </w:r>
          </w:p>
        </w:tc>
        <w:tc>
          <w:tcPr>
            <w:tcW w:type="dxa" w:w="2160"/>
            <w:tcMar>
              <w:top w:w="90" w:type="dxa"/>
              <w:start w:w="90" w:type="dxa"/>
              <w:bottom w:w="90" w:type="dxa"/>
              <w:end w:w="90" w:type="dxa"/>
            </w:tcMar>
            <w:vAlign w:val="center"/>
          </w:tcPr>
          <w:p>
            <w:pPr>
              <w:spacing w:after="20"/>
            </w:pPr>
            <w:r>
              <w:rPr>
                <w:sz w:val="14"/>
              </w:rPr>
              <w:t>Avoid collecting content</w:t>
            </w:r>
          </w:p>
        </w:tc>
      </w:tr>
    </w:tbl>
    <w:p>
      <w:pPr>
        <w:spacing w:after="40"/>
      </w:pPr>
    </w:p>
    <w:p>
      <w:pPr>
        <w:pStyle w:val="Heading1"/>
      </w:pPr>
      <w:r>
        <w:t>Detailed Validated Findings</w:t>
      </w:r>
    </w:p>
    <w:p>
      <w:pPr>
        <w:pStyle w:val="Heading2"/>
      </w:pPr>
      <w:r>
        <w:t>RISK-001 - Representative runtime evidence is unavailable</w:t>
      </w:r>
    </w:p>
    <w:p>
      <w:r>
        <w:t>Residual rating: High (15). Owner: Endpoint Security Testing. Treatment: Complete isolated multi-platform runtime plan. Evidence and preconditions are recorded in stage 13. Verification must demonstrate the deny path with exact 1.26.0 bytes and leave auditable, content-minimised evidence.</w:t>
      </w:r>
    </w:p>
    <w:p>
      <w:pPr>
        <w:pStyle w:val="Heading2"/>
      </w:pPr>
      <w:r>
        <w:t>RISK-002 - Default-enabled Copilot read/write authority can exceed user intent</w:t>
      </w:r>
    </w:p>
    <w:p>
      <w:r>
        <w:t>Residual rating: High (15). Owner: Developer Platform / DB Security. Treatment: Managed disable-by-default, ro mode and DB least privilege. Evidence and preconditions are recorded in stage 13. Verification must demonstrate the deny path with exact 1.26.0 bytes and leave auditable, content-minimised evidence.</w:t>
      </w:r>
    </w:p>
    <w:p>
      <w:pPr>
        <w:pStyle w:val="Heading2"/>
      </w:pPr>
      <w:r>
        <w:t>RISK-003 - Bundled MCP SDK exposure and transport/session controls require closure</w:t>
      </w:r>
    </w:p>
    <w:p>
      <w:r>
        <w:t>Residual rating: High (12). Owner: AI Platform Security. Treatment: Upgrade or vendor VEX plus hostile-session tests. Evidence and preconditions are recorded in stage 13. Verification must demonstrate the deny path with exact 1.26.0 bytes and leave auditable, content-minimised evidence.</w:t>
      </w:r>
    </w:p>
    <w:p>
      <w:pPr>
        <w:pStyle w:val="Heading2"/>
      </w:pPr>
      <w:r>
        <w:t>RISK-004 - Opaque extension/tools-service supply chain limits assurance</w:t>
      </w:r>
    </w:p>
    <w:p>
      <w:r>
        <w:t>Residual rating: High (12). Owner: Third-Party Risk. Treatment: Vendor SBOM, provenance, VEX and exact-hash staging. Evidence and preconditions are recorded in stage 13. Verification must demonstrate the deny path with exact 1.26.0 bytes and leave auditable, content-minimised evidence.</w:t>
      </w:r>
    </w:p>
    <w:p>
      <w:pPr>
        <w:pStyle w:val="Heading2"/>
      </w:pPr>
      <w:r>
        <w:t>RISK-005 - Workspace profiles and Restricted Mode coverage create configuration risk</w:t>
      </w:r>
    </w:p>
    <w:p>
      <w:r>
        <w:t>Residual rating: High (12). Owner: Endpoint Engineering. Treatment: Block regulated workspace profiles; pre-trust negative tests. Evidence and preconditions are recorded in stage 13. Verification must demonstrate the deny path with exact 1.26.0 bytes and leave auditable, content-minimised evidence.</w:t>
      </w:r>
    </w:p>
    <w:p>
      <w:pPr>
        <w:pStyle w:val="Heading2"/>
      </w:pPr>
      <w:r>
        <w:t>RISK-006 - Database/model data flows create privacy and regulated-data exposure</w:t>
      </w:r>
    </w:p>
    <w:p>
      <w:r>
        <w:t>Residual rating: High (12). Owner: Privacy / Procurement. Treatment: DPIA, enterprise tenant/terms and synthetic-only pilot. Evidence and preconditions are recorded in stage 13. Verification must demonstrate the deny path with exact 1.26.0 bytes and leave auditable, content-minimised evidence.</w:t>
      </w:r>
    </w:p>
    <w:p>
      <w:pPr>
        <w:pStyle w:val="Heading2"/>
      </w:pPr>
      <w:r>
        <w:t>RISK-007 - Weak TLS modes can permit unauthenticated database transport</w:t>
      </w:r>
    </w:p>
    <w:p>
      <w:r>
        <w:t>Residual rating: Moderate (8). Owner: Database Platform. Treatment: Mandate Verify-Full and managed trust anchors. Evidence and preconditions are recorded in stage 13. Verification must demonstrate the deny path with exact 1.26.0 bytes and leave auditable, content-minimised evidence.</w:t>
      </w:r>
    </w:p>
    <w:p>
      <w:pPr>
        <w:pStyle w:val="Heading2"/>
      </w:pPr>
      <w:r>
        <w:t>RISK-008 - Native/debugging surface and other candidate components need VEX</w:t>
      </w:r>
    </w:p>
    <w:p>
      <w:r>
        <w:t>Residual rating: Moderate (9). Owner: Vulnerability Management. Treatment: Reachability evidence, fixed packages and regressions. Evidence and preconditions are recorded in stage 13. Verification must demonstrate the deny path with exact 1.26.0 bytes and leave auditable, content-minimised evidence.</w:t>
      </w:r>
    </w:p>
    <w:p>
      <w:pPr>
        <w:pStyle w:val="Heading2"/>
      </w:pPr>
      <w:r>
        <w:t>RISK-009 - History, logs and telemetry can retain sensitive content</w:t>
      </w:r>
    </w:p>
    <w:p>
      <w:r>
        <w:t>Residual rating: Moderate (8). Owner: Privacy / Endpoint. Treatment: Minimise retention, disable nonessential data and DLP logs. Evidence and preconditions are recorded in stage 13. Verification must demonstrate the deny path with exact 1.26.0 bytes and leave auditable, content-minimised evidence.</w:t>
      </w:r>
    </w:p>
    <w:p>
      <w:pPr>
        <w:pStyle w:val="Heading2"/>
      </w:pPr>
      <w:r>
        <w:t>RISK-010 - Update and uninstall residue can invalidate approval</w:t>
      </w:r>
    </w:p>
    <w:p>
      <w:r>
        <w:t>Residual rating: Moderate (8). Owner: Endpoint Engineering. Treatment: Stage updates; reconcile secrets, history and downloads. Evidence and preconditions are recorded in stage 13. Verification must demonstrate the deny path with exact 1.26.0 bytes and leave auditable, content-minimised evidence.</w:t>
      </w:r>
    </w:p>
    <w:p>
      <w:pPr>
        <w:pStyle w:val="Heading1"/>
      </w:pPr>
      <w:r>
        <w:t>Consolidated Risk Register</w:t>
      </w:r>
    </w:p>
    <w:p>
      <w:r>
        <w:t>Rating bands are 1-4 Low, 5-9 Moderate, 10-16 High and 17-25 Critical. Residual scores assume only verified controls; planned controls do not reduce risk.</w:t>
      </w:r>
    </w:p>
    <w:tbl>
      <w:tblPr>
        <w:tblStyle w:val="TableGrid"/>
        <w:tblW w:type="auto" w:w="0"/>
        <w:jc w:val="center"/>
        <w:tblLayout w:type="fixed"/>
        <w:tblLook w:firstColumn="1" w:firstRow="1" w:lastColumn="0" w:lastRow="0" w:noHBand="0" w:noVBand="1" w:val="04A0"/>
      </w:tblPr>
      <w:tblGrid>
        <w:gridCol w:w="936"/>
        <w:gridCol w:w="2880"/>
        <w:gridCol w:w="1008"/>
        <w:gridCol w:w="720"/>
        <w:gridCol w:w="1728"/>
        <w:gridCol w:w="2088"/>
      </w:tblGrid>
      <w:tr>
        <w:trPr>
          <w:tblHeader/>
        </w:trPr>
        <w:tc>
          <w:tcPr>
            <w:tcW w:type="dxa" w:w="936"/>
            <w:shd w:fill="17365D"/>
            <w:tcMar>
              <w:top w:w="90" w:type="dxa"/>
              <w:start w:w="90" w:type="dxa"/>
              <w:bottom w:w="90" w:type="dxa"/>
              <w:end w:w="90" w:type="dxa"/>
            </w:tcMar>
          </w:tcPr>
          <w:p>
            <w:r>
              <w:rPr>
                <w:b/>
                <w:color w:val="FFFFFF"/>
                <w:sz w:val="12"/>
              </w:rPr>
              <w:t>ID</w:t>
            </w:r>
          </w:p>
        </w:tc>
        <w:tc>
          <w:tcPr>
            <w:tcW w:type="dxa" w:w="2880"/>
            <w:shd w:fill="17365D"/>
            <w:tcMar>
              <w:top w:w="90" w:type="dxa"/>
              <w:start w:w="90" w:type="dxa"/>
              <w:bottom w:w="90" w:type="dxa"/>
              <w:end w:w="90" w:type="dxa"/>
            </w:tcMar>
          </w:tcPr>
          <w:p>
            <w:r>
              <w:rPr>
                <w:b/>
                <w:color w:val="FFFFFF"/>
                <w:sz w:val="12"/>
              </w:rPr>
              <w:t>Risk</w:t>
            </w:r>
          </w:p>
        </w:tc>
        <w:tc>
          <w:tcPr>
            <w:tcW w:type="dxa" w:w="1008"/>
            <w:shd w:fill="17365D"/>
            <w:tcMar>
              <w:top w:w="90" w:type="dxa"/>
              <w:start w:w="90" w:type="dxa"/>
              <w:bottom w:w="90" w:type="dxa"/>
              <w:end w:w="90" w:type="dxa"/>
            </w:tcMar>
          </w:tcPr>
          <w:p>
            <w:r>
              <w:rPr>
                <w:b/>
                <w:color w:val="FFFFFF"/>
                <w:sz w:val="12"/>
              </w:rPr>
              <w:t>Residual</w:t>
            </w:r>
          </w:p>
        </w:tc>
        <w:tc>
          <w:tcPr>
            <w:tcW w:type="dxa" w:w="720"/>
            <w:shd w:fill="17365D"/>
            <w:tcMar>
              <w:top w:w="90" w:type="dxa"/>
              <w:start w:w="90" w:type="dxa"/>
              <w:bottom w:w="90" w:type="dxa"/>
              <w:end w:w="90" w:type="dxa"/>
            </w:tcMar>
          </w:tcPr>
          <w:p>
            <w:r>
              <w:rPr>
                <w:b/>
                <w:color w:val="FFFFFF"/>
                <w:sz w:val="12"/>
              </w:rPr>
              <w:t>Score</w:t>
            </w:r>
          </w:p>
        </w:tc>
        <w:tc>
          <w:tcPr>
            <w:tcW w:type="dxa" w:w="1728"/>
            <w:shd w:fill="17365D"/>
            <w:tcMar>
              <w:top w:w="90" w:type="dxa"/>
              <w:start w:w="90" w:type="dxa"/>
              <w:bottom w:w="90" w:type="dxa"/>
              <w:end w:w="90" w:type="dxa"/>
            </w:tcMar>
          </w:tcPr>
          <w:p>
            <w:r>
              <w:rPr>
                <w:b/>
                <w:color w:val="FFFFFF"/>
                <w:sz w:val="12"/>
              </w:rPr>
              <w:t>Owner</w:t>
            </w:r>
          </w:p>
        </w:tc>
        <w:tc>
          <w:tcPr>
            <w:tcW w:type="dxa" w:w="2088"/>
            <w:shd w:fill="17365D"/>
            <w:tcMar>
              <w:top w:w="90" w:type="dxa"/>
              <w:start w:w="90" w:type="dxa"/>
              <w:bottom w:w="90" w:type="dxa"/>
              <w:end w:w="90" w:type="dxa"/>
            </w:tcMar>
          </w:tcPr>
          <w:p>
            <w:r>
              <w:rPr>
                <w:b/>
                <w:color w:val="FFFFFF"/>
                <w:sz w:val="12"/>
              </w:rPr>
              <w:t>Treatment</w:t>
            </w:r>
          </w:p>
        </w:tc>
      </w:tr>
      <w:tr>
        <w:trPr>
          <w:cantSplit/>
        </w:trPr>
        <w:tc>
          <w:tcPr>
            <w:tcW w:type="dxa" w:w="936"/>
            <w:tcMar>
              <w:top w:w="90" w:type="dxa"/>
              <w:start w:w="90" w:type="dxa"/>
              <w:bottom w:w="90" w:type="dxa"/>
              <w:end w:w="90" w:type="dxa"/>
            </w:tcMar>
            <w:vAlign w:val="center"/>
          </w:tcPr>
          <w:p>
            <w:pPr>
              <w:spacing w:after="20"/>
            </w:pPr>
            <w:r>
              <w:rPr>
                <w:sz w:val="12"/>
              </w:rPr>
              <w:t>RISK-001</w:t>
            </w:r>
          </w:p>
        </w:tc>
        <w:tc>
          <w:tcPr>
            <w:tcW w:type="dxa" w:w="2880"/>
            <w:tcMar>
              <w:top w:w="90" w:type="dxa"/>
              <w:start w:w="90" w:type="dxa"/>
              <w:bottom w:w="90" w:type="dxa"/>
              <w:end w:w="90" w:type="dxa"/>
            </w:tcMar>
            <w:vAlign w:val="center"/>
          </w:tcPr>
          <w:p>
            <w:pPr>
              <w:spacing w:after="20"/>
            </w:pPr>
            <w:r>
              <w:rPr>
                <w:sz w:val="12"/>
              </w:rPr>
              <w:t>Representative runtime evidence is unavailable</w:t>
            </w:r>
          </w:p>
        </w:tc>
        <w:tc>
          <w:tcPr>
            <w:tcW w:type="dxa" w:w="1008"/>
            <w:tcMar>
              <w:top w:w="90" w:type="dxa"/>
              <w:start w:w="90" w:type="dxa"/>
              <w:bottom w:w="90" w:type="dxa"/>
              <w:end w:w="90" w:type="dxa"/>
            </w:tcMar>
            <w:vAlign w:val="center"/>
          </w:tcPr>
          <w:p>
            <w:pPr>
              <w:spacing w:after="20"/>
            </w:pPr>
            <w:r>
              <w:rPr>
                <w:sz w:val="12"/>
              </w:rPr>
              <w:t>High</w:t>
            </w:r>
          </w:p>
        </w:tc>
        <w:tc>
          <w:tcPr>
            <w:tcW w:type="dxa" w:w="720"/>
            <w:tcMar>
              <w:top w:w="90" w:type="dxa"/>
              <w:start w:w="90" w:type="dxa"/>
              <w:bottom w:w="90" w:type="dxa"/>
              <w:end w:w="90" w:type="dxa"/>
            </w:tcMar>
            <w:vAlign w:val="center"/>
          </w:tcPr>
          <w:p>
            <w:pPr>
              <w:spacing w:after="20"/>
            </w:pPr>
            <w:r>
              <w:rPr>
                <w:sz w:val="12"/>
              </w:rPr>
              <w:t>15</w:t>
            </w:r>
          </w:p>
        </w:tc>
        <w:tc>
          <w:tcPr>
            <w:tcW w:type="dxa" w:w="1728"/>
            <w:tcMar>
              <w:top w:w="90" w:type="dxa"/>
              <w:start w:w="90" w:type="dxa"/>
              <w:bottom w:w="90" w:type="dxa"/>
              <w:end w:w="90" w:type="dxa"/>
            </w:tcMar>
            <w:vAlign w:val="center"/>
          </w:tcPr>
          <w:p>
            <w:pPr>
              <w:spacing w:after="20"/>
            </w:pPr>
            <w:r>
              <w:rPr>
                <w:sz w:val="12"/>
              </w:rPr>
              <w:t>Endpoint Security Testing</w:t>
            </w:r>
          </w:p>
        </w:tc>
        <w:tc>
          <w:tcPr>
            <w:tcW w:type="dxa" w:w="2088"/>
            <w:tcMar>
              <w:top w:w="90" w:type="dxa"/>
              <w:start w:w="90" w:type="dxa"/>
              <w:bottom w:w="90" w:type="dxa"/>
              <w:end w:w="90" w:type="dxa"/>
            </w:tcMar>
            <w:vAlign w:val="center"/>
          </w:tcPr>
          <w:p>
            <w:pPr>
              <w:spacing w:after="20"/>
            </w:pPr>
            <w:r>
              <w:rPr>
                <w:sz w:val="12"/>
              </w:rPr>
              <w:t>Complete isolated multi-platform runtime plan</w:t>
            </w:r>
          </w:p>
        </w:tc>
      </w:tr>
      <w:tr>
        <w:trPr>
          <w:cantSplit/>
        </w:trPr>
        <w:tc>
          <w:tcPr>
            <w:tcW w:type="dxa" w:w="936"/>
            <w:tcMar>
              <w:top w:w="90" w:type="dxa"/>
              <w:start w:w="90" w:type="dxa"/>
              <w:bottom w:w="90" w:type="dxa"/>
              <w:end w:w="90" w:type="dxa"/>
            </w:tcMar>
            <w:vAlign w:val="center"/>
            <w:shd w:fill="F3F6F8"/>
          </w:tcPr>
          <w:p>
            <w:pPr>
              <w:spacing w:after="20"/>
            </w:pPr>
            <w:r>
              <w:rPr>
                <w:sz w:val="12"/>
              </w:rPr>
              <w:t>RISK-002</w:t>
            </w:r>
          </w:p>
        </w:tc>
        <w:tc>
          <w:tcPr>
            <w:tcW w:type="dxa" w:w="2880"/>
            <w:tcMar>
              <w:top w:w="90" w:type="dxa"/>
              <w:start w:w="90" w:type="dxa"/>
              <w:bottom w:w="90" w:type="dxa"/>
              <w:end w:w="90" w:type="dxa"/>
            </w:tcMar>
            <w:vAlign w:val="center"/>
            <w:shd w:fill="F3F6F8"/>
          </w:tcPr>
          <w:p>
            <w:pPr>
              <w:spacing w:after="20"/>
            </w:pPr>
            <w:r>
              <w:rPr>
                <w:sz w:val="12"/>
              </w:rPr>
              <w:t>Default-enabled Copilot read/write authority can exceed user intent</w:t>
            </w:r>
          </w:p>
        </w:tc>
        <w:tc>
          <w:tcPr>
            <w:tcW w:type="dxa" w:w="1008"/>
            <w:tcMar>
              <w:top w:w="90" w:type="dxa"/>
              <w:start w:w="90" w:type="dxa"/>
              <w:bottom w:w="90" w:type="dxa"/>
              <w:end w:w="90" w:type="dxa"/>
            </w:tcMar>
            <w:vAlign w:val="center"/>
            <w:shd w:fill="F3F6F8"/>
          </w:tcPr>
          <w:p>
            <w:pPr>
              <w:spacing w:after="20"/>
            </w:pPr>
            <w:r>
              <w:rPr>
                <w:sz w:val="12"/>
              </w:rPr>
              <w:t>High</w:t>
            </w:r>
          </w:p>
        </w:tc>
        <w:tc>
          <w:tcPr>
            <w:tcW w:type="dxa" w:w="720"/>
            <w:tcMar>
              <w:top w:w="90" w:type="dxa"/>
              <w:start w:w="90" w:type="dxa"/>
              <w:bottom w:w="90" w:type="dxa"/>
              <w:end w:w="90" w:type="dxa"/>
            </w:tcMar>
            <w:vAlign w:val="center"/>
            <w:shd w:fill="F3F6F8"/>
          </w:tcPr>
          <w:p>
            <w:pPr>
              <w:spacing w:after="20"/>
            </w:pPr>
            <w:r>
              <w:rPr>
                <w:sz w:val="12"/>
              </w:rPr>
              <w:t>15</w:t>
            </w:r>
          </w:p>
        </w:tc>
        <w:tc>
          <w:tcPr>
            <w:tcW w:type="dxa" w:w="1728"/>
            <w:tcMar>
              <w:top w:w="90" w:type="dxa"/>
              <w:start w:w="90" w:type="dxa"/>
              <w:bottom w:w="90" w:type="dxa"/>
              <w:end w:w="90" w:type="dxa"/>
            </w:tcMar>
            <w:vAlign w:val="center"/>
            <w:shd w:fill="F3F6F8"/>
          </w:tcPr>
          <w:p>
            <w:pPr>
              <w:spacing w:after="20"/>
            </w:pPr>
            <w:r>
              <w:rPr>
                <w:sz w:val="12"/>
              </w:rPr>
              <w:t>Developer Platform / DB Security</w:t>
            </w:r>
          </w:p>
        </w:tc>
        <w:tc>
          <w:tcPr>
            <w:tcW w:type="dxa" w:w="2088"/>
            <w:tcMar>
              <w:top w:w="90" w:type="dxa"/>
              <w:start w:w="90" w:type="dxa"/>
              <w:bottom w:w="90" w:type="dxa"/>
              <w:end w:w="90" w:type="dxa"/>
            </w:tcMar>
            <w:vAlign w:val="center"/>
            <w:shd w:fill="F3F6F8"/>
          </w:tcPr>
          <w:p>
            <w:pPr>
              <w:spacing w:after="20"/>
            </w:pPr>
            <w:r>
              <w:rPr>
                <w:sz w:val="12"/>
              </w:rPr>
              <w:t>Managed disable-by-default, ro mode and DB least privilege</w:t>
            </w:r>
          </w:p>
        </w:tc>
      </w:tr>
      <w:tr>
        <w:trPr>
          <w:cantSplit/>
        </w:trPr>
        <w:tc>
          <w:tcPr>
            <w:tcW w:type="dxa" w:w="936"/>
            <w:tcMar>
              <w:top w:w="90" w:type="dxa"/>
              <w:start w:w="90" w:type="dxa"/>
              <w:bottom w:w="90" w:type="dxa"/>
              <w:end w:w="90" w:type="dxa"/>
            </w:tcMar>
            <w:vAlign w:val="center"/>
          </w:tcPr>
          <w:p>
            <w:pPr>
              <w:spacing w:after="20"/>
            </w:pPr>
            <w:r>
              <w:rPr>
                <w:sz w:val="12"/>
              </w:rPr>
              <w:t>RISK-003</w:t>
            </w:r>
          </w:p>
        </w:tc>
        <w:tc>
          <w:tcPr>
            <w:tcW w:type="dxa" w:w="2880"/>
            <w:tcMar>
              <w:top w:w="90" w:type="dxa"/>
              <w:start w:w="90" w:type="dxa"/>
              <w:bottom w:w="90" w:type="dxa"/>
              <w:end w:w="90" w:type="dxa"/>
            </w:tcMar>
            <w:vAlign w:val="center"/>
          </w:tcPr>
          <w:p>
            <w:pPr>
              <w:spacing w:after="20"/>
            </w:pPr>
            <w:r>
              <w:rPr>
                <w:sz w:val="12"/>
              </w:rPr>
              <w:t>Bundled MCP SDK exposure and transport/session controls require closure</w:t>
            </w:r>
          </w:p>
        </w:tc>
        <w:tc>
          <w:tcPr>
            <w:tcW w:type="dxa" w:w="1008"/>
            <w:tcMar>
              <w:top w:w="90" w:type="dxa"/>
              <w:start w:w="90" w:type="dxa"/>
              <w:bottom w:w="90" w:type="dxa"/>
              <w:end w:w="90" w:type="dxa"/>
            </w:tcMar>
            <w:vAlign w:val="center"/>
          </w:tcPr>
          <w:p>
            <w:pPr>
              <w:spacing w:after="20"/>
            </w:pPr>
            <w:r>
              <w:rPr>
                <w:sz w:val="12"/>
              </w:rPr>
              <w:t>High</w:t>
            </w:r>
          </w:p>
        </w:tc>
        <w:tc>
          <w:tcPr>
            <w:tcW w:type="dxa" w:w="720"/>
            <w:tcMar>
              <w:top w:w="90" w:type="dxa"/>
              <w:start w:w="90" w:type="dxa"/>
              <w:bottom w:w="90" w:type="dxa"/>
              <w:end w:w="90" w:type="dxa"/>
            </w:tcMar>
            <w:vAlign w:val="center"/>
          </w:tcPr>
          <w:p>
            <w:pPr>
              <w:spacing w:after="20"/>
            </w:pPr>
            <w:r>
              <w:rPr>
                <w:sz w:val="12"/>
              </w:rPr>
              <w:t>12</w:t>
            </w:r>
          </w:p>
        </w:tc>
        <w:tc>
          <w:tcPr>
            <w:tcW w:type="dxa" w:w="1728"/>
            <w:tcMar>
              <w:top w:w="90" w:type="dxa"/>
              <w:start w:w="90" w:type="dxa"/>
              <w:bottom w:w="90" w:type="dxa"/>
              <w:end w:w="90" w:type="dxa"/>
            </w:tcMar>
            <w:vAlign w:val="center"/>
          </w:tcPr>
          <w:p>
            <w:pPr>
              <w:spacing w:after="20"/>
            </w:pPr>
            <w:r>
              <w:rPr>
                <w:sz w:val="12"/>
              </w:rPr>
              <w:t>AI Platform Security</w:t>
            </w:r>
          </w:p>
        </w:tc>
        <w:tc>
          <w:tcPr>
            <w:tcW w:type="dxa" w:w="2088"/>
            <w:tcMar>
              <w:top w:w="90" w:type="dxa"/>
              <w:start w:w="90" w:type="dxa"/>
              <w:bottom w:w="90" w:type="dxa"/>
              <w:end w:w="90" w:type="dxa"/>
            </w:tcMar>
            <w:vAlign w:val="center"/>
          </w:tcPr>
          <w:p>
            <w:pPr>
              <w:spacing w:after="20"/>
            </w:pPr>
            <w:r>
              <w:rPr>
                <w:sz w:val="12"/>
              </w:rPr>
              <w:t>Upgrade or vendor VEX plus hostile-session tests</w:t>
            </w:r>
          </w:p>
        </w:tc>
      </w:tr>
      <w:tr>
        <w:trPr>
          <w:cantSplit/>
        </w:trPr>
        <w:tc>
          <w:tcPr>
            <w:tcW w:type="dxa" w:w="936"/>
            <w:tcMar>
              <w:top w:w="90" w:type="dxa"/>
              <w:start w:w="90" w:type="dxa"/>
              <w:bottom w:w="90" w:type="dxa"/>
              <w:end w:w="90" w:type="dxa"/>
            </w:tcMar>
            <w:vAlign w:val="center"/>
            <w:shd w:fill="F3F6F8"/>
          </w:tcPr>
          <w:p>
            <w:pPr>
              <w:spacing w:after="20"/>
            </w:pPr>
            <w:r>
              <w:rPr>
                <w:sz w:val="12"/>
              </w:rPr>
              <w:t>RISK-004</w:t>
            </w:r>
          </w:p>
        </w:tc>
        <w:tc>
          <w:tcPr>
            <w:tcW w:type="dxa" w:w="2880"/>
            <w:tcMar>
              <w:top w:w="90" w:type="dxa"/>
              <w:start w:w="90" w:type="dxa"/>
              <w:bottom w:w="90" w:type="dxa"/>
              <w:end w:w="90" w:type="dxa"/>
            </w:tcMar>
            <w:vAlign w:val="center"/>
            <w:shd w:fill="F3F6F8"/>
          </w:tcPr>
          <w:p>
            <w:pPr>
              <w:spacing w:after="20"/>
            </w:pPr>
            <w:r>
              <w:rPr>
                <w:sz w:val="12"/>
              </w:rPr>
              <w:t>Opaque extension/tools-service supply chain limits assurance</w:t>
            </w:r>
          </w:p>
        </w:tc>
        <w:tc>
          <w:tcPr>
            <w:tcW w:type="dxa" w:w="1008"/>
            <w:tcMar>
              <w:top w:w="90" w:type="dxa"/>
              <w:start w:w="90" w:type="dxa"/>
              <w:bottom w:w="90" w:type="dxa"/>
              <w:end w:w="90" w:type="dxa"/>
            </w:tcMar>
            <w:vAlign w:val="center"/>
            <w:shd w:fill="F3F6F8"/>
          </w:tcPr>
          <w:p>
            <w:pPr>
              <w:spacing w:after="20"/>
            </w:pPr>
            <w:r>
              <w:rPr>
                <w:sz w:val="12"/>
              </w:rPr>
              <w:t>High</w:t>
            </w:r>
          </w:p>
        </w:tc>
        <w:tc>
          <w:tcPr>
            <w:tcW w:type="dxa" w:w="720"/>
            <w:tcMar>
              <w:top w:w="90" w:type="dxa"/>
              <w:start w:w="90" w:type="dxa"/>
              <w:bottom w:w="90" w:type="dxa"/>
              <w:end w:w="90" w:type="dxa"/>
            </w:tcMar>
            <w:vAlign w:val="center"/>
            <w:shd w:fill="F3F6F8"/>
          </w:tcPr>
          <w:p>
            <w:pPr>
              <w:spacing w:after="20"/>
            </w:pPr>
            <w:r>
              <w:rPr>
                <w:sz w:val="12"/>
              </w:rPr>
              <w:t>12</w:t>
            </w:r>
          </w:p>
        </w:tc>
        <w:tc>
          <w:tcPr>
            <w:tcW w:type="dxa" w:w="1728"/>
            <w:tcMar>
              <w:top w:w="90" w:type="dxa"/>
              <w:start w:w="90" w:type="dxa"/>
              <w:bottom w:w="90" w:type="dxa"/>
              <w:end w:w="90" w:type="dxa"/>
            </w:tcMar>
            <w:vAlign w:val="center"/>
            <w:shd w:fill="F3F6F8"/>
          </w:tcPr>
          <w:p>
            <w:pPr>
              <w:spacing w:after="20"/>
            </w:pPr>
            <w:r>
              <w:rPr>
                <w:sz w:val="12"/>
              </w:rPr>
              <w:t>Third-Party Risk</w:t>
            </w:r>
          </w:p>
        </w:tc>
        <w:tc>
          <w:tcPr>
            <w:tcW w:type="dxa" w:w="2088"/>
            <w:tcMar>
              <w:top w:w="90" w:type="dxa"/>
              <w:start w:w="90" w:type="dxa"/>
              <w:bottom w:w="90" w:type="dxa"/>
              <w:end w:w="90" w:type="dxa"/>
            </w:tcMar>
            <w:vAlign w:val="center"/>
            <w:shd w:fill="F3F6F8"/>
          </w:tcPr>
          <w:p>
            <w:pPr>
              <w:spacing w:after="20"/>
            </w:pPr>
            <w:r>
              <w:rPr>
                <w:sz w:val="12"/>
              </w:rPr>
              <w:t>Vendor SBOM, provenance, VEX and exact-hash staging</w:t>
            </w:r>
          </w:p>
        </w:tc>
      </w:tr>
      <w:tr>
        <w:trPr>
          <w:cantSplit/>
        </w:trPr>
        <w:tc>
          <w:tcPr>
            <w:tcW w:type="dxa" w:w="936"/>
            <w:tcMar>
              <w:top w:w="90" w:type="dxa"/>
              <w:start w:w="90" w:type="dxa"/>
              <w:bottom w:w="90" w:type="dxa"/>
              <w:end w:w="90" w:type="dxa"/>
            </w:tcMar>
            <w:vAlign w:val="center"/>
          </w:tcPr>
          <w:p>
            <w:pPr>
              <w:spacing w:after="20"/>
            </w:pPr>
            <w:r>
              <w:rPr>
                <w:sz w:val="12"/>
              </w:rPr>
              <w:t>RISK-005</w:t>
            </w:r>
          </w:p>
        </w:tc>
        <w:tc>
          <w:tcPr>
            <w:tcW w:type="dxa" w:w="2880"/>
            <w:tcMar>
              <w:top w:w="90" w:type="dxa"/>
              <w:start w:w="90" w:type="dxa"/>
              <w:bottom w:w="90" w:type="dxa"/>
              <w:end w:w="90" w:type="dxa"/>
            </w:tcMar>
            <w:vAlign w:val="center"/>
          </w:tcPr>
          <w:p>
            <w:pPr>
              <w:spacing w:after="20"/>
            </w:pPr>
            <w:r>
              <w:rPr>
                <w:sz w:val="12"/>
              </w:rPr>
              <w:t>Workspace profiles and Restricted Mode coverage create configuration risk</w:t>
            </w:r>
          </w:p>
        </w:tc>
        <w:tc>
          <w:tcPr>
            <w:tcW w:type="dxa" w:w="1008"/>
            <w:tcMar>
              <w:top w:w="90" w:type="dxa"/>
              <w:start w:w="90" w:type="dxa"/>
              <w:bottom w:w="90" w:type="dxa"/>
              <w:end w:w="90" w:type="dxa"/>
            </w:tcMar>
            <w:vAlign w:val="center"/>
          </w:tcPr>
          <w:p>
            <w:pPr>
              <w:spacing w:after="20"/>
            </w:pPr>
            <w:r>
              <w:rPr>
                <w:sz w:val="12"/>
              </w:rPr>
              <w:t>High</w:t>
            </w:r>
          </w:p>
        </w:tc>
        <w:tc>
          <w:tcPr>
            <w:tcW w:type="dxa" w:w="720"/>
            <w:tcMar>
              <w:top w:w="90" w:type="dxa"/>
              <w:start w:w="90" w:type="dxa"/>
              <w:bottom w:w="90" w:type="dxa"/>
              <w:end w:w="90" w:type="dxa"/>
            </w:tcMar>
            <w:vAlign w:val="center"/>
          </w:tcPr>
          <w:p>
            <w:pPr>
              <w:spacing w:after="20"/>
            </w:pPr>
            <w:r>
              <w:rPr>
                <w:sz w:val="12"/>
              </w:rPr>
              <w:t>12</w:t>
            </w:r>
          </w:p>
        </w:tc>
        <w:tc>
          <w:tcPr>
            <w:tcW w:type="dxa" w:w="1728"/>
            <w:tcMar>
              <w:top w:w="90" w:type="dxa"/>
              <w:start w:w="90" w:type="dxa"/>
              <w:bottom w:w="90" w:type="dxa"/>
              <w:end w:w="90" w:type="dxa"/>
            </w:tcMar>
            <w:vAlign w:val="center"/>
          </w:tcPr>
          <w:p>
            <w:pPr>
              <w:spacing w:after="20"/>
            </w:pPr>
            <w:r>
              <w:rPr>
                <w:sz w:val="12"/>
              </w:rPr>
              <w:t>Endpoint Engineering</w:t>
            </w:r>
          </w:p>
        </w:tc>
        <w:tc>
          <w:tcPr>
            <w:tcW w:type="dxa" w:w="2088"/>
            <w:tcMar>
              <w:top w:w="90" w:type="dxa"/>
              <w:start w:w="90" w:type="dxa"/>
              <w:bottom w:w="90" w:type="dxa"/>
              <w:end w:w="90" w:type="dxa"/>
            </w:tcMar>
            <w:vAlign w:val="center"/>
          </w:tcPr>
          <w:p>
            <w:pPr>
              <w:spacing w:after="20"/>
            </w:pPr>
            <w:r>
              <w:rPr>
                <w:sz w:val="12"/>
              </w:rPr>
              <w:t>Block regulated workspace profiles; pre-trust negative tests</w:t>
            </w:r>
          </w:p>
        </w:tc>
      </w:tr>
      <w:tr>
        <w:trPr>
          <w:cantSplit/>
        </w:trPr>
        <w:tc>
          <w:tcPr>
            <w:tcW w:type="dxa" w:w="936"/>
            <w:tcMar>
              <w:top w:w="90" w:type="dxa"/>
              <w:start w:w="90" w:type="dxa"/>
              <w:bottom w:w="90" w:type="dxa"/>
              <w:end w:w="90" w:type="dxa"/>
            </w:tcMar>
            <w:vAlign w:val="center"/>
            <w:shd w:fill="F3F6F8"/>
          </w:tcPr>
          <w:p>
            <w:pPr>
              <w:spacing w:after="20"/>
            </w:pPr>
            <w:r>
              <w:rPr>
                <w:sz w:val="12"/>
              </w:rPr>
              <w:t>RISK-006</w:t>
            </w:r>
          </w:p>
        </w:tc>
        <w:tc>
          <w:tcPr>
            <w:tcW w:type="dxa" w:w="2880"/>
            <w:tcMar>
              <w:top w:w="90" w:type="dxa"/>
              <w:start w:w="90" w:type="dxa"/>
              <w:bottom w:w="90" w:type="dxa"/>
              <w:end w:w="90" w:type="dxa"/>
            </w:tcMar>
            <w:vAlign w:val="center"/>
            <w:shd w:fill="F3F6F8"/>
          </w:tcPr>
          <w:p>
            <w:pPr>
              <w:spacing w:after="20"/>
            </w:pPr>
            <w:r>
              <w:rPr>
                <w:sz w:val="12"/>
              </w:rPr>
              <w:t>Database/model data flows create privacy and regulated-data exposure</w:t>
            </w:r>
          </w:p>
        </w:tc>
        <w:tc>
          <w:tcPr>
            <w:tcW w:type="dxa" w:w="1008"/>
            <w:tcMar>
              <w:top w:w="90" w:type="dxa"/>
              <w:start w:w="90" w:type="dxa"/>
              <w:bottom w:w="90" w:type="dxa"/>
              <w:end w:w="90" w:type="dxa"/>
            </w:tcMar>
            <w:vAlign w:val="center"/>
            <w:shd w:fill="F3F6F8"/>
          </w:tcPr>
          <w:p>
            <w:pPr>
              <w:spacing w:after="20"/>
            </w:pPr>
            <w:r>
              <w:rPr>
                <w:sz w:val="12"/>
              </w:rPr>
              <w:t>High</w:t>
            </w:r>
          </w:p>
        </w:tc>
        <w:tc>
          <w:tcPr>
            <w:tcW w:type="dxa" w:w="720"/>
            <w:tcMar>
              <w:top w:w="90" w:type="dxa"/>
              <w:start w:w="90" w:type="dxa"/>
              <w:bottom w:w="90" w:type="dxa"/>
              <w:end w:w="90" w:type="dxa"/>
            </w:tcMar>
            <w:vAlign w:val="center"/>
            <w:shd w:fill="F3F6F8"/>
          </w:tcPr>
          <w:p>
            <w:pPr>
              <w:spacing w:after="20"/>
            </w:pPr>
            <w:r>
              <w:rPr>
                <w:sz w:val="12"/>
              </w:rPr>
              <w:t>12</w:t>
            </w:r>
          </w:p>
        </w:tc>
        <w:tc>
          <w:tcPr>
            <w:tcW w:type="dxa" w:w="1728"/>
            <w:tcMar>
              <w:top w:w="90" w:type="dxa"/>
              <w:start w:w="90" w:type="dxa"/>
              <w:bottom w:w="90" w:type="dxa"/>
              <w:end w:w="90" w:type="dxa"/>
            </w:tcMar>
            <w:vAlign w:val="center"/>
            <w:shd w:fill="F3F6F8"/>
          </w:tcPr>
          <w:p>
            <w:pPr>
              <w:spacing w:after="20"/>
            </w:pPr>
            <w:r>
              <w:rPr>
                <w:sz w:val="12"/>
              </w:rPr>
              <w:t>Privacy / Procurement</w:t>
            </w:r>
          </w:p>
        </w:tc>
        <w:tc>
          <w:tcPr>
            <w:tcW w:type="dxa" w:w="2088"/>
            <w:tcMar>
              <w:top w:w="90" w:type="dxa"/>
              <w:start w:w="90" w:type="dxa"/>
              <w:bottom w:w="90" w:type="dxa"/>
              <w:end w:w="90" w:type="dxa"/>
            </w:tcMar>
            <w:vAlign w:val="center"/>
            <w:shd w:fill="F3F6F8"/>
          </w:tcPr>
          <w:p>
            <w:pPr>
              <w:spacing w:after="20"/>
            </w:pPr>
            <w:r>
              <w:rPr>
                <w:sz w:val="12"/>
              </w:rPr>
              <w:t>DPIA, enterprise tenant/terms and synthetic-only pilot</w:t>
            </w:r>
          </w:p>
        </w:tc>
      </w:tr>
      <w:tr>
        <w:trPr>
          <w:cantSplit/>
        </w:trPr>
        <w:tc>
          <w:tcPr>
            <w:tcW w:type="dxa" w:w="936"/>
            <w:tcMar>
              <w:top w:w="90" w:type="dxa"/>
              <w:start w:w="90" w:type="dxa"/>
              <w:bottom w:w="90" w:type="dxa"/>
              <w:end w:w="90" w:type="dxa"/>
            </w:tcMar>
            <w:vAlign w:val="center"/>
          </w:tcPr>
          <w:p>
            <w:pPr>
              <w:spacing w:after="20"/>
            </w:pPr>
            <w:r>
              <w:rPr>
                <w:sz w:val="12"/>
              </w:rPr>
              <w:t>RISK-007</w:t>
            </w:r>
          </w:p>
        </w:tc>
        <w:tc>
          <w:tcPr>
            <w:tcW w:type="dxa" w:w="2880"/>
            <w:tcMar>
              <w:top w:w="90" w:type="dxa"/>
              <w:start w:w="90" w:type="dxa"/>
              <w:bottom w:w="90" w:type="dxa"/>
              <w:end w:w="90" w:type="dxa"/>
            </w:tcMar>
            <w:vAlign w:val="center"/>
          </w:tcPr>
          <w:p>
            <w:pPr>
              <w:spacing w:after="20"/>
            </w:pPr>
            <w:r>
              <w:rPr>
                <w:sz w:val="12"/>
              </w:rPr>
              <w:t>Weak TLS modes can permit unauthenticated database transport</w:t>
            </w:r>
          </w:p>
        </w:tc>
        <w:tc>
          <w:tcPr>
            <w:tcW w:type="dxa" w:w="1008"/>
            <w:tcMar>
              <w:top w:w="90" w:type="dxa"/>
              <w:start w:w="90" w:type="dxa"/>
              <w:bottom w:w="90" w:type="dxa"/>
              <w:end w:w="90" w:type="dxa"/>
            </w:tcMar>
            <w:vAlign w:val="center"/>
          </w:tcPr>
          <w:p>
            <w:pPr>
              <w:spacing w:after="20"/>
            </w:pPr>
            <w:r>
              <w:rPr>
                <w:sz w:val="12"/>
              </w:rPr>
              <w:t>Moderate</w:t>
            </w:r>
          </w:p>
        </w:tc>
        <w:tc>
          <w:tcPr>
            <w:tcW w:type="dxa" w:w="720"/>
            <w:tcMar>
              <w:top w:w="90" w:type="dxa"/>
              <w:start w:w="90" w:type="dxa"/>
              <w:bottom w:w="90" w:type="dxa"/>
              <w:end w:w="90" w:type="dxa"/>
            </w:tcMar>
            <w:vAlign w:val="center"/>
          </w:tcPr>
          <w:p>
            <w:pPr>
              <w:spacing w:after="20"/>
            </w:pPr>
            <w:r>
              <w:rPr>
                <w:sz w:val="12"/>
              </w:rPr>
              <w:t>8</w:t>
            </w:r>
          </w:p>
        </w:tc>
        <w:tc>
          <w:tcPr>
            <w:tcW w:type="dxa" w:w="1728"/>
            <w:tcMar>
              <w:top w:w="90" w:type="dxa"/>
              <w:start w:w="90" w:type="dxa"/>
              <w:bottom w:w="90" w:type="dxa"/>
              <w:end w:w="90" w:type="dxa"/>
            </w:tcMar>
            <w:vAlign w:val="center"/>
          </w:tcPr>
          <w:p>
            <w:pPr>
              <w:spacing w:after="20"/>
            </w:pPr>
            <w:r>
              <w:rPr>
                <w:sz w:val="12"/>
              </w:rPr>
              <w:t>Database Platform</w:t>
            </w:r>
          </w:p>
        </w:tc>
        <w:tc>
          <w:tcPr>
            <w:tcW w:type="dxa" w:w="2088"/>
            <w:tcMar>
              <w:top w:w="90" w:type="dxa"/>
              <w:start w:w="90" w:type="dxa"/>
              <w:bottom w:w="90" w:type="dxa"/>
              <w:end w:w="90" w:type="dxa"/>
            </w:tcMar>
            <w:vAlign w:val="center"/>
          </w:tcPr>
          <w:p>
            <w:pPr>
              <w:spacing w:after="20"/>
            </w:pPr>
            <w:r>
              <w:rPr>
                <w:sz w:val="12"/>
              </w:rPr>
              <w:t>Mandate Verify-Full and managed trust anchors</w:t>
            </w:r>
          </w:p>
        </w:tc>
      </w:tr>
      <w:tr>
        <w:trPr>
          <w:cantSplit/>
        </w:trPr>
        <w:tc>
          <w:tcPr>
            <w:tcW w:type="dxa" w:w="936"/>
            <w:tcMar>
              <w:top w:w="90" w:type="dxa"/>
              <w:start w:w="90" w:type="dxa"/>
              <w:bottom w:w="90" w:type="dxa"/>
              <w:end w:w="90" w:type="dxa"/>
            </w:tcMar>
            <w:vAlign w:val="center"/>
            <w:shd w:fill="F3F6F8"/>
          </w:tcPr>
          <w:p>
            <w:pPr>
              <w:spacing w:after="20"/>
            </w:pPr>
            <w:r>
              <w:rPr>
                <w:sz w:val="12"/>
              </w:rPr>
              <w:t>RISK-008</w:t>
            </w:r>
          </w:p>
        </w:tc>
        <w:tc>
          <w:tcPr>
            <w:tcW w:type="dxa" w:w="2880"/>
            <w:tcMar>
              <w:top w:w="90" w:type="dxa"/>
              <w:start w:w="90" w:type="dxa"/>
              <w:bottom w:w="90" w:type="dxa"/>
              <w:end w:w="90" w:type="dxa"/>
            </w:tcMar>
            <w:vAlign w:val="center"/>
            <w:shd w:fill="F3F6F8"/>
          </w:tcPr>
          <w:p>
            <w:pPr>
              <w:spacing w:after="20"/>
            </w:pPr>
            <w:r>
              <w:rPr>
                <w:sz w:val="12"/>
              </w:rPr>
              <w:t>Native/debugging surface and other candidate components need VEX</w:t>
            </w:r>
          </w:p>
        </w:tc>
        <w:tc>
          <w:tcPr>
            <w:tcW w:type="dxa" w:w="1008"/>
            <w:tcMar>
              <w:top w:w="90" w:type="dxa"/>
              <w:start w:w="90" w:type="dxa"/>
              <w:bottom w:w="90" w:type="dxa"/>
              <w:end w:w="90" w:type="dxa"/>
            </w:tcMar>
            <w:vAlign w:val="center"/>
            <w:shd w:fill="F3F6F8"/>
          </w:tcPr>
          <w:p>
            <w:pPr>
              <w:spacing w:after="20"/>
            </w:pPr>
            <w:r>
              <w:rPr>
                <w:sz w:val="12"/>
              </w:rPr>
              <w:t>Moderate</w:t>
            </w:r>
          </w:p>
        </w:tc>
        <w:tc>
          <w:tcPr>
            <w:tcW w:type="dxa" w:w="720"/>
            <w:tcMar>
              <w:top w:w="90" w:type="dxa"/>
              <w:start w:w="90" w:type="dxa"/>
              <w:bottom w:w="90" w:type="dxa"/>
              <w:end w:w="90" w:type="dxa"/>
            </w:tcMar>
            <w:vAlign w:val="center"/>
            <w:shd w:fill="F3F6F8"/>
          </w:tcPr>
          <w:p>
            <w:pPr>
              <w:spacing w:after="20"/>
            </w:pPr>
            <w:r>
              <w:rPr>
                <w:sz w:val="12"/>
              </w:rPr>
              <w:t>9</w:t>
            </w:r>
          </w:p>
        </w:tc>
        <w:tc>
          <w:tcPr>
            <w:tcW w:type="dxa" w:w="1728"/>
            <w:tcMar>
              <w:top w:w="90" w:type="dxa"/>
              <w:start w:w="90" w:type="dxa"/>
              <w:bottom w:w="90" w:type="dxa"/>
              <w:end w:w="90" w:type="dxa"/>
            </w:tcMar>
            <w:vAlign w:val="center"/>
            <w:shd w:fill="F3F6F8"/>
          </w:tcPr>
          <w:p>
            <w:pPr>
              <w:spacing w:after="20"/>
            </w:pPr>
            <w:r>
              <w:rPr>
                <w:sz w:val="12"/>
              </w:rPr>
              <w:t>Vulnerability Management</w:t>
            </w:r>
          </w:p>
        </w:tc>
        <w:tc>
          <w:tcPr>
            <w:tcW w:type="dxa" w:w="2088"/>
            <w:tcMar>
              <w:top w:w="90" w:type="dxa"/>
              <w:start w:w="90" w:type="dxa"/>
              <w:bottom w:w="90" w:type="dxa"/>
              <w:end w:w="90" w:type="dxa"/>
            </w:tcMar>
            <w:vAlign w:val="center"/>
            <w:shd w:fill="F3F6F8"/>
          </w:tcPr>
          <w:p>
            <w:pPr>
              <w:spacing w:after="20"/>
            </w:pPr>
            <w:r>
              <w:rPr>
                <w:sz w:val="12"/>
              </w:rPr>
              <w:t>Reachability evidence, fixed packages and regressions</w:t>
            </w:r>
          </w:p>
        </w:tc>
      </w:tr>
      <w:tr>
        <w:trPr>
          <w:cantSplit/>
        </w:trPr>
        <w:tc>
          <w:tcPr>
            <w:tcW w:type="dxa" w:w="936"/>
            <w:tcMar>
              <w:top w:w="90" w:type="dxa"/>
              <w:start w:w="90" w:type="dxa"/>
              <w:bottom w:w="90" w:type="dxa"/>
              <w:end w:w="90" w:type="dxa"/>
            </w:tcMar>
            <w:vAlign w:val="center"/>
          </w:tcPr>
          <w:p>
            <w:pPr>
              <w:spacing w:after="20"/>
            </w:pPr>
            <w:r>
              <w:rPr>
                <w:sz w:val="12"/>
              </w:rPr>
              <w:t>RISK-009</w:t>
            </w:r>
          </w:p>
        </w:tc>
        <w:tc>
          <w:tcPr>
            <w:tcW w:type="dxa" w:w="2880"/>
            <w:tcMar>
              <w:top w:w="90" w:type="dxa"/>
              <w:start w:w="90" w:type="dxa"/>
              <w:bottom w:w="90" w:type="dxa"/>
              <w:end w:w="90" w:type="dxa"/>
            </w:tcMar>
            <w:vAlign w:val="center"/>
          </w:tcPr>
          <w:p>
            <w:pPr>
              <w:spacing w:after="20"/>
            </w:pPr>
            <w:r>
              <w:rPr>
                <w:sz w:val="12"/>
              </w:rPr>
              <w:t>History, logs and telemetry can retain sensitive content</w:t>
            </w:r>
          </w:p>
        </w:tc>
        <w:tc>
          <w:tcPr>
            <w:tcW w:type="dxa" w:w="1008"/>
            <w:tcMar>
              <w:top w:w="90" w:type="dxa"/>
              <w:start w:w="90" w:type="dxa"/>
              <w:bottom w:w="90" w:type="dxa"/>
              <w:end w:w="90" w:type="dxa"/>
            </w:tcMar>
            <w:vAlign w:val="center"/>
          </w:tcPr>
          <w:p>
            <w:pPr>
              <w:spacing w:after="20"/>
            </w:pPr>
            <w:r>
              <w:rPr>
                <w:sz w:val="12"/>
              </w:rPr>
              <w:t>Moderate</w:t>
            </w:r>
          </w:p>
        </w:tc>
        <w:tc>
          <w:tcPr>
            <w:tcW w:type="dxa" w:w="720"/>
            <w:tcMar>
              <w:top w:w="90" w:type="dxa"/>
              <w:start w:w="90" w:type="dxa"/>
              <w:bottom w:w="90" w:type="dxa"/>
              <w:end w:w="90" w:type="dxa"/>
            </w:tcMar>
            <w:vAlign w:val="center"/>
          </w:tcPr>
          <w:p>
            <w:pPr>
              <w:spacing w:after="20"/>
            </w:pPr>
            <w:r>
              <w:rPr>
                <w:sz w:val="12"/>
              </w:rPr>
              <w:t>8</w:t>
            </w:r>
          </w:p>
        </w:tc>
        <w:tc>
          <w:tcPr>
            <w:tcW w:type="dxa" w:w="1728"/>
            <w:tcMar>
              <w:top w:w="90" w:type="dxa"/>
              <w:start w:w="90" w:type="dxa"/>
              <w:bottom w:w="90" w:type="dxa"/>
              <w:end w:w="90" w:type="dxa"/>
            </w:tcMar>
            <w:vAlign w:val="center"/>
          </w:tcPr>
          <w:p>
            <w:pPr>
              <w:spacing w:after="20"/>
            </w:pPr>
            <w:r>
              <w:rPr>
                <w:sz w:val="12"/>
              </w:rPr>
              <w:t>Privacy / Endpoint</w:t>
            </w:r>
          </w:p>
        </w:tc>
        <w:tc>
          <w:tcPr>
            <w:tcW w:type="dxa" w:w="2088"/>
            <w:tcMar>
              <w:top w:w="90" w:type="dxa"/>
              <w:start w:w="90" w:type="dxa"/>
              <w:bottom w:w="90" w:type="dxa"/>
              <w:end w:w="90" w:type="dxa"/>
            </w:tcMar>
            <w:vAlign w:val="center"/>
          </w:tcPr>
          <w:p>
            <w:pPr>
              <w:spacing w:after="20"/>
            </w:pPr>
            <w:r>
              <w:rPr>
                <w:sz w:val="12"/>
              </w:rPr>
              <w:t>Minimise retention, disable nonessential data and DLP logs</w:t>
            </w:r>
          </w:p>
        </w:tc>
      </w:tr>
      <w:tr>
        <w:trPr>
          <w:cantSplit/>
        </w:trPr>
        <w:tc>
          <w:tcPr>
            <w:tcW w:type="dxa" w:w="936"/>
            <w:tcMar>
              <w:top w:w="90" w:type="dxa"/>
              <w:start w:w="90" w:type="dxa"/>
              <w:bottom w:w="90" w:type="dxa"/>
              <w:end w:w="90" w:type="dxa"/>
            </w:tcMar>
            <w:vAlign w:val="center"/>
            <w:shd w:fill="F3F6F8"/>
          </w:tcPr>
          <w:p>
            <w:pPr>
              <w:spacing w:after="20"/>
            </w:pPr>
            <w:r>
              <w:rPr>
                <w:sz w:val="12"/>
              </w:rPr>
              <w:t>RISK-010</w:t>
            </w:r>
          </w:p>
        </w:tc>
        <w:tc>
          <w:tcPr>
            <w:tcW w:type="dxa" w:w="2880"/>
            <w:tcMar>
              <w:top w:w="90" w:type="dxa"/>
              <w:start w:w="90" w:type="dxa"/>
              <w:bottom w:w="90" w:type="dxa"/>
              <w:end w:w="90" w:type="dxa"/>
            </w:tcMar>
            <w:vAlign w:val="center"/>
            <w:shd w:fill="F3F6F8"/>
          </w:tcPr>
          <w:p>
            <w:pPr>
              <w:spacing w:after="20"/>
            </w:pPr>
            <w:r>
              <w:rPr>
                <w:sz w:val="12"/>
              </w:rPr>
              <w:t>Update and uninstall residue can invalidate approval</w:t>
            </w:r>
          </w:p>
        </w:tc>
        <w:tc>
          <w:tcPr>
            <w:tcW w:type="dxa" w:w="1008"/>
            <w:tcMar>
              <w:top w:w="90" w:type="dxa"/>
              <w:start w:w="90" w:type="dxa"/>
              <w:bottom w:w="90" w:type="dxa"/>
              <w:end w:w="90" w:type="dxa"/>
            </w:tcMar>
            <w:vAlign w:val="center"/>
            <w:shd w:fill="F3F6F8"/>
          </w:tcPr>
          <w:p>
            <w:pPr>
              <w:spacing w:after="20"/>
            </w:pPr>
            <w:r>
              <w:rPr>
                <w:sz w:val="12"/>
              </w:rPr>
              <w:t>Moderate</w:t>
            </w:r>
          </w:p>
        </w:tc>
        <w:tc>
          <w:tcPr>
            <w:tcW w:type="dxa" w:w="720"/>
            <w:tcMar>
              <w:top w:w="90" w:type="dxa"/>
              <w:start w:w="90" w:type="dxa"/>
              <w:bottom w:w="90" w:type="dxa"/>
              <w:end w:w="90" w:type="dxa"/>
            </w:tcMar>
            <w:vAlign w:val="center"/>
            <w:shd w:fill="F3F6F8"/>
          </w:tcPr>
          <w:p>
            <w:pPr>
              <w:spacing w:after="20"/>
            </w:pPr>
            <w:r>
              <w:rPr>
                <w:sz w:val="12"/>
              </w:rPr>
              <w:t>8</w:t>
            </w:r>
          </w:p>
        </w:tc>
        <w:tc>
          <w:tcPr>
            <w:tcW w:type="dxa" w:w="1728"/>
            <w:tcMar>
              <w:top w:w="90" w:type="dxa"/>
              <w:start w:w="90" w:type="dxa"/>
              <w:bottom w:w="90" w:type="dxa"/>
              <w:end w:w="90" w:type="dxa"/>
            </w:tcMar>
            <w:vAlign w:val="center"/>
            <w:shd w:fill="F3F6F8"/>
          </w:tcPr>
          <w:p>
            <w:pPr>
              <w:spacing w:after="20"/>
            </w:pPr>
            <w:r>
              <w:rPr>
                <w:sz w:val="12"/>
              </w:rPr>
              <w:t>Endpoint Engineering</w:t>
            </w:r>
          </w:p>
        </w:tc>
        <w:tc>
          <w:tcPr>
            <w:tcW w:type="dxa" w:w="2088"/>
            <w:tcMar>
              <w:top w:w="90" w:type="dxa"/>
              <w:start w:w="90" w:type="dxa"/>
              <w:bottom w:w="90" w:type="dxa"/>
              <w:end w:w="90" w:type="dxa"/>
            </w:tcMar>
            <w:vAlign w:val="center"/>
            <w:shd w:fill="F3F6F8"/>
          </w:tcPr>
          <w:p>
            <w:pPr>
              <w:spacing w:after="20"/>
            </w:pPr>
            <w:r>
              <w:rPr>
                <w:sz w:val="12"/>
              </w:rPr>
              <w:t>Stage updates; reconcile secrets, history and downloads</w:t>
            </w:r>
          </w:p>
        </w:tc>
      </w:tr>
    </w:tbl>
    <w:p>
      <w:pPr>
        <w:spacing w:after="40"/>
      </w:pPr>
    </w:p>
    <w:p>
      <w:pPr>
        <w:pStyle w:val="Heading1"/>
      </w:pPr>
      <w:r>
        <w:t>Framework Dispositions</w:t>
      </w:r>
    </w:p>
    <w:tbl>
      <w:tblPr>
        <w:tblStyle w:val="TableGrid"/>
        <w:tblW w:type="auto" w:w="0"/>
        <w:jc w:val="center"/>
        <w:tblLayout w:type="fixed"/>
        <w:tblLook w:firstColumn="1" w:firstRow="1" w:lastColumn="0" w:lastRow="0" w:noHBand="0" w:noVBand="1" w:val="04A0"/>
      </w:tblPr>
      <w:tblGrid>
        <w:gridCol w:w="2160"/>
        <w:gridCol w:w="1440"/>
        <w:gridCol w:w="5760"/>
      </w:tblGrid>
      <w:tr>
        <w:trPr>
          <w:tblHeader/>
        </w:trPr>
        <w:tc>
          <w:tcPr>
            <w:tcW w:type="dxa" w:w="2160"/>
            <w:shd w:fill="17365D"/>
            <w:tcMar>
              <w:top w:w="90" w:type="dxa"/>
              <w:start w:w="90" w:type="dxa"/>
              <w:bottom w:w="90" w:type="dxa"/>
              <w:end w:w="90" w:type="dxa"/>
            </w:tcMar>
          </w:tcPr>
          <w:p>
            <w:r>
              <w:rPr>
                <w:b/>
                <w:color w:val="FFFFFF"/>
                <w:sz w:val="13"/>
              </w:rPr>
              <w:t>Framework</w:t>
            </w:r>
          </w:p>
        </w:tc>
        <w:tc>
          <w:tcPr>
            <w:tcW w:type="dxa" w:w="1440"/>
            <w:shd w:fill="17365D"/>
            <w:tcMar>
              <w:top w:w="90" w:type="dxa"/>
              <w:start w:w="90" w:type="dxa"/>
              <w:bottom w:w="90" w:type="dxa"/>
              <w:end w:w="90" w:type="dxa"/>
            </w:tcMar>
          </w:tcPr>
          <w:p>
            <w:r>
              <w:rPr>
                <w:b/>
                <w:color w:val="FFFFFF"/>
                <w:sz w:val="13"/>
              </w:rPr>
              <w:t>Disposition</w:t>
            </w:r>
          </w:p>
        </w:tc>
        <w:tc>
          <w:tcPr>
            <w:tcW w:type="dxa" w:w="5760"/>
            <w:shd w:fill="17365D"/>
            <w:tcMar>
              <w:top w:w="90" w:type="dxa"/>
              <w:start w:w="90" w:type="dxa"/>
              <w:bottom w:w="90" w:type="dxa"/>
              <w:end w:w="90" w:type="dxa"/>
            </w:tcMar>
          </w:tcPr>
          <w:p>
            <w:r>
              <w:rPr>
                <w:b/>
                <w:color w:val="FFFFFF"/>
                <w:sz w:val="13"/>
              </w:rPr>
              <w:t>Assessment use</w:t>
            </w:r>
          </w:p>
        </w:tc>
      </w:tr>
      <w:tr>
        <w:trPr>
          <w:cantSplit/>
        </w:trPr>
        <w:tc>
          <w:tcPr>
            <w:tcW w:type="dxa" w:w="2160"/>
            <w:tcMar>
              <w:top w:w="90" w:type="dxa"/>
              <w:start w:w="90" w:type="dxa"/>
              <w:bottom w:w="90" w:type="dxa"/>
              <w:end w:w="90" w:type="dxa"/>
            </w:tcMar>
            <w:vAlign w:val="center"/>
          </w:tcPr>
          <w:p>
            <w:pPr>
              <w:spacing w:after="20"/>
            </w:pPr>
            <w:r>
              <w:rPr>
                <w:sz w:val="13"/>
              </w:rPr>
              <w:t>OWASP LLM Top 10</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Prompt injection, disclosure, supply chain, output handling and excessive agency</w:t>
            </w:r>
          </w:p>
        </w:tc>
      </w:tr>
      <w:tr>
        <w:trPr>
          <w:cantSplit/>
        </w:trPr>
        <w:tc>
          <w:tcPr>
            <w:tcW w:type="dxa" w:w="2160"/>
            <w:tcMar>
              <w:top w:w="90" w:type="dxa"/>
              <w:start w:w="90" w:type="dxa"/>
              <w:bottom w:w="90" w:type="dxa"/>
              <w:end w:w="90" w:type="dxa"/>
            </w:tcMar>
            <w:vAlign w:val="center"/>
            <w:shd w:fill="F3F6F8"/>
          </w:tcPr>
          <w:p>
            <w:pPr>
              <w:spacing w:after="20"/>
            </w:pPr>
            <w:r>
              <w:rPr>
                <w:sz w:val="13"/>
              </w:rPr>
              <w:t>OWASP Agentic AI</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Goal hijack, tool misuse, privilege, memory and cascading behavior</w:t>
            </w:r>
          </w:p>
        </w:tc>
      </w:tr>
      <w:tr>
        <w:trPr>
          <w:cantSplit/>
        </w:trPr>
        <w:tc>
          <w:tcPr>
            <w:tcW w:type="dxa" w:w="2160"/>
            <w:tcMar>
              <w:top w:w="90" w:type="dxa"/>
              <w:start w:w="90" w:type="dxa"/>
              <w:bottom w:w="90" w:type="dxa"/>
              <w:end w:w="90" w:type="dxa"/>
            </w:tcMar>
            <w:vAlign w:val="center"/>
          </w:tcPr>
          <w:p>
            <w:pPr>
              <w:spacing w:after="20"/>
            </w:pPr>
            <w:r>
              <w:rPr>
                <w:sz w:val="13"/>
              </w:rPr>
              <w:t>OWASP MCP guidance</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Host/server/tool/token/consent/output boundaries</w:t>
            </w:r>
          </w:p>
        </w:tc>
      </w:tr>
      <w:tr>
        <w:trPr>
          <w:cantSplit/>
        </w:trPr>
        <w:tc>
          <w:tcPr>
            <w:tcW w:type="dxa" w:w="2160"/>
            <w:tcMar>
              <w:top w:w="90" w:type="dxa"/>
              <w:start w:w="90" w:type="dxa"/>
              <w:bottom w:w="90" w:type="dxa"/>
              <w:end w:w="90" w:type="dxa"/>
            </w:tcMar>
            <w:vAlign w:val="center"/>
            <w:shd w:fill="F3F6F8"/>
          </w:tcPr>
          <w:p>
            <w:pPr>
              <w:spacing w:after="20"/>
            </w:pPr>
            <w:r>
              <w:rPr>
                <w:sz w:val="13"/>
              </w:rPr>
              <w:t>OWASP ASVS 5.0 L2</w:t>
            </w:r>
          </w:p>
        </w:tc>
        <w:tc>
          <w:tcPr>
            <w:tcW w:type="dxa" w:w="1440"/>
            <w:tcMar>
              <w:top w:w="90" w:type="dxa"/>
              <w:start w:w="90" w:type="dxa"/>
              <w:bottom w:w="90" w:type="dxa"/>
              <w:end w:w="90" w:type="dxa"/>
            </w:tcMar>
            <w:vAlign w:val="center"/>
            <w:shd w:fill="F3F6F8"/>
          </w:tcPr>
          <w:p>
            <w:pPr>
              <w:spacing w:after="20"/>
            </w:pPr>
            <w:r>
              <w:rPr>
                <w:sz w:val="13"/>
              </w:rPr>
              <w:t>Partly applicable</w:t>
            </w:r>
          </w:p>
        </w:tc>
        <w:tc>
          <w:tcPr>
            <w:tcW w:type="dxa" w:w="5760"/>
            <w:tcMar>
              <w:top w:w="90" w:type="dxa"/>
              <w:start w:w="90" w:type="dxa"/>
              <w:bottom w:w="90" w:type="dxa"/>
              <w:end w:w="90" w:type="dxa"/>
            </w:tcMar>
            <w:vAlign w:val="center"/>
            <w:shd w:fill="F3F6F8"/>
          </w:tcPr>
          <w:p>
            <w:pPr>
              <w:spacing w:after="20"/>
            </w:pPr>
            <w:r>
              <w:rPr>
                <w:sz w:val="13"/>
              </w:rPr>
              <w:t>Webview, transport, auth, access, validation, files and configuration</w:t>
            </w:r>
          </w:p>
        </w:tc>
      </w:tr>
      <w:tr>
        <w:trPr>
          <w:cantSplit/>
        </w:trPr>
        <w:tc>
          <w:tcPr>
            <w:tcW w:type="dxa" w:w="2160"/>
            <w:tcMar>
              <w:top w:w="90" w:type="dxa"/>
              <w:start w:w="90" w:type="dxa"/>
              <w:bottom w:w="90" w:type="dxa"/>
              <w:end w:w="90" w:type="dxa"/>
            </w:tcMar>
            <w:vAlign w:val="center"/>
          </w:tcPr>
          <w:p>
            <w:pPr>
              <w:spacing w:after="20"/>
            </w:pPr>
            <w:r>
              <w:rPr>
                <w:sz w:val="13"/>
              </w:rPr>
              <w:t>MITRE ATLAS</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Prompt/context poisoning, discovery, tool invocation and exfiltration</w:t>
            </w:r>
          </w:p>
        </w:tc>
      </w:tr>
      <w:tr>
        <w:trPr>
          <w:cantSplit/>
        </w:trPr>
        <w:tc>
          <w:tcPr>
            <w:tcW w:type="dxa" w:w="2160"/>
            <w:tcMar>
              <w:top w:w="90" w:type="dxa"/>
              <w:start w:w="90" w:type="dxa"/>
              <w:bottom w:w="90" w:type="dxa"/>
              <w:end w:w="90" w:type="dxa"/>
            </w:tcMar>
            <w:vAlign w:val="center"/>
            <w:shd w:fill="F3F6F8"/>
          </w:tcPr>
          <w:p>
            <w:pPr>
              <w:spacing w:after="20"/>
            </w:pPr>
            <w:r>
              <w:rPr>
                <w:sz w:val="13"/>
              </w:rPr>
              <w:t>NIST AI RMF 1.0</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GOVERN, MAP, MEASURE and MANAGE approval lifecycle</w:t>
            </w:r>
          </w:p>
        </w:tc>
      </w:tr>
      <w:tr>
        <w:trPr>
          <w:cantSplit/>
        </w:trPr>
        <w:tc>
          <w:tcPr>
            <w:tcW w:type="dxa" w:w="2160"/>
            <w:tcMar>
              <w:top w:w="90" w:type="dxa"/>
              <w:start w:w="90" w:type="dxa"/>
              <w:bottom w:w="90" w:type="dxa"/>
              <w:end w:w="90" w:type="dxa"/>
            </w:tcMar>
            <w:vAlign w:val="center"/>
          </w:tcPr>
          <w:p>
            <w:pPr>
              <w:spacing w:after="20"/>
            </w:pPr>
            <w:r>
              <w:rPr>
                <w:sz w:val="13"/>
              </w:rPr>
              <w:t>NIST AI 600-1</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Third-party, privacy, security, human oversight and information integrity</w:t>
            </w:r>
          </w:p>
        </w:tc>
      </w:tr>
      <w:tr>
        <w:trPr>
          <w:cantSplit/>
        </w:trPr>
        <w:tc>
          <w:tcPr>
            <w:tcW w:type="dxa" w:w="2160"/>
            <w:tcMar>
              <w:top w:w="90" w:type="dxa"/>
              <w:start w:w="90" w:type="dxa"/>
              <w:bottom w:w="90" w:type="dxa"/>
              <w:end w:w="90" w:type="dxa"/>
            </w:tcMar>
            <w:vAlign w:val="center"/>
            <w:shd w:fill="F3F6F8"/>
          </w:tcPr>
          <w:p>
            <w:pPr>
              <w:spacing w:after="20"/>
            </w:pPr>
            <w:r>
              <w:rPr>
                <w:sz w:val="13"/>
              </w:rPr>
              <w:t>CIS Controls v8.1</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Inventory, configuration, access, vulnerability, logging and network</w:t>
            </w:r>
          </w:p>
        </w:tc>
      </w:tr>
      <w:tr>
        <w:trPr>
          <w:cantSplit/>
        </w:trPr>
        <w:tc>
          <w:tcPr>
            <w:tcW w:type="dxa" w:w="2160"/>
            <w:tcMar>
              <w:top w:w="90" w:type="dxa"/>
              <w:start w:w="90" w:type="dxa"/>
              <w:bottom w:w="90" w:type="dxa"/>
              <w:end w:w="90" w:type="dxa"/>
            </w:tcMar>
            <w:vAlign w:val="center"/>
          </w:tcPr>
          <w:p>
            <w:pPr>
              <w:spacing w:after="20"/>
            </w:pPr>
            <w:r>
              <w:rPr>
                <w:sz w:val="13"/>
              </w:rPr>
              <w:t>ISO/IEC 27001:2022</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Supplier, identity, DLP, logging, change and incident controls</w:t>
            </w:r>
          </w:p>
        </w:tc>
      </w:tr>
      <w:tr>
        <w:trPr>
          <w:cantSplit/>
        </w:trPr>
        <w:tc>
          <w:tcPr>
            <w:tcW w:type="dxa" w:w="2160"/>
            <w:tcMar>
              <w:top w:w="90" w:type="dxa"/>
              <w:start w:w="90" w:type="dxa"/>
              <w:bottom w:w="90" w:type="dxa"/>
              <w:end w:w="90" w:type="dxa"/>
            </w:tcMar>
            <w:vAlign w:val="center"/>
            <w:shd w:fill="F3F6F8"/>
          </w:tcPr>
          <w:p>
            <w:pPr>
              <w:spacing w:after="20"/>
            </w:pPr>
            <w:r>
              <w:rPr>
                <w:sz w:val="13"/>
              </w:rPr>
              <w:t>NCSC secure AI</w:t>
            </w:r>
          </w:p>
        </w:tc>
        <w:tc>
          <w:tcPr>
            <w:tcW w:type="dxa" w:w="1440"/>
            <w:tcMar>
              <w:top w:w="90" w:type="dxa"/>
              <w:start w:w="90" w:type="dxa"/>
              <w:bottom w:w="90" w:type="dxa"/>
              <w:end w:w="90" w:type="dxa"/>
            </w:tcMar>
            <w:vAlign w:val="center"/>
            <w:shd w:fill="F3F6F8"/>
          </w:tcPr>
          <w:p>
            <w:pPr>
              <w:spacing w:after="20"/>
            </w:pPr>
            <w:r>
              <w:rPr>
                <w:sz w:val="13"/>
              </w:rPr>
              <w:t>Applicable</w:t>
            </w:r>
          </w:p>
        </w:tc>
        <w:tc>
          <w:tcPr>
            <w:tcW w:type="dxa" w:w="5760"/>
            <w:tcMar>
              <w:top w:w="90" w:type="dxa"/>
              <w:start w:w="90" w:type="dxa"/>
              <w:bottom w:w="90" w:type="dxa"/>
              <w:end w:w="90" w:type="dxa"/>
            </w:tcMar>
            <w:vAlign w:val="center"/>
            <w:shd w:fill="F3F6F8"/>
          </w:tcPr>
          <w:p>
            <w:pPr>
              <w:spacing w:after="20"/>
            </w:pPr>
            <w:r>
              <w:rPr>
                <w:sz w:val="13"/>
              </w:rPr>
              <w:t>Secure design, development, deployment and operation</w:t>
            </w:r>
          </w:p>
        </w:tc>
      </w:tr>
      <w:tr>
        <w:trPr>
          <w:cantSplit/>
        </w:trPr>
        <w:tc>
          <w:tcPr>
            <w:tcW w:type="dxa" w:w="2160"/>
            <w:tcMar>
              <w:top w:w="90" w:type="dxa"/>
              <w:start w:w="90" w:type="dxa"/>
              <w:bottom w:w="90" w:type="dxa"/>
              <w:end w:w="90" w:type="dxa"/>
            </w:tcMar>
            <w:vAlign w:val="center"/>
          </w:tcPr>
          <w:p>
            <w:pPr>
              <w:spacing w:after="20"/>
            </w:pPr>
            <w:r>
              <w:rPr>
                <w:sz w:val="13"/>
              </w:rPr>
              <w:t>UK GDPR / DPA / ICO</w:t>
            </w:r>
          </w:p>
        </w:tc>
        <w:tc>
          <w:tcPr>
            <w:tcW w:type="dxa" w:w="1440"/>
            <w:tcMar>
              <w:top w:w="90" w:type="dxa"/>
              <w:start w:w="90" w:type="dxa"/>
              <w:bottom w:w="90" w:type="dxa"/>
              <w:end w:w="90" w:type="dxa"/>
            </w:tcMar>
            <w:vAlign w:val="center"/>
          </w:tcPr>
          <w:p>
            <w:pPr>
              <w:spacing w:after="20"/>
            </w:pPr>
            <w:r>
              <w:rPr>
                <w:sz w:val="13"/>
              </w:rPr>
              <w:t>Applicable</w:t>
            </w:r>
          </w:p>
        </w:tc>
        <w:tc>
          <w:tcPr>
            <w:tcW w:type="dxa" w:w="5760"/>
            <w:tcMar>
              <w:top w:w="90" w:type="dxa"/>
              <w:start w:w="90" w:type="dxa"/>
              <w:bottom w:w="90" w:type="dxa"/>
              <w:end w:w="90" w:type="dxa"/>
            </w:tcMar>
            <w:vAlign w:val="center"/>
          </w:tcPr>
          <w:p>
            <w:pPr>
              <w:spacing w:after="20"/>
            </w:pPr>
            <w:r>
              <w:rPr>
                <w:sz w:val="13"/>
              </w:rPr>
              <w:t>Personal data in databases, prompts, logs, history and telemetry</w:t>
            </w:r>
          </w:p>
        </w:tc>
      </w:tr>
      <w:tr>
        <w:trPr>
          <w:cantSplit/>
        </w:trPr>
        <w:tc>
          <w:tcPr>
            <w:tcW w:type="dxa" w:w="2160"/>
            <w:tcMar>
              <w:top w:w="90" w:type="dxa"/>
              <w:start w:w="90" w:type="dxa"/>
              <w:bottom w:w="90" w:type="dxa"/>
              <w:end w:w="90" w:type="dxa"/>
            </w:tcMar>
            <w:vAlign w:val="center"/>
            <w:shd w:fill="F3F6F8"/>
          </w:tcPr>
          <w:p>
            <w:pPr>
              <w:spacing w:after="20"/>
            </w:pPr>
            <w:r>
              <w:rPr>
                <w:sz w:val="13"/>
              </w:rPr>
              <w:t>FCA/PRA</w:t>
            </w:r>
          </w:p>
        </w:tc>
        <w:tc>
          <w:tcPr>
            <w:tcW w:type="dxa" w:w="1440"/>
            <w:tcMar>
              <w:top w:w="90" w:type="dxa"/>
              <w:start w:w="90" w:type="dxa"/>
              <w:bottom w:w="90" w:type="dxa"/>
              <w:end w:w="90" w:type="dxa"/>
            </w:tcMar>
            <w:vAlign w:val="center"/>
            <w:shd w:fill="F3F6F8"/>
          </w:tcPr>
          <w:p>
            <w:pPr>
              <w:spacing w:after="20"/>
            </w:pPr>
            <w:r>
              <w:rPr>
                <w:sz w:val="13"/>
              </w:rPr>
              <w:t>Conditional</w:t>
            </w:r>
          </w:p>
        </w:tc>
        <w:tc>
          <w:tcPr>
            <w:tcW w:type="dxa" w:w="5760"/>
            <w:tcMar>
              <w:top w:w="90" w:type="dxa"/>
              <w:start w:w="90" w:type="dxa"/>
              <w:bottom w:w="90" w:type="dxa"/>
              <w:end w:w="90" w:type="dxa"/>
            </w:tcMar>
            <w:vAlign w:val="center"/>
            <w:shd w:fill="F3F6F8"/>
          </w:tcPr>
          <w:p>
            <w:pPr>
              <w:spacing w:after="20"/>
            </w:pPr>
            <w:r>
              <w:rPr>
                <w:sz w:val="13"/>
              </w:rPr>
              <w:t>Verify status, materiality, outsourcing and important business services</w:t>
            </w:r>
          </w:p>
        </w:tc>
      </w:tr>
    </w:tbl>
    <w:p>
      <w:pPr>
        <w:spacing w:after="40"/>
      </w:pPr>
    </w:p>
    <w:p>
      <w:pPr>
        <w:pStyle w:val="Heading1"/>
      </w:pPr>
      <w:r>
        <w:t>Control Strength</w:t>
      </w:r>
    </w:p>
    <w:p>
      <w:r>
        <w:t>Control strength is assessed only where implementation is verified: Strong means independently enforced at the database, identity or endpoint boundary; Moderate means useful but configuration-dependent; Weak means advisory, user-interface or documentation-only; Unknown means runtime evidence is absent. Current aggregate control strength is Moderate for provenance and static configuration design, Weak for default Copilot authority, and Unknown for MCP token/session enforcement, consent timing, telemetry payloads and cleanup.</w:t>
      </w:r>
    </w:p>
    <w:p>
      <w:pPr>
        <w:pStyle w:val="Heading1"/>
      </w:pPr>
      <w:r>
        <w:t>Residual Risk and Approval Recommendation</w:t>
      </w:r>
    </w:p>
    <w:p>
      <w:r>
        <w:t xml:space="preserve">Overall residual risk is High and the decision is </w:t>
      </w:r>
      <w:r>
        <w:rPr>
          <w:b/>
        </w:rPr>
        <w:t>Defer pending evidence</w:t>
      </w:r>
      <w:r>
        <w:t>. Scope is exact version 1.26.0 for VS Code. Conditions expire after 90 days or immediately on any package, tools-service, model-tool schema, provider, policy or advisory change. Microsoft Visual Studio is Not applicable. A bounded pilot requires direct closure of RISK-001 through RISK-006 and formal acceptance of remaining Moderate risks.</w:t>
      </w:r>
    </w:p>
    <w:p>
      <w:pPr>
        <w:pStyle w:val="Heading1"/>
      </w:pPr>
      <w:r>
        <w:t>Limitations and Confidence</w:t>
      </w:r>
    </w:p>
    <w:p>
      <w:pPr>
        <w:pStyle w:val="ListBullet"/>
      </w:pPr>
      <w:r>
        <w:t>No installation, activation, authentication, live database, Copilot/MCP session, network capture, update or uninstall observation.</w:t>
      </w:r>
    </w:p>
    <w:p>
      <w:pPr>
        <w:pStyle w:val="ListBullet"/>
      </w:pPr>
      <w:r>
        <w:t>Public repository is documentation and issue material rather than complete extension source; reproducible build correspondence is unavailable.</w:t>
      </w:r>
    </w:p>
    <w:p>
      <w:pPr>
        <w:pStyle w:val="ListBullet"/>
      </w:pPr>
      <w:r>
        <w:t>Dependency inventory is strongest for Windows x64; cross-platform package reachability was not fully normalised.</w:t>
      </w:r>
    </w:p>
    <w:p>
      <w:pPr>
        <w:pStyle w:val="ListBullet"/>
      </w:pPr>
      <w:r>
        <w:t>Static scanners have parser, size, minification, native-code, CPE and frozen-Python visibility limitations.</w:t>
      </w:r>
    </w:p>
    <w:p>
      <w:pPr>
        <w:pStyle w:val="ListBullet"/>
      </w:pPr>
      <w:r>
        <w:t>Privacy and contractual controls are deployment-specific and require the actual enterprise tenant, provider route and firm applicability.</w:t>
      </w:r>
    </w:p>
    <w:p>
      <w:r>
        <w:t>Confidence is High for official identity, stable version and acquired bytes; Medium for package architecture and Windows dependency inventory; Low for runtime enforcement, token/session behavior, network destinations and cleanup.</w:t>
      </w:r>
    </w:p>
    <w:p>
      <w:r>
        <w:br w:type="page"/>
      </w:r>
    </w:p>
    <w:p>
      <w:pPr>
        <w:pStyle w:val="Heading1"/>
      </w:pPr>
      <w:r>
        <w:t>Evidence Register</w:t>
      </w:r>
    </w:p>
    <w:tbl>
      <w:tblPr>
        <w:tblStyle w:val="TableGrid"/>
        <w:tblW w:type="auto" w:w="0"/>
        <w:jc w:val="center"/>
        <w:tblLayout w:type="fixed"/>
        <w:tblLook w:firstColumn="1" w:firstRow="1" w:lastColumn="0" w:lastRow="0" w:noHBand="0" w:noVBand="1" w:val="04A0"/>
      </w:tblPr>
      <w:tblGrid>
        <w:gridCol w:w="1008"/>
        <w:gridCol w:w="2592"/>
        <w:gridCol w:w="4320"/>
        <w:gridCol w:w="1440"/>
      </w:tblGrid>
      <w:tr>
        <w:trPr>
          <w:tblHeader/>
        </w:trPr>
        <w:tc>
          <w:tcPr>
            <w:tcW w:type="dxa" w:w="1008"/>
            <w:shd w:fill="17365D"/>
            <w:tcMar>
              <w:top w:w="90" w:type="dxa"/>
              <w:start w:w="90" w:type="dxa"/>
              <w:bottom w:w="90" w:type="dxa"/>
              <w:end w:w="90" w:type="dxa"/>
            </w:tcMar>
          </w:tcPr>
          <w:p>
            <w:r>
              <w:rPr>
                <w:b/>
                <w:color w:val="FFFFFF"/>
                <w:sz w:val="12"/>
              </w:rPr>
              <w:t>ID</w:t>
            </w:r>
          </w:p>
        </w:tc>
        <w:tc>
          <w:tcPr>
            <w:tcW w:type="dxa" w:w="2592"/>
            <w:shd w:fill="17365D"/>
            <w:tcMar>
              <w:top w:w="90" w:type="dxa"/>
              <w:start w:w="90" w:type="dxa"/>
              <w:bottom w:w="90" w:type="dxa"/>
              <w:end w:w="90" w:type="dxa"/>
            </w:tcMar>
          </w:tcPr>
          <w:p>
            <w:r>
              <w:rPr>
                <w:b/>
                <w:color w:val="FFFFFF"/>
                <w:sz w:val="12"/>
              </w:rPr>
              <w:t>Evidence</w:t>
            </w:r>
          </w:p>
        </w:tc>
        <w:tc>
          <w:tcPr>
            <w:tcW w:type="dxa" w:w="4320"/>
            <w:shd w:fill="17365D"/>
            <w:tcMar>
              <w:top w:w="90" w:type="dxa"/>
              <w:start w:w="90" w:type="dxa"/>
              <w:bottom w:w="90" w:type="dxa"/>
              <w:end w:w="90" w:type="dxa"/>
            </w:tcMar>
          </w:tcPr>
          <w:p>
            <w:r>
              <w:rPr>
                <w:b/>
                <w:color w:val="FFFFFF"/>
                <w:sz w:val="12"/>
              </w:rPr>
              <w:t>Scope/result</w:t>
            </w:r>
          </w:p>
        </w:tc>
        <w:tc>
          <w:tcPr>
            <w:tcW w:type="dxa" w:w="1440"/>
            <w:shd w:fill="17365D"/>
            <w:tcMar>
              <w:top w:w="90" w:type="dxa"/>
              <w:start w:w="90" w:type="dxa"/>
              <w:bottom w:w="90" w:type="dxa"/>
              <w:end w:w="90" w:type="dxa"/>
            </w:tcMar>
          </w:tcPr>
          <w:p>
            <w:r>
              <w:rPr>
                <w:b/>
                <w:color w:val="FFFFFF"/>
                <w:sz w:val="12"/>
              </w:rPr>
              <w:t>State</w:t>
            </w:r>
          </w:p>
        </w:tc>
      </w:tr>
      <w:tr>
        <w:trPr>
          <w:cantSplit/>
        </w:trPr>
        <w:tc>
          <w:tcPr>
            <w:tcW w:type="dxa" w:w="1008"/>
            <w:tcMar>
              <w:top w:w="90" w:type="dxa"/>
              <w:start w:w="90" w:type="dxa"/>
              <w:bottom w:w="90" w:type="dxa"/>
              <w:end w:w="90" w:type="dxa"/>
            </w:tcMar>
            <w:vAlign w:val="center"/>
          </w:tcPr>
          <w:p>
            <w:pPr>
              <w:spacing w:after="20"/>
            </w:pPr>
            <w:r>
              <w:rPr>
                <w:sz w:val="12"/>
              </w:rPr>
              <w:t>EVD-001</w:t>
            </w:r>
          </w:p>
        </w:tc>
        <w:tc>
          <w:tcPr>
            <w:tcW w:type="dxa" w:w="2592"/>
            <w:tcMar>
              <w:top w:w="90" w:type="dxa"/>
              <w:start w:w="90" w:type="dxa"/>
              <w:bottom w:w="90" w:type="dxa"/>
              <w:end w:w="90" w:type="dxa"/>
            </w:tcMar>
            <w:vAlign w:val="center"/>
          </w:tcPr>
          <w:p>
            <w:pPr>
              <w:spacing w:after="20"/>
            </w:pPr>
            <w:r>
              <w:rPr>
                <w:sz w:val="12"/>
              </w:rPr>
              <w:t>Marketplace stable Gallery metadata</w:t>
            </w:r>
          </w:p>
        </w:tc>
        <w:tc>
          <w:tcPr>
            <w:tcW w:type="dxa" w:w="4320"/>
            <w:tcMar>
              <w:top w:w="90" w:type="dxa"/>
              <w:start w:w="90" w:type="dxa"/>
              <w:bottom w:w="90" w:type="dxa"/>
              <w:end w:w="90" w:type="dxa"/>
            </w:tcMar>
            <w:vAlign w:val="center"/>
          </w:tcPr>
          <w:p>
            <w:pPr>
              <w:spacing w:after="20"/>
            </w:pPr>
            <w:r>
              <w:rPr>
                <w:sz w:val="12"/>
              </w:rPr>
              <w:t>Exact identity, 1.26.0 stable status, seven assets and URLs</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EVD-002</w:t>
            </w:r>
          </w:p>
        </w:tc>
        <w:tc>
          <w:tcPr>
            <w:tcW w:type="dxa" w:w="2592"/>
            <w:tcMar>
              <w:top w:w="90" w:type="dxa"/>
              <w:start w:w="90" w:type="dxa"/>
              <w:bottom w:w="90" w:type="dxa"/>
              <w:end w:w="90" w:type="dxa"/>
            </w:tcMar>
            <w:vAlign w:val="center"/>
            <w:shd w:fill="F3F6F8"/>
          </w:tcPr>
          <w:p>
            <w:pPr>
              <w:spacing w:after="20"/>
            </w:pPr>
            <w:r>
              <w:rPr>
                <w:sz w:val="12"/>
              </w:rPr>
              <w:t>Marketplace listing</w:t>
            </w:r>
          </w:p>
        </w:tc>
        <w:tc>
          <w:tcPr>
            <w:tcW w:type="dxa" w:w="4320"/>
            <w:tcMar>
              <w:top w:w="90" w:type="dxa"/>
              <w:start w:w="90" w:type="dxa"/>
              <w:bottom w:w="90" w:type="dxa"/>
              <w:end w:w="90" w:type="dxa"/>
            </w:tcMar>
            <w:vAlign w:val="center"/>
            <w:shd w:fill="F3F6F8"/>
          </w:tcPr>
          <w:p>
            <w:pPr>
              <w:spacing w:after="20"/>
            </w:pPr>
            <w:r>
              <w:rPr>
                <w:sz w:val="12"/>
              </w:rPr>
              <w:t>Microsoft publisher, features, supported platforms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EVD-003</w:t>
            </w:r>
          </w:p>
        </w:tc>
        <w:tc>
          <w:tcPr>
            <w:tcW w:type="dxa" w:w="2592"/>
            <w:tcMar>
              <w:top w:w="90" w:type="dxa"/>
              <w:start w:w="90" w:type="dxa"/>
              <w:bottom w:w="90" w:type="dxa"/>
              <w:end w:w="90" w:type="dxa"/>
            </w:tcMar>
            <w:vAlign w:val="center"/>
          </w:tcPr>
          <w:p>
            <w:pPr>
              <w:spacing w:after="20"/>
            </w:pPr>
            <w:r>
              <w:rPr>
                <w:sz w:val="12"/>
              </w:rPr>
              <w:t>Official repository and commit metadata</w:t>
            </w:r>
          </w:p>
        </w:tc>
        <w:tc>
          <w:tcPr>
            <w:tcW w:type="dxa" w:w="4320"/>
            <w:tcMar>
              <w:top w:w="90" w:type="dxa"/>
              <w:start w:w="90" w:type="dxa"/>
              <w:bottom w:w="90" w:type="dxa"/>
              <w:end w:w="90" w:type="dxa"/>
            </w:tcMar>
            <w:vAlign w:val="center"/>
          </w:tcPr>
          <w:p>
            <w:pPr>
              <w:spacing w:after="20"/>
            </w:pPr>
            <w:r>
              <w:rPr>
                <w:sz w:val="12"/>
              </w:rPr>
              <w:t>Documentation repository at commit 063745e...</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EVD-004</w:t>
            </w:r>
          </w:p>
        </w:tc>
        <w:tc>
          <w:tcPr>
            <w:tcW w:type="dxa" w:w="2592"/>
            <w:tcMar>
              <w:top w:w="90" w:type="dxa"/>
              <w:start w:w="90" w:type="dxa"/>
              <w:bottom w:w="90" w:type="dxa"/>
              <w:end w:w="90" w:type="dxa"/>
            </w:tcMar>
            <w:vAlign w:val="center"/>
            <w:shd w:fill="F3F6F8"/>
          </w:tcPr>
          <w:p>
            <w:pPr>
              <w:spacing w:after="20"/>
            </w:pPr>
            <w:r>
              <w:rPr>
                <w:sz w:val="12"/>
              </w:rPr>
              <w:t>Seven VSIX artefacts and inventory</w:t>
            </w:r>
          </w:p>
        </w:tc>
        <w:tc>
          <w:tcPr>
            <w:tcW w:type="dxa" w:w="4320"/>
            <w:tcMar>
              <w:top w:w="90" w:type="dxa"/>
              <w:start w:w="90" w:type="dxa"/>
              <w:bottom w:w="90" w:type="dxa"/>
              <w:end w:w="90" w:type="dxa"/>
            </w:tcMar>
            <w:vAlign w:val="center"/>
            <w:shd w:fill="F3F6F8"/>
          </w:tcPr>
          <w:p>
            <w:pPr>
              <w:spacing w:after="20"/>
            </w:pPr>
            <w:r>
              <w:rPr>
                <w:sz w:val="12"/>
              </w:rPr>
              <w:t>Exact hashes, manifests, file counts and safe extraction</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EVD-005</w:t>
            </w:r>
          </w:p>
        </w:tc>
        <w:tc>
          <w:tcPr>
            <w:tcW w:type="dxa" w:w="2592"/>
            <w:tcMar>
              <w:top w:w="90" w:type="dxa"/>
              <w:start w:w="90" w:type="dxa"/>
              <w:bottom w:w="90" w:type="dxa"/>
              <w:end w:w="90" w:type="dxa"/>
            </w:tcMar>
            <w:vAlign w:val="center"/>
          </w:tcPr>
          <w:p>
            <w:pPr>
              <w:spacing w:after="20"/>
            </w:pPr>
            <w:r>
              <w:rPr>
                <w:sz w:val="12"/>
              </w:rPr>
              <w:t>Seven Marketplace signature assets</w:t>
            </w:r>
          </w:p>
        </w:tc>
        <w:tc>
          <w:tcPr>
            <w:tcW w:type="dxa" w:w="4320"/>
            <w:tcMar>
              <w:top w:w="90" w:type="dxa"/>
              <w:start w:w="90" w:type="dxa"/>
              <w:bottom w:w="90" w:type="dxa"/>
              <w:end w:w="90" w:type="dxa"/>
            </w:tcMar>
            <w:vAlign w:val="center"/>
          </w:tcPr>
          <w:p>
            <w:pPr>
              <w:spacing w:after="20"/>
            </w:pPr>
            <w:r>
              <w:rPr>
                <w:sz w:val="12"/>
              </w:rPr>
              <w:t>CMS structure and Marketplace signer identity</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EVD-006</w:t>
            </w:r>
          </w:p>
        </w:tc>
        <w:tc>
          <w:tcPr>
            <w:tcW w:type="dxa" w:w="2592"/>
            <w:tcMar>
              <w:top w:w="90" w:type="dxa"/>
              <w:start w:w="90" w:type="dxa"/>
              <w:bottom w:w="90" w:type="dxa"/>
              <w:end w:w="90" w:type="dxa"/>
            </w:tcMar>
            <w:vAlign w:val="center"/>
            <w:shd w:fill="F3F6F8"/>
          </w:tcPr>
          <w:p>
            <w:pPr>
              <w:spacing w:after="20"/>
            </w:pPr>
            <w:r>
              <w:rPr>
                <w:sz w:val="12"/>
              </w:rPr>
              <w:t>Official documentation snapshot</w:t>
            </w:r>
          </w:p>
        </w:tc>
        <w:tc>
          <w:tcPr>
            <w:tcW w:type="dxa" w:w="4320"/>
            <w:tcMar>
              <w:top w:w="90" w:type="dxa"/>
              <w:start w:w="90" w:type="dxa"/>
              <w:bottom w:w="90" w:type="dxa"/>
              <w:end w:w="90" w:type="dxa"/>
            </w:tcMar>
            <w:vAlign w:val="center"/>
            <w:shd w:fill="F3F6F8"/>
          </w:tcPr>
          <w:p>
            <w:pPr>
              <w:spacing w:after="20"/>
            </w:pPr>
            <w:r>
              <w:rPr>
                <w:sz w:val="12"/>
              </w:rPr>
              <w:t>Privacy, security, changelog, notices and feature claims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EVD-007</w:t>
            </w:r>
          </w:p>
        </w:tc>
        <w:tc>
          <w:tcPr>
            <w:tcW w:type="dxa" w:w="2592"/>
            <w:tcMar>
              <w:top w:w="90" w:type="dxa"/>
              <w:start w:w="90" w:type="dxa"/>
              <w:bottom w:w="90" w:type="dxa"/>
              <w:end w:w="90" w:type="dxa"/>
            </w:tcMar>
            <w:vAlign w:val="center"/>
          </w:tcPr>
          <w:p>
            <w:pPr>
              <w:spacing w:after="20"/>
            </w:pPr>
            <w:r>
              <w:rPr>
                <w:sz w:val="12"/>
              </w:rPr>
              <w:t>Semgrep</w:t>
            </w:r>
          </w:p>
        </w:tc>
        <w:tc>
          <w:tcPr>
            <w:tcW w:type="dxa" w:w="4320"/>
            <w:tcMar>
              <w:top w:w="90" w:type="dxa"/>
              <w:start w:w="90" w:type="dxa"/>
              <w:bottom w:w="90" w:type="dxa"/>
              <w:end w:w="90" w:type="dxa"/>
            </w:tcMar>
            <w:vAlign w:val="center"/>
          </w:tcPr>
          <w:p>
            <w:pPr>
              <w:spacing w:after="20"/>
            </w:pPr>
            <w:r>
              <w:rPr>
                <w:sz w:val="12"/>
              </w:rPr>
              <w:t>400 targets; two triaged warnings; 177 parse/size limitations</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EVD-008</w:t>
            </w:r>
          </w:p>
        </w:tc>
        <w:tc>
          <w:tcPr>
            <w:tcW w:type="dxa" w:w="2592"/>
            <w:tcMar>
              <w:top w:w="90" w:type="dxa"/>
              <w:start w:w="90" w:type="dxa"/>
              <w:bottom w:w="90" w:type="dxa"/>
              <w:end w:w="90" w:type="dxa"/>
            </w:tcMar>
            <w:vAlign w:val="center"/>
            <w:shd w:fill="F3F6F8"/>
          </w:tcPr>
          <w:p>
            <w:pPr>
              <w:spacing w:after="20"/>
            </w:pPr>
            <w:r>
              <w:rPr>
                <w:sz w:val="12"/>
              </w:rPr>
              <w:t>ClamAV</w:t>
            </w:r>
          </w:p>
        </w:tc>
        <w:tc>
          <w:tcPr>
            <w:tcW w:type="dxa" w:w="4320"/>
            <w:tcMar>
              <w:top w:w="90" w:type="dxa"/>
              <w:start w:w="90" w:type="dxa"/>
              <w:bottom w:w="90" w:type="dxa"/>
              <w:end w:w="90" w:type="dxa"/>
            </w:tcMar>
            <w:vAlign w:val="center"/>
            <w:shd w:fill="F3F6F8"/>
          </w:tcPr>
          <w:p>
            <w:pPr>
              <w:spacing w:after="20"/>
            </w:pPr>
            <w:r>
              <w:rPr>
                <w:sz w:val="12"/>
              </w:rPr>
              <w:t>All extracted variants; non-detection is not proof</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EVD-009</w:t>
            </w:r>
          </w:p>
        </w:tc>
        <w:tc>
          <w:tcPr>
            <w:tcW w:type="dxa" w:w="2592"/>
            <w:tcMar>
              <w:top w:w="90" w:type="dxa"/>
              <w:start w:w="90" w:type="dxa"/>
              <w:bottom w:w="90" w:type="dxa"/>
              <w:end w:w="90" w:type="dxa"/>
            </w:tcMar>
            <w:vAlign w:val="center"/>
          </w:tcPr>
          <w:p>
            <w:pPr>
              <w:spacing w:after="20"/>
            </w:pPr>
            <w:r>
              <w:rPr>
                <w:sz w:val="12"/>
              </w:rPr>
              <w:t>Assessment-local YARA</w:t>
            </w:r>
          </w:p>
        </w:tc>
        <w:tc>
          <w:tcPr>
            <w:tcW w:type="dxa" w:w="4320"/>
            <w:tcMar>
              <w:top w:w="90" w:type="dxa"/>
              <w:start w:w="90" w:type="dxa"/>
              <w:bottom w:w="90" w:type="dxa"/>
              <w:end w:w="90" w:type="dxa"/>
            </w:tcMar>
            <w:vAlign w:val="center"/>
          </w:tcPr>
          <w:p>
            <w:pPr>
              <w:spacing w:after="20"/>
            </w:pPr>
            <w:r>
              <w:rPr>
                <w:sz w:val="12"/>
              </w:rPr>
              <w:t>MCP/dynamic/minification signals manually triaged</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EVD-010</w:t>
            </w:r>
          </w:p>
        </w:tc>
        <w:tc>
          <w:tcPr>
            <w:tcW w:type="dxa" w:w="2592"/>
            <w:tcMar>
              <w:top w:w="90" w:type="dxa"/>
              <w:start w:w="90" w:type="dxa"/>
              <w:bottom w:w="90" w:type="dxa"/>
              <w:end w:w="90" w:type="dxa"/>
            </w:tcMar>
            <w:vAlign w:val="center"/>
            <w:shd w:fill="F3F6F8"/>
          </w:tcPr>
          <w:p>
            <w:pPr>
              <w:spacing w:after="20"/>
            </w:pPr>
            <w:r>
              <w:rPr>
                <w:sz w:val="12"/>
              </w:rPr>
              <w:t>Microsoft connection/Copilot documentation</w:t>
            </w:r>
          </w:p>
        </w:tc>
        <w:tc>
          <w:tcPr>
            <w:tcW w:type="dxa" w:w="4320"/>
            <w:tcMar>
              <w:top w:w="90" w:type="dxa"/>
              <w:start w:w="90" w:type="dxa"/>
              <w:bottom w:w="90" w:type="dxa"/>
              <w:end w:w="90" w:type="dxa"/>
            </w:tcMar>
            <w:vAlign w:val="center"/>
            <w:shd w:fill="F3F6F8"/>
          </w:tcPr>
          <w:p>
            <w:pPr>
              <w:spacing w:after="20"/>
            </w:pPr>
            <w:r>
              <w:rPr>
                <w:sz w:val="12"/>
              </w:rPr>
              <w:t>Profiles, secrets, access modes and data flows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EVD-011</w:t>
            </w:r>
          </w:p>
        </w:tc>
        <w:tc>
          <w:tcPr>
            <w:tcW w:type="dxa" w:w="2592"/>
            <w:tcMar>
              <w:top w:w="90" w:type="dxa"/>
              <w:start w:w="90" w:type="dxa"/>
              <w:bottom w:w="90" w:type="dxa"/>
              <w:end w:w="90" w:type="dxa"/>
            </w:tcMar>
            <w:vAlign w:val="center"/>
          </w:tcPr>
          <w:p>
            <w:pPr>
              <w:spacing w:after="20"/>
            </w:pPr>
            <w:r>
              <w:rPr>
                <w:sz w:val="12"/>
              </w:rPr>
              <w:t>Microsoft MCP/agent-mode documentation</w:t>
            </w:r>
          </w:p>
        </w:tc>
        <w:tc>
          <w:tcPr>
            <w:tcW w:type="dxa" w:w="4320"/>
            <w:tcMar>
              <w:top w:w="90" w:type="dxa"/>
              <w:start w:w="90" w:type="dxa"/>
              <w:bottom w:w="90" w:type="dxa"/>
              <w:end w:w="90" w:type="dxa"/>
            </w:tcMar>
            <w:vAlign w:val="center"/>
          </w:tcPr>
          <w:p>
            <w:pPr>
              <w:spacing w:after="20"/>
            </w:pPr>
            <w:r>
              <w:rPr>
                <w:sz w:val="12"/>
              </w:rPr>
              <w:t>Registration, URL/token, tools and confirmation claims</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EVD-012</w:t>
            </w:r>
          </w:p>
        </w:tc>
        <w:tc>
          <w:tcPr>
            <w:tcW w:type="dxa" w:w="2592"/>
            <w:tcMar>
              <w:top w:w="90" w:type="dxa"/>
              <w:start w:w="90" w:type="dxa"/>
              <w:bottom w:w="90" w:type="dxa"/>
              <w:end w:w="90" w:type="dxa"/>
            </w:tcMar>
            <w:vAlign w:val="center"/>
            <w:shd w:fill="F3F6F8"/>
          </w:tcPr>
          <w:p>
            <w:pPr>
              <w:spacing w:after="20"/>
            </w:pPr>
            <w:r>
              <w:rPr>
                <w:sz w:val="12"/>
              </w:rPr>
              <w:t>Package settings and README</w:t>
            </w:r>
          </w:p>
        </w:tc>
        <w:tc>
          <w:tcPr>
            <w:tcW w:type="dxa" w:w="4320"/>
            <w:tcMar>
              <w:top w:w="90" w:type="dxa"/>
              <w:start w:w="90" w:type="dxa"/>
              <w:bottom w:w="90" w:type="dxa"/>
              <w:end w:w="90" w:type="dxa"/>
            </w:tcMar>
            <w:vAlign w:val="center"/>
            <w:shd w:fill="F3F6F8"/>
          </w:tcPr>
          <w:p>
            <w:pPr>
              <w:spacing w:after="20"/>
            </w:pPr>
            <w:r>
              <w:rPr>
                <w:sz w:val="12"/>
              </w:rPr>
              <w:t>Logging, telemetry, history, TLS and defaults</w:t>
            </w:r>
          </w:p>
        </w:tc>
        <w:tc>
          <w:tcPr>
            <w:tcW w:type="dxa" w:w="1440"/>
            <w:tcMar>
              <w:top w:w="90" w:type="dxa"/>
              <w:start w:w="90" w:type="dxa"/>
              <w:bottom w:w="90" w:type="dxa"/>
              <w:end w:w="90" w:type="dxa"/>
            </w:tcMar>
            <w:vAlign w:val="center"/>
            <w:shd w:fill="F3F6F8"/>
          </w:tcPr>
          <w:p>
            <w:pPr>
              <w:spacing w:after="20"/>
            </w:pPr>
            <w:r>
              <w:rPr>
                <w:sz w:val="12"/>
              </w:rPr>
              <w:t>Verified</w:t>
            </w:r>
          </w:p>
        </w:tc>
      </w:tr>
      <w:tr>
        <w:trPr>
          <w:cantSplit/>
        </w:trPr>
        <w:tc>
          <w:tcPr>
            <w:tcW w:type="dxa" w:w="1008"/>
            <w:tcMar>
              <w:top w:w="90" w:type="dxa"/>
              <w:start w:w="90" w:type="dxa"/>
              <w:bottom w:w="90" w:type="dxa"/>
              <w:end w:w="90" w:type="dxa"/>
            </w:tcMar>
            <w:vAlign w:val="center"/>
          </w:tcPr>
          <w:p>
            <w:pPr>
              <w:spacing w:after="20"/>
            </w:pPr>
            <w:r>
              <w:rPr>
                <w:sz w:val="12"/>
              </w:rPr>
              <w:t>EVD-013</w:t>
            </w:r>
          </w:p>
        </w:tc>
        <w:tc>
          <w:tcPr>
            <w:tcW w:type="dxa" w:w="2592"/>
            <w:tcMar>
              <w:top w:w="90" w:type="dxa"/>
              <w:start w:w="90" w:type="dxa"/>
              <w:bottom w:w="90" w:type="dxa"/>
              <w:end w:w="90" w:type="dxa"/>
            </w:tcMar>
            <w:vAlign w:val="center"/>
          </w:tcPr>
          <w:p>
            <w:pPr>
              <w:spacing w:after="20"/>
            </w:pPr>
            <w:r>
              <w:rPr>
                <w:sz w:val="12"/>
              </w:rPr>
              <w:t>Syft CycloneDX SBOM</w:t>
            </w:r>
          </w:p>
        </w:tc>
        <w:tc>
          <w:tcPr>
            <w:tcW w:type="dxa" w:w="4320"/>
            <w:tcMar>
              <w:top w:w="90" w:type="dxa"/>
              <w:start w:w="90" w:type="dxa"/>
              <w:bottom w:w="90" w:type="dxa"/>
              <w:end w:w="90" w:type="dxa"/>
            </w:tcMar>
            <w:vAlign w:val="center"/>
          </w:tcPr>
          <w:p>
            <w:pPr>
              <w:spacing w:after="20"/>
            </w:pPr>
            <w:r>
              <w:rPr>
                <w:sz w:val="12"/>
              </w:rPr>
              <w:t>244 Windows x64 Tools Service 3.4.1 components</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EVD-014</w:t>
            </w:r>
          </w:p>
        </w:tc>
        <w:tc>
          <w:tcPr>
            <w:tcW w:type="dxa" w:w="2592"/>
            <w:tcMar>
              <w:top w:w="90" w:type="dxa"/>
              <w:start w:w="90" w:type="dxa"/>
              <w:bottom w:w="90" w:type="dxa"/>
              <w:end w:w="90" w:type="dxa"/>
            </w:tcMar>
            <w:vAlign w:val="center"/>
            <w:shd w:fill="F3F6F8"/>
          </w:tcPr>
          <w:p>
            <w:pPr>
              <w:spacing w:after="20"/>
            </w:pPr>
            <w:r>
              <w:rPr>
                <w:sz w:val="12"/>
              </w:rPr>
              <w:t>Grype vulnerability correlation</w:t>
            </w:r>
          </w:p>
        </w:tc>
        <w:tc>
          <w:tcPr>
            <w:tcW w:type="dxa" w:w="4320"/>
            <w:tcMar>
              <w:top w:w="90" w:type="dxa"/>
              <w:start w:w="90" w:type="dxa"/>
              <w:bottom w:w="90" w:type="dxa"/>
              <w:end w:w="90" w:type="dxa"/>
            </w:tcMar>
            <w:vAlign w:val="center"/>
            <w:shd w:fill="F3F6F8"/>
          </w:tcPr>
          <w:p>
            <w:pPr>
              <w:spacing w:after="20"/>
            </w:pPr>
            <w:r>
              <w:rPr>
                <w:sz w:val="12"/>
              </w:rPr>
              <w:t>152 candidates; mcp 1.26.0 exposure verified; reachability not assumed</w:t>
            </w:r>
          </w:p>
        </w:tc>
        <w:tc>
          <w:tcPr>
            <w:tcW w:type="dxa" w:w="1440"/>
            <w:tcMar>
              <w:top w:w="90" w:type="dxa"/>
              <w:start w:w="90" w:type="dxa"/>
              <w:bottom w:w="90" w:type="dxa"/>
              <w:end w:w="90" w:type="dxa"/>
            </w:tcMar>
            <w:vAlign w:val="center"/>
            <w:shd w:fill="F3F6F8"/>
          </w:tcPr>
          <w:p>
            <w:pPr>
              <w:spacing w:after="20"/>
            </w:pPr>
            <w:r>
              <w:rPr>
                <w:sz w:val="12"/>
              </w:rPr>
              <w:t>Verified/triaged</w:t>
            </w:r>
          </w:p>
        </w:tc>
      </w:tr>
      <w:tr>
        <w:trPr>
          <w:cantSplit/>
        </w:trPr>
        <w:tc>
          <w:tcPr>
            <w:tcW w:type="dxa" w:w="1008"/>
            <w:tcMar>
              <w:top w:w="90" w:type="dxa"/>
              <w:start w:w="90" w:type="dxa"/>
              <w:bottom w:w="90" w:type="dxa"/>
              <w:end w:w="90" w:type="dxa"/>
            </w:tcMar>
            <w:vAlign w:val="center"/>
          </w:tcPr>
          <w:p>
            <w:pPr>
              <w:spacing w:after="20"/>
            </w:pPr>
            <w:r>
              <w:rPr>
                <w:sz w:val="12"/>
              </w:rPr>
              <w:t>EVD-015</w:t>
            </w:r>
          </w:p>
        </w:tc>
        <w:tc>
          <w:tcPr>
            <w:tcW w:type="dxa" w:w="2592"/>
            <w:tcMar>
              <w:top w:w="90" w:type="dxa"/>
              <w:start w:w="90" w:type="dxa"/>
              <w:bottom w:w="90" w:type="dxa"/>
              <w:end w:w="90" w:type="dxa"/>
            </w:tcMar>
            <w:vAlign w:val="center"/>
          </w:tcPr>
          <w:p>
            <w:pPr>
              <w:spacing w:after="20"/>
            </w:pPr>
            <w:r>
              <w:rPr>
                <w:sz w:val="12"/>
              </w:rPr>
              <w:t>Trivy and OSV outputs</w:t>
            </w:r>
          </w:p>
        </w:tc>
        <w:tc>
          <w:tcPr>
            <w:tcW w:type="dxa" w:w="4320"/>
            <w:tcMar>
              <w:top w:w="90" w:type="dxa"/>
              <w:start w:w="90" w:type="dxa"/>
              <w:bottom w:w="90" w:type="dxa"/>
              <w:end w:w="90" w:type="dxa"/>
            </w:tcMar>
            <w:vAlign w:val="center"/>
          </w:tcPr>
          <w:p>
            <w:pPr>
              <w:spacing w:after="20"/>
            </w:pPr>
            <w:r>
              <w:rPr>
                <w:sz w:val="12"/>
              </w:rPr>
              <w:t>Complementary filesystem/manifest visibility</w:t>
            </w:r>
          </w:p>
        </w:tc>
        <w:tc>
          <w:tcPr>
            <w:tcW w:type="dxa" w:w="1440"/>
            <w:tcMar>
              <w:top w:w="90" w:type="dxa"/>
              <w:start w:w="90" w:type="dxa"/>
              <w:bottom w:w="90" w:type="dxa"/>
              <w:end w:w="90" w:type="dxa"/>
            </w:tcMar>
            <w:vAlign w:val="center"/>
          </w:tcPr>
          <w:p>
            <w:pPr>
              <w:spacing w:after="20"/>
            </w:pPr>
            <w:r>
              <w:rPr>
                <w:sz w:val="12"/>
              </w:rPr>
              <w:t>Verified/limited</w:t>
            </w:r>
          </w:p>
        </w:tc>
      </w:tr>
      <w:tr>
        <w:trPr>
          <w:cantSplit/>
        </w:trPr>
        <w:tc>
          <w:tcPr>
            <w:tcW w:type="dxa" w:w="1008"/>
            <w:tcMar>
              <w:top w:w="90" w:type="dxa"/>
              <w:start w:w="90" w:type="dxa"/>
              <w:bottom w:w="90" w:type="dxa"/>
              <w:end w:w="90" w:type="dxa"/>
            </w:tcMar>
            <w:vAlign w:val="center"/>
            <w:shd w:fill="F3F6F8"/>
          </w:tcPr>
          <w:p>
            <w:pPr>
              <w:spacing w:after="20"/>
            </w:pPr>
            <w:r>
              <w:rPr>
                <w:sz w:val="12"/>
              </w:rPr>
              <w:t>EVD-016</w:t>
            </w:r>
          </w:p>
        </w:tc>
        <w:tc>
          <w:tcPr>
            <w:tcW w:type="dxa" w:w="2592"/>
            <w:tcMar>
              <w:top w:w="90" w:type="dxa"/>
              <w:start w:w="90" w:type="dxa"/>
              <w:bottom w:w="90" w:type="dxa"/>
              <w:end w:w="90" w:type="dxa"/>
            </w:tcMar>
            <w:vAlign w:val="center"/>
            <w:shd w:fill="F3F6F8"/>
          </w:tcPr>
          <w:p>
            <w:pPr>
              <w:spacing w:after="20"/>
            </w:pPr>
            <w:r>
              <w:rPr>
                <w:sz w:val="12"/>
              </w:rPr>
              <w:t>Gitleaks outputs</w:t>
            </w:r>
          </w:p>
        </w:tc>
        <w:tc>
          <w:tcPr>
            <w:tcW w:type="dxa" w:w="4320"/>
            <w:tcMar>
              <w:top w:w="90" w:type="dxa"/>
              <w:start w:w="90" w:type="dxa"/>
              <w:bottom w:w="90" w:type="dxa"/>
              <w:end w:w="90" w:type="dxa"/>
            </w:tcMar>
            <w:vAlign w:val="center"/>
            <w:shd w:fill="F3F6F8"/>
          </w:tcPr>
          <w:p>
            <w:pPr>
              <w:spacing w:after="20"/>
            </w:pPr>
            <w:r>
              <w:rPr>
                <w:sz w:val="12"/>
              </w:rPr>
              <w:t>Telemetry identifiers/high-entropy bundle signals; values redacted</w:t>
            </w:r>
          </w:p>
        </w:tc>
        <w:tc>
          <w:tcPr>
            <w:tcW w:type="dxa" w:w="1440"/>
            <w:tcMar>
              <w:top w:w="90" w:type="dxa"/>
              <w:start w:w="90" w:type="dxa"/>
              <w:bottom w:w="90" w:type="dxa"/>
              <w:end w:w="90" w:type="dxa"/>
            </w:tcMar>
            <w:vAlign w:val="center"/>
            <w:shd w:fill="F3F6F8"/>
          </w:tcPr>
          <w:p>
            <w:pPr>
              <w:spacing w:after="20"/>
            </w:pPr>
            <w:r>
              <w:rPr>
                <w:sz w:val="12"/>
              </w:rPr>
              <w:t>Verified/triaged</w:t>
            </w:r>
          </w:p>
        </w:tc>
      </w:tr>
      <w:tr>
        <w:trPr>
          <w:cantSplit/>
        </w:trPr>
        <w:tc>
          <w:tcPr>
            <w:tcW w:type="dxa" w:w="1008"/>
            <w:tcMar>
              <w:top w:w="90" w:type="dxa"/>
              <w:start w:w="90" w:type="dxa"/>
              <w:bottom w:w="90" w:type="dxa"/>
              <w:end w:w="90" w:type="dxa"/>
            </w:tcMar>
            <w:vAlign w:val="center"/>
          </w:tcPr>
          <w:p>
            <w:pPr>
              <w:spacing w:after="20"/>
            </w:pPr>
            <w:r>
              <w:rPr>
                <w:sz w:val="12"/>
              </w:rPr>
              <w:t>EVD-017</w:t>
            </w:r>
          </w:p>
        </w:tc>
        <w:tc>
          <w:tcPr>
            <w:tcW w:type="dxa" w:w="2592"/>
            <w:tcMar>
              <w:top w:w="90" w:type="dxa"/>
              <w:start w:w="90" w:type="dxa"/>
              <w:bottom w:w="90" w:type="dxa"/>
              <w:end w:w="90" w:type="dxa"/>
            </w:tcMar>
            <w:vAlign w:val="center"/>
          </w:tcPr>
          <w:p>
            <w:pPr>
              <w:spacing w:after="20"/>
            </w:pPr>
            <w:r>
              <w:rPr>
                <w:sz w:val="12"/>
              </w:rPr>
              <w:t>Primary frameworks/regulatory sources</w:t>
            </w:r>
          </w:p>
        </w:tc>
        <w:tc>
          <w:tcPr>
            <w:tcW w:type="dxa" w:w="4320"/>
            <w:tcMar>
              <w:top w:w="90" w:type="dxa"/>
              <w:start w:w="90" w:type="dxa"/>
              <w:bottom w:w="90" w:type="dxa"/>
              <w:end w:w="90" w:type="dxa"/>
            </w:tcMar>
            <w:vAlign w:val="center"/>
          </w:tcPr>
          <w:p>
            <w:pPr>
              <w:spacing w:after="20"/>
            </w:pPr>
            <w:r>
              <w:rPr>
                <w:sz w:val="12"/>
              </w:rPr>
              <w:t>Current mapping sources at assessment date</w:t>
            </w:r>
          </w:p>
        </w:tc>
        <w:tc>
          <w:tcPr>
            <w:tcW w:type="dxa" w:w="1440"/>
            <w:tcMar>
              <w:top w:w="90" w:type="dxa"/>
              <w:start w:w="90" w:type="dxa"/>
              <w:bottom w:w="90" w:type="dxa"/>
              <w:end w:w="90" w:type="dxa"/>
            </w:tcMar>
            <w:vAlign w:val="center"/>
          </w:tcPr>
          <w:p>
            <w:pPr>
              <w:spacing w:after="20"/>
            </w:pPr>
            <w:r>
              <w:rPr>
                <w:sz w:val="12"/>
              </w:rPr>
              <w:t>Verified</w:t>
            </w:r>
          </w:p>
        </w:tc>
      </w:tr>
      <w:tr>
        <w:trPr>
          <w:cantSplit/>
        </w:trPr>
        <w:tc>
          <w:tcPr>
            <w:tcW w:type="dxa" w:w="1008"/>
            <w:tcMar>
              <w:top w:w="90" w:type="dxa"/>
              <w:start w:w="90" w:type="dxa"/>
              <w:bottom w:w="90" w:type="dxa"/>
              <w:end w:w="90" w:type="dxa"/>
            </w:tcMar>
            <w:vAlign w:val="center"/>
            <w:shd w:fill="F3F6F8"/>
          </w:tcPr>
          <w:p>
            <w:pPr>
              <w:spacing w:after="20"/>
            </w:pPr>
            <w:r>
              <w:rPr>
                <w:sz w:val="12"/>
              </w:rPr>
              <w:t>EVD-018</w:t>
            </w:r>
          </w:p>
        </w:tc>
        <w:tc>
          <w:tcPr>
            <w:tcW w:type="dxa" w:w="2592"/>
            <w:tcMar>
              <w:top w:w="90" w:type="dxa"/>
              <w:start w:w="90" w:type="dxa"/>
              <w:bottom w:w="90" w:type="dxa"/>
              <w:end w:w="90" w:type="dxa"/>
            </w:tcMar>
            <w:vAlign w:val="center"/>
            <w:shd w:fill="F3F6F8"/>
          </w:tcPr>
          <w:p>
            <w:pPr>
              <w:spacing w:after="20"/>
            </w:pPr>
            <w:r>
              <w:rPr>
                <w:sz w:val="12"/>
              </w:rPr>
              <w:t>Runtime readiness record</w:t>
            </w:r>
          </w:p>
        </w:tc>
        <w:tc>
          <w:tcPr>
            <w:tcW w:type="dxa" w:w="4320"/>
            <w:tcMar>
              <w:top w:w="90" w:type="dxa"/>
              <w:start w:w="90" w:type="dxa"/>
              <w:bottom w:w="90" w:type="dxa"/>
              <w:end w:w="90" w:type="dxa"/>
            </w:tcMar>
            <w:vAlign w:val="center"/>
            <w:shd w:fill="F3F6F8"/>
          </w:tcPr>
          <w:p>
            <w:pPr>
              <w:spacing w:after="20"/>
            </w:pPr>
            <w:r>
              <w:rPr>
                <w:sz w:val="12"/>
              </w:rPr>
              <w:t>No disposable representative host; no activation</w:t>
            </w:r>
          </w:p>
        </w:tc>
        <w:tc>
          <w:tcPr>
            <w:tcW w:type="dxa" w:w="1440"/>
            <w:tcMar>
              <w:top w:w="90" w:type="dxa"/>
              <w:start w:w="90" w:type="dxa"/>
              <w:bottom w:w="90" w:type="dxa"/>
              <w:end w:w="90" w:type="dxa"/>
            </w:tcMar>
            <w:vAlign w:val="center"/>
            <w:shd w:fill="F3F6F8"/>
          </w:tcPr>
          <w:p>
            <w:pPr>
              <w:spacing w:after="20"/>
            </w:pPr>
            <w:r>
              <w:rPr>
                <w:sz w:val="12"/>
              </w:rPr>
              <w:t>Blocked</w:t>
            </w:r>
          </w:p>
        </w:tc>
      </w:tr>
      <w:tr>
        <w:trPr>
          <w:cantSplit/>
        </w:trPr>
        <w:tc>
          <w:tcPr>
            <w:tcW w:type="dxa" w:w="1008"/>
            <w:tcMar>
              <w:top w:w="90" w:type="dxa"/>
              <w:start w:w="90" w:type="dxa"/>
              <w:bottom w:w="90" w:type="dxa"/>
              <w:end w:w="90" w:type="dxa"/>
            </w:tcMar>
            <w:vAlign w:val="center"/>
          </w:tcPr>
          <w:p>
            <w:pPr>
              <w:spacing w:after="20"/>
            </w:pPr>
            <w:r>
              <w:rPr>
                <w:sz w:val="12"/>
              </w:rPr>
              <w:t>EVD-019</w:t>
            </w:r>
          </w:p>
        </w:tc>
        <w:tc>
          <w:tcPr>
            <w:tcW w:type="dxa" w:w="2592"/>
            <w:tcMar>
              <w:top w:w="90" w:type="dxa"/>
              <w:start w:w="90" w:type="dxa"/>
              <w:bottom w:w="90" w:type="dxa"/>
              <w:end w:w="90" w:type="dxa"/>
            </w:tcMar>
            <w:vAlign w:val="center"/>
          </w:tcPr>
          <w:p>
            <w:pPr>
              <w:spacing w:after="20"/>
            </w:pPr>
            <w:r>
              <w:rPr>
                <w:sz w:val="12"/>
              </w:rPr>
              <w:t>Citation-correction provenance</w:t>
            </w:r>
          </w:p>
        </w:tc>
        <w:tc>
          <w:tcPr>
            <w:tcW w:type="dxa" w:w="4320"/>
            <w:tcMar>
              <w:top w:w="90" w:type="dxa"/>
              <w:start w:w="90" w:type="dxa"/>
              <w:bottom w:w="90" w:type="dxa"/>
              <w:end w:w="90" w:type="dxa"/>
            </w:tcMar>
            <w:vAlign w:val="center"/>
          </w:tcPr>
          <w:p>
            <w:pPr>
              <w:spacing w:after="20"/>
            </w:pPr>
            <w:r>
              <w:rPr>
                <w:sz w:val="12"/>
              </w:rPr>
              <w:t>Four current Microsoft Learn paths; v1.0 evidence reused without re-collection</w:t>
            </w:r>
          </w:p>
        </w:tc>
        <w:tc>
          <w:tcPr>
            <w:tcW w:type="dxa" w:w="1440"/>
            <w:tcMar>
              <w:top w:w="90" w:type="dxa"/>
              <w:start w:w="90" w:type="dxa"/>
              <w:bottom w:w="90" w:type="dxa"/>
              <w:end w:w="90" w:type="dxa"/>
            </w:tcMar>
            <w:vAlign w:val="center"/>
          </w:tcPr>
          <w:p>
            <w:pPr>
              <w:spacing w:after="20"/>
            </w:pPr>
            <w:r>
              <w:rPr>
                <w:sz w:val="12"/>
              </w:rPr>
              <w:t>Verified</w:t>
            </w:r>
          </w:p>
        </w:tc>
      </w:tr>
    </w:tbl>
    <w:p>
      <w:pPr>
        <w:spacing w:after="40"/>
      </w:pPr>
    </w:p>
    <w:p>
      <w:pPr>
        <w:pStyle w:val="Heading1"/>
      </w:pPr>
      <w:r>
        <w:t>References</w:t>
      </w:r>
    </w:p>
    <w:tbl>
      <w:tblPr>
        <w:tblStyle w:val="TableGrid"/>
        <w:tblW w:type="auto" w:w="0"/>
        <w:tblLayout w:type="fixed"/>
        <w:tblLook w:firstColumn="1" w:firstRow="1" w:lastColumn="0" w:lastRow="0" w:noHBand="0" w:noVBand="1" w:val="04A0"/>
      </w:tblPr>
      <w:tblGrid>
        <w:gridCol w:w="1152"/>
        <w:gridCol w:w="3888"/>
        <w:gridCol w:w="4320"/>
      </w:tblGrid>
      <w:tr>
        <w:trPr>
          <w:tblHeader/>
        </w:trPr>
        <w:tc>
          <w:tcPr>
            <w:tcW w:type="dxa" w:w="3120"/>
            <w:shd w:fill="17365D"/>
            <w:tcMar>
              <w:top w:w="90" w:type="dxa"/>
              <w:start w:w="90" w:type="dxa"/>
              <w:bottom w:w="90" w:type="dxa"/>
              <w:end w:w="90" w:type="dxa"/>
            </w:tcMar>
          </w:tcPr>
          <w:p>
            <w:r>
              <w:rPr>
                <w:b/>
                <w:color w:val="FFFFFF"/>
                <w:sz w:val="14"/>
              </w:rPr>
              <w:t>ID</w:t>
            </w:r>
          </w:p>
        </w:tc>
        <w:tc>
          <w:tcPr>
            <w:tcW w:type="dxa" w:w="3120"/>
            <w:shd w:fill="17365D"/>
            <w:tcMar>
              <w:top w:w="90" w:type="dxa"/>
              <w:start w:w="90" w:type="dxa"/>
              <w:bottom w:w="90" w:type="dxa"/>
              <w:end w:w="90" w:type="dxa"/>
            </w:tcMar>
          </w:tcPr>
          <w:p>
            <w:r>
              <w:rPr>
                <w:b/>
                <w:color w:val="FFFFFF"/>
                <w:sz w:val="14"/>
              </w:rPr>
              <w:t>Source</w:t>
            </w:r>
          </w:p>
        </w:tc>
        <w:tc>
          <w:tcPr>
            <w:tcW w:type="dxa" w:w="3120"/>
            <w:shd w:fill="17365D"/>
            <w:tcMar>
              <w:top w:w="90" w:type="dxa"/>
              <w:start w:w="90" w:type="dxa"/>
              <w:bottom w:w="90" w:type="dxa"/>
              <w:end w:w="90" w:type="dxa"/>
            </w:tcMar>
          </w:tcPr>
          <w:p>
            <w:r>
              <w:rPr>
                <w:b/>
                <w:color w:val="FFFFFF"/>
                <w:sz w:val="14"/>
              </w:rPr>
              <w:t>External link</w:t>
            </w:r>
          </w:p>
        </w:tc>
      </w:tr>
      <w:tr>
        <w:trPr>
          <w:cantSplit/>
        </w:trPr>
        <w:tc>
          <w:tcPr>
            <w:tcW w:type="dxa" w:w="1152"/>
            <w:tcMar>
              <w:top w:w="90" w:type="dxa"/>
              <w:start w:w="90" w:type="dxa"/>
              <w:bottom w:w="90" w:type="dxa"/>
              <w:end w:w="90" w:type="dxa"/>
            </w:tcMar>
          </w:tcPr>
          <w:p>
            <w:bookmarkStart w:id="100" w:name="REF_001"/>
            <w:r>
              <w:rPr>
                <w:sz w:val="12"/>
              </w:rPr>
              <w:t>REF-001</w:t>
            </w:r>
            <w:bookmarkEnd w:id="100"/>
          </w:p>
        </w:tc>
        <w:tc>
          <w:tcPr>
            <w:tcW w:type="dxa" w:w="3888"/>
            <w:tcMar>
              <w:top w:w="90" w:type="dxa"/>
              <w:start w:w="90" w:type="dxa"/>
              <w:bottom w:w="90" w:type="dxa"/>
              <w:end w:w="90" w:type="dxa"/>
            </w:tcMar>
          </w:tcPr>
          <w:p>
            <w:r>
              <w:rPr>
                <w:sz w:val="12"/>
              </w:rPr>
            </w:r>
            <w:hyperlink r:id="rId12">
              <w:r>
                <w:rPr>
                  <w:color w:val="0563C1"/>
                  <w:u w:val="single"/>
                </w:rPr>
                <w:t>Visual Studio Marketplace: PostgreSQL</w:t>
              </w:r>
            </w:hyperlink>
          </w:p>
        </w:tc>
        <w:tc>
          <w:tcPr>
            <w:tcW w:type="dxa" w:w="4320"/>
            <w:tcMar>
              <w:top w:w="90" w:type="dxa"/>
              <w:start w:w="90" w:type="dxa"/>
              <w:bottom w:w="90" w:type="dxa"/>
              <w:end w:w="90" w:type="dxa"/>
            </w:tcMar>
          </w:tcPr>
          <w:p>
            <w:r>
              <w:rPr>
                <w:sz w:val="12"/>
              </w:rPr>
            </w:r>
            <w:hyperlink r:id="rId12">
              <w:r>
                <w:rPr>
                  <w:color w:val="0563C1"/>
                  <w:u w:val="single"/>
                </w:rPr>
                <w:t>Open official source</w:t>
              </w:r>
            </w:hyperlink>
          </w:p>
        </w:tc>
      </w:tr>
      <w:tr>
        <w:trPr>
          <w:cantSplit/>
        </w:trPr>
        <w:tc>
          <w:tcPr>
            <w:tcW w:type="dxa" w:w="1152"/>
            <w:tcMar>
              <w:top w:w="90" w:type="dxa"/>
              <w:start w:w="90" w:type="dxa"/>
              <w:bottom w:w="90" w:type="dxa"/>
              <w:end w:w="90" w:type="dxa"/>
            </w:tcMar>
          </w:tcPr>
          <w:p>
            <w:bookmarkStart w:id="101" w:name="REF_002"/>
            <w:r>
              <w:rPr>
                <w:sz w:val="12"/>
              </w:rPr>
              <w:t>REF-002</w:t>
            </w:r>
            <w:bookmarkEnd w:id="101"/>
          </w:p>
        </w:tc>
        <w:tc>
          <w:tcPr>
            <w:tcW w:type="dxa" w:w="3888"/>
            <w:tcMar>
              <w:top w:w="90" w:type="dxa"/>
              <w:start w:w="90" w:type="dxa"/>
              <w:bottom w:w="90" w:type="dxa"/>
              <w:end w:w="90" w:type="dxa"/>
            </w:tcMar>
          </w:tcPr>
          <w:p>
            <w:r>
              <w:rPr>
                <w:sz w:val="12"/>
              </w:rPr>
            </w:r>
            <w:hyperlink r:id="rId13">
              <w:r>
                <w:rPr>
                  <w:color w:val="0563C1"/>
                  <w:u w:val="single"/>
                </w:rPr>
                <w:t>Visual Studio Marketplace Gallery metadata API</w:t>
              </w:r>
            </w:hyperlink>
          </w:p>
        </w:tc>
        <w:tc>
          <w:tcPr>
            <w:tcW w:type="dxa" w:w="4320"/>
            <w:tcMar>
              <w:top w:w="90" w:type="dxa"/>
              <w:start w:w="90" w:type="dxa"/>
              <w:bottom w:w="90" w:type="dxa"/>
              <w:end w:w="90" w:type="dxa"/>
            </w:tcMar>
          </w:tcPr>
          <w:p>
            <w:r>
              <w:rPr>
                <w:sz w:val="12"/>
              </w:rPr>
            </w:r>
            <w:hyperlink r:id="rId13">
              <w:r>
                <w:rPr>
                  <w:color w:val="0563C1"/>
                  <w:u w:val="single"/>
                </w:rPr>
                <w:t>Open official source</w:t>
              </w:r>
            </w:hyperlink>
          </w:p>
        </w:tc>
      </w:tr>
      <w:tr>
        <w:trPr>
          <w:cantSplit/>
        </w:trPr>
        <w:tc>
          <w:tcPr>
            <w:tcW w:type="dxa" w:w="1152"/>
            <w:tcMar>
              <w:top w:w="90" w:type="dxa"/>
              <w:start w:w="90" w:type="dxa"/>
              <w:bottom w:w="90" w:type="dxa"/>
              <w:end w:w="90" w:type="dxa"/>
            </w:tcMar>
          </w:tcPr>
          <w:p>
            <w:bookmarkStart w:id="102" w:name="REF_003"/>
            <w:r>
              <w:rPr>
                <w:sz w:val="12"/>
              </w:rPr>
              <w:t>REF-003</w:t>
            </w:r>
            <w:bookmarkEnd w:id="102"/>
          </w:p>
        </w:tc>
        <w:tc>
          <w:tcPr>
            <w:tcW w:type="dxa" w:w="3888"/>
            <w:tcMar>
              <w:top w:w="90" w:type="dxa"/>
              <w:start w:w="90" w:type="dxa"/>
              <w:bottom w:w="90" w:type="dxa"/>
              <w:end w:w="90" w:type="dxa"/>
            </w:tcMar>
          </w:tcPr>
          <w:p>
            <w:r>
              <w:rPr>
                <w:sz w:val="12"/>
              </w:rPr>
            </w:r>
            <w:hyperlink r:id="rId14">
              <w:r>
                <w:rPr>
                  <w:color w:val="0563C1"/>
                  <w:u w:val="single"/>
                </w:rPr>
                <w:t>Microsoft Learn: PostgreSQL extension overview</w:t>
              </w:r>
            </w:hyperlink>
          </w:p>
        </w:tc>
        <w:tc>
          <w:tcPr>
            <w:tcW w:type="dxa" w:w="4320"/>
            <w:tcMar>
              <w:top w:w="90" w:type="dxa"/>
              <w:start w:w="90" w:type="dxa"/>
              <w:bottom w:w="90" w:type="dxa"/>
              <w:end w:w="90" w:type="dxa"/>
            </w:tcMar>
          </w:tcPr>
          <w:p>
            <w:r>
              <w:rPr>
                <w:sz w:val="12"/>
              </w:rPr>
            </w:r>
            <w:hyperlink r:id="rId14">
              <w:r>
                <w:rPr>
                  <w:color w:val="0563C1"/>
                  <w:u w:val="single"/>
                </w:rPr>
                <w:t>Open official source</w:t>
              </w:r>
            </w:hyperlink>
          </w:p>
        </w:tc>
      </w:tr>
      <w:tr>
        <w:trPr>
          <w:cantSplit/>
        </w:trPr>
        <w:tc>
          <w:tcPr>
            <w:tcW w:type="dxa" w:w="1152"/>
            <w:tcMar>
              <w:top w:w="90" w:type="dxa"/>
              <w:start w:w="90" w:type="dxa"/>
              <w:bottom w:w="90" w:type="dxa"/>
              <w:end w:w="90" w:type="dxa"/>
            </w:tcMar>
          </w:tcPr>
          <w:p>
            <w:bookmarkStart w:id="103" w:name="REF_004"/>
            <w:r>
              <w:rPr>
                <w:sz w:val="12"/>
              </w:rPr>
              <w:t>REF-004</w:t>
            </w:r>
            <w:bookmarkEnd w:id="103"/>
          </w:p>
        </w:tc>
        <w:tc>
          <w:tcPr>
            <w:tcW w:type="dxa" w:w="3888"/>
            <w:tcMar>
              <w:top w:w="90" w:type="dxa"/>
              <w:start w:w="90" w:type="dxa"/>
              <w:bottom w:w="90" w:type="dxa"/>
              <w:end w:w="90" w:type="dxa"/>
            </w:tcMar>
          </w:tcPr>
          <w:p>
            <w:r>
              <w:rPr>
                <w:sz w:val="12"/>
              </w:rPr>
            </w:r>
            <w:hyperlink r:id="rId15">
              <w:r>
                <w:rPr>
                  <w:color w:val="0563C1"/>
                  <w:u w:val="single"/>
                </w:rPr>
                <w:t>Microsoft Learn: Connect to PostgreSQL</w:t>
              </w:r>
            </w:hyperlink>
          </w:p>
        </w:tc>
        <w:tc>
          <w:tcPr>
            <w:tcW w:type="dxa" w:w="4320"/>
            <w:tcMar>
              <w:top w:w="90" w:type="dxa"/>
              <w:start w:w="90" w:type="dxa"/>
              <w:bottom w:w="90" w:type="dxa"/>
              <w:end w:w="90" w:type="dxa"/>
            </w:tcMar>
          </w:tcPr>
          <w:p>
            <w:r>
              <w:rPr>
                <w:sz w:val="12"/>
              </w:rPr>
            </w:r>
            <w:hyperlink r:id="rId15">
              <w:r>
                <w:rPr>
                  <w:color w:val="0563C1"/>
                  <w:u w:val="single"/>
                </w:rPr>
                <w:t>Open official source</w:t>
              </w:r>
            </w:hyperlink>
          </w:p>
        </w:tc>
      </w:tr>
      <w:tr>
        <w:trPr>
          <w:cantSplit/>
        </w:trPr>
        <w:tc>
          <w:tcPr>
            <w:tcW w:type="dxa" w:w="1152"/>
            <w:tcMar>
              <w:top w:w="90" w:type="dxa"/>
              <w:start w:w="90" w:type="dxa"/>
              <w:bottom w:w="90" w:type="dxa"/>
              <w:end w:w="90" w:type="dxa"/>
            </w:tcMar>
          </w:tcPr>
          <w:p>
            <w:bookmarkStart w:id="104" w:name="REF_005"/>
            <w:r>
              <w:rPr>
                <w:sz w:val="12"/>
              </w:rPr>
              <w:t>REF-005</w:t>
            </w:r>
            <w:bookmarkEnd w:id="104"/>
          </w:p>
        </w:tc>
        <w:tc>
          <w:tcPr>
            <w:tcW w:type="dxa" w:w="3888"/>
            <w:tcMar>
              <w:top w:w="90" w:type="dxa"/>
              <w:start w:w="90" w:type="dxa"/>
              <w:bottom w:w="90" w:type="dxa"/>
              <w:end w:w="90" w:type="dxa"/>
            </w:tcMar>
          </w:tcPr>
          <w:p>
            <w:r>
              <w:rPr>
                <w:sz w:val="12"/>
              </w:rPr>
            </w:r>
            <w:hyperlink r:id="rId16">
              <w:r>
                <w:rPr>
                  <w:color w:val="0563C1"/>
                  <w:u w:val="single"/>
                </w:rPr>
                <w:t>Microsoft Learn: GitHub Copilot integration</w:t>
              </w:r>
            </w:hyperlink>
          </w:p>
        </w:tc>
        <w:tc>
          <w:tcPr>
            <w:tcW w:type="dxa" w:w="4320"/>
            <w:tcMar>
              <w:top w:w="90" w:type="dxa"/>
              <w:start w:w="90" w:type="dxa"/>
              <w:bottom w:w="90" w:type="dxa"/>
              <w:end w:w="90" w:type="dxa"/>
            </w:tcMar>
          </w:tcPr>
          <w:p>
            <w:r>
              <w:rPr>
                <w:sz w:val="12"/>
              </w:rPr>
            </w:r>
            <w:hyperlink r:id="rId16">
              <w:r>
                <w:rPr>
                  <w:color w:val="0563C1"/>
                  <w:u w:val="single"/>
                </w:rPr>
                <w:t>Open official source</w:t>
              </w:r>
            </w:hyperlink>
          </w:p>
        </w:tc>
      </w:tr>
      <w:tr>
        <w:trPr>
          <w:cantSplit/>
        </w:trPr>
        <w:tc>
          <w:tcPr>
            <w:tcW w:type="dxa" w:w="1152"/>
            <w:tcMar>
              <w:top w:w="90" w:type="dxa"/>
              <w:start w:w="90" w:type="dxa"/>
              <w:bottom w:w="90" w:type="dxa"/>
              <w:end w:w="90" w:type="dxa"/>
            </w:tcMar>
          </w:tcPr>
          <w:p>
            <w:bookmarkStart w:id="105" w:name="REF_006"/>
            <w:r>
              <w:rPr>
                <w:sz w:val="12"/>
              </w:rPr>
              <w:t>REF-006</w:t>
            </w:r>
            <w:bookmarkEnd w:id="105"/>
          </w:p>
        </w:tc>
        <w:tc>
          <w:tcPr>
            <w:tcW w:type="dxa" w:w="3888"/>
            <w:tcMar>
              <w:top w:w="90" w:type="dxa"/>
              <w:start w:w="90" w:type="dxa"/>
              <w:bottom w:w="90" w:type="dxa"/>
              <w:end w:w="90" w:type="dxa"/>
            </w:tcMar>
          </w:tcPr>
          <w:p>
            <w:r>
              <w:rPr>
                <w:sz w:val="12"/>
              </w:rPr>
            </w:r>
            <w:hyperlink r:id="rId17">
              <w:r>
                <w:rPr>
                  <w:color w:val="0563C1"/>
                  <w:u w:val="single"/>
                </w:rPr>
                <w:t>Microsoft Learn: Agent mode</w:t>
              </w:r>
            </w:hyperlink>
          </w:p>
        </w:tc>
        <w:tc>
          <w:tcPr>
            <w:tcW w:type="dxa" w:w="4320"/>
            <w:tcMar>
              <w:top w:w="90" w:type="dxa"/>
              <w:start w:w="90" w:type="dxa"/>
              <w:bottom w:w="90" w:type="dxa"/>
              <w:end w:w="90" w:type="dxa"/>
            </w:tcMar>
          </w:tcPr>
          <w:p>
            <w:r>
              <w:rPr>
                <w:sz w:val="12"/>
              </w:rPr>
            </w:r>
            <w:hyperlink r:id="rId17">
              <w:r>
                <w:rPr>
                  <w:color w:val="0563C1"/>
                  <w:u w:val="single"/>
                </w:rPr>
                <w:t>Open official source</w:t>
              </w:r>
            </w:hyperlink>
          </w:p>
        </w:tc>
      </w:tr>
      <w:tr>
        <w:trPr>
          <w:cantSplit/>
        </w:trPr>
        <w:tc>
          <w:tcPr>
            <w:tcW w:type="dxa" w:w="1152"/>
            <w:tcMar>
              <w:top w:w="90" w:type="dxa"/>
              <w:start w:w="90" w:type="dxa"/>
              <w:bottom w:w="90" w:type="dxa"/>
              <w:end w:w="90" w:type="dxa"/>
            </w:tcMar>
          </w:tcPr>
          <w:p>
            <w:bookmarkStart w:id="106" w:name="REF_007"/>
            <w:r>
              <w:rPr>
                <w:sz w:val="12"/>
              </w:rPr>
              <w:t>REF-007</w:t>
            </w:r>
            <w:bookmarkEnd w:id="106"/>
          </w:p>
        </w:tc>
        <w:tc>
          <w:tcPr>
            <w:tcW w:type="dxa" w:w="3888"/>
            <w:tcMar>
              <w:top w:w="90" w:type="dxa"/>
              <w:start w:w="90" w:type="dxa"/>
              <w:bottom w:w="90" w:type="dxa"/>
              <w:end w:w="90" w:type="dxa"/>
            </w:tcMar>
          </w:tcPr>
          <w:p>
            <w:r>
              <w:rPr>
                <w:sz w:val="12"/>
              </w:rPr>
            </w:r>
            <w:hyperlink r:id="rId18">
              <w:r>
                <w:rPr>
                  <w:color w:val="0563C1"/>
                  <w:u w:val="single"/>
                </w:rPr>
                <w:t>Microsoft Learn: PostgreSQL MCP server</w:t>
              </w:r>
            </w:hyperlink>
          </w:p>
        </w:tc>
        <w:tc>
          <w:tcPr>
            <w:tcW w:type="dxa" w:w="4320"/>
            <w:tcMar>
              <w:top w:w="90" w:type="dxa"/>
              <w:start w:w="90" w:type="dxa"/>
              <w:bottom w:w="90" w:type="dxa"/>
              <w:end w:w="90" w:type="dxa"/>
            </w:tcMar>
          </w:tcPr>
          <w:p>
            <w:r>
              <w:rPr>
                <w:sz w:val="12"/>
              </w:rPr>
            </w:r>
            <w:hyperlink r:id="rId18">
              <w:r>
                <w:rPr>
                  <w:color w:val="0563C1"/>
                  <w:u w:val="single"/>
                </w:rPr>
                <w:t>Open official source</w:t>
              </w:r>
            </w:hyperlink>
          </w:p>
        </w:tc>
      </w:tr>
      <w:tr>
        <w:trPr>
          <w:cantSplit/>
        </w:trPr>
        <w:tc>
          <w:tcPr>
            <w:tcW w:type="dxa" w:w="1152"/>
            <w:tcMar>
              <w:top w:w="90" w:type="dxa"/>
              <w:start w:w="90" w:type="dxa"/>
              <w:bottom w:w="90" w:type="dxa"/>
              <w:end w:w="90" w:type="dxa"/>
            </w:tcMar>
          </w:tcPr>
          <w:p>
            <w:bookmarkStart w:id="107" w:name="REF_008"/>
            <w:r>
              <w:rPr>
                <w:sz w:val="12"/>
              </w:rPr>
              <w:t>REF-008</w:t>
            </w:r>
            <w:bookmarkEnd w:id="107"/>
          </w:p>
        </w:tc>
        <w:tc>
          <w:tcPr>
            <w:tcW w:type="dxa" w:w="3888"/>
            <w:tcMar>
              <w:top w:w="90" w:type="dxa"/>
              <w:start w:w="90" w:type="dxa"/>
              <w:bottom w:w="90" w:type="dxa"/>
              <w:end w:w="90" w:type="dxa"/>
            </w:tcMar>
          </w:tcPr>
          <w:p>
            <w:r>
              <w:rPr>
                <w:sz w:val="12"/>
              </w:rPr>
            </w:r>
            <w:hyperlink r:id="rId19">
              <w:r>
                <w:rPr>
                  <w:color w:val="0563C1"/>
                  <w:u w:val="single"/>
                </w:rPr>
                <w:t>Microsoft vscode-pgsql repository</w:t>
              </w:r>
            </w:hyperlink>
          </w:p>
        </w:tc>
        <w:tc>
          <w:tcPr>
            <w:tcW w:type="dxa" w:w="4320"/>
            <w:tcMar>
              <w:top w:w="90" w:type="dxa"/>
              <w:start w:w="90" w:type="dxa"/>
              <w:bottom w:w="90" w:type="dxa"/>
              <w:end w:w="90" w:type="dxa"/>
            </w:tcMar>
          </w:tcPr>
          <w:p>
            <w:r>
              <w:rPr>
                <w:sz w:val="12"/>
              </w:rPr>
            </w:r>
            <w:hyperlink r:id="rId19">
              <w:r>
                <w:rPr>
                  <w:color w:val="0563C1"/>
                  <w:u w:val="single"/>
                </w:rPr>
                <w:t>Open official source</w:t>
              </w:r>
            </w:hyperlink>
          </w:p>
        </w:tc>
      </w:tr>
      <w:tr>
        <w:trPr>
          <w:cantSplit/>
        </w:trPr>
        <w:tc>
          <w:tcPr>
            <w:tcW w:type="dxa" w:w="1152"/>
            <w:tcMar>
              <w:top w:w="90" w:type="dxa"/>
              <w:start w:w="90" w:type="dxa"/>
              <w:bottom w:w="90" w:type="dxa"/>
              <w:end w:w="90" w:type="dxa"/>
            </w:tcMar>
          </w:tcPr>
          <w:p>
            <w:bookmarkStart w:id="108" w:name="REF_009"/>
            <w:r>
              <w:rPr>
                <w:sz w:val="12"/>
              </w:rPr>
              <w:t>REF-009</w:t>
            </w:r>
            <w:bookmarkEnd w:id="108"/>
          </w:p>
        </w:tc>
        <w:tc>
          <w:tcPr>
            <w:tcW w:type="dxa" w:w="3888"/>
            <w:tcMar>
              <w:top w:w="90" w:type="dxa"/>
              <w:start w:w="90" w:type="dxa"/>
              <w:bottom w:w="90" w:type="dxa"/>
              <w:end w:w="90" w:type="dxa"/>
            </w:tcMar>
          </w:tcPr>
          <w:p>
            <w:r>
              <w:rPr>
                <w:sz w:val="12"/>
              </w:rPr>
            </w:r>
            <w:hyperlink r:id="rId20">
              <w:r>
                <w:rPr>
                  <w:color w:val="0563C1"/>
                  <w:u w:val="single"/>
                </w:rPr>
                <w:t>Microsoft Privacy Statement</w:t>
              </w:r>
            </w:hyperlink>
          </w:p>
        </w:tc>
        <w:tc>
          <w:tcPr>
            <w:tcW w:type="dxa" w:w="4320"/>
            <w:tcMar>
              <w:top w:w="90" w:type="dxa"/>
              <w:start w:w="90" w:type="dxa"/>
              <w:bottom w:w="90" w:type="dxa"/>
              <w:end w:w="90" w:type="dxa"/>
            </w:tcMar>
          </w:tcPr>
          <w:p>
            <w:r>
              <w:rPr>
                <w:sz w:val="12"/>
              </w:rPr>
            </w:r>
            <w:hyperlink r:id="rId20">
              <w:r>
                <w:rPr>
                  <w:color w:val="0563C1"/>
                  <w:u w:val="single"/>
                </w:rPr>
                <w:t>Open official source</w:t>
              </w:r>
            </w:hyperlink>
          </w:p>
        </w:tc>
      </w:tr>
      <w:tr>
        <w:trPr>
          <w:cantSplit/>
        </w:trPr>
        <w:tc>
          <w:tcPr>
            <w:tcW w:type="dxa" w:w="1152"/>
            <w:tcMar>
              <w:top w:w="90" w:type="dxa"/>
              <w:start w:w="90" w:type="dxa"/>
              <w:bottom w:w="90" w:type="dxa"/>
              <w:end w:w="90" w:type="dxa"/>
            </w:tcMar>
          </w:tcPr>
          <w:p>
            <w:bookmarkStart w:id="109" w:name="REF_010"/>
            <w:r>
              <w:rPr>
                <w:sz w:val="12"/>
              </w:rPr>
              <w:t>REF-010</w:t>
            </w:r>
            <w:bookmarkEnd w:id="109"/>
          </w:p>
        </w:tc>
        <w:tc>
          <w:tcPr>
            <w:tcW w:type="dxa" w:w="3888"/>
            <w:tcMar>
              <w:top w:w="90" w:type="dxa"/>
              <w:start w:w="90" w:type="dxa"/>
              <w:bottom w:w="90" w:type="dxa"/>
              <w:end w:w="90" w:type="dxa"/>
            </w:tcMar>
          </w:tcPr>
          <w:p>
            <w:r>
              <w:rPr>
                <w:sz w:val="12"/>
              </w:rPr>
            </w:r>
            <w:hyperlink r:id="rId21">
              <w:r>
                <w:rPr>
                  <w:color w:val="0563C1"/>
                  <w:u w:val="single"/>
                </w:rPr>
                <w:t>Microsoft Security Response Center</w:t>
              </w:r>
            </w:hyperlink>
          </w:p>
        </w:tc>
        <w:tc>
          <w:tcPr>
            <w:tcW w:type="dxa" w:w="4320"/>
            <w:tcMar>
              <w:top w:w="90" w:type="dxa"/>
              <w:start w:w="90" w:type="dxa"/>
              <w:bottom w:w="90" w:type="dxa"/>
              <w:end w:w="90" w:type="dxa"/>
            </w:tcMar>
          </w:tcPr>
          <w:p>
            <w:r>
              <w:rPr>
                <w:sz w:val="12"/>
              </w:rPr>
            </w:r>
            <w:hyperlink r:id="rId21">
              <w:r>
                <w:rPr>
                  <w:color w:val="0563C1"/>
                  <w:u w:val="single"/>
                </w:rPr>
                <w:t>Open official source</w:t>
              </w:r>
            </w:hyperlink>
          </w:p>
        </w:tc>
      </w:tr>
      <w:tr>
        <w:trPr>
          <w:cantSplit/>
        </w:trPr>
        <w:tc>
          <w:tcPr>
            <w:tcW w:type="dxa" w:w="1152"/>
            <w:tcMar>
              <w:top w:w="90" w:type="dxa"/>
              <w:start w:w="90" w:type="dxa"/>
              <w:bottom w:w="90" w:type="dxa"/>
              <w:end w:w="90" w:type="dxa"/>
            </w:tcMar>
          </w:tcPr>
          <w:p>
            <w:bookmarkStart w:id="110" w:name="REF_011"/>
            <w:r>
              <w:rPr>
                <w:sz w:val="12"/>
              </w:rPr>
              <w:t>REF-011</w:t>
            </w:r>
            <w:bookmarkEnd w:id="110"/>
          </w:p>
        </w:tc>
        <w:tc>
          <w:tcPr>
            <w:tcW w:type="dxa" w:w="3888"/>
            <w:tcMar>
              <w:top w:w="90" w:type="dxa"/>
              <w:start w:w="90" w:type="dxa"/>
              <w:bottom w:w="90" w:type="dxa"/>
              <w:end w:w="90" w:type="dxa"/>
            </w:tcMar>
          </w:tcPr>
          <w:p>
            <w:r>
              <w:rPr>
                <w:sz w:val="12"/>
              </w:rPr>
            </w:r>
            <w:hyperlink r:id="rId22">
              <w:r>
                <w:rPr>
                  <w:color w:val="0563C1"/>
                  <w:u w:val="single"/>
                </w:rPr>
                <w:t>GitHub advisory GHSA-jpw9-pfvf-9f58</w:t>
              </w:r>
            </w:hyperlink>
          </w:p>
        </w:tc>
        <w:tc>
          <w:tcPr>
            <w:tcW w:type="dxa" w:w="4320"/>
            <w:tcMar>
              <w:top w:w="90" w:type="dxa"/>
              <w:start w:w="90" w:type="dxa"/>
              <w:bottom w:w="90" w:type="dxa"/>
              <w:end w:w="90" w:type="dxa"/>
            </w:tcMar>
          </w:tcPr>
          <w:p>
            <w:r>
              <w:rPr>
                <w:sz w:val="12"/>
              </w:rPr>
            </w:r>
            <w:hyperlink r:id="rId22">
              <w:r>
                <w:rPr>
                  <w:color w:val="0563C1"/>
                  <w:u w:val="single"/>
                </w:rPr>
                <w:t>Open official source</w:t>
              </w:r>
            </w:hyperlink>
          </w:p>
        </w:tc>
      </w:tr>
      <w:tr>
        <w:trPr>
          <w:cantSplit/>
        </w:trPr>
        <w:tc>
          <w:tcPr>
            <w:tcW w:type="dxa" w:w="1152"/>
            <w:tcMar>
              <w:top w:w="90" w:type="dxa"/>
              <w:start w:w="90" w:type="dxa"/>
              <w:bottom w:w="90" w:type="dxa"/>
              <w:end w:w="90" w:type="dxa"/>
            </w:tcMar>
          </w:tcPr>
          <w:p>
            <w:bookmarkStart w:id="111" w:name="REF_012"/>
            <w:r>
              <w:rPr>
                <w:sz w:val="12"/>
              </w:rPr>
              <w:t>REF-012</w:t>
            </w:r>
            <w:bookmarkEnd w:id="111"/>
          </w:p>
        </w:tc>
        <w:tc>
          <w:tcPr>
            <w:tcW w:type="dxa" w:w="3888"/>
            <w:tcMar>
              <w:top w:w="90" w:type="dxa"/>
              <w:start w:w="90" w:type="dxa"/>
              <w:bottom w:w="90" w:type="dxa"/>
              <w:end w:w="90" w:type="dxa"/>
            </w:tcMar>
          </w:tcPr>
          <w:p>
            <w:r>
              <w:rPr>
                <w:sz w:val="12"/>
              </w:rPr>
            </w:r>
            <w:hyperlink r:id="rId23">
              <w:r>
                <w:rPr>
                  <w:color w:val="0563C1"/>
                  <w:u w:val="single"/>
                </w:rPr>
                <w:t>GitHub advisory GHSA-hvrp-rf83-w775</w:t>
              </w:r>
            </w:hyperlink>
          </w:p>
        </w:tc>
        <w:tc>
          <w:tcPr>
            <w:tcW w:type="dxa" w:w="4320"/>
            <w:tcMar>
              <w:top w:w="90" w:type="dxa"/>
              <w:start w:w="90" w:type="dxa"/>
              <w:bottom w:w="90" w:type="dxa"/>
              <w:end w:w="90" w:type="dxa"/>
            </w:tcMar>
          </w:tcPr>
          <w:p>
            <w:r>
              <w:rPr>
                <w:sz w:val="12"/>
              </w:rPr>
            </w:r>
            <w:hyperlink r:id="rId23">
              <w:r>
                <w:rPr>
                  <w:color w:val="0563C1"/>
                  <w:u w:val="single"/>
                </w:rPr>
                <w:t>Open official source</w:t>
              </w:r>
            </w:hyperlink>
          </w:p>
        </w:tc>
      </w:tr>
      <w:tr>
        <w:trPr>
          <w:cantSplit/>
        </w:trPr>
        <w:tc>
          <w:tcPr>
            <w:tcW w:type="dxa" w:w="1152"/>
            <w:tcMar>
              <w:top w:w="90" w:type="dxa"/>
              <w:start w:w="90" w:type="dxa"/>
              <w:bottom w:w="90" w:type="dxa"/>
              <w:end w:w="90" w:type="dxa"/>
            </w:tcMar>
          </w:tcPr>
          <w:p>
            <w:bookmarkStart w:id="112" w:name="REF_013"/>
            <w:r>
              <w:rPr>
                <w:sz w:val="12"/>
              </w:rPr>
              <w:t>REF-013</w:t>
            </w:r>
            <w:bookmarkEnd w:id="112"/>
          </w:p>
        </w:tc>
        <w:tc>
          <w:tcPr>
            <w:tcW w:type="dxa" w:w="3888"/>
            <w:tcMar>
              <w:top w:w="90" w:type="dxa"/>
              <w:start w:w="90" w:type="dxa"/>
              <w:bottom w:w="90" w:type="dxa"/>
              <w:end w:w="90" w:type="dxa"/>
            </w:tcMar>
          </w:tcPr>
          <w:p>
            <w:r>
              <w:rPr>
                <w:sz w:val="12"/>
              </w:rPr>
            </w:r>
            <w:hyperlink r:id="rId24">
              <w:r>
                <w:rPr>
                  <w:color w:val="0563C1"/>
                  <w:u w:val="single"/>
                </w:rPr>
                <w:t>GitHub advisory GHSA-vj7q-gjh5-988w</w:t>
              </w:r>
            </w:hyperlink>
          </w:p>
        </w:tc>
        <w:tc>
          <w:tcPr>
            <w:tcW w:type="dxa" w:w="4320"/>
            <w:tcMar>
              <w:top w:w="90" w:type="dxa"/>
              <w:start w:w="90" w:type="dxa"/>
              <w:bottom w:w="90" w:type="dxa"/>
              <w:end w:w="90" w:type="dxa"/>
            </w:tcMar>
          </w:tcPr>
          <w:p>
            <w:r>
              <w:rPr>
                <w:sz w:val="12"/>
              </w:rPr>
            </w:r>
            <w:hyperlink r:id="rId24">
              <w:r>
                <w:rPr>
                  <w:color w:val="0563C1"/>
                  <w:u w:val="single"/>
                </w:rPr>
                <w:t>Open official source</w:t>
              </w:r>
            </w:hyperlink>
          </w:p>
        </w:tc>
      </w:tr>
      <w:tr>
        <w:trPr>
          <w:cantSplit/>
        </w:trPr>
        <w:tc>
          <w:tcPr>
            <w:tcW w:type="dxa" w:w="1152"/>
            <w:tcMar>
              <w:top w:w="90" w:type="dxa"/>
              <w:start w:w="90" w:type="dxa"/>
              <w:bottom w:w="90" w:type="dxa"/>
              <w:end w:w="90" w:type="dxa"/>
            </w:tcMar>
          </w:tcPr>
          <w:p>
            <w:bookmarkStart w:id="113" w:name="REF_014"/>
            <w:r>
              <w:rPr>
                <w:sz w:val="12"/>
              </w:rPr>
              <w:t>REF-014</w:t>
            </w:r>
            <w:bookmarkEnd w:id="113"/>
          </w:p>
        </w:tc>
        <w:tc>
          <w:tcPr>
            <w:tcW w:type="dxa" w:w="3888"/>
            <w:tcMar>
              <w:top w:w="90" w:type="dxa"/>
              <w:start w:w="90" w:type="dxa"/>
              <w:bottom w:w="90" w:type="dxa"/>
              <w:end w:w="90" w:type="dxa"/>
            </w:tcMar>
          </w:tcPr>
          <w:p>
            <w:r>
              <w:rPr>
                <w:sz w:val="12"/>
              </w:rPr>
            </w:r>
            <w:hyperlink r:id="rId25">
              <w:r>
                <w:rPr>
                  <w:color w:val="0563C1"/>
                  <w:u w:val="single"/>
                </w:rPr>
                <w:t>OWASP Top 10 for LLM Applications</w:t>
              </w:r>
            </w:hyperlink>
          </w:p>
        </w:tc>
        <w:tc>
          <w:tcPr>
            <w:tcW w:type="dxa" w:w="4320"/>
            <w:tcMar>
              <w:top w:w="90" w:type="dxa"/>
              <w:start w:w="90" w:type="dxa"/>
              <w:bottom w:w="90" w:type="dxa"/>
              <w:end w:w="90" w:type="dxa"/>
            </w:tcMar>
          </w:tcPr>
          <w:p>
            <w:r>
              <w:rPr>
                <w:sz w:val="12"/>
              </w:rPr>
            </w:r>
            <w:hyperlink r:id="rId25">
              <w:r>
                <w:rPr>
                  <w:color w:val="0563C1"/>
                  <w:u w:val="single"/>
                </w:rPr>
                <w:t>Open official source</w:t>
              </w:r>
            </w:hyperlink>
          </w:p>
        </w:tc>
      </w:tr>
      <w:tr>
        <w:trPr>
          <w:cantSplit/>
        </w:trPr>
        <w:tc>
          <w:tcPr>
            <w:tcW w:type="dxa" w:w="1152"/>
            <w:tcMar>
              <w:top w:w="90" w:type="dxa"/>
              <w:start w:w="90" w:type="dxa"/>
              <w:bottom w:w="90" w:type="dxa"/>
              <w:end w:w="90" w:type="dxa"/>
            </w:tcMar>
          </w:tcPr>
          <w:p>
            <w:bookmarkStart w:id="114" w:name="REF_015"/>
            <w:r>
              <w:rPr>
                <w:sz w:val="12"/>
              </w:rPr>
              <w:t>REF-015</w:t>
            </w:r>
            <w:bookmarkEnd w:id="114"/>
          </w:p>
        </w:tc>
        <w:tc>
          <w:tcPr>
            <w:tcW w:type="dxa" w:w="3888"/>
            <w:tcMar>
              <w:top w:w="90" w:type="dxa"/>
              <w:start w:w="90" w:type="dxa"/>
              <w:bottom w:w="90" w:type="dxa"/>
              <w:end w:w="90" w:type="dxa"/>
            </w:tcMar>
          </w:tcPr>
          <w:p>
            <w:r>
              <w:rPr>
                <w:sz w:val="12"/>
              </w:rPr>
            </w:r>
            <w:hyperlink r:id="rId26">
              <w:r>
                <w:rPr>
                  <w:color w:val="0563C1"/>
                  <w:u w:val="single"/>
                </w:rPr>
                <w:t>OWASP Agentic AI threats and mitigations</w:t>
              </w:r>
            </w:hyperlink>
          </w:p>
        </w:tc>
        <w:tc>
          <w:tcPr>
            <w:tcW w:type="dxa" w:w="4320"/>
            <w:tcMar>
              <w:top w:w="90" w:type="dxa"/>
              <w:start w:w="90" w:type="dxa"/>
              <w:bottom w:w="90" w:type="dxa"/>
              <w:end w:w="90" w:type="dxa"/>
            </w:tcMar>
          </w:tcPr>
          <w:p>
            <w:r>
              <w:rPr>
                <w:sz w:val="12"/>
              </w:rPr>
            </w:r>
            <w:hyperlink r:id="rId26">
              <w:r>
                <w:rPr>
                  <w:color w:val="0563C1"/>
                  <w:u w:val="single"/>
                </w:rPr>
                <w:t>Open official source</w:t>
              </w:r>
            </w:hyperlink>
          </w:p>
        </w:tc>
      </w:tr>
      <w:tr>
        <w:trPr>
          <w:cantSplit/>
        </w:trPr>
        <w:tc>
          <w:tcPr>
            <w:tcW w:type="dxa" w:w="1152"/>
            <w:tcMar>
              <w:top w:w="90" w:type="dxa"/>
              <w:start w:w="90" w:type="dxa"/>
              <w:bottom w:w="90" w:type="dxa"/>
              <w:end w:w="90" w:type="dxa"/>
            </w:tcMar>
          </w:tcPr>
          <w:p>
            <w:bookmarkStart w:id="115" w:name="REF_016"/>
            <w:r>
              <w:rPr>
                <w:sz w:val="12"/>
              </w:rPr>
              <w:t>REF-016</w:t>
            </w:r>
            <w:bookmarkEnd w:id="115"/>
          </w:p>
        </w:tc>
        <w:tc>
          <w:tcPr>
            <w:tcW w:type="dxa" w:w="3888"/>
            <w:tcMar>
              <w:top w:w="90" w:type="dxa"/>
              <w:start w:w="90" w:type="dxa"/>
              <w:bottom w:w="90" w:type="dxa"/>
              <w:end w:w="90" w:type="dxa"/>
            </w:tcMar>
          </w:tcPr>
          <w:p>
            <w:r>
              <w:rPr>
                <w:sz w:val="12"/>
              </w:rPr>
            </w:r>
            <w:hyperlink r:id="rId27">
              <w:r>
                <w:rPr>
                  <w:color w:val="0563C1"/>
                  <w:u w:val="single"/>
                </w:rPr>
                <w:t>OWASP Application Security Verification Standard 5.0.0</w:t>
              </w:r>
            </w:hyperlink>
          </w:p>
        </w:tc>
        <w:tc>
          <w:tcPr>
            <w:tcW w:type="dxa" w:w="4320"/>
            <w:tcMar>
              <w:top w:w="90" w:type="dxa"/>
              <w:start w:w="90" w:type="dxa"/>
              <w:bottom w:w="90" w:type="dxa"/>
              <w:end w:w="90" w:type="dxa"/>
            </w:tcMar>
          </w:tcPr>
          <w:p>
            <w:r>
              <w:rPr>
                <w:sz w:val="12"/>
              </w:rPr>
            </w:r>
            <w:hyperlink r:id="rId27">
              <w:r>
                <w:rPr>
                  <w:color w:val="0563C1"/>
                  <w:u w:val="single"/>
                </w:rPr>
                <w:t>Open official source</w:t>
              </w:r>
            </w:hyperlink>
          </w:p>
        </w:tc>
      </w:tr>
      <w:tr>
        <w:trPr>
          <w:cantSplit/>
        </w:trPr>
        <w:tc>
          <w:tcPr>
            <w:tcW w:type="dxa" w:w="1152"/>
            <w:tcMar>
              <w:top w:w="90" w:type="dxa"/>
              <w:start w:w="90" w:type="dxa"/>
              <w:bottom w:w="90" w:type="dxa"/>
              <w:end w:w="90" w:type="dxa"/>
            </w:tcMar>
          </w:tcPr>
          <w:p>
            <w:bookmarkStart w:id="116" w:name="REF_017"/>
            <w:r>
              <w:rPr>
                <w:sz w:val="12"/>
              </w:rPr>
              <w:t>REF-017</w:t>
            </w:r>
            <w:bookmarkEnd w:id="116"/>
          </w:p>
        </w:tc>
        <w:tc>
          <w:tcPr>
            <w:tcW w:type="dxa" w:w="3888"/>
            <w:tcMar>
              <w:top w:w="90" w:type="dxa"/>
              <w:start w:w="90" w:type="dxa"/>
              <w:bottom w:w="90" w:type="dxa"/>
              <w:end w:w="90" w:type="dxa"/>
            </w:tcMar>
          </w:tcPr>
          <w:p>
            <w:r>
              <w:rPr>
                <w:sz w:val="12"/>
              </w:rPr>
            </w:r>
            <w:hyperlink r:id="rId28">
              <w:r>
                <w:rPr>
                  <w:color w:val="0563C1"/>
                  <w:u w:val="single"/>
                </w:rPr>
                <w:t>MITRE ATLAS</w:t>
              </w:r>
            </w:hyperlink>
          </w:p>
        </w:tc>
        <w:tc>
          <w:tcPr>
            <w:tcW w:type="dxa" w:w="4320"/>
            <w:tcMar>
              <w:top w:w="90" w:type="dxa"/>
              <w:start w:w="90" w:type="dxa"/>
              <w:bottom w:w="90" w:type="dxa"/>
              <w:end w:w="90" w:type="dxa"/>
            </w:tcMar>
          </w:tcPr>
          <w:p>
            <w:r>
              <w:rPr>
                <w:sz w:val="12"/>
              </w:rPr>
            </w:r>
            <w:hyperlink r:id="rId28">
              <w:r>
                <w:rPr>
                  <w:color w:val="0563C1"/>
                  <w:u w:val="single"/>
                </w:rPr>
                <w:t>Open official source</w:t>
              </w:r>
            </w:hyperlink>
          </w:p>
        </w:tc>
      </w:tr>
      <w:tr>
        <w:trPr>
          <w:cantSplit/>
        </w:trPr>
        <w:tc>
          <w:tcPr>
            <w:tcW w:type="dxa" w:w="1152"/>
            <w:tcMar>
              <w:top w:w="90" w:type="dxa"/>
              <w:start w:w="90" w:type="dxa"/>
              <w:bottom w:w="90" w:type="dxa"/>
              <w:end w:w="90" w:type="dxa"/>
            </w:tcMar>
          </w:tcPr>
          <w:p>
            <w:bookmarkStart w:id="117" w:name="REF_018"/>
            <w:r>
              <w:rPr>
                <w:sz w:val="12"/>
              </w:rPr>
              <w:t>REF-018</w:t>
            </w:r>
            <w:bookmarkEnd w:id="117"/>
          </w:p>
        </w:tc>
        <w:tc>
          <w:tcPr>
            <w:tcW w:type="dxa" w:w="3888"/>
            <w:tcMar>
              <w:top w:w="90" w:type="dxa"/>
              <w:start w:w="90" w:type="dxa"/>
              <w:bottom w:w="90" w:type="dxa"/>
              <w:end w:w="90" w:type="dxa"/>
            </w:tcMar>
          </w:tcPr>
          <w:p>
            <w:r>
              <w:rPr>
                <w:sz w:val="12"/>
              </w:rPr>
            </w:r>
            <w:hyperlink r:id="rId29">
              <w:r>
                <w:rPr>
                  <w:color w:val="0563C1"/>
                  <w:u w:val="single"/>
                </w:rPr>
                <w:t>NIST AI Risk Management Framework 1.0</w:t>
              </w:r>
            </w:hyperlink>
          </w:p>
        </w:tc>
        <w:tc>
          <w:tcPr>
            <w:tcW w:type="dxa" w:w="4320"/>
            <w:tcMar>
              <w:top w:w="90" w:type="dxa"/>
              <w:start w:w="90" w:type="dxa"/>
              <w:bottom w:w="90" w:type="dxa"/>
              <w:end w:w="90" w:type="dxa"/>
            </w:tcMar>
          </w:tcPr>
          <w:p>
            <w:r>
              <w:rPr>
                <w:sz w:val="12"/>
              </w:rPr>
            </w:r>
            <w:hyperlink r:id="rId29">
              <w:r>
                <w:rPr>
                  <w:color w:val="0563C1"/>
                  <w:u w:val="single"/>
                </w:rPr>
                <w:t>Open official source</w:t>
              </w:r>
            </w:hyperlink>
          </w:p>
        </w:tc>
      </w:tr>
      <w:tr>
        <w:trPr>
          <w:cantSplit/>
        </w:trPr>
        <w:tc>
          <w:tcPr>
            <w:tcW w:type="dxa" w:w="1152"/>
            <w:tcMar>
              <w:top w:w="90" w:type="dxa"/>
              <w:start w:w="90" w:type="dxa"/>
              <w:bottom w:w="90" w:type="dxa"/>
              <w:end w:w="90" w:type="dxa"/>
            </w:tcMar>
          </w:tcPr>
          <w:p>
            <w:bookmarkStart w:id="118" w:name="REF_019"/>
            <w:r>
              <w:rPr>
                <w:sz w:val="12"/>
              </w:rPr>
              <w:t>REF-019</w:t>
            </w:r>
            <w:bookmarkEnd w:id="118"/>
          </w:p>
        </w:tc>
        <w:tc>
          <w:tcPr>
            <w:tcW w:type="dxa" w:w="3888"/>
            <w:tcMar>
              <w:top w:w="90" w:type="dxa"/>
              <w:start w:w="90" w:type="dxa"/>
              <w:bottom w:w="90" w:type="dxa"/>
              <w:end w:w="90" w:type="dxa"/>
            </w:tcMar>
          </w:tcPr>
          <w:p>
            <w:r>
              <w:rPr>
                <w:sz w:val="12"/>
              </w:rPr>
            </w:r>
            <w:hyperlink r:id="rId30">
              <w:r>
                <w:rPr>
                  <w:color w:val="0563C1"/>
                  <w:u w:val="single"/>
                </w:rPr>
                <w:t>NIST AI 600-1 Generative AI Profile</w:t>
              </w:r>
            </w:hyperlink>
          </w:p>
        </w:tc>
        <w:tc>
          <w:tcPr>
            <w:tcW w:type="dxa" w:w="4320"/>
            <w:tcMar>
              <w:top w:w="90" w:type="dxa"/>
              <w:start w:w="90" w:type="dxa"/>
              <w:bottom w:w="90" w:type="dxa"/>
              <w:end w:w="90" w:type="dxa"/>
            </w:tcMar>
          </w:tcPr>
          <w:p>
            <w:r>
              <w:rPr>
                <w:sz w:val="12"/>
              </w:rPr>
            </w:r>
            <w:hyperlink r:id="rId30">
              <w:r>
                <w:rPr>
                  <w:color w:val="0563C1"/>
                  <w:u w:val="single"/>
                </w:rPr>
                <w:t>Open official source</w:t>
              </w:r>
            </w:hyperlink>
          </w:p>
        </w:tc>
      </w:tr>
      <w:tr>
        <w:trPr>
          <w:cantSplit/>
        </w:trPr>
        <w:tc>
          <w:tcPr>
            <w:tcW w:type="dxa" w:w="1152"/>
            <w:tcMar>
              <w:top w:w="90" w:type="dxa"/>
              <w:start w:w="90" w:type="dxa"/>
              <w:bottom w:w="90" w:type="dxa"/>
              <w:end w:w="90" w:type="dxa"/>
            </w:tcMar>
          </w:tcPr>
          <w:p>
            <w:bookmarkStart w:id="119" w:name="REF_020"/>
            <w:r>
              <w:rPr>
                <w:sz w:val="12"/>
              </w:rPr>
              <w:t>REF-020</w:t>
            </w:r>
            <w:bookmarkEnd w:id="119"/>
          </w:p>
        </w:tc>
        <w:tc>
          <w:tcPr>
            <w:tcW w:type="dxa" w:w="3888"/>
            <w:tcMar>
              <w:top w:w="90" w:type="dxa"/>
              <w:start w:w="90" w:type="dxa"/>
              <w:bottom w:w="90" w:type="dxa"/>
              <w:end w:w="90" w:type="dxa"/>
            </w:tcMar>
          </w:tcPr>
          <w:p>
            <w:r>
              <w:rPr>
                <w:sz w:val="12"/>
              </w:rPr>
            </w:r>
            <w:hyperlink r:id="rId31">
              <w:r>
                <w:rPr>
                  <w:color w:val="0563C1"/>
                  <w:u w:val="single"/>
                </w:rPr>
                <w:t>NCSC secure AI system development</w:t>
              </w:r>
            </w:hyperlink>
          </w:p>
        </w:tc>
        <w:tc>
          <w:tcPr>
            <w:tcW w:type="dxa" w:w="4320"/>
            <w:tcMar>
              <w:top w:w="90" w:type="dxa"/>
              <w:start w:w="90" w:type="dxa"/>
              <w:bottom w:w="90" w:type="dxa"/>
              <w:end w:w="90" w:type="dxa"/>
            </w:tcMar>
          </w:tcPr>
          <w:p>
            <w:r>
              <w:rPr>
                <w:sz w:val="12"/>
              </w:rPr>
            </w:r>
            <w:hyperlink r:id="rId31">
              <w:r>
                <w:rPr>
                  <w:color w:val="0563C1"/>
                  <w:u w:val="single"/>
                </w:rPr>
                <w:t>Open official source</w:t>
              </w:r>
            </w:hyperlink>
          </w:p>
        </w:tc>
      </w:tr>
      <w:tr>
        <w:trPr>
          <w:cantSplit/>
        </w:trPr>
        <w:tc>
          <w:tcPr>
            <w:tcW w:type="dxa" w:w="1152"/>
            <w:tcMar>
              <w:top w:w="90" w:type="dxa"/>
              <w:start w:w="90" w:type="dxa"/>
              <w:bottom w:w="90" w:type="dxa"/>
              <w:end w:w="90" w:type="dxa"/>
            </w:tcMar>
          </w:tcPr>
          <w:p>
            <w:bookmarkStart w:id="120" w:name="REF_021"/>
            <w:r>
              <w:rPr>
                <w:sz w:val="12"/>
              </w:rPr>
              <w:t>REF-021</w:t>
            </w:r>
            <w:bookmarkEnd w:id="120"/>
          </w:p>
        </w:tc>
        <w:tc>
          <w:tcPr>
            <w:tcW w:type="dxa" w:w="3888"/>
            <w:tcMar>
              <w:top w:w="90" w:type="dxa"/>
              <w:start w:w="90" w:type="dxa"/>
              <w:bottom w:w="90" w:type="dxa"/>
              <w:end w:w="90" w:type="dxa"/>
            </w:tcMar>
          </w:tcPr>
          <w:p>
            <w:r>
              <w:rPr>
                <w:sz w:val="12"/>
              </w:rPr>
            </w:r>
            <w:hyperlink r:id="rId32">
              <w:r>
                <w:rPr>
                  <w:color w:val="0563C1"/>
                  <w:u w:val="single"/>
                </w:rPr>
                <w:t>CIS Critical Security Controls v8.1</w:t>
              </w:r>
            </w:hyperlink>
          </w:p>
        </w:tc>
        <w:tc>
          <w:tcPr>
            <w:tcW w:type="dxa" w:w="4320"/>
            <w:tcMar>
              <w:top w:w="90" w:type="dxa"/>
              <w:start w:w="90" w:type="dxa"/>
              <w:bottom w:w="90" w:type="dxa"/>
              <w:end w:w="90" w:type="dxa"/>
            </w:tcMar>
          </w:tcPr>
          <w:p>
            <w:r>
              <w:rPr>
                <w:sz w:val="12"/>
              </w:rPr>
            </w:r>
            <w:hyperlink r:id="rId32">
              <w:r>
                <w:rPr>
                  <w:color w:val="0563C1"/>
                  <w:u w:val="single"/>
                </w:rPr>
                <w:t>Open official source</w:t>
              </w:r>
            </w:hyperlink>
          </w:p>
        </w:tc>
      </w:tr>
      <w:tr>
        <w:trPr>
          <w:cantSplit/>
        </w:trPr>
        <w:tc>
          <w:tcPr>
            <w:tcW w:type="dxa" w:w="1152"/>
            <w:tcMar>
              <w:top w:w="90" w:type="dxa"/>
              <w:start w:w="90" w:type="dxa"/>
              <w:bottom w:w="90" w:type="dxa"/>
              <w:end w:w="90" w:type="dxa"/>
            </w:tcMar>
          </w:tcPr>
          <w:p>
            <w:bookmarkStart w:id="121" w:name="REF_022"/>
            <w:r>
              <w:rPr>
                <w:sz w:val="12"/>
              </w:rPr>
              <w:t>REF-022</w:t>
            </w:r>
            <w:bookmarkEnd w:id="121"/>
          </w:p>
        </w:tc>
        <w:tc>
          <w:tcPr>
            <w:tcW w:type="dxa" w:w="3888"/>
            <w:tcMar>
              <w:top w:w="90" w:type="dxa"/>
              <w:start w:w="90" w:type="dxa"/>
              <w:bottom w:w="90" w:type="dxa"/>
              <w:end w:w="90" w:type="dxa"/>
            </w:tcMar>
          </w:tcPr>
          <w:p>
            <w:r>
              <w:rPr>
                <w:sz w:val="12"/>
              </w:rPr>
            </w:r>
            <w:hyperlink r:id="rId33">
              <w:r>
                <w:rPr>
                  <w:color w:val="0563C1"/>
                  <w:u w:val="single"/>
                </w:rPr>
                <w:t>ICO guidance on AI and data protection</w:t>
              </w:r>
            </w:hyperlink>
          </w:p>
        </w:tc>
        <w:tc>
          <w:tcPr>
            <w:tcW w:type="dxa" w:w="4320"/>
            <w:tcMar>
              <w:top w:w="90" w:type="dxa"/>
              <w:start w:w="90" w:type="dxa"/>
              <w:bottom w:w="90" w:type="dxa"/>
              <w:end w:w="90" w:type="dxa"/>
            </w:tcMar>
          </w:tcPr>
          <w:p>
            <w:r>
              <w:rPr>
                <w:sz w:val="12"/>
              </w:rPr>
            </w:r>
            <w:hyperlink r:id="rId33">
              <w:r>
                <w:rPr>
                  <w:color w:val="0563C1"/>
                  <w:u w:val="single"/>
                </w:rPr>
                <w:t>Open official source</w:t>
              </w:r>
            </w:hyperlink>
          </w:p>
        </w:tc>
      </w:tr>
      <w:tr>
        <w:trPr>
          <w:cantSplit/>
        </w:trPr>
        <w:tc>
          <w:tcPr>
            <w:tcW w:type="dxa" w:w="1152"/>
            <w:tcMar>
              <w:top w:w="90" w:type="dxa"/>
              <w:start w:w="90" w:type="dxa"/>
              <w:bottom w:w="90" w:type="dxa"/>
              <w:end w:w="90" w:type="dxa"/>
            </w:tcMar>
          </w:tcPr>
          <w:p>
            <w:bookmarkStart w:id="122" w:name="REF_023"/>
            <w:r>
              <w:rPr>
                <w:sz w:val="12"/>
              </w:rPr>
              <w:t>REF-023</w:t>
            </w:r>
            <w:bookmarkEnd w:id="122"/>
          </w:p>
        </w:tc>
        <w:tc>
          <w:tcPr>
            <w:tcW w:type="dxa" w:w="3888"/>
            <w:tcMar>
              <w:top w:w="90" w:type="dxa"/>
              <w:start w:w="90" w:type="dxa"/>
              <w:bottom w:w="90" w:type="dxa"/>
              <w:end w:w="90" w:type="dxa"/>
            </w:tcMar>
          </w:tcPr>
          <w:p>
            <w:r>
              <w:rPr>
                <w:sz w:val="12"/>
              </w:rPr>
            </w:r>
            <w:hyperlink r:id="rId34">
              <w:r>
                <w:rPr>
                  <w:color w:val="0563C1"/>
                  <w:u w:val="single"/>
                </w:rPr>
                <w:t>FCA operational resilience</w:t>
              </w:r>
            </w:hyperlink>
          </w:p>
        </w:tc>
        <w:tc>
          <w:tcPr>
            <w:tcW w:type="dxa" w:w="4320"/>
            <w:tcMar>
              <w:top w:w="90" w:type="dxa"/>
              <w:start w:w="90" w:type="dxa"/>
              <w:bottom w:w="90" w:type="dxa"/>
              <w:end w:w="90" w:type="dxa"/>
            </w:tcMar>
          </w:tcPr>
          <w:p>
            <w:r>
              <w:rPr>
                <w:sz w:val="12"/>
              </w:rPr>
            </w:r>
            <w:hyperlink r:id="rId34">
              <w:r>
                <w:rPr>
                  <w:color w:val="0563C1"/>
                  <w:u w:val="single"/>
                </w:rPr>
                <w:t>Open official source</w:t>
              </w:r>
            </w:hyperlink>
          </w:p>
        </w:tc>
      </w:tr>
      <w:tr>
        <w:trPr>
          <w:cantSplit/>
        </w:trPr>
        <w:tc>
          <w:tcPr>
            <w:tcW w:type="dxa" w:w="1152"/>
            <w:tcMar>
              <w:top w:w="90" w:type="dxa"/>
              <w:start w:w="90" w:type="dxa"/>
              <w:bottom w:w="90" w:type="dxa"/>
              <w:end w:w="90" w:type="dxa"/>
            </w:tcMar>
          </w:tcPr>
          <w:p>
            <w:bookmarkStart w:id="123" w:name="REF_024"/>
            <w:r>
              <w:rPr>
                <w:sz w:val="12"/>
              </w:rPr>
              <w:t>REF-024</w:t>
            </w:r>
            <w:bookmarkEnd w:id="123"/>
          </w:p>
        </w:tc>
        <w:tc>
          <w:tcPr>
            <w:tcW w:type="dxa" w:w="3888"/>
            <w:tcMar>
              <w:top w:w="90" w:type="dxa"/>
              <w:start w:w="90" w:type="dxa"/>
              <w:bottom w:w="90" w:type="dxa"/>
              <w:end w:w="90" w:type="dxa"/>
            </w:tcMar>
          </w:tcPr>
          <w:p>
            <w:r>
              <w:rPr>
                <w:sz w:val="12"/>
              </w:rPr>
            </w:r>
            <w:hyperlink r:id="rId35">
              <w:r>
                <w:rPr>
                  <w:color w:val="0563C1"/>
                  <w:u w:val="single"/>
                </w:rPr>
                <w:t>PRA SS2/21 third-party risk management</w:t>
              </w:r>
            </w:hyperlink>
          </w:p>
        </w:tc>
        <w:tc>
          <w:tcPr>
            <w:tcW w:type="dxa" w:w="4320"/>
            <w:tcMar>
              <w:top w:w="90" w:type="dxa"/>
              <w:start w:w="90" w:type="dxa"/>
              <w:bottom w:w="90" w:type="dxa"/>
              <w:end w:w="90" w:type="dxa"/>
            </w:tcMar>
          </w:tcPr>
          <w:p>
            <w:r>
              <w:rPr>
                <w:sz w:val="12"/>
              </w:rPr>
            </w:r>
            <w:hyperlink r:id="rId35">
              <w:r>
                <w:rPr>
                  <w:color w:val="0563C1"/>
                  <w:u w:val="single"/>
                </w:rPr>
                <w:t>Open official source</w:t>
              </w:r>
            </w:hyperlink>
          </w:p>
        </w:tc>
      </w:tr>
      <w:tr>
        <w:trPr>
          <w:cantSplit/>
        </w:trPr>
        <w:tc>
          <w:tcPr>
            <w:tcW w:type="dxa" w:w="1152"/>
            <w:tcMar>
              <w:top w:w="90" w:type="dxa"/>
              <w:start w:w="90" w:type="dxa"/>
              <w:bottom w:w="90" w:type="dxa"/>
              <w:end w:w="90" w:type="dxa"/>
            </w:tcMar>
          </w:tcPr>
          <w:p>
            <w:bookmarkStart w:id="124" w:name="REF_025"/>
            <w:r>
              <w:rPr>
                <w:sz w:val="12"/>
              </w:rPr>
              <w:t>REF-025</w:t>
            </w:r>
            <w:bookmarkEnd w:id="124"/>
          </w:p>
        </w:tc>
        <w:tc>
          <w:tcPr>
            <w:tcW w:type="dxa" w:w="3888"/>
            <w:tcMar>
              <w:top w:w="90" w:type="dxa"/>
              <w:start w:w="90" w:type="dxa"/>
              <w:bottom w:w="90" w:type="dxa"/>
              <w:end w:w="90" w:type="dxa"/>
            </w:tcMar>
          </w:tcPr>
          <w:p>
            <w:r>
              <w:rPr>
                <w:sz w:val="12"/>
              </w:rPr>
            </w:r>
            <w:hyperlink r:id="rId36">
              <w:r>
                <w:rPr>
                  <w:color w:val="0563C1"/>
                  <w:u w:val="single"/>
                </w:rPr>
                <w:t>Data Protection Act 2018</w:t>
              </w:r>
            </w:hyperlink>
          </w:p>
        </w:tc>
        <w:tc>
          <w:tcPr>
            <w:tcW w:type="dxa" w:w="4320"/>
            <w:tcMar>
              <w:top w:w="90" w:type="dxa"/>
              <w:start w:w="90" w:type="dxa"/>
              <w:bottom w:w="90" w:type="dxa"/>
              <w:end w:w="90" w:type="dxa"/>
            </w:tcMar>
          </w:tcPr>
          <w:p>
            <w:r>
              <w:rPr>
                <w:sz w:val="12"/>
              </w:rPr>
            </w:r>
            <w:hyperlink r:id="rId36">
              <w:r>
                <w:rPr>
                  <w:color w:val="0563C1"/>
                  <w:u w:val="single"/>
                </w:rPr>
                <w:t>Open official source</w:t>
              </w:r>
            </w:hyperlink>
          </w:p>
        </w:tc>
      </w:tr>
      <w:tr>
        <w:trPr>
          <w:cantSplit/>
        </w:trPr>
        <w:tc>
          <w:tcPr>
            <w:tcW w:type="dxa" w:w="1152"/>
            <w:tcMar>
              <w:top w:w="90" w:type="dxa"/>
              <w:start w:w="90" w:type="dxa"/>
              <w:bottom w:w="90" w:type="dxa"/>
              <w:end w:w="90" w:type="dxa"/>
            </w:tcMar>
          </w:tcPr>
          <w:p>
            <w:bookmarkStart w:id="125" w:name="REF_026"/>
            <w:r>
              <w:rPr>
                <w:sz w:val="12"/>
              </w:rPr>
              <w:t>REF-026</w:t>
            </w:r>
            <w:bookmarkEnd w:id="125"/>
          </w:p>
        </w:tc>
        <w:tc>
          <w:tcPr>
            <w:tcW w:type="dxa" w:w="3888"/>
            <w:tcMar>
              <w:top w:w="90" w:type="dxa"/>
              <w:start w:w="90" w:type="dxa"/>
              <w:bottom w:w="90" w:type="dxa"/>
              <w:end w:w="90" w:type="dxa"/>
            </w:tcMar>
          </w:tcPr>
          <w:p>
            <w:r>
              <w:rPr>
                <w:sz w:val="12"/>
              </w:rPr>
            </w:r>
            <w:hyperlink r:id="rId37">
              <w:r>
                <w:rPr>
                  <w:color w:val="0563C1"/>
                  <w:u w:val="single"/>
                </w:rPr>
                <w:t>Model Context Protocol specification</w:t>
              </w:r>
            </w:hyperlink>
          </w:p>
        </w:tc>
        <w:tc>
          <w:tcPr>
            <w:tcW w:type="dxa" w:w="4320"/>
            <w:tcMar>
              <w:top w:w="90" w:type="dxa"/>
              <w:start w:w="90" w:type="dxa"/>
              <w:bottom w:w="90" w:type="dxa"/>
              <w:end w:w="90" w:type="dxa"/>
            </w:tcMar>
          </w:tcPr>
          <w:p>
            <w:r>
              <w:rPr>
                <w:sz w:val="12"/>
              </w:rPr>
            </w:r>
            <w:hyperlink r:id="rId37">
              <w:r>
                <w:rPr>
                  <w:color w:val="0563C1"/>
                  <w:u w:val="single"/>
                </w:rPr>
                <w:t>Open official source</w:t>
              </w:r>
            </w:hyperlink>
          </w:p>
        </w:tc>
      </w:tr>
    </w:tbl>
    <w:p>
      <w:pPr>
        <w:pStyle w:val="Heading1"/>
      </w:pPr>
      <w:r>
        <w:t>Appendix A - Platform and File Inventory</w:t>
      </w:r>
    </w:p>
    <w:p>
      <w:r>
        <w:t>The complete per-file SHA-256 inventory is retained in `vsix-inventory.json`. The table below identifies the largest universal-package components and all platform-level package hashes; it is not a vendor-attested SBOM.</w:t>
      </w:r>
    </w:p>
    <w:tbl>
      <w:tblPr>
        <w:tblStyle w:val="TableGrid"/>
        <w:tblW w:type="auto" w:w="0"/>
        <w:jc w:val="center"/>
        <w:tblLayout w:type="fixed"/>
        <w:tblLook w:firstColumn="1" w:firstRow="1" w:lastColumn="0" w:lastRow="0" w:noHBand="0" w:noVBand="1" w:val="04A0"/>
      </w:tblPr>
      <w:tblGrid>
        <w:gridCol w:w="4896"/>
        <w:gridCol w:w="1440"/>
        <w:gridCol w:w="3024"/>
      </w:tblGrid>
      <w:tr>
        <w:trPr>
          <w:tblHeader/>
        </w:trPr>
        <w:tc>
          <w:tcPr>
            <w:tcW w:type="dxa" w:w="4896"/>
            <w:shd w:fill="17365D"/>
            <w:tcMar>
              <w:top w:w="90" w:type="dxa"/>
              <w:start w:w="90" w:type="dxa"/>
              <w:bottom w:w="90" w:type="dxa"/>
              <w:end w:w="90" w:type="dxa"/>
            </w:tcMar>
          </w:tcPr>
          <w:p>
            <w:r>
              <w:rPr>
                <w:b/>
                <w:color w:val="FFFFFF"/>
                <w:sz w:val="12"/>
              </w:rPr>
              <w:t>Path</w:t>
            </w:r>
          </w:p>
        </w:tc>
        <w:tc>
          <w:tcPr>
            <w:tcW w:type="dxa" w:w="1440"/>
            <w:shd w:fill="17365D"/>
            <w:tcMar>
              <w:top w:w="90" w:type="dxa"/>
              <w:start w:w="90" w:type="dxa"/>
              <w:bottom w:w="90" w:type="dxa"/>
              <w:end w:w="90" w:type="dxa"/>
            </w:tcMar>
          </w:tcPr>
          <w:p>
            <w:r>
              <w:rPr>
                <w:b/>
                <w:color w:val="FFFFFF"/>
                <w:sz w:val="12"/>
              </w:rPr>
              <w:t>Bytes</w:t>
            </w:r>
          </w:p>
        </w:tc>
        <w:tc>
          <w:tcPr>
            <w:tcW w:type="dxa" w:w="3024"/>
            <w:shd w:fill="17365D"/>
            <w:tcMar>
              <w:top w:w="90" w:type="dxa"/>
              <w:start w:w="90" w:type="dxa"/>
              <w:bottom w:w="90" w:type="dxa"/>
              <w:end w:w="90" w:type="dxa"/>
            </w:tcMar>
          </w:tcPr>
          <w:p>
            <w:r>
              <w:rPr>
                <w:b/>
                <w:color w:val="FFFFFF"/>
                <w:sz w:val="12"/>
              </w:rPr>
              <w:t>SHA-256 prefix</w:t>
            </w:r>
          </w:p>
        </w:tc>
      </w:tr>
      <w:tr>
        <w:trPr>
          <w:cantSplit/>
        </w:trPr>
        <w:tc>
          <w:tcPr>
            <w:tcW w:type="dxa" w:w="4896"/>
            <w:tcMar>
              <w:top w:w="90" w:type="dxa"/>
              <w:start w:w="90" w:type="dxa"/>
              <w:bottom w:w="90" w:type="dxa"/>
              <w:end w:w="90" w:type="dxa"/>
            </w:tcMar>
            <w:vAlign w:val="center"/>
          </w:tcPr>
          <w:p>
            <w:pPr>
              <w:spacing w:after="20"/>
            </w:pPr>
            <w:r>
              <w:rPr>
                <w:sz w:val="12"/>
              </w:rPr>
              <w:t>extension/dist/extension.js</w:t>
            </w:r>
          </w:p>
        </w:tc>
        <w:tc>
          <w:tcPr>
            <w:tcW w:type="dxa" w:w="1440"/>
            <w:tcMar>
              <w:top w:w="90" w:type="dxa"/>
              <w:start w:w="90" w:type="dxa"/>
              <w:bottom w:w="90" w:type="dxa"/>
              <w:end w:w="90" w:type="dxa"/>
            </w:tcMar>
            <w:vAlign w:val="center"/>
          </w:tcPr>
          <w:p>
            <w:pPr>
              <w:spacing w:after="20"/>
            </w:pPr>
            <w:r>
              <w:rPr>
                <w:sz w:val="12"/>
              </w:rPr>
              <w:t>5829875</w:t>
            </w:r>
          </w:p>
        </w:tc>
        <w:tc>
          <w:tcPr>
            <w:tcW w:type="dxa" w:w="3024"/>
            <w:tcMar>
              <w:top w:w="90" w:type="dxa"/>
              <w:start w:w="90" w:type="dxa"/>
              <w:bottom w:w="90" w:type="dxa"/>
              <w:end w:w="90" w:type="dxa"/>
            </w:tcMar>
            <w:vAlign w:val="center"/>
          </w:tcPr>
          <w:p>
            <w:pPr>
              <w:spacing w:after="20"/>
            </w:pPr>
            <w:r>
              <w:rPr>
                <w:sz w:val="12"/>
              </w:rPr>
              <w:t>e10ed745479409690bd1...</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extension/out/src/reactviews/assets/chunk-NEUEDZDF.js</w:t>
            </w:r>
          </w:p>
        </w:tc>
        <w:tc>
          <w:tcPr>
            <w:tcW w:type="dxa" w:w="1440"/>
            <w:tcMar>
              <w:top w:w="90" w:type="dxa"/>
              <w:start w:w="90" w:type="dxa"/>
              <w:bottom w:w="90" w:type="dxa"/>
              <w:end w:w="90" w:type="dxa"/>
            </w:tcMar>
            <w:vAlign w:val="center"/>
            <w:shd w:fill="F3F6F8"/>
          </w:tcPr>
          <w:p>
            <w:pPr>
              <w:spacing w:after="20"/>
            </w:pPr>
            <w:r>
              <w:rPr>
                <w:sz w:val="12"/>
              </w:rPr>
              <w:t>2284336</w:t>
            </w:r>
          </w:p>
        </w:tc>
        <w:tc>
          <w:tcPr>
            <w:tcW w:type="dxa" w:w="3024"/>
            <w:tcMar>
              <w:top w:w="90" w:type="dxa"/>
              <w:start w:w="90" w:type="dxa"/>
              <w:bottom w:w="90" w:type="dxa"/>
              <w:end w:w="90" w:type="dxa"/>
            </w:tcMar>
            <w:vAlign w:val="center"/>
            <w:shd w:fill="F3F6F8"/>
          </w:tcPr>
          <w:p>
            <w:pPr>
              <w:spacing w:after="20"/>
            </w:pPr>
            <w:r>
              <w:rPr>
                <w:sz w:val="12"/>
              </w:rPr>
              <w:t>344e190d2b45f7c96804...</w:t>
            </w:r>
          </w:p>
        </w:tc>
      </w:tr>
      <w:tr>
        <w:trPr>
          <w:cantSplit/>
        </w:trPr>
        <w:tc>
          <w:tcPr>
            <w:tcW w:type="dxa" w:w="4896"/>
            <w:tcMar>
              <w:top w:w="90" w:type="dxa"/>
              <w:start w:w="90" w:type="dxa"/>
              <w:bottom w:w="90" w:type="dxa"/>
              <w:end w:w="90" w:type="dxa"/>
            </w:tcMar>
            <w:vAlign w:val="center"/>
          </w:tcPr>
          <w:p>
            <w:pPr>
              <w:spacing w:after="20"/>
            </w:pPr>
            <w:r>
              <w:rPr>
                <w:sz w:val="12"/>
              </w:rPr>
              <w:t>extension/out/src/reactviews/assets/chunk-ZX47O4FJ.js</w:t>
            </w:r>
          </w:p>
        </w:tc>
        <w:tc>
          <w:tcPr>
            <w:tcW w:type="dxa" w:w="1440"/>
            <w:tcMar>
              <w:top w:w="90" w:type="dxa"/>
              <w:start w:w="90" w:type="dxa"/>
              <w:bottom w:w="90" w:type="dxa"/>
              <w:end w:w="90" w:type="dxa"/>
            </w:tcMar>
            <w:vAlign w:val="center"/>
          </w:tcPr>
          <w:p>
            <w:pPr>
              <w:spacing w:after="20"/>
            </w:pPr>
            <w:r>
              <w:rPr>
                <w:sz w:val="12"/>
              </w:rPr>
              <w:t>1109307</w:t>
            </w:r>
          </w:p>
        </w:tc>
        <w:tc>
          <w:tcPr>
            <w:tcW w:type="dxa" w:w="3024"/>
            <w:tcMar>
              <w:top w:w="90" w:type="dxa"/>
              <w:start w:w="90" w:type="dxa"/>
              <w:bottom w:w="90" w:type="dxa"/>
              <w:end w:w="90" w:type="dxa"/>
            </w:tcMar>
            <w:vAlign w:val="center"/>
          </w:tcPr>
          <w:p>
            <w:pPr>
              <w:spacing w:after="20"/>
            </w:pPr>
            <w:r>
              <w:rPr>
                <w:sz w:val="12"/>
              </w:rPr>
              <w:t>f1a25033a0a38f773514...</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extension/out/src/reactviews/assets/chunk-2MDI7UKA.js</w:t>
            </w:r>
          </w:p>
        </w:tc>
        <w:tc>
          <w:tcPr>
            <w:tcW w:type="dxa" w:w="1440"/>
            <w:tcMar>
              <w:top w:w="90" w:type="dxa"/>
              <w:start w:w="90" w:type="dxa"/>
              <w:bottom w:w="90" w:type="dxa"/>
              <w:end w:w="90" w:type="dxa"/>
            </w:tcMar>
            <w:vAlign w:val="center"/>
            <w:shd w:fill="F3F6F8"/>
          </w:tcPr>
          <w:p>
            <w:pPr>
              <w:spacing w:after="20"/>
            </w:pPr>
            <w:r>
              <w:rPr>
                <w:sz w:val="12"/>
              </w:rPr>
              <w:t>1108638</w:t>
            </w:r>
          </w:p>
        </w:tc>
        <w:tc>
          <w:tcPr>
            <w:tcW w:type="dxa" w:w="3024"/>
            <w:tcMar>
              <w:top w:w="90" w:type="dxa"/>
              <w:start w:w="90" w:type="dxa"/>
              <w:bottom w:w="90" w:type="dxa"/>
              <w:end w:w="90" w:type="dxa"/>
            </w:tcMar>
            <w:vAlign w:val="center"/>
            <w:shd w:fill="F3F6F8"/>
          </w:tcPr>
          <w:p>
            <w:pPr>
              <w:spacing w:after="20"/>
            </w:pPr>
            <w:r>
              <w:rPr>
                <w:sz w:val="12"/>
              </w:rPr>
              <w:t>a1aa7c27a38ce7e8c426...</w:t>
            </w:r>
          </w:p>
        </w:tc>
      </w:tr>
      <w:tr>
        <w:trPr>
          <w:cantSplit/>
        </w:trPr>
        <w:tc>
          <w:tcPr>
            <w:tcW w:type="dxa" w:w="4896"/>
            <w:tcMar>
              <w:top w:w="90" w:type="dxa"/>
              <w:start w:w="90" w:type="dxa"/>
              <w:bottom w:w="90" w:type="dxa"/>
              <w:end w:w="90" w:type="dxa"/>
            </w:tcMar>
            <w:vAlign w:val="center"/>
          </w:tcPr>
          <w:p>
            <w:pPr>
              <w:spacing w:after="20"/>
            </w:pPr>
            <w:r>
              <w:rPr>
                <w:sz w:val="12"/>
              </w:rPr>
              <w:t>extension/out/src/reactviews/assets/chunk-QWFNKCHH.js</w:t>
            </w:r>
          </w:p>
        </w:tc>
        <w:tc>
          <w:tcPr>
            <w:tcW w:type="dxa" w:w="1440"/>
            <w:tcMar>
              <w:top w:w="90" w:type="dxa"/>
              <w:start w:w="90" w:type="dxa"/>
              <w:bottom w:w="90" w:type="dxa"/>
              <w:end w:w="90" w:type="dxa"/>
            </w:tcMar>
            <w:vAlign w:val="center"/>
          </w:tcPr>
          <w:p>
            <w:pPr>
              <w:spacing w:after="20"/>
            </w:pPr>
            <w:r>
              <w:rPr>
                <w:sz w:val="12"/>
              </w:rPr>
              <w:t>926828</w:t>
            </w:r>
          </w:p>
        </w:tc>
        <w:tc>
          <w:tcPr>
            <w:tcW w:type="dxa" w:w="3024"/>
            <w:tcMar>
              <w:top w:w="90" w:type="dxa"/>
              <w:start w:w="90" w:type="dxa"/>
              <w:bottom w:w="90" w:type="dxa"/>
              <w:end w:w="90" w:type="dxa"/>
            </w:tcMar>
            <w:vAlign w:val="center"/>
          </w:tcPr>
          <w:p>
            <w:pPr>
              <w:spacing w:after="20"/>
            </w:pPr>
            <w:r>
              <w:rPr>
                <w:sz w:val="12"/>
              </w:rPr>
              <w:t>ed6814785fe7343364e3...</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extension/out/src/reactviews/assets/queryResult.js</w:t>
            </w:r>
          </w:p>
        </w:tc>
        <w:tc>
          <w:tcPr>
            <w:tcW w:type="dxa" w:w="1440"/>
            <w:tcMar>
              <w:top w:w="90" w:type="dxa"/>
              <w:start w:w="90" w:type="dxa"/>
              <w:bottom w:w="90" w:type="dxa"/>
              <w:end w:w="90" w:type="dxa"/>
            </w:tcMar>
            <w:vAlign w:val="center"/>
            <w:shd w:fill="F3F6F8"/>
          </w:tcPr>
          <w:p>
            <w:pPr>
              <w:spacing w:after="20"/>
            </w:pPr>
            <w:r>
              <w:rPr>
                <w:sz w:val="12"/>
              </w:rPr>
              <w:t>831612</w:t>
            </w:r>
          </w:p>
        </w:tc>
        <w:tc>
          <w:tcPr>
            <w:tcW w:type="dxa" w:w="3024"/>
            <w:tcMar>
              <w:top w:w="90" w:type="dxa"/>
              <w:start w:w="90" w:type="dxa"/>
              <w:bottom w:w="90" w:type="dxa"/>
              <w:end w:w="90" w:type="dxa"/>
            </w:tcMar>
            <w:vAlign w:val="center"/>
            <w:shd w:fill="F3F6F8"/>
          </w:tcPr>
          <w:p>
            <w:pPr>
              <w:spacing w:after="20"/>
            </w:pPr>
            <w:r>
              <w:rPr>
                <w:sz w:val="12"/>
              </w:rPr>
              <w:t>d9c30f79bd05ad9e037b...</w:t>
            </w:r>
          </w:p>
        </w:tc>
      </w:tr>
      <w:tr>
        <w:trPr>
          <w:cantSplit/>
        </w:trPr>
        <w:tc>
          <w:tcPr>
            <w:tcW w:type="dxa" w:w="4896"/>
            <w:tcMar>
              <w:top w:w="90" w:type="dxa"/>
              <w:start w:w="90" w:type="dxa"/>
              <w:bottom w:w="90" w:type="dxa"/>
              <w:end w:w="90" w:type="dxa"/>
            </w:tcMar>
            <w:vAlign w:val="center"/>
          </w:tcPr>
          <w:p>
            <w:pPr>
              <w:spacing w:after="20"/>
            </w:pPr>
            <w:r>
              <w:rPr>
                <w:sz w:val="12"/>
              </w:rPr>
              <w:t>extension/out/src/reactviews/assets/serverDashboard.js</w:t>
            </w:r>
          </w:p>
        </w:tc>
        <w:tc>
          <w:tcPr>
            <w:tcW w:type="dxa" w:w="1440"/>
            <w:tcMar>
              <w:top w:w="90" w:type="dxa"/>
              <w:start w:w="90" w:type="dxa"/>
              <w:bottom w:w="90" w:type="dxa"/>
              <w:end w:w="90" w:type="dxa"/>
            </w:tcMar>
            <w:vAlign w:val="center"/>
          </w:tcPr>
          <w:p>
            <w:pPr>
              <w:spacing w:after="20"/>
            </w:pPr>
            <w:r>
              <w:rPr>
                <w:sz w:val="12"/>
              </w:rPr>
              <w:t>577950</w:t>
            </w:r>
          </w:p>
        </w:tc>
        <w:tc>
          <w:tcPr>
            <w:tcW w:type="dxa" w:w="3024"/>
            <w:tcMar>
              <w:top w:w="90" w:type="dxa"/>
              <w:start w:w="90" w:type="dxa"/>
              <w:bottom w:w="90" w:type="dxa"/>
              <w:end w:w="90" w:type="dxa"/>
            </w:tcMar>
            <w:vAlign w:val="center"/>
          </w:tcPr>
          <w:p>
            <w:pPr>
              <w:spacing w:after="20"/>
            </w:pPr>
            <w:r>
              <w:rPr>
                <w:sz w:val="12"/>
              </w:rPr>
              <w:t>cd3d81eef6224e9868a5...</w:t>
            </w:r>
          </w:p>
        </w:tc>
      </w:tr>
      <w:tr>
        <w:trPr>
          <w:cantSplit/>
        </w:trPr>
        <w:tc>
          <w:tcPr>
            <w:tcW w:type="dxa" w:w="4896"/>
            <w:tcMar>
              <w:top w:w="90" w:type="dxa"/>
              <w:start w:w="90" w:type="dxa"/>
              <w:bottom w:w="90" w:type="dxa"/>
              <w:end w:w="90" w:type="dxa"/>
            </w:tcMar>
            <w:vAlign w:val="center"/>
            <w:shd w:fill="F3F6F8"/>
          </w:tcPr>
          <w:p>
            <w:pPr>
              <w:spacing w:after="20"/>
            </w:pPr>
            <w:r>
              <w:rPr>
                <w:sz w:val="12"/>
              </w:rPr>
              <w:t>extension/localization/l10n/bundle.l10n.ru.json</w:t>
            </w:r>
          </w:p>
        </w:tc>
        <w:tc>
          <w:tcPr>
            <w:tcW w:type="dxa" w:w="1440"/>
            <w:tcMar>
              <w:top w:w="90" w:type="dxa"/>
              <w:start w:w="90" w:type="dxa"/>
              <w:bottom w:w="90" w:type="dxa"/>
              <w:end w:w="90" w:type="dxa"/>
            </w:tcMar>
            <w:vAlign w:val="center"/>
            <w:shd w:fill="F3F6F8"/>
          </w:tcPr>
          <w:p>
            <w:pPr>
              <w:spacing w:after="20"/>
            </w:pPr>
            <w:r>
              <w:rPr>
                <w:sz w:val="12"/>
              </w:rPr>
              <w:t>447795</w:t>
            </w:r>
          </w:p>
        </w:tc>
        <w:tc>
          <w:tcPr>
            <w:tcW w:type="dxa" w:w="3024"/>
            <w:tcMar>
              <w:top w:w="90" w:type="dxa"/>
              <w:start w:w="90" w:type="dxa"/>
              <w:bottom w:w="90" w:type="dxa"/>
              <w:end w:w="90" w:type="dxa"/>
            </w:tcMar>
            <w:vAlign w:val="center"/>
            <w:shd w:fill="F3F6F8"/>
          </w:tcPr>
          <w:p>
            <w:pPr>
              <w:spacing w:after="20"/>
            </w:pPr>
            <w:r>
              <w:rPr>
                <w:sz w:val="12"/>
              </w:rPr>
              <w:t>548c3ecc47a02336f0bf...</w:t>
            </w:r>
          </w:p>
        </w:tc>
      </w:tr>
      <w:tr>
        <w:trPr>
          <w:cantSplit/>
        </w:trPr>
        <w:tc>
          <w:tcPr>
            <w:tcW w:type="dxa" w:w="4896"/>
            <w:tcMar>
              <w:top w:w="90" w:type="dxa"/>
              <w:start w:w="90" w:type="dxa"/>
              <w:bottom w:w="90" w:type="dxa"/>
              <w:end w:w="90" w:type="dxa"/>
            </w:tcMar>
            <w:vAlign w:val="center"/>
          </w:tcPr>
          <w:p>
            <w:pPr>
              <w:spacing w:after="20"/>
            </w:pPr>
            <w:r>
              <w:rPr>
                <w:sz w:val="12"/>
              </w:rPr>
              <w:t>extension/NOTICE-TOOLS.txt</w:t>
            </w:r>
          </w:p>
        </w:tc>
        <w:tc>
          <w:tcPr>
            <w:tcW w:type="dxa" w:w="1440"/>
            <w:tcMar>
              <w:top w:w="90" w:type="dxa"/>
              <w:start w:w="90" w:type="dxa"/>
              <w:bottom w:w="90" w:type="dxa"/>
              <w:end w:w="90" w:type="dxa"/>
            </w:tcMar>
            <w:vAlign w:val="center"/>
          </w:tcPr>
          <w:p>
            <w:pPr>
              <w:spacing w:after="20"/>
            </w:pPr>
            <w:r>
              <w:rPr>
                <w:sz w:val="12"/>
              </w:rPr>
              <w:t>436215</w:t>
            </w:r>
          </w:p>
        </w:tc>
        <w:tc>
          <w:tcPr>
            <w:tcW w:type="dxa" w:w="3024"/>
            <w:tcMar>
              <w:top w:w="90" w:type="dxa"/>
              <w:start w:w="90" w:type="dxa"/>
              <w:bottom w:w="90" w:type="dxa"/>
              <w:end w:w="90" w:type="dxa"/>
            </w:tcMar>
            <w:vAlign w:val="center"/>
          </w:tcPr>
          <w:p>
            <w:pPr>
              <w:spacing w:after="20"/>
            </w:pPr>
            <w:r>
              <w:rPr>
                <w:sz w:val="12"/>
              </w:rPr>
              <w:t>ab28f23ec4295c841113...</w:t>
            </w:r>
          </w:p>
        </w:tc>
      </w:tr>
      <w:tr>
        <w:trPr>
          <w:cantSplit/>
        </w:trPr>
        <w:tc>
          <w:tcPr>
            <w:tcW w:type="dxa" w:w="4896"/>
            <w:tcMar>
              <w:top w:w="90" w:type="dxa"/>
              <w:start w:w="90" w:type="dxa"/>
              <w:bottom w:w="90" w:type="dxa"/>
              <w:end w:w="90" w:type="dxa"/>
            </w:tcMar>
            <w:vAlign w:val="center"/>
            <w:shd w:fill="F3F6F8"/>
          </w:tcPr>
          <w:p>
            <w:pPr>
              <w:spacing w:after="20"/>
            </w:pPr>
            <w:r>
              <w:rPr>
                <w:sz w:val="12"/>
              </w:rPr>
              <w:t>extension/out/src/reactviews/assets/queryPlanVisualizer.js</w:t>
            </w:r>
          </w:p>
        </w:tc>
        <w:tc>
          <w:tcPr>
            <w:tcW w:type="dxa" w:w="1440"/>
            <w:tcMar>
              <w:top w:w="90" w:type="dxa"/>
              <w:start w:w="90" w:type="dxa"/>
              <w:bottom w:w="90" w:type="dxa"/>
              <w:end w:w="90" w:type="dxa"/>
            </w:tcMar>
            <w:vAlign w:val="center"/>
            <w:shd w:fill="F3F6F8"/>
          </w:tcPr>
          <w:p>
            <w:pPr>
              <w:spacing w:after="20"/>
            </w:pPr>
            <w:r>
              <w:rPr>
                <w:sz w:val="12"/>
              </w:rPr>
              <w:t>401971</w:t>
            </w:r>
          </w:p>
        </w:tc>
        <w:tc>
          <w:tcPr>
            <w:tcW w:type="dxa" w:w="3024"/>
            <w:tcMar>
              <w:top w:w="90" w:type="dxa"/>
              <w:start w:w="90" w:type="dxa"/>
              <w:bottom w:w="90" w:type="dxa"/>
              <w:end w:w="90" w:type="dxa"/>
            </w:tcMar>
            <w:vAlign w:val="center"/>
            <w:shd w:fill="F3F6F8"/>
          </w:tcPr>
          <w:p>
            <w:pPr>
              <w:spacing w:after="20"/>
            </w:pPr>
            <w:r>
              <w:rPr>
                <w:sz w:val="12"/>
              </w:rPr>
              <w:t>315c872f228f4b0f2464...</w:t>
            </w:r>
          </w:p>
        </w:tc>
      </w:tr>
      <w:tr>
        <w:trPr>
          <w:cantSplit/>
        </w:trPr>
        <w:tc>
          <w:tcPr>
            <w:tcW w:type="dxa" w:w="4896"/>
            <w:tcMar>
              <w:top w:w="90" w:type="dxa"/>
              <w:start w:w="90" w:type="dxa"/>
              <w:bottom w:w="90" w:type="dxa"/>
              <w:end w:w="90" w:type="dxa"/>
            </w:tcMar>
            <w:vAlign w:val="center"/>
          </w:tcPr>
          <w:p>
            <w:pPr>
              <w:spacing w:after="20"/>
            </w:pPr>
            <w:r>
              <w:rPr>
                <w:sz w:val="12"/>
              </w:rPr>
              <w:t>extension/localization/l10n/bundle.l10n.ja.json</w:t>
            </w:r>
          </w:p>
        </w:tc>
        <w:tc>
          <w:tcPr>
            <w:tcW w:type="dxa" w:w="1440"/>
            <w:tcMar>
              <w:top w:w="90" w:type="dxa"/>
              <w:start w:w="90" w:type="dxa"/>
              <w:bottom w:w="90" w:type="dxa"/>
              <w:end w:w="90" w:type="dxa"/>
            </w:tcMar>
            <w:vAlign w:val="center"/>
          </w:tcPr>
          <w:p>
            <w:pPr>
              <w:spacing w:after="20"/>
            </w:pPr>
            <w:r>
              <w:rPr>
                <w:sz w:val="12"/>
              </w:rPr>
              <w:t>378902</w:t>
            </w:r>
          </w:p>
        </w:tc>
        <w:tc>
          <w:tcPr>
            <w:tcW w:type="dxa" w:w="3024"/>
            <w:tcMar>
              <w:top w:w="90" w:type="dxa"/>
              <w:start w:w="90" w:type="dxa"/>
              <w:bottom w:w="90" w:type="dxa"/>
              <w:end w:w="90" w:type="dxa"/>
            </w:tcMar>
            <w:vAlign w:val="center"/>
          </w:tcPr>
          <w:p>
            <w:pPr>
              <w:spacing w:after="20"/>
            </w:pPr>
            <w:r>
              <w:rPr>
                <w:sz w:val="12"/>
              </w:rPr>
              <w:t>428a1a791d0711551968...</w:t>
            </w:r>
          </w:p>
        </w:tc>
      </w:tr>
      <w:tr>
        <w:trPr>
          <w:cantSplit/>
        </w:trPr>
        <w:tc>
          <w:tcPr>
            <w:tcW w:type="dxa" w:w="4896"/>
            <w:tcMar>
              <w:top w:w="90" w:type="dxa"/>
              <w:start w:w="90" w:type="dxa"/>
              <w:bottom w:w="90" w:type="dxa"/>
              <w:end w:w="90" w:type="dxa"/>
            </w:tcMar>
            <w:vAlign w:val="center"/>
            <w:shd w:fill="F3F6F8"/>
          </w:tcPr>
          <w:p>
            <w:pPr>
              <w:spacing w:after="20"/>
            </w:pPr>
            <w:r>
              <w:rPr>
                <w:sz w:val="12"/>
              </w:rPr>
              <w:t>extension/localization/l10n/bundle.l10n.json</w:t>
            </w:r>
          </w:p>
        </w:tc>
        <w:tc>
          <w:tcPr>
            <w:tcW w:type="dxa" w:w="1440"/>
            <w:tcMar>
              <w:top w:w="90" w:type="dxa"/>
              <w:start w:w="90" w:type="dxa"/>
              <w:bottom w:w="90" w:type="dxa"/>
              <w:end w:w="90" w:type="dxa"/>
            </w:tcMar>
            <w:vAlign w:val="center"/>
            <w:shd w:fill="F3F6F8"/>
          </w:tcPr>
          <w:p>
            <w:pPr>
              <w:spacing w:after="20"/>
            </w:pPr>
            <w:r>
              <w:rPr>
                <w:sz w:val="12"/>
              </w:rPr>
              <w:t>368761</w:t>
            </w:r>
          </w:p>
        </w:tc>
        <w:tc>
          <w:tcPr>
            <w:tcW w:type="dxa" w:w="3024"/>
            <w:tcMar>
              <w:top w:w="90" w:type="dxa"/>
              <w:start w:w="90" w:type="dxa"/>
              <w:bottom w:w="90" w:type="dxa"/>
              <w:end w:w="90" w:type="dxa"/>
            </w:tcMar>
            <w:vAlign w:val="center"/>
            <w:shd w:fill="F3F6F8"/>
          </w:tcPr>
          <w:p>
            <w:pPr>
              <w:spacing w:after="20"/>
            </w:pPr>
            <w:r>
              <w:rPr>
                <w:sz w:val="12"/>
              </w:rPr>
              <w:t>c20b4d11f0997c91fb57...</w:t>
            </w:r>
          </w:p>
        </w:tc>
      </w:tr>
    </w:tbl>
    <w:p>
      <w:pPr>
        <w:spacing w:after="40"/>
      </w:pPr>
    </w:p>
    <w:p>
      <w:pPr>
        <w:pStyle w:val="Heading1"/>
      </w:pPr>
      <w:r>
        <w:t>Appendix B - Runtime Host Verification Procedure</w:t>
      </w:r>
    </w:p>
    <w:p>
      <w:r>
        <w:t>Use a disposable, revertible managed endpoint with current VS Code, clean profiles, exact local 1.26.0 VSIX, synthetic Copilot enterprise tenant, synthetic PostgreSQL database, controlled egress and EDR/DNS/proxy capture. Verify hashes before installation. Capture before/after state; exercise ro/rw tools, MCP token/session negatives, prompt injection, TLS downgrade, malformed SQL/CSV, telemetry, update, logout and uninstall. Revoke credentials, reconcile database/audit state and restore the snapshot.</w:t>
      </w:r>
    </w:p>
    <w:p>
      <w:pPr>
        <w:pStyle w:val="Heading1"/>
      </w:pPr>
      <w:r>
        <w:t>Appendix C - Validated Stage Outputs</w:t>
      </w:r>
    </w:p>
    <w:p>
      <w:r>
        <w:t>These stage texts are validated inputs to the report. SHA-256 values are bound in `stage-manifest.json`; report generation fails if any stage changes.</w:t>
      </w:r>
    </w:p>
    <w:p>
      <w:pPr>
        <w:pStyle w:val="Heading2"/>
      </w:pPr>
      <w:r>
        <w:t>01. Intake, identity, scope, selections and readiness</w:t>
      </w:r>
    </w:p>
    <w:p>
      <w:r>
        <w:t>Validated SHA-256: 59e5bc7d220a6edf9edb70f06dda172dadb75862e5fbafdca94567822a872524.</w:t>
      </w:r>
    </w:p>
    <w:p>
      <w:r>
        <w:t xml:space="preserve">The exact target is the domain-verified Microsoft Marketplace listing </w:t>
      </w:r>
      <w:r>
        <w:rPr>
          <w:b/>
        </w:rPr>
        <w:t>PostgreSQL</w:t>
      </w:r>
      <w:r>
        <w:t>, identifier `ms-ossdata.vscode-pgsql`, publisher display name Microsoft and publisher name `ms-ossdata`. The skill defaults to the latest stable release when no version is supplied. Microsoft’s package changelog states that even minor versions are stable and odd minor versions are pre-release; Marketplace metadata confirms that version 1.26.0 has no pre-release property. Version 1.27.3 was therefore excluded after an intake correction and is not used for findings or approval.</w:t>
      </w:r>
    </w:p>
    <w:p>
      <w:r>
        <w:t>All seven stable 1.26.0 Marketplace variants were acquired: universal, Windows x64/ARM64, Linux x64/ARM64 and macOS x64/ARM64. Exact SHA-256 values are preserved in the stable Marketplace record and VSIX inventory. The package manifest requires VS Code `^1.95.2`, Node `^22.11.0` and extension dependency `vscode.sql`. Official documentation supports VS Code and Cursor; no Microsoft Visual Studio support was identified. The assessment folder uses the exact Marketplace display name, `PostgreSQL`.</w:t>
      </w:r>
    </w:p>
    <w:p>
      <w:r>
        <w:t xml:space="preserve">The default enterprise context is a Large UK Insurance business. Static package/source inspection, static malware review, runtime analysis and privacy review are all selected </w:t>
      </w:r>
      <w:r>
        <w:rPr>
          <w:b/>
        </w:rPr>
        <w:t>Yes</w:t>
      </w:r>
      <w:r>
        <w:t xml:space="preserve">. Runtime remains selected but is </w:t>
      </w:r>
      <w:r>
        <w:rPr>
          <w:b/>
        </w:rPr>
        <w:t>Blocked</w:t>
      </w:r>
      <w:r>
        <w:t xml:space="preserve"> because no disposable representative Windows/macOS/Linux endpoint, clean VS Code profile, synthetic PostgreSQL service, synthetic Copilot tenant, controlled egress, endpoint telemetry and tested rollback were available. The extension was not installed, activated or authenticated and no assessed executable was launched.</w:t>
      </w:r>
    </w:p>
    <w:p>
      <w:r>
        <w:t xml:space="preserve">The decision is </w:t>
      </w:r>
      <w:r>
        <w:rPr>
          <w:b/>
        </w:rPr>
        <w:t>Defer pending evidence</w:t>
      </w:r>
      <w:r>
        <w:t>, with High overall residual risk. This is not a malware verdict. Identity and archive confidence are High; package-to-source confidence is Low because the public repository contains documentation and issue material rather than the extension implementation; Windows x64 dependency visibility is Medium; runtime and actual consent/transport behavior confidence are Low. Production databases, customer data, regulated data and autonomous read/write use remain outside approval.</w:t>
      </w:r>
    </w:p>
    <w:p>
      <w:pPr>
        <w:pStyle w:val="Heading2"/>
      </w:pPr>
      <w:r>
        <w:t>02. Evidence plan and register baseline</w:t>
      </w:r>
    </w:p>
    <w:p>
      <w:r>
        <w:t>Validated SHA-256: de47d867f818b365b0cd0ea81f20b6b1e7484db7575c8e0afefedcd0a288e47b.</w:t>
      </w:r>
    </w:p>
    <w:p>
      <w:r>
        <w:t>The evidence plan gives precedence to exact Marketplace bytes and metadata, official Microsoft documentation, the official repository snapshot, package manifests, signature assets, file inventories, scanner outputs, advisory databases and current primary framework/regulatory sources. Stable identifiers use `EVD-nnn` for preserved evidence and `REF-nnn` for report references. Material claims are labelled Verified, Inferred, Not observed, Not applicable or Unknown.</w:t>
      </w:r>
    </w:p>
    <w:p>
      <w:r>
        <w:t>Acquisition covers every 1.26.0 platform variant rather than extrapolating from one host. Each archive was subject to bounded safe extraction and checks for absolute paths, traversal, links, special files and expansion limits. Raw third-party archives remain untrusted and ignored by repository policy. Durable manifests contain hashes, filenames, sizes, target platforms and acquisition provenance. The current official GitHub repository snapshot is preserved as documentation provenance, not represented as package source.</w:t>
      </w:r>
    </w:p>
    <w:p>
      <w:r>
        <w:t>Static analysis covers the manifest, activation events, settings, workspace-trust declaration, 102 commands, 16 language-model tools, MCP provider declaration, minified JavaScript, web assets, scripts, bundled tools service, Python runtime, native libraries and cross-platform variation. The malware branch uses ClamAV, assessment-local YARA, Gitleaks and Semgrep, with every scanner signal manually scoped. The dependency branch generates a CycloneDX SBOM and correlates Grype, Trivy and OSV signals; scanner recognition and reachability limitations are explicit.</w:t>
      </w:r>
    </w:p>
    <w:p>
      <w:r>
        <w:t>Runtime planning covers installation, activation, child processes, local listeners, bearer-token handling, SecretStorage, VS Code settings, workspace configuration, database authentication, TLS modes, Copilot consent, MCP registration, telemetry, logs, query history, update and uninstall residue. Privacy planning covers schema/query/result data, connection metadata, host/user names in logs, telemetry, model-provider processing, retention, records, data subject rights, outsourcing and operational resilience.</w:t>
      </w:r>
    </w:p>
    <w:p>
      <w:pPr>
        <w:pStyle w:val="Heading2"/>
      </w:pPr>
      <w:r>
        <w:t>03. Acquisition provenance and immutable artefacts</w:t>
      </w:r>
    </w:p>
    <w:p>
      <w:r>
        <w:t>Validated SHA-256: a5c031b3b59a2bd2923df2b10f1ed196f4a16b899100be431750a02cdd2c5692.</w:t>
      </w:r>
    </w:p>
    <w:p>
      <w:r>
        <w:t>Marketplace Gallery metadata was queried for the exact identifier and resolved seven version 1.26.0 variants with no pre-release flag. The acquired SHA-256 values are: universal `3bbd913bbfca20c3382ca4a35c25f0d31f0944ce716929a390b3abc345480235`; Windows x64 `703c8e6a1a1b2ee10047aa7ed07e1024fd20c6ee88de76199c3d889f0dc9d2a6`; Windows ARM64 `6e9818df34bb0aaa849e31f6a61acfa4480b4e696ffd637b9f1f309853b803dd`; Linux x64 `047fde4dd8a71a12d60bfc4794dfa2c520eea39c6ad31983ce16ef7ad51fb798`; Linux ARM64 `458966d7cbf602730603f0d4e6f477c8976c4238601d6ce60e645b29dd1da75e`; macOS x64 `c3e2f3e7092bd717ecddaeda04dba9eb7acb8bc15432d18d61ec43e42e540b14`; and macOS ARM64 `a7e3f3c5890ed0bab94bd91284cd1eca512e66370917d6de1edd3fcf8783c7e7`.</w:t>
      </w:r>
    </w:p>
    <w:p>
      <w:r>
        <w:t>Safe extraction produced 536 universal files, 5,657 files for each Windows package, 5,138 Linux x64 files, 5,099 Linux ARM64 files, 5,077 macOS x64 files and 5,082 macOS ARM64 files. No symlink or special-file member was accepted. Package manifests in every variant identify version 1.26.0. Native packages bundle PostgreSQL Tools Service 3.4.1; the universal package contains the extension and tools-service acquisition metadata rather than the full native payload.</w:t>
      </w:r>
    </w:p>
    <w:p>
      <w:r>
        <w:t>Every Marketplace signature asset is a ZIP container containing `.signature.manifest` and a DER CMS `.signature.p7s`. Structural parsing identifies Microsoft Corporation with the Visual Studio Marketplace organisational unit and a DigiCert code-signing chain. Generic detached CMS verification was not treated as a Marketplace trust-policy result. Exact Gallery-to-VSIX SHA-256 binding provides the primary byte-integrity evidence.</w:t>
      </w:r>
    </w:p>
    <w:p>
      <w:r>
        <w:t>The official repository snapshot resolves commit `063745e16de989d790fe703d00eda5878140d5af`, was downloaded through HTTPS codeload, safely extracted with one root component stripped and contains no Git metadata. It is documentation/notice provenance only; Microsoft states that extension source is not currently published. Reproducible build correspondence is therefore Unknown.</w:t>
      </w:r>
    </w:p>
    <w:p>
      <w:r>
        <w:t>This v1.1 correction run reuses the byte-identical v1.0 source snapshot, Marketplace artefacts, signature assets, inventories and scanner outputs. Their original acquisition and scan timestamps remain authoritative and are not represented as new collection. The correction changes four moved Microsoft Learn citation targets only; identity, package bytes, findings, scores, decision and runtime status are unchanged. Reuse is bound by the v1.0 report digest `f37f4c15b226c3077ef4eb23da7b1b2bd1487e96b89be2ef3601388314079b70`, the unchanged archive digest in `snapshot-manifest.json`, and `correction-provenance.json`.</w:t>
      </w:r>
    </w:p>
    <w:p>
      <w:pPr>
        <w:pStyle w:val="Heading2"/>
      </w:pPr>
      <w:r>
        <w:t>04. Static package, source, manifest, dependency and binary inspection</w:t>
      </w:r>
    </w:p>
    <w:p>
      <w:r>
        <w:t>Validated SHA-256: cd3d5f30af967a7f442d21ebf910675e7e1a2c9c9fc6bf78757b0a8f4783539e.</w:t>
      </w:r>
    </w:p>
    <w:p>
      <w:r>
        <w:t>The extension entry point is a minified `dist/extension.js` bundle with no source map. Activation is declared for URI handling, Object Explorer, completion loading and durable-workbench commands. The package contributes 102 commands and accepts untrusted workspaces, but only eight DBAgent-related settings are listed as restricted in Restricted Mode. Connection, Copilot access, migrations and query-history settings are not all present in that restricted list, so runtime must prove that untrusted repository state cannot cause connection, AI or database action before appropriately timed consent.</w:t>
      </w:r>
    </w:p>
    <w:p>
      <w:r>
        <w:t>The manifest exposes 16 model tools. Read-oriented tools enumerate profiles/databases, obtain schema/dashboard context, query, visualise schemas and inspect plans. Write-capable tools connect, bulk-load CSV and execute DDL/DML through `pgsql_modify`. The latter’s tool description calls for explicit confirmation, but a description is not an enforcement boundary. Copilot is enabled by default and its access mode defaults to `rw`; read-only `ro` is available. The extension also registers an MCP provider whose endpoint and bearer-token lifecycle are supplied by the language service.</w:t>
      </w:r>
    </w:p>
    <w:p>
      <w:r>
        <w:t>Native variants include Tools Service 3.4.1, Python, PostgreSQL client libraries, OpenSSL, SQLite, NumPy/OpenBLAS, pandas, psycopg, web/MCP frameworks and debugpy material. Debugpy includes DLL-injection helpers used for debugger attach functionality. Their presence expands the static attack surface but does not prove malicious use or runtime reachability. The universal package can retrieve a platform tools service on demand, creating a second update/provenance boundary.</w:t>
      </w:r>
    </w:p>
    <w:p>
      <w:r>
        <w:t>Semgrep scanned 400 universal-package targets and returned two warnings with 177 parse/size errors: missing SRI on an external favicon in a legacy Entra landing page, and possible missing `postMessage` origin validation in a minified React view bundle. The favicon is non-script content; the minified message handler requires source/runtime reachability and origin evidence. Neither signal establishes a confirmed vulnerability. YARA matches in minified/vendor files are likewise treated as signals. The lack of full source, large minified bundles and platform-native code materially limits manual review.</w:t>
      </w:r>
    </w:p>
    <w:p>
      <w:pPr>
        <w:pStyle w:val="Heading2"/>
      </w:pPr>
      <w:r>
        <w:t>05. Per-IDE installation, activation, update and residue</w:t>
      </w:r>
    </w:p>
    <w:p>
      <w:r>
        <w:t>Validated SHA-256: a6131d4fd9435ca1c214f6defff76739401b32534c9a0df1aaeca6c8cca8b3ac.</w:t>
      </w:r>
    </w:p>
    <w:p>
      <w:r>
        <w:rPr>
          <w:b/>
        </w:rPr>
        <w:t>VS Code.</w:t>
      </w:r>
      <w:r>
        <w:t xml:space="preserve"> Expected installation places the selected platform package under the configured VS Code extensions directory and records host extension metadata. Native packages bundle Tools Service 3.4.1; the universal package is smaller and can acquire the matching service from Microsoft’s GitHub release location after installation. The main extension launches a service process and uses local IPC/network mechanisms to provide database language, query, dashboard, migration, Copilot and MCP capabilities. Exact process arguments, listening interfaces, port selection and token handling were not observed.</w:t>
      </w:r>
    </w:p>
    <w:p>
      <w:r>
        <w:t>Connection profiles can be saved at user, workspace or folder scope. Workspace/folder profiles may be committed in `.vscode/settings.json`, creating a repository-controlled configuration boundary even if passwords remain in SecretStorage. Passwords are documented as stored through VS Code SecretStorage and the operating-system credential manager. Query history, placeholder-value retention, extension logs and tools-service logs can persist. Logs may contain host names, user names and other sensitive data. Uninstall may leave VS Code global/workspace storage, secrets, settings, logs, query history, migration projects and downloaded tools-service files; exact residue is Unknown.</w:t>
      </w:r>
    </w:p>
    <w:p>
      <w:r>
        <w:t>Update paths include normal Marketplace updates and tools-service download metadata. Every update changes the approved byte set and may change model-tool schemas, MCP behavior, dependencies and privacy. Enterprise rollout should pin exact approved versions/hashes, monitor the Marketplace and tools-service manifests, stage updates and prevent universal-package download drift where native packages can be centrally approved.</w:t>
      </w:r>
    </w:p>
    <w:p>
      <w:r>
        <w:rPr>
          <w:b/>
        </w:rPr>
        <w:t>Microsoft Visual Studio.</w:t>
      </w:r>
      <w:r>
        <w:t xml:space="preserve"> The official listing is a VS Code extension. No Microsoft Visual Studio VSIX, MEF component, service, registry state or supported installation path was found. Microsoft Visual Studio status is Not applicable. A future Visual Studio extension requires a new exact-identity assessment and must not inherit this report.</w:t>
      </w:r>
    </w:p>
    <w:p>
      <w:pPr>
        <w:pStyle w:val="Heading2"/>
      </w:pPr>
      <w:r>
        <w:t>06. Architecture, trust boundaries, data flows, privilege and privacy</w:t>
      </w:r>
    </w:p>
    <w:p>
      <w:r>
        <w:t>Validated SHA-256: 78d5c6a68586488e20dbf3246670aa65e7a0b6d9ca507d6235e16694b7ba4b8a.</w:t>
      </w:r>
    </w:p>
    <w:p>
      <w:r>
        <w:t>The principal trust chain is: user and repository-controlled workspace content -&gt; VS Code extension host and webviews -&gt; Microsoft PostgreSQL extension bundle -&gt; PostgreSQL Tools Service -&gt; database, Azure control plane and migration services -&gt; GitHub Copilot/model provider and/or VS Code MCP host -&gt; model/tool output -&gt; database query or modification. Other boundaries include SecretStorage/OS credential manager, workspace settings, local logs/history, CSV files, schema migration workspaces, Oracle source material, Azure OpenAI configuration and extension/tool-service update channels.</w:t>
      </w:r>
    </w:p>
    <w:p>
      <w:r>
        <w:t>Attacker-controlled inputs include SQL files, workspace settings, connection-profile metadata, database schemas/data, query results, CSV files, model prompts/outputs, MCP requests, tool arguments, migration source code, remote service responses and filenames/paths. Important assets include database credentials, customer/claims/policy data, schema/privilege metadata, queries, query plans, migration code, Azure identities, Copilot prompts, local history and audit evidence.</w:t>
      </w:r>
    </w:p>
    <w:p>
      <w:r>
        <w:t>The extension can issue SQL, import CSV, edit rows, create/alter/drop database objects, analyse performance, manage Azure resources and transform migration artefacts. Default Copilot `rw` authority raises the consequence of prompt injection, model error, ambiguous intent and permission fatigue. Controls must be enforced at the database boundary: dedicated non-production instances, least-privilege roles, read-only transactions/roles for exploratory AI, statement timeouts, network allowlists, TLS Verify-Full, auditing and separate privileged workflows.</w:t>
      </w:r>
    </w:p>
    <w:p>
      <w:r>
        <w:t>Privacy data flows include schema names, table/column metadata, queries, results, dashboard metrics, query plans, connection host/user names, migration source code and operational logs. These can contain personal data or infer sensitive insurance information. Copilot/model-provider terms, retention, training, subprocessors, regional processing, deletion and enterprise policy are deployment-specific and were not proven. The correct default is no production/customer data until DPIA, contract and runtime route evidence are complete.</w:t>
      </w:r>
    </w:p>
    <w:p>
      <w:pPr>
        <w:pStyle w:val="Heading2"/>
      </w:pPr>
      <w:r>
        <w:t>07. Runtime plan, blocked capability and closure evidence</w:t>
      </w:r>
    </w:p>
    <w:p>
      <w:r>
        <w:t>Validated SHA-256: efc09725d99208accfad09d70bdb8295ac693690dfcaf66cc5fd31bb9446456b.</w:t>
      </w:r>
    </w:p>
    <w:p>
      <w:r>
        <w:t xml:space="preserve">Runtime analysis remains selected </w:t>
      </w:r>
      <w:r>
        <w:rPr>
          <w:b/>
        </w:rPr>
        <w:t>Yes</w:t>
      </w:r>
      <w:r>
        <w:t xml:space="preserve"> and is </w:t>
      </w:r>
      <w:r>
        <w:rPr>
          <w:b/>
        </w:rPr>
        <w:t>Blocked</w:t>
      </w:r>
      <w:r>
        <w:t>. No extension or bundled executable was installed, activated or launched. No database, Azure, Copilot or MCP credential was supplied. A normal workstation or ordinary temporary VS Code profile is not sufficient isolation for native code with user-level filesystem, network and credential-store access.</w:t>
      </w:r>
    </w:p>
    <w:p>
      <w:r>
        <w:t>Closure requires disposable, revertible Windows x64 and at least one macOS/Linux representative endpoint; current managed VS Code; clean extension/profile/storage paths; a synthetic PostgreSQL service with seeded non-sensitive data; synthetic Copilot enterprise identity; least-privilege Azure test subscription if Azure features are exercised; restricted egress; DNS/TLS metadata capture; EDR/process/file telemetry; accurate time; and a tested snapshot rollback. The exact local 1.26.0 VSIX must be installed only after hash verification.</w:t>
      </w:r>
    </w:p>
    <w:p>
      <w:r>
        <w:t>Capture before/after state for files, processes, listeners, named pipes/sockets, environment, settings, SecretStorage identifiers, credential-manager entries, logs, history, downloaded tools-service content and network destinations. Test untrusted-workspace activation, workspace connection profiles, `ro` and `rw` Copilot modes, every high-impact model tool, MCP registration/token rotation, expired/replayed bearer tokens, malformed tool arguments, prompt injection in schema/data/SQL comments, destructive SQL confirmation, transaction behavior, TLS modes, telemetry disablement, update and uninstall.</w:t>
      </w:r>
    </w:p>
    <w:p>
      <w:r>
        <w:t>Fail closure if any database modification occurs without specific timely confirmation, if `ro` can cause a write, if the server binds beyond an approved local interface, if a bearer token is reusable outside its intended session, if sensitive content reaches an unapproved destination, if workspace content can silently widen authority, or if uninstall/rollback leaves unapproved credentials or executable residue.</w:t>
      </w:r>
    </w:p>
    <w:p>
      <w:pPr>
        <w:pStyle w:val="Heading2"/>
      </w:pPr>
      <w:r>
        <w:t>08. Malware, IOC, obfuscation, native code and supply chain</w:t>
      </w:r>
    </w:p>
    <w:p>
      <w:r>
        <w:t>Validated SHA-256: b60135a8e137899c12c53e2cba7fd58cd844bccd123f8d54df6610f34f52abf6.</w:t>
      </w:r>
    </w:p>
    <w:p>
      <w:r>
        <w:t>Archive safety checks found no accepted traversal, absolute-path, symlink or special-file entries. Exact hashes bind every stable VSIX to Marketplace metadata. Signature assets structurally identify Microsoft/Visual Studio Marketplace and a DigiCert chain. Those controls support provenance; they do not prove runtime safety, source correspondence or freedom from compromised dependencies.</w:t>
      </w:r>
    </w:p>
    <w:p>
      <w:r>
        <w:t>ClamAV scanned every extracted platform variant with no infected files reported. Assessment-local YARA identified expected matches for MCP authority, dynamic execution and encoded/minified payload patterns; manual review associated these with declared model tools, minified JavaScript and bundled Python/debugging components rather than a persistence, credential-theft or reverse-shell cluster. Gitleaks signals are triaged as embedded telemetry instrumentation identifiers or high-entropy bundle text, not usable customer credentials. Values are redacted from durable package-manifest summaries.</w:t>
      </w:r>
    </w:p>
    <w:p>
      <w:r>
        <w:t>The package has a large supply-chain surface: seven independently built VSIXes, an opaque/minified extension bundle, a Python-based native tools service, native client/crypto/database libraries, debugpy attach utilities and an optional post-install tools-service download path. The official repository does not expose complete extension source or a reproducible build. Scanner non-detection therefore has bounded evidential value.</w:t>
      </w:r>
    </w:p>
    <w:p>
      <w:r>
        <w:t xml:space="preserve">No detonation, reputation upload, third-party callback, extension activation or production endpoint was used. The malware conclusion is </w:t>
      </w:r>
      <w:r>
        <w:rPr>
          <w:b/>
        </w:rPr>
        <w:t>No confirmed malware from static evidence; assurance incomplete</w:t>
      </w:r>
      <w:r>
        <w:t>. Require Microsoft provenance/SBOM/build attestation, platform-specific signing evidence, exact-hash allowlisting, staged updates, EDR monitoring and representative runtime before deployment.</w:t>
      </w:r>
    </w:p>
    <w:p>
      <w:pPr>
        <w:pStyle w:val="Heading2"/>
      </w:pPr>
      <w:r>
        <w:t>09. SBOM-style inventory and vulnerability/advisory triage</w:t>
      </w:r>
    </w:p>
    <w:p>
      <w:r>
        <w:t>Validated SHA-256: 51f9603c08b89c502f35460d53e4dca807814453b1e06492776ff976f986090f.</w:t>
      </w:r>
    </w:p>
    <w:p>
      <w:r>
        <w:t>Syft generated a CycloneDX inventory for the Windows x64 package because that package includes the full native Tools Service 3.4.1 payload. Grype, Trivy and OSV were correlated rather than treated as interchangeable truth. CPE/package matching can over-report server vulnerabilities against bundled client libraries, while lockfile-only scanners can under-report frozen Python applications. Cross-platform dependency versions were not exhaustively normalised.</w:t>
      </w:r>
    </w:p>
    <w:p>
      <w:r>
        <w:t>The Windows x64 package directly contains `mcp` Python SDK 1.26.0. That version falls inside three current High GitHub advisory ranges. GHSA-jpw9-pfvf-9f58 affects authenticated stateful SSE/Streamable HTTP sessions through 1.27.1; stdio, stateless HTTP and unauthenticated deployments are not affected. GHSA-hvrp-rf83-w775 affects opt-in experimental tasks from 1.23.0 through 1.27.1. GHSA-vj7q-gjh5-988w affects the deprecated WebSocket server transport below 1.28.1 and is not reachable through FastMCP. Package/version exposure is Verified; affected transport/feature reachability in PostgreSQL Tools Service is Unknown.</w:t>
      </w:r>
    </w:p>
    <w:p>
      <w:r>
        <w:t>Python, PostgreSQL, Werkzeug, OpenSSL and other generic matches require the same analysis. PostgreSQL server CVEs may not apply to packaged client libraries; Python standard-library CVEs may require unused modules or network roles. Findings are therefore separated into confirmed package/version exposure, conditional reachability and false-positive/unknown categories. No scanner severity is copied directly into enterprise residual risk.</w:t>
      </w:r>
    </w:p>
    <w:p>
      <w:r>
        <w:t>Required closure is a Microsoft component SBOM for Tools Service 3.4.1 and every platform, a VEX/reachability statement for current MCP/Python/web dependencies, fixed-version evidence where affected, and regression tests of the actual local transport/token/session design. Until then dependency assurance remains High residual risk.</w:t>
      </w:r>
    </w:p>
    <w:p>
      <w:pPr>
        <w:pStyle w:val="Heading2"/>
      </w:pPr>
      <w:r>
        <w:t>10. MCP, prompts/resources and installed Agent Skills assessment</w:t>
      </w:r>
    </w:p>
    <w:p>
      <w:r>
        <w:t>Validated SHA-256: daa291519c1a30e726dbe79971d4c43fb38719a43058aa36bc9250ee245e53be.</w:t>
      </w:r>
    </w:p>
    <w:p>
      <w:r>
        <w:t>The manifest registers MCP provider `pgsql-tools-mcp-server-provider` and 16 language-model tools. Microsoft documentation states that supported hosts automatically register a `PostgreSQL MCP` server when the language service and Copilot integration are available. The language service supplies a URL and bearer token. This creates distinct trust boundaries among VS Code, extension, local service, Copilot agent, token lifecycle and database.</w:t>
      </w:r>
    </w:p>
    <w:p>
      <w:r>
        <w:t>High-impact tool families include connect/disconnect, database/profile enumeration, schema/database context, arbitrary query, DDL/DML modification, CSV bulk loading, dashboards/metrics, query plans, schema visualisation and Oracle/application migration. Tool schemas/descriptions are untrusted metadata and cannot substitute for authorisation. Runtime must establish the actual transport, local bind address, token entropy/storage/rotation, session ownership, concurrency isolation, error redaction and confirmation enforcement.</w:t>
      </w:r>
    </w:p>
    <w:p>
      <w:r>
        <w:t>Threats include prompt injection in database content or migration source; tool poisoning; excessive agency; cross-session token misuse; confused-deputy execution against the wrong profile/database; schema/result exfiltration; path/CSV abuse; unsafe SQL construction; and output injection back into the model. Controls are `pgsql.copilot.enable=false` by default through managed policy, `accessMode=ro` for approved pilots, allowlisted synthetic profiles, least-privilege database roles, TLS Verify-Full, explicit database identity in confirmation UI, query/statement restrictions, audit logs and disabled modification/bulk-load/migration tools unless separately approved.</w:t>
      </w:r>
    </w:p>
    <w:p>
      <w:r>
        <w:t>No `SKILL.md` file was present in any extracted VSIX. Installed Agent Skills status is therefore None observed in package bytes, while host-installed skills remain Unknown because no runtime profile was inspected. No skill is approved by this assessment. Any separate skill that invokes these MCP tools requires its own transitive provenance, trigger, instruction, tool-scope and prompt-injection review.</w:t>
      </w:r>
    </w:p>
    <w:p>
      <w:pPr>
        <w:pStyle w:val="Heading2"/>
      </w:pPr>
      <w:r>
        <w:t>11. Privacy, records, sector and regulatory assessment</w:t>
      </w:r>
    </w:p>
    <w:p>
      <w:r>
        <w:t>Validated SHA-256: bdbd05d2c3dd968e742819a89b2576fff50d0ffa1b08bbf41d3b846615fdccfa.</w:t>
      </w:r>
    </w:p>
    <w:p>
      <w:r>
        <w:t>Potentially processed data includes connection host/user/database names, schema and privilege metadata, queries, query parameters, results, query plans, dashboard metrics, Azure resource identifiers, migration source/application code, CSV content, prompts, model output, logs, telemetry and feedback. In an insurer these may contain policyholder, claimant, employee or counterparty personal data, special-category data, financial information, confidential models and security details.</w:t>
      </w:r>
    </w:p>
    <w:p>
      <w:r>
        <w:t>The package defaults `pgsql.piiLogging` to false, query-history limit to 20 and placeholder-value retention to `ask`; Microsoft warns that extension/tools-service logs can contain host names, user names and sensitive information. Telemetry can be disabled through VS Code. These are positive controls but do not establish payload minimisation, provider retention, deletion, subprocessor geography or actual tenant policy. Query-history capture, logs and workspace profiles require retention, access, deletion and support-sharing controls.</w:t>
      </w:r>
    </w:p>
    <w:p>
      <w:r>
        <w:t>UK GDPR/DPA principles require purpose limitation, data minimisation, accuracy, storage limitation, integrity/confidentiality and accountability. A DPIA is likely appropriate where database/customer data and agentic write tools combine. The firm must determine controller/processor roles, lawful basis, Article 28 terms, international transfers, data subject rights, breach response and records of processing. GitHub Copilot Business/Enterprise settings and contracts must be verified for the actual tenant; consumer/free accounts are prohibited.</w:t>
      </w:r>
    </w:p>
    <w:p>
      <w:r>
        <w:t>FCA/PRA applicability depends on the firm’s actual status, material outsourcing assessment and important-business-service mapping. Operational resilience requires impact tolerances, monitoring, incident response, change control, rollback and exit. PRA SS2/21 third-party governance may apply to material services. Use is not approved for production/customer data until Privacy, Information Security, Procurement, Operational Resilience and the accountable business owner close these decisions.</w:t>
      </w:r>
    </w:p>
    <w:p>
      <w:pPr>
        <w:pStyle w:val="Heading2"/>
      </w:pPr>
      <w:r>
        <w:t>12. Complete framework dispositions and mappings</w:t>
      </w:r>
    </w:p>
    <w:p>
      <w:r>
        <w:t>Validated SHA-256: ef894926124c89c99f8a397397e4dd351e4b5aa9994a484db17ef911354d10f1.</w:t>
      </w:r>
    </w:p>
    <w:p>
      <w:r>
        <w:t>OWASP LLM Top 10 is applicable to prompt injection, sensitive information disclosure, supply chain, improper output handling, excessive agency and unbounded consumption. OWASP Agentic AI guidance is applicable to goal hijack, tool misuse, identity/privilege abuse, memory/context poisoning and cascading failures. Evolving OWASP MCP guidance is applicable to host/server/tool schema, token, consent, output and cross-server trust.</w:t>
      </w:r>
    </w:p>
    <w:p>
      <w:r>
        <w:t>OWASP ASVS 5.0 Level 2 is partially applicable to extension webviews, HTTP/MCP interfaces, authentication, access control, validation, cryptography, communications, file handling and secure configuration. MITRE ATLAS is applicable to prompt/context injection, tool invocation, discovery and exfiltration scenarios. NIST AI RMF 1.0 and NIST AI 600-1 are applicable across GOVERN, MAP, MEASURE and MANAGE, including third-party, human-oversight, privacy, security and information-integrity risks.</w:t>
      </w:r>
    </w:p>
    <w:p>
      <w:r>
        <w:t>CIS Controls v8.1 and ISO/IEC 27001:2022 Annex A are applicable to inventory, configuration, access, vulnerability management, logging, network controls, supplier management, DLP, change and incidents. NCSC secure AI guidance is applicable to secure design, development, deployment, operation and supply chain. The MCP specification is normative for protocol semantics but does not provide enterprise authorisation by itself.</w:t>
      </w:r>
    </w:p>
    <w:p>
      <w:r>
        <w:t>UK GDPR, DPA 2018 and ICO AI/data-protection guidance are applicable where personal data enters databases, prompts, logs, history or telemetry. FCA operational resilience and PRA SS2/21 are conditionally applicable after the firm verifies regulatory status, materiality and important-business-service impact. PECR is conditional on actual device-storage/access and communications behavior. EU AI Act and DORA are not assumed solely from the UK context.</w:t>
      </w:r>
    </w:p>
    <w:p>
      <w:pPr>
        <w:pStyle w:val="Heading2"/>
      </w:pPr>
      <w:r>
        <w:t>13. Validated finding records and consolidated risk register</w:t>
      </w:r>
    </w:p>
    <w:p>
      <w:r>
        <w:t>Validated SHA-256: 2caafd98c74b06f8dd3968698aa7b634833e866a63238928f50baa645094ee15.</w:t>
      </w:r>
    </w:p>
    <w:p>
      <w:r>
        <w:rPr>
          <w:b/>
        </w:rPr>
        <w:t>RISK-001 Representative runtime evidence is unavailable.</w:t>
      </w:r>
      <w:r>
        <w:t xml:space="preserve"> Static review cannot prove activation, process/network, token, confirmation, credential, telemetry, update or uninstall behavior. Inherent 3x5=15 High; residual 3x5=15 High. Owner: Endpoint Security Testing. P1 before pilot.</w:t>
      </w:r>
    </w:p>
    <w:p>
      <w:r>
        <w:rPr>
          <w:b/>
        </w:rPr>
        <w:t>RISK-002 Default-enabled Copilot read/write authority can exceed user intent.</w:t>
      </w:r>
      <w:r>
        <w:t xml:space="preserve"> `pgsql.copilot.enable=true`, `accessMode=rw` and modification/import tools can change data/schema after prompt or tool influence. Inherent 4x5=20 Critical; residual 3x5=15 High. Owner: Developer Platform and Database Security. P1: managed disable-by-default, `ro`, least-privilege roles and confirmation tests.</w:t>
      </w:r>
    </w:p>
    <w:p>
      <w:r>
        <w:rPr>
          <w:b/>
        </w:rPr>
        <w:t>RISK-003 Bundled MCP SDK exposure and transport/session controls require closure.</w:t>
      </w:r>
      <w:r>
        <w:t xml:space="preserve"> Windows x64 contains `mcp` 1.26.0, inside three High advisory ranges; a local URL/token is documented but bind, rotation, isolation and advisory reachability are unknown. Inherent 4x5=20 Critical; residual 3x4=12 High. Owner: AI Platform Security. P1: upgrade/vendor VEX evidence and hostile-session tests.</w:t>
      </w:r>
    </w:p>
    <w:p>
      <w:r>
        <w:rPr>
          <w:b/>
        </w:rPr>
        <w:t>RISK-004 Opaque extension/tools-service supply chain limits assurance.</w:t>
      </w:r>
      <w:r>
        <w:t xml:space="preserve"> Full source/reproducible builds and vendor SBOM are unavailable; seven variants and universal download behavior can drift. Inherent 4x5=20 Critical; residual 3x4=12 High. Owner: Third-Party Risk/Vulnerability Management. P1.</w:t>
      </w:r>
    </w:p>
    <w:p>
      <w:r>
        <w:rPr>
          <w:b/>
        </w:rPr>
        <w:t>RISK-005 Workspace-scoped profiles and incomplete Restricted Mode coverage create configuration risk.</w:t>
      </w:r>
      <w:r>
        <w:t xml:space="preserve"> Repository settings can steer targets/behavior even when secrets are stored separately. Inherent 4x4=16 High; residual 3x4=12 High. Owner: Endpoint/Developer Platform. P1: prohibit workspace profiles for regulated targets and test pre-trust behavior.</w:t>
      </w:r>
    </w:p>
    <w:p>
      <w:r>
        <w:rPr>
          <w:b/>
        </w:rPr>
        <w:t>RISK-006 Database and model data flows create privacy/regulated-data exposure.</w:t>
      </w:r>
      <w:r>
        <w:t xml:space="preserve"> Schema, queries, results, metrics, plans and migration code can reach logs, history, Copilot or Azure services. Inherent 4x5=20 Critical; residual 3x4=12 High. Owner: Privacy/Procurement. P1: DPIA, enterprise tenant/terms, minimisation and synthetic-only pilot.</w:t>
      </w:r>
    </w:p>
    <w:p>
      <w:r>
        <w:rPr>
          <w:b/>
        </w:rPr>
        <w:t>RISK-007 Insecure TLS options can permit weak database authentication.</w:t>
      </w:r>
      <w:r>
        <w:t xml:space="preserve"> Disable/Allow/Prefer/Require modes do not all validate server identity. Inherent 3x5=15 High; residual 2x4=8 Moderate. Owner: Database Platform. P1/P2: mandate Verify-Full and managed certificate trust.</w:t>
      </w:r>
    </w:p>
    <w:p>
      <w:r>
        <w:rPr>
          <w:b/>
        </w:rPr>
        <w:t>RISK-008 Packaged native/debugging surface and other candidate components require VEX.</w:t>
      </w:r>
      <w:r>
        <w:t xml:space="preserve"> Syft recognised 244 Windows x64 components and Grype correlated 152 candidates, including Werkzeug/runtime/database matches; most require client/server, feature and reachability triage. Inherent 4x4=16 High; residual 3x3=9 Moderate. Owner: Vulnerability Management. P1/P2.</w:t>
      </w:r>
    </w:p>
    <w:p>
      <w:r>
        <w:rPr>
          <w:b/>
        </w:rPr>
        <w:t>RISK-009 Query history, logs and telemetry can retain sensitive identifiers/content.</w:t>
      </w:r>
      <w:r>
        <w:t xml:space="preserve"> Defaults reduce PII logging but do not eliminate sensitive logs/history. Inherent 3x4=12 High; residual 2x4=8 Moderate. Owner: Privacy/Endpoint. P2.</w:t>
      </w:r>
    </w:p>
    <w:p>
      <w:r>
        <w:rPr>
          <w:b/>
        </w:rPr>
        <w:t>RISK-010 Update and uninstall residue can invalidate approval.</w:t>
      </w:r>
      <w:r>
        <w:t xml:space="preserve"> Marketplace/tools-service updates and retained secrets/logs/history are unobserved. Inherent 3x4=12 High; residual 2x4=8 Moderate. Owner: Endpoint Engineering. P2.</w:t>
      </w:r>
    </w:p>
    <w:p>
      <w:pPr>
        <w:pStyle w:val="Heading2"/>
      </w:pPr>
      <w:r>
        <w:t>14. Enterprise controls, detection, monitoring and verification</w:t>
      </w:r>
    </w:p>
    <w:p>
      <w:r>
        <w:t>Validated SHA-256: 661ac292757cb98999e35c815ca56bb265820b802366a048d9f2d8bfc9caad97.</w:t>
      </w:r>
    </w:p>
    <w:p>
      <w:r>
        <w:t>Preventive controls: exact publisher/identifier/version/platform-hash allowlist; managed `pgsql.copilot.enable=false`; `pgsql.copilot.accessMode=ro` for approved pilots; approved enterprise Copilot tenant only; synthetic/non-production databases; database roles without DDL/DML or customer schemas; explicit connection/profile allowlists; prohibit workspace/folder profiles for regulated systems; TLS Verify-Full; protected credential manager; disable PII logging and unnecessary query history/telemetry; deny modification, bulk-load and migration tools until separate approval; and no external MCP/skills by default.</w:t>
      </w:r>
    </w:p>
    <w:p>
      <w:r>
        <w:t>Detective controls: VS Code/endpoint extension inventory; file-hash and tools-service-version monitoring; EDR child-process and listener telemetry; DNS/proxy destination allowlists; database audit logs for DDL/DML, role, connection and bulk operations; alerts for new workspace profiles/settings; SecretStorage/credential-manager change evidence without collecting values; MCP server/tool inventory; and DLP for logs/history/support bundles. Logging must remain content-minimised.</w:t>
      </w:r>
    </w:p>
    <w:p>
      <w:r>
        <w:t>Runtime verification must test deny paths, not just successful queries. Required negative cases include prompt injection in schema/table/column comments and data; wrong-database/profile confusion; `ro` write attempts; malformed/path-traversal CSV; SQL stacking and transaction ambiguity; expired/replayed token; cross-session MCP request; untrusted workspace; TLS downgrade; network denial; offline operation; update rollback; logout; uninstall and residue reconciliation.</w:t>
      </w:r>
    </w:p>
    <w:p>
      <w:r>
        <w:t>Response controls: isolate the endpoint, disable the extension and Copilot policy, revoke database/Azure/Copilot tokens, rotate exposed credentials, preserve minimal evidence, review database audit/transaction state, restore from known-good snapshot, assess personal-data breach obligations and notify Microsoft/MSRC through the coordinated disclosure channel where appropriate. Review at 90 days or earlier on version, hash, tools-service, schema, policy, provider, advisory or regulatory change.</w:t>
      </w:r>
    </w:p>
    <w:p>
      <w:pPr>
        <w:pStyle w:val="Heading2"/>
      </w:pPr>
      <w:r>
        <w:t>15. Claim-to-evidence traceability, approval statement and report QA</w:t>
      </w:r>
    </w:p>
    <w:p>
      <w:r>
        <w:t>Validated SHA-256: e87bb8c8d86a1af14595942bdf21c89ca90589fd16c5468c14f3af683d94b216.</w:t>
      </w:r>
    </w:p>
    <w:p>
      <w:r>
        <w:t>Claim-to-evidence review confirms that identity and stable-version claims trace to Marketplace metadata and the package changelog; hash/archive claims trace to acquired bytes and inventories; manifest/tool/default claims trace to every stable package; provenance limits trace to the official repository and package structure; scanner conclusions trace to preserved outputs; privacy claims trace to Microsoft documentation/package settings; and runtime Unknown/Blocked claims trace to the non-execution record and closure plan.</w:t>
      </w:r>
    </w:p>
    <w:p>
      <w:r>
        <w:t>Version 1.1 is an immutable citation correction to v1.0. Four Microsoft Learn references were updated to their current official paths after the public citation monitor returned HTTP 404 for the superseded paths. No assessment claim, finding, score, approval scope, source byte, scanner result or decision changed.</w:t>
      </w:r>
    </w:p>
    <w:p>
      <w:r>
        <w:t xml:space="preserve">The report decision is </w:t>
      </w:r>
      <w:r>
        <w:rPr>
          <w:b/>
        </w:rPr>
        <w:t>Defer pending evidence</w:t>
      </w:r>
      <w:r>
        <w:t xml:space="preserve"> with High overall residual risk. The exact approval scope is PostgreSQL 1.26.0 for VS Code only. Microsoft Visual Studio is Not applicable. No production, customer-data, regulated-data or autonomous read/write deployment is approved. A synthetic pilot remains blocked until RISK-001 through RISK-006 receive direct closure evidence and an accountable owner accepts residual risk.</w:t>
      </w:r>
    </w:p>
    <w:p>
      <w:r>
        <w:t>Quality gates require all 15 stage files and matching hashes, exact run-key layout, a PUBLIC-classified authoritative DOCX, at least 4,000 words, 40 headings, 15 tables, one meaningful figure, complete per-IDE sections, internal reference links/bookmarks, safe external HTTPS links, no active/private Word content, coherent scoring, complete evidence register, secure review, metadata/privacy review, accessibility audit and native Microsoft Word rendering with every page visually inspected.</w:t>
      </w:r>
    </w:p>
    <w:p>
      <w:r>
        <w:t>The report must remain Draft until deterministic validation, native Word page count/rendering, visual inspection, accessibility, metadata/privacy, citation/bookmark, scoring and secure-review checks all pass and final SHA-256 is recorded. `PUBLIC` classification means safe for potential external sharing; it does not authorise publication. Evidence, source snapshot, stage output, QA records and repository provenance remain private.</w:t>
      </w:r>
    </w:p>
    <w:p>
      <w:pPr>
        <w:pStyle w:val="Heading1"/>
      </w:pPr>
      <w:r>
        <w:t>Glossary</w:t>
      </w:r>
    </w:p>
    <w:tbl>
      <w:tblPr>
        <w:tblStyle w:val="TableGrid"/>
        <w:tblW w:type="auto" w:w="0"/>
        <w:jc w:val="center"/>
        <w:tblLayout w:type="fixed"/>
        <w:tblLook w:firstColumn="1" w:firstRow="1" w:lastColumn="0" w:lastRow="0" w:noHBand="0" w:noVBand="1" w:val="04A0"/>
      </w:tblPr>
      <w:tblGrid>
        <w:gridCol w:w="1872"/>
        <w:gridCol w:w="7488"/>
      </w:tblGrid>
      <w:tr>
        <w:trPr>
          <w:tblHeader/>
        </w:trPr>
        <w:tc>
          <w:tcPr>
            <w:tcW w:type="dxa" w:w="1872"/>
            <w:shd w:fill="17365D"/>
            <w:tcMar>
              <w:top w:w="90" w:type="dxa"/>
              <w:start w:w="90" w:type="dxa"/>
              <w:bottom w:w="90" w:type="dxa"/>
              <w:end w:w="90" w:type="dxa"/>
            </w:tcMar>
          </w:tcPr>
          <w:p>
            <w:r>
              <w:rPr>
                <w:b/>
                <w:color w:val="FFFFFF"/>
                <w:sz w:val="14"/>
              </w:rPr>
              <w:t>Term</w:t>
            </w:r>
          </w:p>
        </w:tc>
        <w:tc>
          <w:tcPr>
            <w:tcW w:type="dxa" w:w="7488"/>
            <w:shd w:fill="17365D"/>
            <w:tcMar>
              <w:top w:w="90" w:type="dxa"/>
              <w:start w:w="90" w:type="dxa"/>
              <w:bottom w:w="90" w:type="dxa"/>
              <w:end w:w="90" w:type="dxa"/>
            </w:tcMar>
          </w:tcPr>
          <w:p>
            <w:r>
              <w:rPr>
                <w:b/>
                <w:color w:val="FFFFFF"/>
                <w:sz w:val="14"/>
              </w:rPr>
              <w:t>Meaning</w:t>
            </w:r>
          </w:p>
        </w:tc>
      </w:tr>
      <w:tr>
        <w:trPr>
          <w:cantSplit/>
        </w:trPr>
        <w:tc>
          <w:tcPr>
            <w:tcW w:type="dxa" w:w="1872"/>
            <w:tcMar>
              <w:top w:w="90" w:type="dxa"/>
              <w:start w:w="90" w:type="dxa"/>
              <w:bottom w:w="90" w:type="dxa"/>
              <w:end w:w="90" w:type="dxa"/>
            </w:tcMar>
            <w:vAlign w:val="center"/>
          </w:tcPr>
          <w:p>
            <w:pPr>
              <w:spacing w:after="20"/>
            </w:pPr>
            <w:r>
              <w:rPr>
                <w:sz w:val="14"/>
              </w:rPr>
              <w:t>MCP</w:t>
            </w:r>
          </w:p>
        </w:tc>
        <w:tc>
          <w:tcPr>
            <w:tcW w:type="dxa" w:w="7488"/>
            <w:tcMar>
              <w:top w:w="90" w:type="dxa"/>
              <w:start w:w="90" w:type="dxa"/>
              <w:bottom w:w="90" w:type="dxa"/>
              <w:end w:w="90" w:type="dxa"/>
            </w:tcMar>
            <w:vAlign w:val="center"/>
          </w:tcPr>
          <w:p>
            <w:pPr>
              <w:spacing w:after="20"/>
            </w:pPr>
            <w:r>
              <w:rPr>
                <w:sz w:val="14"/>
              </w:rPr>
              <w:t>Model Context Protocol connecting a host/model to servers, tools, resources and prompts.</w:t>
            </w:r>
          </w:p>
        </w:tc>
      </w:tr>
      <w:tr>
        <w:trPr>
          <w:cantSplit/>
        </w:trPr>
        <w:tc>
          <w:tcPr>
            <w:tcW w:type="dxa" w:w="1872"/>
            <w:tcMar>
              <w:top w:w="90" w:type="dxa"/>
              <w:start w:w="90" w:type="dxa"/>
              <w:bottom w:w="90" w:type="dxa"/>
              <w:end w:w="90" w:type="dxa"/>
            </w:tcMar>
            <w:vAlign w:val="center"/>
            <w:shd w:fill="F3F6F8"/>
          </w:tcPr>
          <w:p>
            <w:pPr>
              <w:spacing w:after="20"/>
            </w:pPr>
            <w:r>
              <w:rPr>
                <w:sz w:val="14"/>
              </w:rPr>
              <w:t>Agent Skill</w:t>
            </w:r>
          </w:p>
        </w:tc>
        <w:tc>
          <w:tcPr>
            <w:tcW w:type="dxa" w:w="7488"/>
            <w:tcMar>
              <w:top w:w="90" w:type="dxa"/>
              <w:start w:w="90" w:type="dxa"/>
              <w:bottom w:w="90" w:type="dxa"/>
              <w:end w:w="90" w:type="dxa"/>
            </w:tcMar>
            <w:vAlign w:val="center"/>
            <w:shd w:fill="F3F6F8"/>
          </w:tcPr>
          <w:p>
            <w:pPr>
              <w:spacing w:after="20"/>
            </w:pPr>
            <w:r>
              <w:rPr>
                <w:sz w:val="14"/>
              </w:rPr>
              <w:t>Governed instruction artefact, typically SKILL.md plus transitive files; distinct from MCP tools.</w:t>
            </w:r>
          </w:p>
        </w:tc>
      </w:tr>
      <w:tr>
        <w:trPr>
          <w:cantSplit/>
        </w:trPr>
        <w:tc>
          <w:tcPr>
            <w:tcW w:type="dxa" w:w="1872"/>
            <w:tcMar>
              <w:top w:w="90" w:type="dxa"/>
              <w:start w:w="90" w:type="dxa"/>
              <w:bottom w:w="90" w:type="dxa"/>
              <w:end w:w="90" w:type="dxa"/>
            </w:tcMar>
            <w:vAlign w:val="center"/>
          </w:tcPr>
          <w:p>
            <w:pPr>
              <w:spacing w:after="20"/>
            </w:pPr>
            <w:r>
              <w:rPr>
                <w:sz w:val="14"/>
              </w:rPr>
              <w:t>Tools Service</w:t>
            </w:r>
          </w:p>
        </w:tc>
        <w:tc>
          <w:tcPr>
            <w:tcW w:type="dxa" w:w="7488"/>
            <w:tcMar>
              <w:top w:w="90" w:type="dxa"/>
              <w:start w:w="90" w:type="dxa"/>
              <w:bottom w:w="90" w:type="dxa"/>
              <w:end w:w="90" w:type="dxa"/>
            </w:tcMar>
            <w:vAlign w:val="center"/>
          </w:tcPr>
          <w:p>
            <w:pPr>
              <w:spacing w:after="20"/>
            </w:pPr>
            <w:r>
              <w:rPr>
                <w:sz w:val="14"/>
              </w:rPr>
              <w:t>Bundled Microsoft PostgreSQL language/database service used by the extension.</w:t>
            </w:r>
          </w:p>
        </w:tc>
      </w:tr>
      <w:tr>
        <w:trPr>
          <w:cantSplit/>
        </w:trPr>
        <w:tc>
          <w:tcPr>
            <w:tcW w:type="dxa" w:w="1872"/>
            <w:tcMar>
              <w:top w:w="90" w:type="dxa"/>
              <w:start w:w="90" w:type="dxa"/>
              <w:bottom w:w="90" w:type="dxa"/>
              <w:end w:w="90" w:type="dxa"/>
            </w:tcMar>
            <w:vAlign w:val="center"/>
            <w:shd w:fill="F3F6F8"/>
          </w:tcPr>
          <w:p>
            <w:pPr>
              <w:spacing w:after="20"/>
            </w:pPr>
            <w:r>
              <w:rPr>
                <w:sz w:val="14"/>
              </w:rPr>
              <w:t>VSIX</w:t>
            </w:r>
          </w:p>
        </w:tc>
        <w:tc>
          <w:tcPr>
            <w:tcW w:type="dxa" w:w="7488"/>
            <w:tcMar>
              <w:top w:w="90" w:type="dxa"/>
              <w:start w:w="90" w:type="dxa"/>
              <w:bottom w:w="90" w:type="dxa"/>
              <w:end w:w="90" w:type="dxa"/>
            </w:tcMar>
            <w:vAlign w:val="center"/>
            <w:shd w:fill="F3F6F8"/>
          </w:tcPr>
          <w:p>
            <w:pPr>
              <w:spacing w:after="20"/>
            </w:pPr>
            <w:r>
              <w:rPr>
                <w:sz w:val="14"/>
              </w:rPr>
              <w:t>VS Code extension package; not evidence of Microsoft Visual Studio support.</w:t>
            </w:r>
          </w:p>
        </w:tc>
      </w:tr>
      <w:tr>
        <w:trPr>
          <w:cantSplit/>
        </w:trPr>
        <w:tc>
          <w:tcPr>
            <w:tcW w:type="dxa" w:w="1872"/>
            <w:tcMar>
              <w:top w:w="90" w:type="dxa"/>
              <w:start w:w="90" w:type="dxa"/>
              <w:bottom w:w="90" w:type="dxa"/>
              <w:end w:w="90" w:type="dxa"/>
            </w:tcMar>
            <w:vAlign w:val="center"/>
          </w:tcPr>
          <w:p>
            <w:pPr>
              <w:spacing w:after="20"/>
            </w:pPr>
            <w:r>
              <w:rPr>
                <w:sz w:val="14"/>
              </w:rPr>
              <w:t>VEX</w:t>
            </w:r>
          </w:p>
        </w:tc>
        <w:tc>
          <w:tcPr>
            <w:tcW w:type="dxa" w:w="7488"/>
            <w:tcMar>
              <w:top w:w="90" w:type="dxa"/>
              <w:start w:w="90" w:type="dxa"/>
              <w:bottom w:w="90" w:type="dxa"/>
              <w:end w:w="90" w:type="dxa"/>
            </w:tcMar>
            <w:vAlign w:val="center"/>
          </w:tcPr>
          <w:p>
            <w:pPr>
              <w:spacing w:after="20"/>
            </w:pPr>
            <w:r>
              <w:rPr>
                <w:sz w:val="14"/>
              </w:rPr>
              <w:t>Vulnerability Exploitability eXchange statement describing component applicability/reachability.</w:t>
            </w:r>
          </w:p>
        </w:tc>
      </w:tr>
      <w:tr>
        <w:trPr>
          <w:cantSplit/>
        </w:trPr>
        <w:tc>
          <w:tcPr>
            <w:tcW w:type="dxa" w:w="1872"/>
            <w:tcMar>
              <w:top w:w="90" w:type="dxa"/>
              <w:start w:w="90" w:type="dxa"/>
              <w:bottom w:w="90" w:type="dxa"/>
              <w:end w:w="90" w:type="dxa"/>
            </w:tcMar>
            <w:vAlign w:val="center"/>
            <w:shd w:fill="F3F6F8"/>
          </w:tcPr>
          <w:p>
            <w:pPr>
              <w:spacing w:after="20"/>
            </w:pPr>
            <w:r>
              <w:rPr>
                <w:sz w:val="14"/>
              </w:rPr>
              <w:t>Residual risk</w:t>
            </w:r>
          </w:p>
        </w:tc>
        <w:tc>
          <w:tcPr>
            <w:tcW w:type="dxa" w:w="7488"/>
            <w:tcMar>
              <w:top w:w="90" w:type="dxa"/>
              <w:start w:w="90" w:type="dxa"/>
              <w:bottom w:w="90" w:type="dxa"/>
              <w:end w:w="90" w:type="dxa"/>
            </w:tcMar>
            <w:vAlign w:val="center"/>
            <w:shd w:fill="F3F6F8"/>
          </w:tcPr>
          <w:p>
            <w:pPr>
              <w:spacing w:after="20"/>
            </w:pPr>
            <w:r>
              <w:rPr>
                <w:sz w:val="14"/>
              </w:rPr>
              <w:t>Risk remaining after considering only verified controls.</w:t>
            </w:r>
          </w:p>
        </w:tc>
      </w:tr>
    </w:tbl>
    <w:p>
      <w:pPr>
        <w:spacing w:after="40"/>
      </w:pPr>
    </w:p>
    <w:p>
      <w:pPr>
        <w:pStyle w:val="Heading1"/>
      </w:pPr>
      <w:r>
        <w:t>Final QA Record</w:t>
      </w:r>
    </w:p>
    <w:p>
      <w:r>
        <w:t>The retained `final-qa.json` records deterministic validation, native Microsoft Word page count and every-page inspection, accessibility, metadata/privacy, citation/bookmark, scoring and secure-review results, plus the final report SHA-256. `PUBLIC` classification does not authorise publication.</w:t>
      </w: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PUBLIC | </w:t>
    </w:r>
    <w:r>
      <w:rPr>
        <w:color w:val="666666"/>
        <w:sz w:val="16"/>
      </w:rPr>
      <w:fldChar w:fldCharType="begin"/>
    </w:r>
    <w:r>
      <w:rPr>
        <w:color w:val="666666"/>
        <w:sz w:val="16"/>
      </w:rPr>
      <w:instrText xml:space="preserve">PAGE</w:instrText>
    </w:r>
    <w:r>
      <w:rPr>
        <w:color w:val="666666"/>
        <w:sz w:val="16"/>
      </w:rPr>
      <w:fldChar w:fldCharType="separate"/>
    </w:r>
    <w:r>
      <w:rPr>
        <w:color w:val="666666"/>
        <w:sz w:val="16"/>
      </w:rPr>
      <w:t xml:space="preserve">1</w:t>
    </w:r>
    <w:r>
      <w:rPr>
        <w:color w:val="666666"/>
        <w:sz w:val="16"/>
      </w:rPr>
      <w:fldChar w:fldCharType="end"/>
    </w:r>
    <w:r>
      <w:rPr>
        <w:color w:val="666666"/>
        <w:sz w:val="16"/>
      </w:rPr>
      <w:t xml:space="preserve"> | 2026-07-29-v1.1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PostgreSQL 1.26.0 | Security Assessment |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45B8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5B8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i/>
      <w:iCs/>
      <w:color w:val="245B8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ms-ossdata.vscode-pgsql" TargetMode="External"/><Relationship Id="rId13" Type="http://schemas.openxmlformats.org/officeDocument/2006/relationships/hyperlink" Target="https://marketplace.visualstudio.com/_apis/public/gallery/extensionquery" TargetMode="External"/><Relationship Id="rId14" Type="http://schemas.openxmlformats.org/officeDocument/2006/relationships/hyperlink" Target="https://learn.microsoft.com/azure/postgresql/extensions/vs-code-extension/overview" TargetMode="External"/><Relationship Id="rId15" Type="http://schemas.openxmlformats.org/officeDocument/2006/relationships/hyperlink" Target="https://learn.microsoft.com/en-us/azure/postgresql/development/vs-code-extension/connections" TargetMode="External"/><Relationship Id="rId16" Type="http://schemas.openxmlformats.org/officeDocument/2006/relationships/hyperlink" Target="https://learn.microsoft.com/en-us/azure/postgresql/development/vs-code-extension/copilot-integration" TargetMode="External"/><Relationship Id="rId17" Type="http://schemas.openxmlformats.org/officeDocument/2006/relationships/hyperlink" Target="https://learn.microsoft.com/en-us/azure/postgresql/development/vs-code-extension/copilot/agent-mode" TargetMode="External"/><Relationship Id="rId18" Type="http://schemas.openxmlformats.org/officeDocument/2006/relationships/hyperlink" Target="https://learn.microsoft.com/en-us/azure/postgresql/development/vs-code-extension/mcp-server" TargetMode="External"/><Relationship Id="rId19" Type="http://schemas.openxmlformats.org/officeDocument/2006/relationships/hyperlink" Target="https://github.com/microsoft/vscode-pgsql" TargetMode="External"/><Relationship Id="rId20" Type="http://schemas.openxmlformats.org/officeDocument/2006/relationships/hyperlink" Target="https://privacy.microsoft.com/privacystatement" TargetMode="External"/><Relationship Id="rId21" Type="http://schemas.openxmlformats.org/officeDocument/2006/relationships/hyperlink" Target="https://msrc.microsoft.com/create-report" TargetMode="External"/><Relationship Id="rId22" Type="http://schemas.openxmlformats.org/officeDocument/2006/relationships/hyperlink" Target="https://github.com/advisories/GHSA-jpw9-pfvf-9f58" TargetMode="External"/><Relationship Id="rId23" Type="http://schemas.openxmlformats.org/officeDocument/2006/relationships/hyperlink" Target="https://github.com/advisories/GHSA-hvrp-rf83-w775" TargetMode="External"/><Relationship Id="rId24" Type="http://schemas.openxmlformats.org/officeDocument/2006/relationships/hyperlink" Target="https://github.com/advisories/GHSA-vj7q-gjh5-988w" TargetMode="External"/><Relationship Id="rId25" Type="http://schemas.openxmlformats.org/officeDocument/2006/relationships/hyperlink" Target="https://genai.owasp.org/llm-top-10/" TargetMode="External"/><Relationship Id="rId26" Type="http://schemas.openxmlformats.org/officeDocument/2006/relationships/hyperlink" Target="https://genai.owasp.org/resource/agentic-ai-threats-and-mitigations/" TargetMode="External"/><Relationship Id="rId27" Type="http://schemas.openxmlformats.org/officeDocument/2006/relationships/hyperlink" Target="https://github.com/OWASP/ASVS/releases/tag/v5.0.0_release" TargetMode="External"/><Relationship Id="rId28" Type="http://schemas.openxmlformats.org/officeDocument/2006/relationships/hyperlink" Target="https://atlas.mitre.org/" TargetMode="External"/><Relationship Id="rId29" Type="http://schemas.openxmlformats.org/officeDocument/2006/relationships/hyperlink" Target="https://www.nist.gov/publications/artificial-intelligence-risk-management-framework-ai-rmf-10" TargetMode="External"/><Relationship Id="rId30" Type="http://schemas.openxmlformats.org/officeDocument/2006/relationships/hyperlink" Target="https://www.nist.gov/itl/ai-risk-management-framework/ai-risk-management-framework-resources" TargetMode="External"/><Relationship Id="rId31" Type="http://schemas.openxmlformats.org/officeDocument/2006/relationships/hyperlink" Target="https://www.ncsc.gov.uk/collection/guidelines-secure-ai-system-development" TargetMode="External"/><Relationship Id="rId32" Type="http://schemas.openxmlformats.org/officeDocument/2006/relationships/hyperlink" Target="https://www.cisecurity.org/controls" TargetMode="External"/><Relationship Id="rId33" Type="http://schemas.openxmlformats.org/officeDocument/2006/relationships/hyperlink" Target="https://ico.org.uk/for-organisations/uk-gdpr-guidance-and-resources/artificial-intelligence/" TargetMode="External"/><Relationship Id="rId34" Type="http://schemas.openxmlformats.org/officeDocument/2006/relationships/hyperlink" Target="https://www.fca.org.uk/firms/operational-resilience" TargetMode="External"/><Relationship Id="rId35" Type="http://schemas.openxmlformats.org/officeDocument/2006/relationships/hyperlink" Target="https://www.bankofengland.co.uk/prudential-regulation/publication/2021/march/outsourcing-and-third-party-risk-management-ss" TargetMode="External"/><Relationship Id="rId36" Type="http://schemas.openxmlformats.org/officeDocument/2006/relationships/hyperlink" Target="https://www.legislation.gov.uk/ukpga/2018/12/contents" TargetMode="External"/><Relationship Id="rId37" Type="http://schemas.openxmlformats.org/officeDocument/2006/relationships/hyperlink" Target="https://modelcontextprotocol.io/specification/2025-1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PostgreSQL for Visual Studio Code 1.26.0 Security Assessment</dc:title>
  <dc:subject>Evidence-led VS Code extension, MCP and privacy security assessment</dc:subject>
  <dc:creator>SoloSentry Assessment Environment</dc:creator>
  <cp:keywords>PostgreSQL, VS Code, Microsoft, MCP, Copilot, security, privacy</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