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Blackbox Agent - Coding Copilot for Visual Studio Code</w:t>
      </w:r>
    </w:p>
    <w:p>
      <w:pPr>
        <w:jc w:val="center"/>
      </w:pPr>
      <w:r>
        <w:rPr>
          <w:i/>
        </w:rPr>
        <w:t>Microsoft IDE AI Extension Security Assessment</w:t>
      </w:r>
    </w:p>
    <w:p>
      <w:pPr>
        <w:jc w:val="center"/>
      </w:pPr>
      <w:r>
        <w:rPr>
          <w:b/>
        </w:rPr>
        <w:t>Classification: PUBLIC</w:t>
      </w:r>
    </w:p>
    <w:p>
      <w:pPr>
        <w:pStyle w:val="Heading1"/>
      </w:pPr>
      <w:r>
        <w:t>Document Control</w:t>
      </w:r>
    </w:p>
    <w:p>
      <w:pPr>
        <w:pStyle w:val="Caption"/>
      </w:pPr>
      <w:r>
        <w:rPr>
          <w:b/>
        </w:rPr>
        <w:t>Table 1 — Document control</w:t>
      </w:r>
    </w:p>
    <w:tbl>
      <w:tblPr>
        <w:tblStyle w:val="TableGrid"/>
        <w:tblW w:type="dxa" w:w="9360"/>
        <w:tblLayout w:type="fixed"/>
        <w:tblLook w:firstColumn="1" w:firstRow="1" w:lastColumn="0" w:lastRow="0" w:noHBand="0" w:noVBand="1" w:val="04A0"/>
        <w:tblInd w:w="120" w:type="dxa"/>
      </w:tblPr>
      <w:tblGrid>
        <w:gridCol w:w="1927"/>
        <w:gridCol w:w="7433"/>
      </w:tblGrid>
      <w:tr>
        <w:trPr>
          <w:tblHeader w:val="true"/>
        </w:trPr>
        <w:tc>
          <w:tcPr>
            <w:tcW w:type="dxa" w:w="1927"/>
            <w:shd w:fill="F2F4F7"/>
            <w:vAlign w:val="center"/>
            <w:tcMar>
              <w:top w:w="80" w:type="dxa"/>
              <w:start w:w="120" w:type="dxa"/>
              <w:bottom w:w="80" w:type="dxa"/>
              <w:end w:w="120" w:type="dxa"/>
            </w:tcMar>
          </w:tcPr>
          <w:p>
            <w:r>
              <w:rPr>
                <w:b/>
                <w:sz w:val="16"/>
              </w:rPr>
              <w:t>Field</w:t>
            </w:r>
          </w:p>
        </w:tc>
        <w:tc>
          <w:tcPr>
            <w:tcW w:type="dxa" w:w="7433"/>
            <w:shd w:fill="F2F4F7"/>
            <w:vAlign w:val="center"/>
            <w:tcMar>
              <w:top w:w="80" w:type="dxa"/>
              <w:start w:w="120" w:type="dxa"/>
              <w:bottom w:w="80" w:type="dxa"/>
              <w:end w:w="120" w:type="dxa"/>
            </w:tcMar>
          </w:tcPr>
          <w:p>
            <w:r>
              <w:rPr>
                <w:b/>
                <w:sz w:val="16"/>
              </w:rPr>
              <w:t>Value</w:t>
            </w:r>
          </w:p>
        </w:tc>
      </w:tr>
      <w:tr>
        <w:tc>
          <w:tcPr>
            <w:tcW w:type="dxa" w:w="1927"/>
            <w:vAlign w:val="center"/>
            <w:tcMar>
              <w:top w:w="80" w:type="dxa"/>
              <w:start w:w="120" w:type="dxa"/>
              <w:bottom w:w="80" w:type="dxa"/>
              <w:end w:w="120" w:type="dxa"/>
            </w:tcMar>
          </w:tcPr>
          <w:p>
            <w:r>
              <w:rPr>
                <w:sz w:val="16"/>
              </w:rPr>
              <w:t>Assessment</w:t>
            </w:r>
          </w:p>
        </w:tc>
        <w:tc>
          <w:tcPr>
            <w:tcW w:type="dxa" w:w="7433"/>
            <w:vAlign w:val="center"/>
            <w:tcMar>
              <w:top w:w="80" w:type="dxa"/>
              <w:start w:w="120" w:type="dxa"/>
              <w:bottom w:w="80" w:type="dxa"/>
              <w:end w:w="120" w:type="dxa"/>
            </w:tcMar>
          </w:tcPr>
          <w:p>
            <w:r>
              <w:rPr>
                <w:sz w:val="16"/>
              </w:rPr>
              <w:t>Blackbox Agent - Coding Copilot security assessment</w:t>
            </w:r>
          </w:p>
        </w:tc>
      </w:tr>
      <w:tr>
        <w:tc>
          <w:tcPr>
            <w:tcW w:type="dxa" w:w="1927"/>
            <w:vAlign w:val="center"/>
            <w:tcMar>
              <w:top w:w="80" w:type="dxa"/>
              <w:start w:w="120" w:type="dxa"/>
              <w:bottom w:w="80" w:type="dxa"/>
              <w:end w:w="120" w:type="dxa"/>
            </w:tcMar>
          </w:tcPr>
          <w:p>
            <w:r>
              <w:rPr>
                <w:sz w:val="16"/>
              </w:rPr>
              <w:t>Target</w:t>
            </w:r>
          </w:p>
        </w:tc>
        <w:tc>
          <w:tcPr>
            <w:tcW w:type="dxa" w:w="7433"/>
            <w:vAlign w:val="center"/>
            <w:tcMar>
              <w:top w:w="80" w:type="dxa"/>
              <w:start w:w="120" w:type="dxa"/>
              <w:bottom w:w="80" w:type="dxa"/>
              <w:end w:w="120" w:type="dxa"/>
            </w:tcMar>
          </w:tcPr>
          <w:p>
            <w:r>
              <w:rPr>
                <w:sz w:val="16"/>
              </w:rPr>
              <w:t>Blackbox Agent - Coding Copilot for Visual Studio Code</w:t>
            </w:r>
          </w:p>
        </w:tc>
      </w:tr>
      <w:tr>
        <w:tc>
          <w:tcPr>
            <w:tcW w:type="dxa" w:w="1927"/>
            <w:vAlign w:val="center"/>
            <w:tcMar>
              <w:top w:w="80" w:type="dxa"/>
              <w:start w:w="120" w:type="dxa"/>
              <w:bottom w:w="80" w:type="dxa"/>
              <w:end w:w="120" w:type="dxa"/>
            </w:tcMar>
          </w:tcPr>
          <w:p>
            <w:r>
              <w:rPr>
                <w:sz w:val="16"/>
              </w:rPr>
              <w:t>Publisher</w:t>
            </w:r>
          </w:p>
        </w:tc>
        <w:tc>
          <w:tcPr>
            <w:tcW w:type="dxa" w:w="7433"/>
            <w:vAlign w:val="center"/>
            <w:tcMar>
              <w:top w:w="80" w:type="dxa"/>
              <w:start w:w="120" w:type="dxa"/>
              <w:bottom w:w="80" w:type="dxa"/>
              <w:end w:w="120" w:type="dxa"/>
            </w:tcMar>
          </w:tcPr>
          <w:p>
            <w:r>
              <w:rPr>
                <w:sz w:val="16"/>
              </w:rPr>
              <w:t>Blackboxapp</w:t>
            </w:r>
          </w:p>
        </w:tc>
      </w:tr>
      <w:tr>
        <w:tc>
          <w:tcPr>
            <w:tcW w:type="dxa" w:w="1927"/>
            <w:vAlign w:val="center"/>
            <w:tcMar>
              <w:top w:w="80" w:type="dxa"/>
              <w:start w:w="120" w:type="dxa"/>
              <w:bottom w:w="80" w:type="dxa"/>
              <w:end w:w="120" w:type="dxa"/>
            </w:tcMar>
          </w:tcPr>
          <w:p>
            <w:r>
              <w:rPr>
                <w:sz w:val="16"/>
              </w:rPr>
              <w:t>Extension ID</w:t>
            </w:r>
          </w:p>
        </w:tc>
        <w:tc>
          <w:tcPr>
            <w:tcW w:type="dxa" w:w="7433"/>
            <w:vAlign w:val="center"/>
            <w:tcMar>
              <w:top w:w="80" w:type="dxa"/>
              <w:start w:w="120" w:type="dxa"/>
              <w:bottom w:w="80" w:type="dxa"/>
              <w:end w:w="120" w:type="dxa"/>
            </w:tcMar>
          </w:tcPr>
          <w:p>
            <w:r>
              <w:rPr>
                <w:sz w:val="16"/>
              </w:rPr>
              <w:t>Blackboxapp.blackboxagent</w:t>
            </w:r>
          </w:p>
        </w:tc>
      </w:tr>
      <w:tr>
        <w:tc>
          <w:tcPr>
            <w:tcW w:type="dxa" w:w="1927"/>
            <w:vAlign w:val="center"/>
            <w:tcMar>
              <w:top w:w="80" w:type="dxa"/>
              <w:start w:w="120" w:type="dxa"/>
              <w:bottom w:w="80" w:type="dxa"/>
              <w:end w:w="120" w:type="dxa"/>
            </w:tcMar>
          </w:tcPr>
          <w:p>
            <w:r>
              <w:rPr>
                <w:sz w:val="16"/>
              </w:rPr>
              <w:t>Version</w:t>
            </w:r>
          </w:p>
        </w:tc>
        <w:tc>
          <w:tcPr>
            <w:tcW w:type="dxa" w:w="7433"/>
            <w:vAlign w:val="center"/>
            <w:tcMar>
              <w:top w:w="80" w:type="dxa"/>
              <w:start w:w="120" w:type="dxa"/>
              <w:bottom w:w="80" w:type="dxa"/>
              <w:end w:w="120" w:type="dxa"/>
            </w:tcMar>
          </w:tcPr>
          <w:p>
            <w:r>
              <w:rPr>
                <w:sz w:val="16"/>
              </w:rPr>
              <w:t>3.7.0</w:t>
            </w:r>
          </w:p>
        </w:tc>
      </w:tr>
      <w:tr>
        <w:tc>
          <w:tcPr>
            <w:tcW w:type="dxa" w:w="1927"/>
            <w:vAlign w:val="center"/>
            <w:tcMar>
              <w:top w:w="80" w:type="dxa"/>
              <w:start w:w="120" w:type="dxa"/>
              <w:bottom w:w="80" w:type="dxa"/>
              <w:end w:w="120" w:type="dxa"/>
            </w:tcMar>
          </w:tcPr>
          <w:p>
            <w:r>
              <w:rPr>
                <w:sz w:val="16"/>
              </w:rPr>
              <w:t>Run key</w:t>
            </w:r>
          </w:p>
        </w:tc>
        <w:tc>
          <w:tcPr>
            <w:tcW w:type="dxa" w:w="7433"/>
            <w:vAlign w:val="center"/>
            <w:tcMar>
              <w:top w:w="80" w:type="dxa"/>
              <w:start w:w="120" w:type="dxa"/>
              <w:bottom w:w="80" w:type="dxa"/>
              <w:end w:w="120" w:type="dxa"/>
            </w:tcMar>
          </w:tcPr>
          <w:p>
            <w:r>
              <w:rPr>
                <w:sz w:val="16"/>
              </w:rPr>
              <w:t>2026-08-01-v1.0</w:t>
            </w:r>
          </w:p>
        </w:tc>
      </w:tr>
      <w:tr>
        <w:tc>
          <w:tcPr>
            <w:tcW w:type="dxa" w:w="1927"/>
            <w:vAlign w:val="center"/>
            <w:tcMar>
              <w:top w:w="80" w:type="dxa"/>
              <w:start w:w="120" w:type="dxa"/>
              <w:bottom w:w="80" w:type="dxa"/>
              <w:end w:w="120" w:type="dxa"/>
            </w:tcMar>
          </w:tcPr>
          <w:p>
            <w:r>
              <w:rPr>
                <w:sz w:val="16"/>
              </w:rPr>
              <w:t>Classification</w:t>
            </w:r>
          </w:p>
        </w:tc>
        <w:tc>
          <w:tcPr>
            <w:tcW w:type="dxa" w:w="7433"/>
            <w:vAlign w:val="center"/>
            <w:tcMar>
              <w:top w:w="80" w:type="dxa"/>
              <w:start w:w="120" w:type="dxa"/>
              <w:bottom w:w="80" w:type="dxa"/>
              <w:end w:w="120" w:type="dxa"/>
            </w:tcMar>
          </w:tcPr>
          <w:p>
            <w:r>
              <w:rPr>
                <w:sz w:val="16"/>
              </w:rPr>
              <w:t>PUBLIC</w:t>
            </w:r>
          </w:p>
        </w:tc>
      </w:tr>
      <w:tr>
        <w:tc>
          <w:tcPr>
            <w:tcW w:type="dxa" w:w="1927"/>
            <w:vAlign w:val="center"/>
            <w:tcMar>
              <w:top w:w="80" w:type="dxa"/>
              <w:start w:w="120" w:type="dxa"/>
              <w:bottom w:w="80" w:type="dxa"/>
              <w:end w:w="120" w:type="dxa"/>
            </w:tcMar>
          </w:tcPr>
          <w:p>
            <w:r>
              <w:rPr>
                <w:sz w:val="16"/>
              </w:rPr>
              <w:t>Distribution</w:t>
            </w:r>
          </w:p>
        </w:tc>
        <w:tc>
          <w:tcPr>
            <w:tcW w:type="dxa" w:w="7433"/>
            <w:vAlign w:val="center"/>
            <w:tcMar>
              <w:top w:w="80" w:type="dxa"/>
              <w:start w:w="120" w:type="dxa"/>
              <w:bottom w:w="80" w:type="dxa"/>
              <w:end w:w="120" w:type="dxa"/>
            </w:tcMar>
          </w:tcPr>
          <w:p>
            <w:r>
              <w:rPr>
                <w:sz w:val="16"/>
              </w:rPr>
              <w:t>Public distribution</w:t>
            </w:r>
          </w:p>
        </w:tc>
      </w:tr>
      <w:tr>
        <w:tc>
          <w:tcPr>
            <w:tcW w:type="dxa" w:w="1927"/>
            <w:vAlign w:val="center"/>
            <w:tcMar>
              <w:top w:w="80" w:type="dxa"/>
              <w:start w:w="120" w:type="dxa"/>
              <w:bottom w:w="80" w:type="dxa"/>
              <w:end w:w="120" w:type="dxa"/>
            </w:tcMar>
          </w:tcPr>
          <w:p>
            <w:r>
              <w:rPr>
                <w:sz w:val="16"/>
              </w:rPr>
              <w:t>Decision</w:t>
            </w:r>
          </w:p>
        </w:tc>
        <w:tc>
          <w:tcPr>
            <w:tcW w:type="dxa" w:w="7433"/>
            <w:vAlign w:val="center"/>
            <w:tcMar>
              <w:top w:w="80" w:type="dxa"/>
              <w:start w:w="120" w:type="dxa"/>
              <w:bottom w:w="80" w:type="dxa"/>
              <w:end w:w="120" w:type="dxa"/>
            </w:tcMar>
          </w:tcPr>
          <w:p>
            <w:r>
              <w:rPr>
                <w:sz w:val="16"/>
              </w:rPr>
              <w:t>Defer pending evidence</w:t>
            </w:r>
          </w:p>
        </w:tc>
      </w:tr>
    </w:tbl>
    <w:p/>
    <w:p>
      <w:pPr>
        <w:pStyle w:val="Heading1"/>
      </w:pPr>
      <w:r>
        <w:t>Revision History</w:t>
      </w:r>
    </w:p>
    <w:p>
      <w:pPr>
        <w:pStyle w:val="Caption"/>
      </w:pPr>
      <w:r>
        <w:rPr>
          <w:b/>
        </w:rPr>
        <w:t>Table 2 — Revision history</w:t>
      </w:r>
    </w:p>
    <w:tbl>
      <w:tblPr>
        <w:tblStyle w:val="TableGrid"/>
        <w:tblW w:type="dxa" w:w="9360"/>
        <w:tblLayout w:type="fixed"/>
        <w:tblLook w:firstColumn="1" w:firstRow="1" w:lastColumn="0" w:lastRow="0" w:noHBand="0" w:noVBand="1" w:val="04A0"/>
        <w:tblInd w:w="120" w:type="dxa"/>
      </w:tblPr>
      <w:tblGrid>
        <w:gridCol w:w="1560"/>
        <w:gridCol w:w="975"/>
        <w:gridCol w:w="3705"/>
        <w:gridCol w:w="3120"/>
      </w:tblGrid>
      <w:tr>
        <w:trPr>
          <w:tblHeader w:val="true"/>
        </w:trPr>
        <w:tc>
          <w:tcPr>
            <w:tcW w:type="dxa" w:w="1560"/>
            <w:shd w:fill="F2F4F7"/>
            <w:vAlign w:val="center"/>
            <w:tcMar>
              <w:top w:w="80" w:type="dxa"/>
              <w:start w:w="120" w:type="dxa"/>
              <w:bottom w:w="80" w:type="dxa"/>
              <w:end w:w="120" w:type="dxa"/>
            </w:tcMar>
          </w:tcPr>
          <w:p>
            <w:r>
              <w:rPr>
                <w:b/>
                <w:sz w:val="16"/>
              </w:rPr>
              <w:t>Document version</w:t>
            </w:r>
          </w:p>
        </w:tc>
        <w:tc>
          <w:tcPr>
            <w:tcW w:type="dxa" w:w="975"/>
            <w:shd w:fill="F2F4F7"/>
            <w:vAlign w:val="center"/>
            <w:tcMar>
              <w:top w:w="80" w:type="dxa"/>
              <w:start w:w="120" w:type="dxa"/>
              <w:bottom w:w="80" w:type="dxa"/>
              <w:end w:w="120" w:type="dxa"/>
            </w:tcMar>
          </w:tcPr>
          <w:p>
            <w:r>
              <w:rPr>
                <w:b/>
                <w:sz w:val="16"/>
              </w:rPr>
              <w:t>Date</w:t>
            </w:r>
          </w:p>
        </w:tc>
        <w:tc>
          <w:tcPr>
            <w:tcW w:type="dxa" w:w="3705"/>
            <w:shd w:fill="F2F4F7"/>
            <w:vAlign w:val="center"/>
            <w:tcMar>
              <w:top w:w="80" w:type="dxa"/>
              <w:start w:w="120" w:type="dxa"/>
              <w:bottom w:w="80" w:type="dxa"/>
              <w:end w:w="120" w:type="dxa"/>
            </w:tcMar>
          </w:tcPr>
          <w:p>
            <w:r>
              <w:rPr>
                <w:b/>
                <w:sz w:val="16"/>
              </w:rPr>
              <w:t>Status</w:t>
            </w:r>
          </w:p>
        </w:tc>
        <w:tc>
          <w:tcPr>
            <w:tcW w:type="dxa" w:w="3120"/>
            <w:shd w:fill="F2F4F7"/>
            <w:vAlign w:val="center"/>
            <w:tcMar>
              <w:top w:w="80" w:type="dxa"/>
              <w:start w:w="120" w:type="dxa"/>
              <w:bottom w:w="80" w:type="dxa"/>
              <w:end w:w="120" w:type="dxa"/>
            </w:tcMar>
          </w:tcPr>
          <w:p>
            <w:r>
              <w:rPr>
                <w:b/>
                <w:sz w:val="16"/>
              </w:rPr>
              <w:t>Change</w:t>
            </w:r>
          </w:p>
        </w:tc>
      </w:tr>
      <w:tr>
        <w:tc>
          <w:tcPr>
            <w:tcW w:type="dxa" w:w="1560"/>
            <w:vAlign w:val="center"/>
            <w:tcMar>
              <w:top w:w="80" w:type="dxa"/>
              <w:start w:w="120" w:type="dxa"/>
              <w:bottom w:w="80" w:type="dxa"/>
              <w:end w:w="120" w:type="dxa"/>
            </w:tcMar>
          </w:tcPr>
          <w:p>
            <w:r>
              <w:rPr>
                <w:sz w:val="16"/>
              </w:rPr>
              <w:t>1.0</w:t>
            </w:r>
          </w:p>
        </w:tc>
        <w:tc>
          <w:tcPr>
            <w:tcW w:type="dxa" w:w="975"/>
            <w:vAlign w:val="center"/>
            <w:tcMar>
              <w:top w:w="80" w:type="dxa"/>
              <w:start w:w="120" w:type="dxa"/>
              <w:bottom w:w="80" w:type="dxa"/>
              <w:end w:w="120" w:type="dxa"/>
            </w:tcMar>
          </w:tcPr>
          <w:p>
            <w:r>
              <w:rPr>
                <w:sz w:val="16"/>
              </w:rPr>
              <w:t>2026-08-01</w:t>
            </w:r>
          </w:p>
        </w:tc>
        <w:tc>
          <w:tcPr>
            <w:tcW w:type="dxa" w:w="3705"/>
            <w:vAlign w:val="center"/>
            <w:tcMar>
              <w:top w:w="80" w:type="dxa"/>
              <w:start w:w="120" w:type="dxa"/>
              <w:bottom w:w="80" w:type="dxa"/>
              <w:end w:w="120" w:type="dxa"/>
            </w:tcMar>
          </w:tcPr>
          <w:p>
            <w:r>
              <w:rPr>
                <w:sz w:val="16"/>
              </w:rPr>
              <w:t>Candidate pending native Word closeout</w:t>
            </w:r>
          </w:p>
        </w:tc>
        <w:tc>
          <w:tcPr>
            <w:tcW w:type="dxa" w:w="3120"/>
            <w:vAlign w:val="center"/>
            <w:tcMar>
              <w:top w:w="80" w:type="dxa"/>
              <w:start w:w="120" w:type="dxa"/>
              <w:bottom w:w="80" w:type="dxa"/>
              <w:end w:w="120" w:type="dxa"/>
            </w:tcMar>
          </w:tcPr>
          <w:p>
            <w:r>
              <w:rPr>
                <w:sz w:val="16"/>
              </w:rPr>
              <w:t>Initial schema-driven assessment</w:t>
            </w:r>
          </w:p>
        </w:tc>
      </w:tr>
    </w:tbl>
    <w:p/>
    <w:p>
      <w:r>
        <w:br w:type="page"/>
      </w:r>
    </w:p>
    <w:p>
      <w:pPr>
        <w:pStyle w:val="Heading1"/>
      </w:pPr>
      <w:r>
        <w:t>Contents</w:t>
      </w:r>
    </w:p>
    <w:p>
      <w:fldSimple w:instr="TOC \o &quot;1-3&quot; \h \z \u"/>
    </w:p>
    <w:p>
      <w:pPr>
        <w:pStyle w:val="ListBullet"/>
        <w:spacing w:before="0" w:after="0" w:line="240" w:lineRule="auto"/>
      </w:pPr>
      <w:r>
        <w:rPr>
          <w:sz w:val="18"/>
        </w:rPr>
        <w:t>Executive Summary</w:t>
      </w:r>
    </w:p>
    <w:p>
      <w:pPr>
        <w:pStyle w:val="ListBullet"/>
        <w:spacing w:before="0" w:after="0" w:line="240" w:lineRule="auto"/>
      </w:pPr>
      <w:r>
        <w:rPr>
          <w:sz w:val="18"/>
        </w:rPr>
        <w:t>Approval Conditions and Immediate Actions</w:t>
      </w:r>
    </w:p>
    <w:p>
      <w:pPr>
        <w:pStyle w:val="ListBullet"/>
        <w:spacing w:before="0" w:after="0" w:line="240" w:lineRule="auto"/>
      </w:pPr>
      <w:r>
        <w:rPr>
          <w:sz w:val="18"/>
        </w:rPr>
        <w:t>Purpose Function Overview</w:t>
      </w:r>
    </w:p>
    <w:p>
      <w:pPr>
        <w:pStyle w:val="ListBullet"/>
        <w:spacing w:before="0" w:after="0" w:line="240" w:lineRule="auto"/>
      </w:pPr>
      <w:r>
        <w:rPr>
          <w:sz w:val="18"/>
        </w:rPr>
        <w:t>Scope, Assumptions, Methodology, and Criteria</w:t>
      </w:r>
    </w:p>
    <w:p>
      <w:pPr>
        <w:pStyle w:val="ListBullet"/>
        <w:spacing w:before="0" w:after="0" w:line="240" w:lineRule="auto"/>
      </w:pPr>
      <w:r>
        <w:rPr>
          <w:sz w:val="18"/>
        </w:rPr>
        <w:t>Product Identity and Version</w:t>
      </w:r>
    </w:p>
    <w:p>
      <w:pPr>
        <w:pStyle w:val="ListBullet"/>
        <w:spacing w:before="0" w:after="0" w:line="240" w:lineRule="auto"/>
      </w:pPr>
      <w:r>
        <w:rPr>
          <w:sz w:val="18"/>
        </w:rPr>
        <w:t>Part I — VS Code Assessment and Executive Decision</w:t>
      </w:r>
    </w:p>
    <w:p>
      <w:pPr>
        <w:pStyle w:val="ListBullet"/>
        <w:spacing w:before="0" w:after="0" w:line="240" w:lineRule="auto"/>
      </w:pPr>
      <w:r>
        <w:rPr>
          <w:sz w:val="18"/>
        </w:rPr>
        <w:t>VS Code Purpose, Function, and Supported Version</w:t>
      </w:r>
    </w:p>
    <w:p>
      <w:pPr>
        <w:pStyle w:val="ListBullet"/>
        <w:spacing w:before="0" w:after="0" w:line="240" w:lineRule="auto"/>
      </w:pPr>
      <w:r>
        <w:rPr>
          <w:sz w:val="18"/>
        </w:rPr>
        <w:t>VS Code Architecture</w:t>
      </w:r>
    </w:p>
    <w:p>
      <w:pPr>
        <w:pStyle w:val="ListBullet"/>
        <w:spacing w:before="0" w:after="0" w:line="240" w:lineRule="auto"/>
      </w:pPr>
      <w:r>
        <w:rPr>
          <w:sz w:val="18"/>
        </w:rPr>
        <w:t>VS Code Trust Boundaries</w:t>
      </w:r>
    </w:p>
    <w:p>
      <w:pPr>
        <w:pStyle w:val="ListBullet"/>
        <w:spacing w:before="0" w:after="0" w:line="240" w:lineRule="auto"/>
      </w:pPr>
      <w:r>
        <w:rPr>
          <w:sz w:val="18"/>
        </w:rPr>
        <w:t>VS Code Data Flows</w:t>
      </w:r>
    </w:p>
    <w:p>
      <w:pPr>
        <w:pStyle w:val="ListBullet"/>
        <w:spacing w:before="0" w:after="0" w:line="240" w:lineRule="auto"/>
      </w:pPr>
      <w:r>
        <w:rPr>
          <w:sz w:val="18"/>
        </w:rPr>
        <w:t>VS Code Installation Manifest and Uninstall</w:t>
      </w:r>
    </w:p>
    <w:p>
      <w:pPr>
        <w:pStyle w:val="ListBullet"/>
        <w:spacing w:before="0" w:after="0" w:line="240" w:lineRule="auto"/>
      </w:pPr>
      <w:r>
        <w:rPr>
          <w:sz w:val="18"/>
        </w:rPr>
        <w:t>VS Code Runtime Processes and Activation</w:t>
      </w:r>
    </w:p>
    <w:p>
      <w:pPr>
        <w:pStyle w:val="ListBullet"/>
        <w:spacing w:before="0" w:after="0" w:line="240" w:lineRule="auto"/>
      </w:pPr>
      <w:r>
        <w:rPr>
          <w:sz w:val="18"/>
        </w:rPr>
        <w:t>VS Code Network, Authentication, Telemetry, and Privacy</w:t>
      </w:r>
    </w:p>
    <w:p>
      <w:pPr>
        <w:pStyle w:val="ListBullet"/>
        <w:spacing w:before="0" w:after="0" w:line="240" w:lineRule="auto"/>
      </w:pPr>
      <w:r>
        <w:rPr>
          <w:sz w:val="18"/>
        </w:rPr>
        <w:t>VS Code MCP and Installed Skills</w:t>
      </w:r>
    </w:p>
    <w:p>
      <w:pPr>
        <w:pStyle w:val="ListBullet"/>
        <w:spacing w:before="0" w:after="0" w:line="240" w:lineRule="auto"/>
      </w:pPr>
      <w:r>
        <w:rPr>
          <w:sz w:val="18"/>
        </w:rPr>
        <w:t>VS Code Supply Chain and Dependencies</w:t>
      </w:r>
    </w:p>
    <w:p>
      <w:pPr>
        <w:pStyle w:val="ListBullet"/>
        <w:spacing w:before="0" w:after="0" w:line="240" w:lineRule="auto"/>
      </w:pPr>
      <w:r>
        <w:rPr>
          <w:sz w:val="18"/>
        </w:rPr>
        <w:t>VS Code Threat Scenarios and Findings</w:t>
      </w:r>
    </w:p>
    <w:p>
      <w:pPr>
        <w:pStyle w:val="ListBullet"/>
        <w:spacing w:before="0" w:after="0" w:line="240" w:lineRule="auto"/>
      </w:pPr>
      <w:r>
        <w:rPr>
          <w:sz w:val="18"/>
        </w:rPr>
        <w:t>VS Code Framework Disposition and Mappings</w:t>
      </w:r>
    </w:p>
    <w:p>
      <w:pPr>
        <w:pStyle w:val="ListBullet"/>
        <w:spacing w:before="0" w:after="0" w:line="240" w:lineRule="auto"/>
      </w:pPr>
      <w:r>
        <w:rPr>
          <w:sz w:val="18"/>
        </w:rPr>
        <w:t>VS Code Enterprise Controls and Detection</w:t>
      </w:r>
    </w:p>
    <w:p>
      <w:pPr>
        <w:pStyle w:val="ListBullet"/>
        <w:spacing w:before="0" w:after="0" w:line="240" w:lineRule="auto"/>
      </w:pPr>
      <w:r>
        <w:rPr>
          <w:sz w:val="18"/>
        </w:rPr>
        <w:t>VS Code Residual Risk, Confidence, Limitations, and Recommendation</w:t>
      </w:r>
    </w:p>
    <w:p>
      <w:pPr>
        <w:pStyle w:val="ListBullet"/>
        <w:spacing w:before="0" w:after="0" w:line="240" w:lineRule="auto"/>
      </w:pPr>
      <w:r>
        <w:rPr>
          <w:sz w:val="18"/>
        </w:rPr>
        <w:t>VS Code Evidence and Host-Verification Actions</w:t>
      </w:r>
    </w:p>
    <w:p>
      <w:pPr>
        <w:pStyle w:val="ListBullet"/>
        <w:spacing w:before="0" w:after="0" w:line="240" w:lineRule="auto"/>
      </w:pPr>
      <w:r>
        <w:rPr>
          <w:sz w:val="18"/>
        </w:rPr>
        <w:t>Part II — Microsoft Visual Studio Assessment</w:t>
      </w:r>
    </w:p>
    <w:p>
      <w:pPr>
        <w:pStyle w:val="ListBullet"/>
        <w:spacing w:before="0" w:after="0" w:line="240" w:lineRule="auto"/>
      </w:pPr>
      <w:r>
        <w:rPr>
          <w:sz w:val="18"/>
        </w:rPr>
        <w:t>Part III — Shared Installed Agent Skills</w:t>
      </w:r>
    </w:p>
    <w:p>
      <w:pPr>
        <w:pStyle w:val="ListBullet"/>
        <w:spacing w:before="0" w:after="0" w:line="240" w:lineRule="auto"/>
      </w:pPr>
      <w:r>
        <w:rPr>
          <w:sz w:val="18"/>
        </w:rPr>
        <w:t>Cross-IDE Comparison and Composition Risks</w:t>
      </w:r>
    </w:p>
    <w:p>
      <w:pPr>
        <w:pStyle w:val="ListBullet"/>
        <w:spacing w:before="0" w:after="0" w:line="240" w:lineRule="auto"/>
      </w:pPr>
      <w:r>
        <w:rPr>
          <w:sz w:val="18"/>
        </w:rPr>
        <w:t>Consolidated Supply Chain Assessment</w:t>
      </w:r>
    </w:p>
    <w:p>
      <w:pPr>
        <w:pStyle w:val="ListBullet"/>
        <w:spacing w:before="0" w:after="0" w:line="240" w:lineRule="auto"/>
      </w:pPr>
      <w:r>
        <w:rPr>
          <w:sz w:val="18"/>
        </w:rPr>
        <w:t>Consolidated Privacy and Data Protection Assessment</w:t>
      </w:r>
    </w:p>
    <w:p>
      <w:pPr>
        <w:pStyle w:val="ListBullet"/>
        <w:spacing w:before="0" w:after="0" w:line="240" w:lineRule="auto"/>
      </w:pPr>
      <w:r>
        <w:rPr>
          <w:sz w:val="18"/>
        </w:rPr>
        <w:t>Enterprise Controls Roadmap</w:t>
      </w:r>
    </w:p>
    <w:p>
      <w:pPr>
        <w:pStyle w:val="ListBullet"/>
        <w:spacing w:before="0" w:after="0" w:line="240" w:lineRule="auto"/>
      </w:pPr>
      <w:r>
        <w:rPr>
          <w:sz w:val="18"/>
        </w:rPr>
        <w:t>Detection Opportunities and Monitoring Plan</w:t>
      </w:r>
    </w:p>
    <w:p>
      <w:pPr>
        <w:pStyle w:val="ListBullet"/>
        <w:spacing w:before="0" w:after="0" w:line="240" w:lineRule="auto"/>
      </w:pPr>
      <w:r>
        <w:rPr>
          <w:sz w:val="18"/>
        </w:rPr>
        <w:t>Detailed Validated Findings</w:t>
      </w:r>
    </w:p>
    <w:p>
      <w:pPr>
        <w:pStyle w:val="ListBullet"/>
        <w:spacing w:before="0" w:after="0" w:line="240" w:lineRule="auto"/>
      </w:pPr>
      <w:r>
        <w:rPr>
          <w:sz w:val="18"/>
        </w:rPr>
        <w:t>F-001 — High-agency actions lack independently verified policy enforcement</w:t>
      </w:r>
    </w:p>
    <w:p>
      <w:pPr>
        <w:pStyle w:val="ListBullet"/>
        <w:spacing w:before="0" w:after="0" w:line="240" w:lineRule="auto"/>
      </w:pPr>
      <w:r>
        <w:rPr>
          <w:sz w:val="18"/>
        </w:rPr>
        <w:t>F-002 — Credential-like material is bundled in distributable code</w:t>
      </w:r>
    </w:p>
    <w:p>
      <w:pPr>
        <w:pStyle w:val="ListBullet"/>
        <w:spacing w:before="0" w:after="0" w:line="240" w:lineRule="auto"/>
      </w:pPr>
      <w:r>
        <w:rPr>
          <w:sz w:val="18"/>
        </w:rPr>
        <w:t>F-003 — Outdated 7-Zip, Electron, WebSocket, and parser dependencies carry known advisories</w:t>
      </w:r>
    </w:p>
    <w:p>
      <w:pPr>
        <w:pStyle w:val="ListBullet"/>
        <w:spacing w:before="0" w:after="0" w:line="240" w:lineRule="auto"/>
      </w:pPr>
      <w:r>
        <w:rPr>
          <w:sz w:val="18"/>
        </w:rPr>
        <w:t>F-004 — MCP marketplace and autonomous skills create uncontrolled composition risk</w:t>
      </w:r>
    </w:p>
    <w:p>
      <w:pPr>
        <w:pStyle w:val="ListBullet"/>
        <w:spacing w:before="0" w:after="0" w:line="240" w:lineRule="auto"/>
      </w:pPr>
      <w:r>
        <w:rPr>
          <w:sz w:val="18"/>
        </w:rPr>
        <w:t>F-005 — Source, licence, changelog, and build provenance are insufficient</w:t>
      </w:r>
    </w:p>
    <w:p>
      <w:pPr>
        <w:pStyle w:val="ListBullet"/>
        <w:spacing w:before="0" w:after="0" w:line="240" w:lineRule="auto"/>
      </w:pPr>
      <w:r>
        <w:rPr>
          <w:sz w:val="18"/>
        </w:rPr>
        <w:t>F-006 — Data routing, retention, telemetry, and subprocess handling are not deployment-specific</w:t>
      </w:r>
    </w:p>
    <w:p>
      <w:pPr>
        <w:pStyle w:val="ListBullet"/>
        <w:spacing w:before="0" w:after="0" w:line="240" w:lineRule="auto"/>
      </w:pPr>
      <w:r>
        <w:rPr>
          <w:sz w:val="18"/>
        </w:rPr>
        <w:t>F-007 — Runtime, update, and uninstall behavior remains blocked</w:t>
      </w:r>
    </w:p>
    <w:p>
      <w:pPr>
        <w:pStyle w:val="ListBullet"/>
        <w:spacing w:before="0" w:after="0" w:line="240" w:lineRule="auto"/>
      </w:pPr>
      <w:r>
        <w:rPr>
          <w:sz w:val="18"/>
        </w:rPr>
        <w:t>F-008 — Startup activation and monitoring gaps increase ambient exposure</w:t>
      </w:r>
    </w:p>
    <w:p>
      <w:pPr>
        <w:pStyle w:val="ListBullet"/>
        <w:spacing w:before="0" w:after="0" w:line="240" w:lineRule="auto"/>
      </w:pPr>
      <w:r>
        <w:rPr>
          <w:sz w:val="18"/>
        </w:rPr>
        <w:t>Consolidated Risk Register</w:t>
      </w:r>
    </w:p>
    <w:p>
      <w:pPr>
        <w:pStyle w:val="ListBullet"/>
        <w:spacing w:before="0" w:after="0" w:line="240" w:lineRule="auto"/>
      </w:pPr>
      <w:r>
        <w:rPr>
          <w:sz w:val="18"/>
        </w:rPr>
        <w:t>Residual Risk and Approval Recommendation</w:t>
      </w:r>
    </w:p>
    <w:p>
      <w:pPr>
        <w:pStyle w:val="ListBullet"/>
        <w:spacing w:before="0" w:after="0" w:line="240" w:lineRule="auto"/>
      </w:pPr>
      <w:r>
        <w:rPr>
          <w:sz w:val="18"/>
        </w:rPr>
        <w:t>Limitations and Confidence Levels</w:t>
      </w:r>
    </w:p>
    <w:p>
      <w:pPr>
        <w:pStyle w:val="ListBullet"/>
        <w:spacing w:before="0" w:after="0" w:line="240" w:lineRule="auto"/>
      </w:pPr>
      <w:r>
        <w:rPr>
          <w:sz w:val="18"/>
        </w:rPr>
        <w:t>Evidence Register</w:t>
      </w:r>
    </w:p>
    <w:p>
      <w:pPr>
        <w:pStyle w:val="ListBullet"/>
        <w:spacing w:before="0" w:after="0" w:line="240" w:lineRule="auto"/>
      </w:pPr>
      <w:r>
        <w:rPr>
          <w:sz w:val="18"/>
        </w:rPr>
        <w:t>References</w:t>
      </w:r>
    </w:p>
    <w:p>
      <w:pPr>
        <w:pStyle w:val="ListBullet"/>
        <w:spacing w:before="0" w:after="0" w:line="240" w:lineRule="auto"/>
      </w:pPr>
      <w:r>
        <w:rPr>
          <w:sz w:val="18"/>
        </w:rPr>
        <w:t>Appendices and Verification Procedures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Executive Summary</w:t>
      </w:r>
    </w:p>
    <w:p>
      <w:r>
        <w:t>Decision: Defer pending evidence. Overall residual risk: High. This assessment is scoped to Visual Studio Code ^1.84.0: assessed statically; runtime Blocked, Microsoft Visual Studio: Not applicable and unsupported by evidence version 3.7.0 and is based on the evidence state and limitations recorded below.</w:t>
      </w:r>
    </w:p>
    <w:p>
      <w:pPr>
        <w:pStyle w:val="ListBullet"/>
      </w:pPr>
      <w:r>
        <w:t>Defer version 3.7.0: directly observed package issues and unverified high-agency controls produce High overall residual risk.</w:t>
      </w:r>
    </w:p>
    <w:p>
      <w:pPr>
        <w:pStyle w:val="ListBullet"/>
      </w:pPr>
      <w:r>
        <w:t>Secret scanning identified three copies of one redacted audio/TURN credential-like value and one expired JWT-like value; no secret is reproduced.</w:t>
      </w:r>
    </w:p>
    <w:p>
      <w:pPr>
        <w:pStyle w:val="ListBullet"/>
      </w:pPr>
      <w:r>
        <w:t>Dependency analysis identified 42 matches affecting 7-Zip 19.00, Electron 33.3.1, ws, socket.io-parser, and related components; reachability is unresolved.</w:t>
      </w:r>
    </w:p>
    <w:p>
      <w:pPr>
        <w:pStyle w:val="ListBullet"/>
      </w:pPr>
      <w:r>
        <w:t>MCP defaults are broad and skills may be autonomous, but no server, tool, resource, prompt, or skill was approved or tested.</w:t>
      </w:r>
    </w:p>
    <w:p>
      <w:pPr>
        <w:pStyle w:val="ListBullet"/>
      </w:pPr>
      <w:r>
        <w:t>Runtime, source-to-package, privacy-route, update, and uninstall evidence remain Blocked or Unknown; production data and credentials are prohibited.</w:t>
      </w:r>
    </w:p>
    <w:p>
      <w:pPr>
        <w:pStyle w:val="Heading2"/>
      </w:pPr>
      <w:r>
        <w:t>Approval Conditions and Immediate Actions</w:t>
      </w:r>
    </w:p>
    <w:p>
      <w:pPr>
        <w:pStyle w:val="ListNumber"/>
      </w:pPr>
      <w:r>
        <w:t>Signed replacement VSIX with bundled credentials removed and rotated.</w:t>
      </w:r>
    </w:p>
    <w:p>
      <w:pPr>
        <w:pStyle w:val="ListNumber"/>
      </w:pPr>
      <w:r>
        <w:t>Patched components plus vendor SBOM, VEX or reachability analysis, and rescanning.</w:t>
      </w:r>
    </w:p>
    <w:p>
      <w:pPr>
        <w:pStyle w:val="ListNumber"/>
      </w:pPr>
      <w:r>
        <w:t>Source or independent secure-code-review evidence, licence, changelog, and signed build provenance.</w:t>
      </w:r>
    </w:p>
    <w:p>
      <w:pPr>
        <w:pStyle w:val="ListNumber"/>
      </w:pPr>
      <w:r>
        <w:t>Approved DPA, subprocessors, endpoints, retention, deletion, tenant isolation, and telemetry specification.</w:t>
      </w:r>
    </w:p>
    <w:p>
      <w:pPr>
        <w:pStyle w:val="ListNumber"/>
      </w:pPr>
      <w:r>
        <w:t>Successful disposable-host runtime, adversarial approval, update, revocation, and uninstall testing with synthetic data.</w:t>
      </w:r>
    </w:p>
    <w:p>
      <w:pPr>
        <w:pStyle w:val="Heading2"/>
      </w:pPr>
      <w:r>
        <w:t>Architecture and Trust-Boundary Figure</w:t>
      </w:r>
    </w:p>
    <w:p>
      <w:r>
        <w:drawing>
          <wp:inline xmlns:a="http://schemas.openxmlformats.org/drawingml/2006/main" xmlns:pic="http://schemas.openxmlformats.org/drawingml/2006/picture">
            <wp:extent cx="5943600" cy="2971800"/>
            <wp:docPr id="1" name="Inferred trust boundaries and high-agency data flow" title="Inferred trust boundaries and high-agency data flow" descr="Developer and VS Code exchange context with the extension host, which can invoke local tools and communicate with vendor and third-party services; policy and audit controls must govern each boundary."/>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971800"/>
                    </a:xfrm>
                    <a:prstGeom prst="rect"/>
                  </pic:spPr>
                </pic:pic>
              </a:graphicData>
            </a:graphic>
          </wp:inline>
        </w:drawing>
      </w:r>
    </w:p>
    <w:p>
      <w:pPr>
        <w:pStyle w:val="Caption"/>
      </w:pPr>
      <w:r>
        <w:t>Figure 1 — Inferred trust boundaries and high-agency data flow</w:t>
      </w:r>
    </w:p>
    <w:p>
      <w:pPr>
        <w:pStyle w:val="Heading1"/>
      </w:pPr>
      <w:r>
        <w:t>Executive Summary</w:t>
      </w:r>
    </w:p>
    <w:p>
      <w:r>
        <w:t>Decision: Defer pending evidence. Overall residual risk is High for Blackbox Agent - Coding Copilot version 3.7.0 in Visual Studio Code. The package combines startup activation, autonomous file and terminal operations, browser control, multiple-agent orchestration, remote-agent and CLI entry points, full-mode MCP with an enabled marketplace, and shareable skills. That capability concentration is not inherently malicious, but it makes control failure consequential. Direct package evidence also identifies credential-like material and materially outdated dependencies. Runtime, source, contract, and release evidence are insufficient to credit strong controls. [</w:t>
      </w:r>
      <w:hyperlink w:anchor="REF_001">
        <w:r>
          <w:rPr>
            <w:rStyle w:val="Hyperlink"/>
          </w:rPr>
          <w:t>REF-001</w:t>
        </w:r>
      </w:hyperlink>
      <w:r>
        <w:t>]</w:t>
      </w:r>
    </w:p>
    <w:p>
      <w:r>
        <w:t>The decision applies only to version 3.7.0 and the retained VSIX hash. It does not approve later versions, a private vendor build, Visual Studio, or any MCP server, skill, model, agent, browser workflow, audio workflow, or remote service. A remediation package and completed representative runtime assessment are prerequisites to reconsideration. Until then, block installation and keep production credentials, proprietary repositories, personal data, regulated records, and production systems out of scope.</w:t>
      </w:r>
    </w:p>
    <w:p>
      <w:pPr>
        <w:pStyle w:val="ListBullet"/>
      </w:pPr>
      <w:r>
        <w:t>The VSIX contains three copies of the same redacted audio/TURN credential-like value and one expired JWT-like value; the live scope of the repeated value was not tested.</w:t>
      </w:r>
    </w:p>
    <w:p>
      <w:pPr>
        <w:pStyle w:val="ListBullet"/>
      </w:pPr>
      <w:r>
        <w:t>Grype reports 42 matches, including 7-Zip 19.00 and outdated Electron, ws, and socket.io-parser components; exploitability requires vendor reachability evidence.</w:t>
      </w:r>
    </w:p>
    <w:p>
      <w:pPr>
        <w:pStyle w:val="ListBullet"/>
      </w:pPr>
      <w:r>
        <w:t>MCP defaults are broad: full mode and the marketplace are enabled, while no server, tool, resource, prompt, or skill was approved or runtime-tested.</w:t>
      </w:r>
    </w:p>
    <w:p>
      <w:pPr>
        <w:pStyle w:val="ListBullet"/>
      </w:pPr>
      <w:r>
        <w:t>No usable source repository, populated licence, populated changelog, vendor SBOM, or build attestation was established for version 3.7.0.</w:t>
      </w:r>
    </w:p>
    <w:p>
      <w:pPr>
        <w:pStyle w:val="ListBullet"/>
      </w:pPr>
      <w:r>
        <w:t>Runtime installation, network behavior, approvals, token storage, updates, and uninstall residue are Blocked pending a representative disposable host.</w:t>
      </w:r>
    </w:p>
    <w:p>
      <w:pPr>
        <w:pStyle w:val="Caption"/>
      </w:pPr>
      <w:r>
        <w:rPr>
          <w:b/>
        </w:rPr>
        <w:t>Decision snapshot</w:t>
      </w:r>
    </w:p>
    <w:tbl>
      <w:tblPr>
        <w:tblStyle w:val="TableGrid"/>
        <w:tblW w:type="dxa" w:w="9360"/>
        <w:tblLayout w:type="fixed"/>
        <w:tblLook w:firstColumn="1" w:firstRow="1" w:lastColumn="0" w:lastRow="0" w:noHBand="0" w:noVBand="1" w:val="04A0"/>
        <w:tblInd w:w="120" w:type="dxa"/>
      </w:tblPr>
      <w:tblGrid>
        <w:gridCol w:w="2553"/>
        <w:gridCol w:w="6807"/>
      </w:tblGrid>
      <w:tr>
        <w:trPr>
          <w:tblHeader w:val="true"/>
        </w:trPr>
        <w:tc>
          <w:tcPr>
            <w:tcW w:type="dxa" w:w="2553"/>
            <w:shd w:fill="F2F4F7"/>
            <w:vAlign w:val="center"/>
            <w:tcMar>
              <w:top w:w="80" w:type="dxa"/>
              <w:start w:w="120" w:type="dxa"/>
              <w:bottom w:w="80" w:type="dxa"/>
              <w:end w:w="120" w:type="dxa"/>
            </w:tcMar>
          </w:tcPr>
          <w:p>
            <w:r>
              <w:rPr>
                <w:b/>
                <w:sz w:val="16"/>
              </w:rPr>
              <w:t>Item</w:t>
            </w:r>
          </w:p>
        </w:tc>
        <w:tc>
          <w:tcPr>
            <w:tcW w:type="dxa" w:w="6807"/>
            <w:shd w:fill="F2F4F7"/>
            <w:vAlign w:val="center"/>
            <w:tcMar>
              <w:top w:w="80" w:type="dxa"/>
              <w:start w:w="120" w:type="dxa"/>
              <w:bottom w:w="80" w:type="dxa"/>
              <w:end w:w="120" w:type="dxa"/>
            </w:tcMar>
          </w:tcPr>
          <w:p>
            <w:r>
              <w:rPr>
                <w:b/>
                <w:sz w:val="16"/>
              </w:rPr>
              <w:t>Assessment</w:t>
            </w:r>
          </w:p>
        </w:tc>
      </w:tr>
      <w:tr>
        <w:tc>
          <w:tcPr>
            <w:tcW w:type="dxa" w:w="2553"/>
            <w:vAlign w:val="center"/>
            <w:tcMar>
              <w:top w:w="80" w:type="dxa"/>
              <w:start w:w="120" w:type="dxa"/>
              <w:bottom w:w="80" w:type="dxa"/>
              <w:end w:w="120" w:type="dxa"/>
            </w:tcMar>
          </w:tcPr>
          <w:p>
            <w:r>
              <w:rPr>
                <w:sz w:val="16"/>
              </w:rPr>
              <w:t>Decision</w:t>
            </w:r>
          </w:p>
        </w:tc>
        <w:tc>
          <w:tcPr>
            <w:tcW w:type="dxa" w:w="6807"/>
            <w:vAlign w:val="center"/>
            <w:tcMar>
              <w:top w:w="80" w:type="dxa"/>
              <w:start w:w="120" w:type="dxa"/>
              <w:bottom w:w="80" w:type="dxa"/>
              <w:end w:w="120" w:type="dxa"/>
            </w:tcMar>
          </w:tcPr>
          <w:p>
            <w:r>
              <w:rPr>
                <w:sz w:val="16"/>
              </w:rPr>
              <w:t>Defer pending evidence</w:t>
            </w:r>
          </w:p>
        </w:tc>
      </w:tr>
      <w:tr>
        <w:tc>
          <w:tcPr>
            <w:tcW w:type="dxa" w:w="2553"/>
            <w:vAlign w:val="center"/>
            <w:tcMar>
              <w:top w:w="80" w:type="dxa"/>
              <w:start w:w="120" w:type="dxa"/>
              <w:bottom w:w="80" w:type="dxa"/>
              <w:end w:w="120" w:type="dxa"/>
            </w:tcMar>
          </w:tcPr>
          <w:p>
            <w:r>
              <w:rPr>
                <w:sz w:val="16"/>
              </w:rPr>
              <w:t>Residual risk</w:t>
            </w:r>
          </w:p>
        </w:tc>
        <w:tc>
          <w:tcPr>
            <w:tcW w:type="dxa" w:w="6807"/>
            <w:vAlign w:val="center"/>
            <w:tcMar>
              <w:top w:w="80" w:type="dxa"/>
              <w:start w:w="120" w:type="dxa"/>
              <w:bottom w:w="80" w:type="dxa"/>
              <w:end w:w="120" w:type="dxa"/>
            </w:tcMar>
          </w:tcPr>
          <w:p>
            <w:r>
              <w:rPr>
                <w:sz w:val="16"/>
              </w:rPr>
              <w:t>High</w:t>
            </w:r>
          </w:p>
        </w:tc>
      </w:tr>
      <w:tr>
        <w:tc>
          <w:tcPr>
            <w:tcW w:type="dxa" w:w="2553"/>
            <w:vAlign w:val="center"/>
            <w:tcMar>
              <w:top w:w="80" w:type="dxa"/>
              <w:start w:w="120" w:type="dxa"/>
              <w:bottom w:w="80" w:type="dxa"/>
              <w:end w:w="120" w:type="dxa"/>
            </w:tcMar>
          </w:tcPr>
          <w:p>
            <w:r>
              <w:rPr>
                <w:sz w:val="16"/>
              </w:rPr>
              <w:t>Scope</w:t>
            </w:r>
          </w:p>
        </w:tc>
        <w:tc>
          <w:tcPr>
            <w:tcW w:type="dxa" w:w="6807"/>
            <w:vAlign w:val="center"/>
            <w:tcMar>
              <w:top w:w="80" w:type="dxa"/>
              <w:start w:w="120" w:type="dxa"/>
              <w:bottom w:w="80" w:type="dxa"/>
              <w:end w:w="120" w:type="dxa"/>
            </w:tcMar>
          </w:tcPr>
          <w:p>
            <w:r>
              <w:rPr>
                <w:sz w:val="16"/>
              </w:rPr>
              <w:t>Visual Studio Code only; extension 3.7.0</w:t>
            </w:r>
          </w:p>
        </w:tc>
      </w:tr>
      <w:tr>
        <w:tc>
          <w:tcPr>
            <w:tcW w:type="dxa" w:w="2553"/>
            <w:vAlign w:val="center"/>
            <w:tcMar>
              <w:top w:w="80" w:type="dxa"/>
              <w:start w:w="120" w:type="dxa"/>
              <w:bottom w:w="80" w:type="dxa"/>
              <w:end w:w="120" w:type="dxa"/>
            </w:tcMar>
          </w:tcPr>
          <w:p>
            <w:r>
              <w:rPr>
                <w:sz w:val="16"/>
              </w:rPr>
              <w:t>Runtime</w:t>
            </w:r>
          </w:p>
        </w:tc>
        <w:tc>
          <w:tcPr>
            <w:tcW w:type="dxa" w:w="6807"/>
            <w:vAlign w:val="center"/>
            <w:tcMar>
              <w:top w:w="80" w:type="dxa"/>
              <w:start w:w="120" w:type="dxa"/>
              <w:bottom w:w="80" w:type="dxa"/>
              <w:end w:w="120" w:type="dxa"/>
            </w:tcMar>
          </w:tcPr>
          <w:p>
            <w:r>
              <w:rPr>
                <w:sz w:val="16"/>
              </w:rPr>
              <w:t>Blocked</w:t>
            </w:r>
          </w:p>
        </w:tc>
      </w:tr>
      <w:tr>
        <w:tc>
          <w:tcPr>
            <w:tcW w:type="dxa" w:w="2553"/>
            <w:vAlign w:val="center"/>
            <w:tcMar>
              <w:top w:w="80" w:type="dxa"/>
              <w:start w:w="120" w:type="dxa"/>
              <w:bottom w:w="80" w:type="dxa"/>
              <w:end w:w="120" w:type="dxa"/>
            </w:tcMar>
          </w:tcPr>
          <w:p>
            <w:r>
              <w:rPr>
                <w:sz w:val="16"/>
              </w:rPr>
              <w:t>Production data</w:t>
            </w:r>
          </w:p>
        </w:tc>
        <w:tc>
          <w:tcPr>
            <w:tcW w:type="dxa" w:w="6807"/>
            <w:vAlign w:val="center"/>
            <w:tcMar>
              <w:top w:w="80" w:type="dxa"/>
              <w:start w:w="120" w:type="dxa"/>
              <w:bottom w:w="80" w:type="dxa"/>
              <w:end w:w="120" w:type="dxa"/>
            </w:tcMar>
          </w:tcPr>
          <w:p>
            <w:r>
              <w:rPr>
                <w:sz w:val="16"/>
              </w:rPr>
              <w:t>Prohibited</w:t>
            </w:r>
          </w:p>
        </w:tc>
      </w:tr>
    </w:tbl>
    <w:p/>
    <w:p>
      <w:pPr>
        <w:pStyle w:val="Heading2"/>
      </w:pPr>
      <w:r>
        <w:t>Approval Conditions and Immediate Actions</w:t>
      </w:r>
    </w:p>
    <w:p>
      <w:r>
        <w:t>Immediate action is risk avoidance: deny installation of version 3.7.0 by extension identifier and package hash, preserve the evidence bundle, and request vendor remediation. A narrow non-production pilot may be reconsidered only after all P0 findings have objective evidence. Acceptance cannot be based on an updated marketing page, a clean antivirus scan, or a version-number change without immutable package verification.</w:t>
      </w:r>
    </w:p>
    <w:p>
      <w:pPr>
        <w:pStyle w:val="ListBullet"/>
      </w:pPr>
      <w:r>
        <w:t>Replace the package and prove credential removal and rotation.</w:t>
      </w:r>
    </w:p>
    <w:p>
      <w:pPr>
        <w:pStyle w:val="ListBullet"/>
      </w:pPr>
      <w:r>
        <w:t>Patch or remove vulnerable components and supply reachability analysis and a signed SBOM.</w:t>
      </w:r>
    </w:p>
    <w:p>
      <w:pPr>
        <w:pStyle w:val="ListBullet"/>
      </w:pPr>
      <w:r>
        <w:t>Provide source or independent code-review assurance, build provenance, licence, and change history.</w:t>
      </w:r>
    </w:p>
    <w:p>
      <w:pPr>
        <w:pStyle w:val="ListBullet"/>
      </w:pPr>
      <w:r>
        <w:t>Complete privacy, subprocessor, endpoint, retention, deletion, and tenant-isolation due diligence.</w:t>
      </w:r>
    </w:p>
    <w:p>
      <w:pPr>
        <w:pStyle w:val="ListBullet"/>
      </w:pPr>
      <w:r>
        <w:t>Complete the defined runtime, adversarial approval, update, and uninstall test plan.</w:t>
      </w:r>
    </w:p>
    <w:p>
      <w:pPr>
        <w:pStyle w:val="Heading1"/>
      </w:pPr>
      <w:r>
        <w:t>Purpose Function Overview</w:t>
      </w:r>
    </w:p>
    <w:p>
      <w:r>
        <w:t>Blackbox positions the extension as a unified coding-agent environment for Visual Studio Code. It can ingest files, folders, Git commits, web URLs, screenshots, terminal output, and conversation content; choose among numerous models and agents; write code; run commands; operate a browser; coordinate parallel agents and worktrees; connect MCP servers; and use reusable skills. These functions can improve developer throughput, but they cross traditional editor boundaries and combine data access with state-changing authority. [</w:t>
      </w:r>
      <w:hyperlink w:anchor="REF_001">
        <w:r>
          <w:rPr>
            <w:rStyle w:val="Hyperlink"/>
          </w:rPr>
          <w:t>REF-001</w:t>
        </w:r>
      </w:hyperlink>
      <w:r>
        <w:t>]</w:t>
      </w:r>
    </w:p>
    <w:p>
      <w:r>
        <w:t>The assessment treats the extension as a privileged software-development agent, not a passive autocomplete plugin. Security therefore depends on bounded agency, reliable consent, origin and instruction trust, model and service routing, credential separation, tool isolation, release integrity, audit completeness, and rapid revocation. Those controls must be evidenced for the exact package and enterprise configuration.</w:t>
      </w:r>
    </w:p>
    <w:p>
      <w:pPr>
        <w:pStyle w:val="Heading1"/>
      </w:pPr>
      <w:r>
        <w:t>Scope, Assumptions, Methodology, and Criteria</w:t>
      </w:r>
    </w:p>
    <w:p>
      <w:r>
        <w:t>Scope is the universal Marketplace VSIX for Blackboxapp.blackboxagent version 3.7.0 and Visual Studio Code ^1.84.0. Methods were non-executing acquisition, SHA-256 hashing, bounded archive inventory, manifest and generated-bundle review, secret scanning, malware scanning, Semgrep rules, CycloneDX SBOM generation, vulnerability matching, primary-source research, threat modeling, privacy review, and framework mapping. Only synthetic/non-production testing is authorized. No production identity or repository was used.</w:t>
      </w:r>
    </w:p>
    <w:p>
      <w:r>
        <w:t>Evidence states are explicit. Verified means direct package observation or primary-source support. Inferred means a conclusion derived from verified facts. Not observed means a bounded search did not find the item. Unknown means evidence was unavailable. Blocked means the planned activity could not safely proceed. Scanner non-detections are limited negative evidence. Vendor claims remain attributed until independently observed.</w:t>
      </w:r>
    </w:p>
    <w:p>
      <w:pPr>
        <w:pStyle w:val="Heading1"/>
      </w:pPr>
      <w:r>
        <w:t>Product Identity and Version</w:t>
      </w:r>
    </w:p>
    <w:p>
      <w:r>
        <w:t>The Marketplace and package identify publisher Blackboxapp, display name Blackbox Agent - Coding Copilot, extension identifier Blackboxapp.blackboxagent, and version 3.7.0. The package declares Visual Studio Code engine ^1.84.0, main module ./dist/extension.js, and activation after startup and on inline-completion requests. The assessed archive is 10,835,765 bytes with SHA-256 1513183746b1f04c29c1801c68fc15facebd07c831549143fefc01c2f4ba8bbc. [</w:t>
      </w:r>
      <w:hyperlink w:anchor="REF_001">
        <w:r>
          <w:rPr>
            <w:rStyle w:val="Hyperlink"/>
          </w:rPr>
          <w:t>REF-001</w:t>
        </w:r>
      </w:hyperlink>
      <w:r>
        <w:t>]</w:t>
      </w:r>
    </w:p>
    <w:p>
      <w:r>
        <w:t>The package manifest has an empty repository URL and licence field; packaged LICENSE.txt and changelog.md are empty. Therefore licence terms, exact source, release changes, code-review lineage, and source-package correspondence are not established by the artefact. Publisher verification supports marketplace identity but does not resolve these provenance gaps.</w:t>
      </w:r>
    </w:p>
    <w:p>
      <w:pPr>
        <w:pStyle w:val="Heading1"/>
      </w:pPr>
      <w:r>
        <w:t>Part I — VS Code Assessment and Executive Decision</w:t>
      </w:r>
    </w:p>
    <w:p>
      <w:r>
        <w:t>For Visual Studio Code, defer deployment of version 3.7.0. The combined residual risk is High, with Critical residual scenarios for unverified high-agency actions, MCP and skill composition, and data routing. The extension should be denied by enterprise extension policy. A future pilot must use a replacement package, a dedicated disposable profile, synthetic data, controlled egress, and explicit action-by-action approvals.</w:t>
      </w:r>
    </w:p>
    <w:p>
      <w:r>
        <w:t>This decision is deliberately conservative because directly observed package hygiene issues coincide with missing runtime and assurance evidence. Marketplace distribution, a verified publisher domain, advertised approvals, and privacy statements are useful inputs, but they do not demonstrate that the exact extension fails closed under adversarial repository, browser, model, MCP, skill, and network conditions.</w:t>
      </w:r>
    </w:p>
    <w:p>
      <w:pPr>
        <w:pStyle w:val="Heading2"/>
      </w:pPr>
      <w:r>
        <w:t>VS Code Purpose, Function, and Supported Version</w:t>
      </w:r>
    </w:p>
    <w:p>
      <w:r>
        <w:t>Within VS Code the extension provides chat and inline completion plus state-changing agent workflows. Declared commands include chat and agent modes, multiple tasks, API key interaction, parallel worktree sessions, CLI access, and remote agents. The Marketplace further advertises browser control and orchestration across many agents and models. [</w:t>
      </w:r>
      <w:hyperlink w:anchor="REF_001">
        <w:r>
          <w:rPr>
            <w:rStyle w:val="Hyperlink"/>
          </w:rPr>
          <w:t>REF-001</w:t>
        </w:r>
      </w:hyperlink>
      <w:r>
        <w:t>]</w:t>
      </w:r>
    </w:p>
    <w:p>
      <w:r>
        <w:t>Compatibility is declared as VS Code ^1.84.0, but the supported operating-system matrix and exact current-IDE behavior were not independently validated. Startup activation gives the extension ambient presence after the editor launches. Enterprise testing must cover both the minimum compatible branch and the currently approved VS Code build.</w:t>
      </w:r>
    </w:p>
    <w:p>
      <w:pPr>
        <w:pStyle w:val="Heading2"/>
      </w:pPr>
      <w:r>
        <w:t>VS Code Architecture</w:t>
      </w:r>
    </w:p>
    <w:p>
      <w:r>
        <w:t>The local architecture centers on the VS Code extension host executing a large generated JavaScript bundle. The package also carries a webview UI, an Electron audio subtree, language-parser WebAssembly, and a Windows 7-Zip executable. Commands and vendor descriptions imply interactions with shells, Git worktrees, browser automation, CLI and remote-agent processes, audio services, models, agent runtimes, MCP servers, and downloadable skills. Static strings identify possible endpoints but do not prove which are contacted.</w:t>
      </w:r>
    </w:p>
    <w:p>
      <w:r>
        <w:t>The architecture should be treated as a distributed control plane: local code selects context and actions while remote services may generate instructions and results. Every transition must preserve identity, authorization, data classification, integrity, and traceability. The absence of source and runtime traces prevents verification of whether safeguards are centralized, duplicated, or bypassable.</w:t>
      </w:r>
    </w:p>
    <w:p>
      <w:pPr>
        <w:pStyle w:val="Heading2"/>
      </w:pPr>
      <w:r>
        <w:t>VS Code Trust Boundaries</w:t>
      </w:r>
    </w:p>
    <w:p>
      <w:r>
        <w:t>Primary boundaries separate the user, workspace, extension host, OS, terminal, Git, browser, audio, credential store, vendor service, external model and agent providers, MCP servers, websites, and skill sources. A repository or webpage is untrusted input even when opened intentionally. Model output is also untrusted because it can reproduce injected instructions or unsafe code. MCP responses and skills can extend the instruction and tool graph beyond the reviewed package.</w:t>
      </w:r>
    </w:p>
    <w:p>
      <w:r>
        <w:t>VS Code Workspace Trust can reduce risk from untrusted repositories, but effectiveness is extension-specific and was not tested. [</w:t>
      </w:r>
      <w:hyperlink w:anchor="REF_012">
        <w:r>
          <w:rPr>
            <w:rStyle w:val="Hyperlink"/>
          </w:rPr>
          <w:t>REF-012</w:t>
        </w:r>
      </w:hyperlink>
      <w:r>
        <w:t>] A secure deployment must demonstrate that Restricted Mode disables sensitive reads and actions, that startup activation does not cause pre-consent egress, and that external tools cannot inherit broader workspace or credential access than their approved task requires.</w:t>
      </w:r>
    </w:p>
    <w:p>
      <w:pPr>
        <w:pStyle w:val="Heading2"/>
      </w:pPr>
      <w:r>
        <w:t>VS Code Data Flows</w:t>
      </w:r>
    </w:p>
    <w:p>
      <w:r>
        <w:t>Candidate inputs include files, directories, selections, Git commits, URLs, screenshots, terminal output, chat prompts, API keys, account tokens, browser state, microphone audio, MCP resources, and skill instructions. Candidate outputs include prompts to vendor and third-party services, edits, created files, terminal commands, browser requests, screenshots, worktrees, logs, telemetry, MCP tool arguments, and remote-agent tasks. [</w:t>
      </w:r>
      <w:hyperlink w:anchor="REF_001">
        <w:r>
          <w:rPr>
            <w:rStyle w:val="Hyperlink"/>
          </w:rPr>
          <w:t>REF-001</w:t>
        </w:r>
      </w:hyperlink>
      <w:r>
        <w:t>]</w:t>
      </w:r>
    </w:p>
    <w:p>
      <w:r>
        <w:t>Static review cannot determine minimization, redaction, routing, retention, encryption tier, telemetry fields, or deletion across these paths. A data-flow test must place unique synthetic canaries in each input class and confirm precisely which endpoint and event receives each one. It must also prove that denied operations and disabled features produce neither local side effects nor network disclosure.</w:t>
      </w:r>
    </w:p>
    <w:p>
      <w:pPr>
        <w:pStyle w:val="Heading2"/>
      </w:pPr>
      <w:r>
        <w:t>VS Code Installation Manifest and Uninstall</w:t>
      </w:r>
    </w:p>
    <w:p>
      <w:r>
        <w:t>The retained VSIX expands to 950 entries and 51,760,786 bytes. Material shipped components include the main JavaScript bundle, webview assets, Electron audio code and lockfile, language-parser WebAssembly, 7za.exe for Windows x64, media files, and bundled dependencies. Expected installation is within the VS Code extension profile, but actual directories, ownership, ACLs, caches, logs, secret storage, browser profiles, worktrees, MCP state, skills, and remote-agent state were not observed.</w:t>
      </w:r>
    </w:p>
    <w:p>
      <w:r>
        <w:t>Update and uninstall behavior remain Unknown. A controlled test must record every created and modified file, preference, process, socket, credential-store item, environment change, worktree, MCP registration, skill, browser artefact, and log before and after installation, use, update, downgrade, sign-out, token revocation, uninstall, and profile deletion. Residual records must have an approved retention purpose and deletion path.</w:t>
      </w:r>
    </w:p>
    <w:p>
      <w:pPr>
        <w:pStyle w:val="Heading2"/>
      </w:pPr>
      <w:r>
        <w:t>VS Code Runtime Processes and Activation</w:t>
      </w:r>
    </w:p>
    <w:p>
      <w:r>
        <w:t>The manifest activates on onStartupFinished and onInlineCompletionRequest. This is verified static configuration, not an observation that the extension always performs a sensitive action. Possible child execution follows from advertised terminal, browser, agent, CLI, worktree, audio, and archive functions. Process names, arguments, environment inheritance, sandbox flags, code-signing state, parent-child relationships, and lifetimes are Unknown.</w:t>
      </w:r>
    </w:p>
    <w:p>
      <w:r>
        <w:t>Runtime is Blocked. The extension was never loaded. The acceptance test must capture the complete process tree under idle startup, inline completion, chat, agent, browser, audio, MCP, skill, worktree, CLI, and remote-agent workflows; deny each workflow; and verify termination and cleanup. No production credential or external system should be exposed during testing.</w:t>
      </w:r>
    </w:p>
    <w:p>
      <w:pPr>
        <w:pStyle w:val="Heading2"/>
      </w:pPr>
      <w:r>
        <w:t>VS Code Network, Authentication, Telemetry, and Privacy</w:t>
      </w:r>
    </w:p>
    <w:p>
      <w:r>
        <w:t>The Marketplace requires a Blackbox account and the command list includes API-key interaction. Vendor materials describe general privacy terms, US processing, encryption offerings, and endpoint-specific ZDR controls. [</w:t>
      </w:r>
      <w:hyperlink w:anchor="REF_002">
        <w:r>
          <w:rPr>
            <w:rStyle w:val="Hyperlink"/>
          </w:rPr>
          <w:t>REF-002</w:t>
        </w:r>
      </w:hyperlink>
      <w:r>
        <w:t>] [</w:t>
      </w:r>
      <w:hyperlink w:anchor="REF_003">
        <w:r>
          <w:rPr>
            <w:rStyle w:val="Hyperlink"/>
          </w:rPr>
          <w:t>REF-003</w:t>
        </w:r>
      </w:hyperlink>
      <w:r>
        <w:t>] [</w:t>
      </w:r>
      <w:hyperlink w:anchor="REF_004">
        <w:r>
          <w:rPr>
            <w:rStyle w:val="Hyperlink"/>
          </w:rPr>
          <w:t>REF-004</w:t>
        </w:r>
      </w:hyperlink>
      <w:r>
        <w:t>] [</w:t>
      </w:r>
      <w:hyperlink w:anchor="REF_005">
        <w:r>
          <w:rPr>
            <w:rStyle w:val="Hyperlink"/>
          </w:rPr>
          <w:t>REF-005</w:t>
        </w:r>
      </w:hyperlink>
      <w:r>
        <w:t>] These are not sufficient to determine the policy for each extension route, subscription tier, model, agent, remote session, browser, audio service, MCP server, or skill.</w:t>
      </w:r>
    </w:p>
    <w:p>
      <w:r>
        <w:t>An enterprise must require a versioned endpoint inventory, data schema, authentication flow, token lifetime and storage, telemetry schema, subprocessors, routing rules, retention and training controls, deletion procedure, incident notification, and tenant isolation. Egress should be deny-by-default and validated with synthetic canaries. Service claims must match contract and observed network behavior.</w:t>
      </w:r>
    </w:p>
    <w:p>
      <w:pPr>
        <w:pStyle w:val="Heading2"/>
      </w:pPr>
      <w:r>
        <w:t>VS Code MCP and Installed Skills</w:t>
      </w:r>
    </w:p>
    <w:p>
      <w:r>
        <w:t>The configuration defaults blackbox.mcp.mode to full and blackbox.mcpMarketplace.enabled to true. The listing advertises arbitrary connections to tools, databases, APIs, and services, while Blackbox Skills are reusable workflows that may be invoked autonomously. [</w:t>
      </w:r>
      <w:hyperlink w:anchor="REF_001">
        <w:r>
          <w:rPr>
            <w:rStyle w:val="Hyperlink"/>
          </w:rPr>
          <w:t>REF-001</w:t>
        </w:r>
      </w:hyperlink>
      <w:r>
        <w:t>] No specific MCP server, schema, resource, prompt, or skill tree was installed or supplied, so none is approved.</w:t>
      </w:r>
    </w:p>
    <w:p>
      <w:r>
        <w:t>A secure enterprise pattern disables discovery and dynamic installation, pins allowed servers and skills by cryptographic digest, reviews complete transitive instruction trees and scripts, isolates server identities, scopes tokens to a single purpose, validates tool arguments, requires human approval for state-changing calls, bounds returned content, prevents token pass-through, and exports tamper-evident logs. [</w:t>
      </w:r>
      <w:hyperlink w:anchor="REF_008">
        <w:r>
          <w:rPr>
            <w:rStyle w:val="Hyperlink"/>
          </w:rPr>
          <w:t>REF-008</w:t>
        </w:r>
      </w:hyperlink>
      <w:r>
        <w:t>] Each addition requires a separate assessment.</w:t>
      </w:r>
    </w:p>
    <w:p>
      <w:pPr>
        <w:pStyle w:val="Heading2"/>
      </w:pPr>
      <w:r>
        <w:t>VS Code Supply Chain and Dependencies</w:t>
      </w:r>
    </w:p>
    <w:p>
      <w:r>
        <w:t>The package lacks a usable source URL, populated licence, populated changelog, vendor SBOM, and build attestation. Generated bundles reduce inspectability. Syft identified 176 components; Grype returned 42 matches affecting 7-Zip 19.00, Electron 33.3.1, ws 8.17.1 and 8.18.0, socket.io-parser 4.2.4, and related components. A Marketplace publisher identity is not equivalent to a transparent software supply chain.</w:t>
      </w:r>
    </w:p>
    <w:p>
      <w:r>
        <w:t>Remediation requires a replacement VSIX, exact source or independent review, signed provenance, reproducible or independently witnessed build, complete component inventory, vulnerability reachability analysis, patch policy, release notes, licence, and rapid revocation procedure. The replacement must be rescanned and compared at the member level before any previous control conclusion is carried forward. [</w:t>
      </w:r>
      <w:hyperlink w:anchor="REF_014">
        <w:r>
          <w:rPr>
            <w:rStyle w:val="Hyperlink"/>
          </w:rPr>
          <w:t>REF-014</w:t>
        </w:r>
      </w:hyperlink>
      <w:r>
        <w:t>] [</w:t>
      </w:r>
      <w:hyperlink w:anchor="REF_015">
        <w:r>
          <w:rPr>
            <w:rStyle w:val="Hyperlink"/>
          </w:rPr>
          <w:t>REF-015</w:t>
        </w:r>
      </w:hyperlink>
      <w:r>
        <w:t>]</w:t>
      </w:r>
    </w:p>
    <w:p>
      <w:pPr>
        <w:pStyle w:val="Heading2"/>
      </w:pPr>
      <w:r>
        <w:t>VS Code Threat Scenarios and Findings</w:t>
      </w:r>
    </w:p>
    <w:p>
      <w:r>
        <w:t>Threats include prompt injection from repository, terminal, web, MCP, and skill content; excessive agency; unsafe command or edit approval; credential disclosure; vulnerable archive, WebSocket, parser, or Electron paths; malicious or drifting MCP servers and skills; endpoint or model substitution; unapproved data retention; remote-agent impersonation; worktree integrity failure; startup egress; and incomplete uninstall. The consolidated findings F-001 through F-008 retain likelihood, impact, controls, residual risk, owners, and tests.</w:t>
      </w:r>
    </w:p>
    <w:p>
      <w:r>
        <w:t>No evidence establishes malware or deliberate abuse by the publisher. The assessment instead asks whether a capable attacker or ordinary unsafe content could exploit the product's authority and evidence gaps. Directly observed credential and dependency issues raise the urgency of that question. The strongest treatment is temporary avoidance until a fixed package and runtime evidence exist.</w:t>
      </w:r>
    </w:p>
    <w:p>
      <w:pPr>
        <w:pStyle w:val="Heading2"/>
      </w:pPr>
      <w:r>
        <w:t>VS Code Framework Disposition and Mappings</w:t>
      </w:r>
    </w:p>
    <w:p>
      <w:r>
        <w:t>NIST AI RMF and the Generative AI Profile are applicable to governance, context mapping, measurement, monitoring, and treatment. OWASP LLM and Agentic guidance are applicable to prompt injection, sensitive disclosure, supply chain, excessive agency, tool misuse, identity, memory, orchestration, and human control. MCP security guidance is directly applicable to marketplace servers, delegated authorization, consent, token handling, and local-server safety. MITRE ATLAS informs adversarial testing. [</w:t>
      </w:r>
      <w:hyperlink w:anchor="REF_006">
        <w:r>
          <w:rPr>
            <w:rStyle w:val="Hyperlink"/>
          </w:rPr>
          <w:t>REF-006</w:t>
        </w:r>
      </w:hyperlink>
      <w:r>
        <w:t>] [</w:t>
      </w:r>
      <w:hyperlink w:anchor="REF_007">
        <w:r>
          <w:rPr>
            <w:rStyle w:val="Hyperlink"/>
          </w:rPr>
          <w:t>REF-007</w:t>
        </w:r>
      </w:hyperlink>
      <w:r>
        <w:t>] [</w:t>
      </w:r>
      <w:hyperlink w:anchor="REF_008">
        <w:r>
          <w:rPr>
            <w:rStyle w:val="Hyperlink"/>
          </w:rPr>
          <w:t>REF-008</w:t>
        </w:r>
      </w:hyperlink>
      <w:r>
        <w:t>] [</w:t>
      </w:r>
      <w:hyperlink w:anchor="REF_009">
        <w:r>
          <w:rPr>
            <w:rStyle w:val="Hyperlink"/>
          </w:rPr>
          <w:t>REF-009</w:t>
        </w:r>
      </w:hyperlink>
      <w:r>
        <w:t>] [</w:t>
      </w:r>
      <w:hyperlink w:anchor="REF_010">
        <w:r>
          <w:rPr>
            <w:rStyle w:val="Hyperlink"/>
          </w:rPr>
          <w:t>REF-010</w:t>
        </w:r>
      </w:hyperlink>
      <w:r>
        <w:t>] [</w:t>
      </w:r>
      <w:hyperlink w:anchor="REF_011">
        <w:r>
          <w:rPr>
            <w:rStyle w:val="Hyperlink"/>
          </w:rPr>
          <w:t>REF-011</w:t>
        </w:r>
      </w:hyperlink>
      <w:r>
        <w:t>]</w:t>
      </w:r>
    </w:p>
    <w:p>
      <w:r>
        <w:t>Workspace Trust and extension runtime guidance apply at the editor boundary. [</w:t>
      </w:r>
      <w:hyperlink w:anchor="REF_012">
        <w:r>
          <w:rPr>
            <w:rStyle w:val="Hyperlink"/>
          </w:rPr>
          <w:t>REF-012</w:t>
        </w:r>
      </w:hyperlink>
      <w:r>
        <w:t>] [</w:t>
      </w:r>
      <w:hyperlink w:anchor="REF_013">
        <w:r>
          <w:rPr>
            <w:rStyle w:val="Hyperlink"/>
          </w:rPr>
          <w:t>REF-013</w:t>
        </w:r>
      </w:hyperlink>
      <w:r>
        <w:t>] UK GDPR and ICO guidance are conditional on personal-data processing; FCA operational-resilience expectations are conditional on regulated financial services. [</w:t>
      </w:r>
      <w:hyperlink w:anchor="REF_017">
        <w:r>
          <w:rPr>
            <w:rStyle w:val="Hyperlink"/>
          </w:rPr>
          <w:t>REF-017</w:t>
        </w:r>
      </w:hyperlink>
      <w:r>
        <w:t>] [</w:t>
      </w:r>
      <w:hyperlink w:anchor="REF_018">
        <w:r>
          <w:rPr>
            <w:rStyle w:val="Hyperlink"/>
          </w:rPr>
          <w:t>REF-018</w:t>
        </w:r>
      </w:hyperlink>
      <w:r>
        <w:t>] ASVS may guide vendor API testing but no ASVS verification level is claimed. The mapping does not substitute for evidence.</w:t>
      </w:r>
    </w:p>
    <w:p>
      <w:pPr>
        <w:pStyle w:val="Caption"/>
      </w:pPr>
      <w:r>
        <w:rPr>
          <w:b/>
        </w:rPr>
        <w:t>Framework disposition</w:t>
      </w:r>
    </w:p>
    <w:tbl>
      <w:tblPr>
        <w:tblStyle w:val="TableGrid"/>
        <w:tblW w:type="dxa" w:w="9360"/>
        <w:tblLayout w:type="fixed"/>
        <w:tblLook w:firstColumn="1" w:firstRow="1" w:lastColumn="0" w:lastRow="0" w:noHBand="0" w:noVBand="1" w:val="04A0"/>
        <w:tblInd w:w="120" w:type="dxa"/>
      </w:tblPr>
      <w:tblGrid>
        <w:gridCol w:w="2367"/>
        <w:gridCol w:w="1183"/>
        <w:gridCol w:w="5810"/>
      </w:tblGrid>
      <w:tr>
        <w:trPr>
          <w:tblHeader w:val="true"/>
        </w:trPr>
        <w:tc>
          <w:tcPr>
            <w:tcW w:type="dxa" w:w="2367"/>
            <w:shd w:fill="F2F4F7"/>
            <w:vAlign w:val="center"/>
            <w:tcMar>
              <w:top w:w="80" w:type="dxa"/>
              <w:start w:w="120" w:type="dxa"/>
              <w:bottom w:w="80" w:type="dxa"/>
              <w:end w:w="120" w:type="dxa"/>
            </w:tcMar>
          </w:tcPr>
          <w:p>
            <w:r>
              <w:rPr>
                <w:b/>
                <w:sz w:val="16"/>
              </w:rPr>
              <w:t>Framework</w:t>
            </w:r>
          </w:p>
        </w:tc>
        <w:tc>
          <w:tcPr>
            <w:tcW w:type="dxa" w:w="1183"/>
            <w:shd w:fill="F2F4F7"/>
            <w:vAlign w:val="center"/>
            <w:tcMar>
              <w:top w:w="80" w:type="dxa"/>
              <w:start w:w="120" w:type="dxa"/>
              <w:bottom w:w="80" w:type="dxa"/>
              <w:end w:w="120" w:type="dxa"/>
            </w:tcMar>
          </w:tcPr>
          <w:p>
            <w:r>
              <w:rPr>
                <w:b/>
                <w:sz w:val="16"/>
              </w:rPr>
              <w:t>Disposition</w:t>
            </w:r>
          </w:p>
        </w:tc>
        <w:tc>
          <w:tcPr>
            <w:tcW w:type="dxa" w:w="5810"/>
            <w:shd w:fill="F2F4F7"/>
            <w:vAlign w:val="center"/>
            <w:tcMar>
              <w:top w:w="80" w:type="dxa"/>
              <w:start w:w="120" w:type="dxa"/>
              <w:bottom w:w="80" w:type="dxa"/>
              <w:end w:w="120" w:type="dxa"/>
            </w:tcMar>
          </w:tcPr>
          <w:p>
            <w:r>
              <w:rPr>
                <w:b/>
                <w:sz w:val="16"/>
              </w:rPr>
              <w:t>Reason</w:t>
            </w:r>
          </w:p>
        </w:tc>
      </w:tr>
      <w:tr>
        <w:tc>
          <w:tcPr>
            <w:tcW w:type="dxa" w:w="2367"/>
            <w:vAlign w:val="center"/>
            <w:tcMar>
              <w:top w:w="80" w:type="dxa"/>
              <w:start w:w="120" w:type="dxa"/>
              <w:bottom w:w="80" w:type="dxa"/>
              <w:end w:w="120" w:type="dxa"/>
            </w:tcMar>
          </w:tcPr>
          <w:p>
            <w:r>
              <w:rPr>
                <w:sz w:val="16"/>
              </w:rPr>
              <w:t>NIST AI RMF / AI 600-1</w:t>
            </w:r>
          </w:p>
        </w:tc>
        <w:tc>
          <w:tcPr>
            <w:tcW w:type="dxa" w:w="1183"/>
            <w:vAlign w:val="center"/>
            <w:tcMar>
              <w:top w:w="80" w:type="dxa"/>
              <w:start w:w="120" w:type="dxa"/>
              <w:bottom w:w="80" w:type="dxa"/>
              <w:end w:w="120" w:type="dxa"/>
            </w:tcMar>
          </w:tcPr>
          <w:p>
            <w:r>
              <w:rPr>
                <w:sz w:val="16"/>
              </w:rPr>
              <w:t>Applicable</w:t>
            </w:r>
          </w:p>
        </w:tc>
        <w:tc>
          <w:tcPr>
            <w:tcW w:type="dxa" w:w="5810"/>
            <w:vAlign w:val="center"/>
            <w:tcMar>
              <w:top w:w="80" w:type="dxa"/>
              <w:start w:w="120" w:type="dxa"/>
              <w:bottom w:w="80" w:type="dxa"/>
              <w:end w:w="120" w:type="dxa"/>
            </w:tcMar>
          </w:tcPr>
          <w:p>
            <w:r>
              <w:rPr>
                <w:sz w:val="16"/>
              </w:rPr>
              <w:t>Enterprise generative-AI governance and risk treatment</w:t>
            </w:r>
          </w:p>
        </w:tc>
      </w:tr>
      <w:tr>
        <w:tc>
          <w:tcPr>
            <w:tcW w:type="dxa" w:w="2367"/>
            <w:vAlign w:val="center"/>
            <w:tcMar>
              <w:top w:w="80" w:type="dxa"/>
              <w:start w:w="120" w:type="dxa"/>
              <w:bottom w:w="80" w:type="dxa"/>
              <w:end w:w="120" w:type="dxa"/>
            </w:tcMar>
          </w:tcPr>
          <w:p>
            <w:r>
              <w:rPr>
                <w:sz w:val="16"/>
              </w:rPr>
              <w:t>OWASP LLM / Agentic</w:t>
            </w:r>
          </w:p>
        </w:tc>
        <w:tc>
          <w:tcPr>
            <w:tcW w:type="dxa" w:w="1183"/>
            <w:vAlign w:val="center"/>
            <w:tcMar>
              <w:top w:w="80" w:type="dxa"/>
              <w:start w:w="120" w:type="dxa"/>
              <w:bottom w:w="80" w:type="dxa"/>
              <w:end w:w="120" w:type="dxa"/>
            </w:tcMar>
          </w:tcPr>
          <w:p>
            <w:r>
              <w:rPr>
                <w:sz w:val="16"/>
              </w:rPr>
              <w:t>Applicable</w:t>
            </w:r>
          </w:p>
        </w:tc>
        <w:tc>
          <w:tcPr>
            <w:tcW w:type="dxa" w:w="5810"/>
            <w:vAlign w:val="center"/>
            <w:tcMar>
              <w:top w:w="80" w:type="dxa"/>
              <w:start w:w="120" w:type="dxa"/>
              <w:bottom w:w="80" w:type="dxa"/>
              <w:end w:w="120" w:type="dxa"/>
            </w:tcMar>
          </w:tcPr>
          <w:p>
            <w:r>
              <w:rPr>
                <w:sz w:val="16"/>
              </w:rPr>
              <w:t>Prompt, data, tool, agency, and orchestration risks</w:t>
            </w:r>
          </w:p>
        </w:tc>
      </w:tr>
      <w:tr>
        <w:tc>
          <w:tcPr>
            <w:tcW w:type="dxa" w:w="2367"/>
            <w:vAlign w:val="center"/>
            <w:tcMar>
              <w:top w:w="80" w:type="dxa"/>
              <w:start w:w="120" w:type="dxa"/>
              <w:bottom w:w="80" w:type="dxa"/>
              <w:end w:w="120" w:type="dxa"/>
            </w:tcMar>
          </w:tcPr>
          <w:p>
            <w:r>
              <w:rPr>
                <w:sz w:val="16"/>
              </w:rPr>
              <w:t>MCP security guidance</w:t>
            </w:r>
          </w:p>
        </w:tc>
        <w:tc>
          <w:tcPr>
            <w:tcW w:type="dxa" w:w="1183"/>
            <w:vAlign w:val="center"/>
            <w:tcMar>
              <w:top w:w="80" w:type="dxa"/>
              <w:start w:w="120" w:type="dxa"/>
              <w:bottom w:w="80" w:type="dxa"/>
              <w:end w:w="120" w:type="dxa"/>
            </w:tcMar>
          </w:tcPr>
          <w:p>
            <w:r>
              <w:rPr>
                <w:sz w:val="16"/>
              </w:rPr>
              <w:t>Applicable</w:t>
            </w:r>
          </w:p>
        </w:tc>
        <w:tc>
          <w:tcPr>
            <w:tcW w:type="dxa" w:w="5810"/>
            <w:vAlign w:val="center"/>
            <w:tcMar>
              <w:top w:w="80" w:type="dxa"/>
              <w:start w:w="120" w:type="dxa"/>
              <w:bottom w:w="80" w:type="dxa"/>
              <w:end w:w="120" w:type="dxa"/>
            </w:tcMar>
          </w:tcPr>
          <w:p>
            <w:r>
              <w:rPr>
                <w:sz w:val="16"/>
              </w:rPr>
              <w:t>Full-mode MCP and marketplace support</w:t>
            </w:r>
          </w:p>
        </w:tc>
      </w:tr>
      <w:tr>
        <w:tc>
          <w:tcPr>
            <w:tcW w:type="dxa" w:w="2367"/>
            <w:vAlign w:val="center"/>
            <w:tcMar>
              <w:top w:w="80" w:type="dxa"/>
              <w:start w:w="120" w:type="dxa"/>
              <w:bottom w:w="80" w:type="dxa"/>
              <w:end w:w="120" w:type="dxa"/>
            </w:tcMar>
          </w:tcPr>
          <w:p>
            <w:r>
              <w:rPr>
                <w:sz w:val="16"/>
              </w:rPr>
              <w:t>MITRE ATLAS</w:t>
            </w:r>
          </w:p>
        </w:tc>
        <w:tc>
          <w:tcPr>
            <w:tcW w:type="dxa" w:w="1183"/>
            <w:vAlign w:val="center"/>
            <w:tcMar>
              <w:top w:w="80" w:type="dxa"/>
              <w:start w:w="120" w:type="dxa"/>
              <w:bottom w:w="80" w:type="dxa"/>
              <w:end w:w="120" w:type="dxa"/>
            </w:tcMar>
          </w:tcPr>
          <w:p>
            <w:r>
              <w:rPr>
                <w:sz w:val="16"/>
              </w:rPr>
              <w:t>Applicable</w:t>
            </w:r>
          </w:p>
        </w:tc>
        <w:tc>
          <w:tcPr>
            <w:tcW w:type="dxa" w:w="5810"/>
            <w:vAlign w:val="center"/>
            <w:tcMar>
              <w:top w:w="80" w:type="dxa"/>
              <w:start w:w="120" w:type="dxa"/>
              <w:bottom w:w="80" w:type="dxa"/>
              <w:end w:w="120" w:type="dxa"/>
            </w:tcMar>
          </w:tcPr>
          <w:p>
            <w:r>
              <w:rPr>
                <w:sz w:val="16"/>
              </w:rPr>
              <w:t>Adversarial scenario and test design</w:t>
            </w:r>
          </w:p>
        </w:tc>
      </w:tr>
      <w:tr>
        <w:tc>
          <w:tcPr>
            <w:tcW w:type="dxa" w:w="2367"/>
            <w:vAlign w:val="center"/>
            <w:tcMar>
              <w:top w:w="80" w:type="dxa"/>
              <w:start w:w="120" w:type="dxa"/>
              <w:bottom w:w="80" w:type="dxa"/>
              <w:end w:w="120" w:type="dxa"/>
            </w:tcMar>
          </w:tcPr>
          <w:p>
            <w:r>
              <w:rPr>
                <w:sz w:val="16"/>
              </w:rPr>
              <w:t>UK GDPR / ICO</w:t>
            </w:r>
          </w:p>
        </w:tc>
        <w:tc>
          <w:tcPr>
            <w:tcW w:type="dxa" w:w="1183"/>
            <w:vAlign w:val="center"/>
            <w:tcMar>
              <w:top w:w="80" w:type="dxa"/>
              <w:start w:w="120" w:type="dxa"/>
              <w:bottom w:w="80" w:type="dxa"/>
              <w:end w:w="120" w:type="dxa"/>
            </w:tcMar>
          </w:tcPr>
          <w:p>
            <w:r>
              <w:rPr>
                <w:sz w:val="16"/>
              </w:rPr>
              <w:t>Conditional</w:t>
            </w:r>
          </w:p>
        </w:tc>
        <w:tc>
          <w:tcPr>
            <w:tcW w:type="dxa" w:w="5810"/>
            <w:vAlign w:val="center"/>
            <w:tcMar>
              <w:top w:w="80" w:type="dxa"/>
              <w:start w:w="120" w:type="dxa"/>
              <w:bottom w:w="80" w:type="dxa"/>
              <w:end w:w="120" w:type="dxa"/>
            </w:tcMar>
          </w:tcPr>
          <w:p>
            <w:r>
              <w:rPr>
                <w:sz w:val="16"/>
              </w:rPr>
              <w:t>Personal data and international processing</w:t>
            </w:r>
          </w:p>
        </w:tc>
      </w:tr>
      <w:tr>
        <w:tc>
          <w:tcPr>
            <w:tcW w:type="dxa" w:w="2367"/>
            <w:vAlign w:val="center"/>
            <w:tcMar>
              <w:top w:w="80" w:type="dxa"/>
              <w:start w:w="120" w:type="dxa"/>
              <w:bottom w:w="80" w:type="dxa"/>
              <w:end w:w="120" w:type="dxa"/>
            </w:tcMar>
          </w:tcPr>
          <w:p>
            <w:r>
              <w:rPr>
                <w:sz w:val="16"/>
              </w:rPr>
              <w:t>FCA resilience</w:t>
            </w:r>
          </w:p>
        </w:tc>
        <w:tc>
          <w:tcPr>
            <w:tcW w:type="dxa" w:w="1183"/>
            <w:vAlign w:val="center"/>
            <w:tcMar>
              <w:top w:w="80" w:type="dxa"/>
              <w:start w:w="120" w:type="dxa"/>
              <w:bottom w:w="80" w:type="dxa"/>
              <w:end w:w="120" w:type="dxa"/>
            </w:tcMar>
          </w:tcPr>
          <w:p>
            <w:r>
              <w:rPr>
                <w:sz w:val="16"/>
              </w:rPr>
              <w:t>Conditional</w:t>
            </w:r>
          </w:p>
        </w:tc>
        <w:tc>
          <w:tcPr>
            <w:tcW w:type="dxa" w:w="5810"/>
            <w:vAlign w:val="center"/>
            <w:tcMar>
              <w:top w:w="80" w:type="dxa"/>
              <w:start w:w="120" w:type="dxa"/>
              <w:bottom w:w="80" w:type="dxa"/>
              <w:end w:w="120" w:type="dxa"/>
            </w:tcMar>
          </w:tcPr>
          <w:p>
            <w:r>
              <w:rPr>
                <w:sz w:val="16"/>
              </w:rPr>
              <w:t>Regulated financial-sector use</w:t>
            </w:r>
          </w:p>
        </w:tc>
      </w:tr>
      <w:tr>
        <w:tc>
          <w:tcPr>
            <w:tcW w:type="dxa" w:w="2367"/>
            <w:vAlign w:val="center"/>
            <w:tcMar>
              <w:top w:w="80" w:type="dxa"/>
              <w:start w:w="120" w:type="dxa"/>
              <w:bottom w:w="80" w:type="dxa"/>
              <w:end w:w="120" w:type="dxa"/>
            </w:tcMar>
          </w:tcPr>
          <w:p>
            <w:r>
              <w:rPr>
                <w:sz w:val="16"/>
              </w:rPr>
              <w:t>OWASP ASVS</w:t>
            </w:r>
          </w:p>
        </w:tc>
        <w:tc>
          <w:tcPr>
            <w:tcW w:type="dxa" w:w="1183"/>
            <w:vAlign w:val="center"/>
            <w:tcMar>
              <w:top w:w="80" w:type="dxa"/>
              <w:start w:w="120" w:type="dxa"/>
              <w:bottom w:w="80" w:type="dxa"/>
              <w:end w:w="120" w:type="dxa"/>
            </w:tcMar>
          </w:tcPr>
          <w:p>
            <w:r>
              <w:rPr>
                <w:sz w:val="16"/>
              </w:rPr>
              <w:t>Conditional</w:t>
            </w:r>
          </w:p>
        </w:tc>
        <w:tc>
          <w:tcPr>
            <w:tcW w:type="dxa" w:w="5810"/>
            <w:vAlign w:val="center"/>
            <w:tcMar>
              <w:top w:w="80" w:type="dxa"/>
              <w:start w:w="120" w:type="dxa"/>
              <w:bottom w:w="80" w:type="dxa"/>
              <w:end w:w="120" w:type="dxa"/>
            </w:tcMar>
          </w:tcPr>
          <w:p>
            <w:r>
              <w:rPr>
                <w:sz w:val="16"/>
              </w:rPr>
              <w:t>Vendor API assurance only; no level claimed</w:t>
            </w:r>
          </w:p>
        </w:tc>
      </w:tr>
    </w:tbl>
    <w:p/>
    <w:p>
      <w:pPr>
        <w:pStyle w:val="Heading2"/>
      </w:pPr>
      <w:r>
        <w:t>VS Code Enterprise Controls and Detection</w:t>
      </w:r>
    </w:p>
    <w:p>
      <w:r>
        <w:t>Preventive controls begin with extension allowlisting and hash pinning. For a future pilot, use a dedicated least-privilege OS identity, disposable VS Code profile, synthetic repository, secret-free environment, controlled egress, restricted browser, isolated MCP servers, immutable skill allowlist, disabled marketplace, disabled remote-agent and audio features unless separately justified, and mandatory approvals for reads, writes, commands, network, browser, MCP, Git, and worktree actions.</w:t>
      </w:r>
    </w:p>
    <w:p>
      <w:r>
        <w:t>Detect installation and hash drift; activation in unapproved profiles; changes to MCP mode or marketplace settings; creation of MCP, skill, browser, remote-agent, audio, CLI, or worktree artefacts; child shells and archive executions; credential-store access; unexpected DNS or endpoints; large repository reads; telemetry before consent; repeated approval denials; and updates. Alerts must connect a user, task, origin, model, tool, arguments class, decision, outcome, and evidence retention policy.</w:t>
      </w:r>
    </w:p>
    <w:p>
      <w:pPr>
        <w:pStyle w:val="Heading2"/>
      </w:pPr>
      <w:r>
        <w:t>VS Code Residual Risk, Confidence, Limitations, and Recommendation</w:t>
      </w:r>
    </w:p>
    <w:p>
      <w:r>
        <w:t>Residual risk is High overall, with several Critical scenarios. Confidence is High for identity, package hash, manifest defaults, activation, file inventory, credential detections, component versions, and scanner matches. Confidence is Medium for vendor claims and inferred architecture. Confidence is Low for runtime enforcement, endpoint routing, retention tier, exploitability, token storage, update, and uninstall because those were not observed.</w:t>
      </w:r>
    </w:p>
    <w:p>
      <w:r>
        <w:t>Recommendation is Defer pending evidence. Do not install version 3.7.0 in production or expose it to confidential code, production credentials, personal data, regulated records, or production infrastructure. Reassessment requires a fixed immutable package, vendor and contractual evidence, independent static review, and successful representative runtime tests.</w:t>
      </w:r>
    </w:p>
    <w:p>
      <w:pPr>
        <w:pStyle w:val="Heading2"/>
      </w:pPr>
      <w:r>
        <w:t>VS Code Evidence and Host-Verification Actions</w:t>
      </w:r>
    </w:p>
    <w:p>
      <w:r>
        <w:t>The host-verification sequence is fail-closed. First approve a synthetic test plan and immutable package. Baseline OS, VS Code, profiles, extensions, settings, files, Git, keychain, processes, sockets, DNS, proxy, browser, MCP, skills, and logs. Install without credentials, then with a synthetic account. Exercise idle startup, Restricted Mode, inline completion, chat, agent, CLI, browser, audio, MCP, skills, worktrees, remote agents, updates, revocation, sign-out, uninstall, and rollback.</w:t>
      </w:r>
    </w:p>
    <w:p>
      <w:r>
        <w:t>For every workflow, capture approve and deny outcomes and adversarial inputs from repository files, terminal output, web pages, model responses, MCP resources, and skills. Use canaries to trace data. Verify no action or egress before consent, no token forwarding, no hidden subprocess, complete logs, bounded output, clean termination, deletion, and snapshot restoration. A failed gate stops the pilot.</w:t>
      </w:r>
    </w:p>
    <w:p>
      <w:pPr>
        <w:pStyle w:val="Heading1"/>
      </w:pPr>
      <w:r>
        <w:t>Part II — Microsoft Visual Studio Assessment</w:t>
      </w:r>
    </w:p>
    <w:p>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r>
        <w:t>Status: Not applicable and unsupported in this assessment. The official listing and retained package identify a Visual Studio Code extension with a VS Code engine declaration and JavaScript extension-host entry point. No Microsoft Visual Studio VSIX, supported Visual Studio edition, installation path, process model, command surface, MCP integration, or vendor support statement was established. The Visual Studio Code analysis must not be copied into Visual Studio because the host architecture, packaging, policy, trust model, and telemetry differ.</w:t>
      </w:r>
    </w:p>
    <w:p>
      <w:r>
        <w:t>Decision for Microsoft Visual Studio: Do not install this artefact. If the publisher later provides a Visual Studio product, it requires separate identity resolution, acquisition, per-IDE inventory, threat model, static and malware analysis, dependency review, privacy analysis, representative runtime test, and independent approval. No conclusion here transfers to such a product.</w:t>
      </w:r>
    </w:p>
    <w:p>
      <w:pPr>
        <w:pStyle w:val="Heading1"/>
      </w:pPr>
      <w:r>
        <w:t>Part III — Shared Installed Agent Skills</w:t>
      </w:r>
    </w:p>
    <w:p>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r>
        <w:t>No shared installed Agent Skill package was supplied or observed. The Marketplace advertises Blackbox Skills as reusable and potentially autonomous, but advertising is not an inventory. Per-skill review is Blocked because no immutable skill identifier, version, source, complete instruction tree, references, scripts, dependencies, permissions, tools, endpoints, signature, or runtime trace exists in the evidence set.</w:t>
      </w:r>
    </w:p>
    <w:p>
      <w:r>
        <w:t>Decision for every unassessed Blackbox Skill is Do not enable. Before use, acquire the exact package without execution, hash all files, inspect hidden instructions and external references, enumerate tool calls and scripts, analyze prompt injection and exfiltration, establish ownership and updates, run malicious-content tests in isolation, and bind the approval to a digest and expiry. Shared availability across IDEs must be independently proven.</w:t>
      </w:r>
    </w:p>
    <w:p>
      <w:pPr>
        <w:pStyle w:val="Heading1"/>
      </w:pPr>
      <w:r>
        <w:t>Cross-IDE Comparison and Composition Risks</w:t>
      </w:r>
    </w:p>
    <w:p>
      <w:r>
        <w:t>Only Visual Studio Code is supported by assessed evidence. Microsoft Visual Studio is not applicable, so there is no legitimate cross-IDE equivalence. Composition risk nevertheless extends beyond one editor because the extension can coordinate CLIs, remote agents, browsers, MCP servers, skills, models, Git worktrees, and cloud services. A control applied only to the VS Code UI may not constrain a child process or remote component.</w:t>
      </w:r>
    </w:p>
    <w:p>
      <w:r>
        <w:t>Enterprise architecture must enforce policy at every boundary: endpoint application control, OS identity, filesystem permissions, egress proxy, browser containment, credential broker, MCP gateway, skill registry, model router, Git protection, CI review, and audit pipeline. The extension's own approval dialog cannot be the sole control for irreversible or externally consequential actions.</w:t>
      </w:r>
    </w:p>
    <w:p>
      <w:pPr>
        <w:pStyle w:val="Heading1"/>
      </w:pPr>
      <w:r>
        <w:t>Consolidated Supply Chain Assessment</w:t>
      </w:r>
    </w:p>
    <w:p>
      <w:r>
        <w:t>Supply-chain confidence is Low. Positive evidence is limited to immutable Marketplace package bytes, a verified publisher identity context, deterministic member hashes, and a generated SBOM. Negative evidence includes missing source and build attestation, empty licence and changelog, credential-like content, old executable and runtime components, 42 vulnerability matches, generated-code opacity, and Semgrep coverage limitations.</w:t>
      </w:r>
    </w:p>
    <w:p>
      <w:r>
        <w:t>The required supplier response is a new release with secrets removed and rotated, dependencies patched or justified by reachability, signed provenance, source or independent assessment access, SBOM and VEX, documented release controls, reproducible or witnessed build, licence and change record, vulnerability disclosure route, patch SLA, and revocation plan. Security Engineering must independently verify the immutable result.</w:t>
      </w:r>
    </w:p>
    <w:p>
      <w:pPr>
        <w:pStyle w:val="Heading1"/>
      </w:pPr>
      <w:r>
        <w:t>Consolidated Privacy and Data Protection Assessment</w:t>
      </w:r>
    </w:p>
    <w:p>
      <w:r>
        <w:t>The product can encounter high-value data through workspace, terminal, Git, URLs, screenshots, browser, audio, prompts, outputs, accounts, and connected tools. Vendor privacy and service terms provide general disclosures, and current materials describe ZDR and encryption options. [</w:t>
      </w:r>
      <w:hyperlink w:anchor="REF_002">
        <w:r>
          <w:rPr>
            <w:rStyle w:val="Hyperlink"/>
          </w:rPr>
          <w:t>REF-002</w:t>
        </w:r>
      </w:hyperlink>
      <w:r>
        <w:t>] [</w:t>
      </w:r>
      <w:hyperlink w:anchor="REF_003">
        <w:r>
          <w:rPr>
            <w:rStyle w:val="Hyperlink"/>
          </w:rPr>
          <w:t>REF-003</w:t>
        </w:r>
      </w:hyperlink>
      <w:r>
        <w:t>] [</w:t>
      </w:r>
      <w:hyperlink w:anchor="REF_004">
        <w:r>
          <w:rPr>
            <w:rStyle w:val="Hyperlink"/>
          </w:rPr>
          <w:t>REF-004</w:t>
        </w:r>
      </w:hyperlink>
      <w:r>
        <w:t>] [</w:t>
      </w:r>
      <w:hyperlink w:anchor="REF_005">
        <w:r>
          <w:rPr>
            <w:rStyle w:val="Hyperlink"/>
          </w:rPr>
          <w:t>REF-005</w:t>
        </w:r>
      </w:hyperlink>
      <w:r>
        <w:t>] However, the applicable tier, endpoint, subprocessors, routing, retention, training, deletion, telemetry, and remote-component behavior for extension 3.7.0 are unverified.</w:t>
      </w:r>
    </w:p>
    <w:p>
      <w:r>
        <w:t>No confidential or personal data should enter the product until Privacy and Legal approve contract terms, DPA, subprocessors, transfer mechanism, retention, deletion, incident notice, audit rights, data-subject handling, and exit plan. Technical tests must corroborate contractual routing and minimization. Synthetic canaries should replace real records during all evaluation.</w:t>
      </w:r>
    </w:p>
    <w:p>
      <w:pPr>
        <w:pStyle w:val="Heading1"/>
      </w:pPr>
      <w:r>
        <w:t>Enterprise Controls Roadmap</w:t>
      </w:r>
    </w:p>
    <w:p>
      <w:r>
        <w:t>Phase zero blocks version 3.7.0, preserves evidence, assigns owners, and requests remediation. Phase one evaluates the supplier's replacement package, licence, source or audit, SBOM, VEX, provenance, privacy documents, endpoint inventory, feature controls, and audit design. Phase two conducts static rescanning and secure-code review. Phase three performs a disposable synthetic runtime pilot under controlled egress and adversarial fixtures. Phase four, only after closure, considers a limited user cohort and time-bound exception.</w:t>
      </w:r>
    </w:p>
    <w:p>
      <w:r>
        <w:t>Every phase has an exit criterion. Procurement cannot waive technical P0 findings without formal risk acceptance; a technical pilot cannot waive privacy or contract gates; a clean runtime session cannot waive package credential and provenance defects; and a vendor assertion cannot waive independent verification. Reassessment is triggered by any package, model-routing, MCP, skill, agent, privacy, terms, endpoint, or control change.</w:t>
      </w:r>
    </w:p>
    <w:p>
      <w:pPr>
        <w:pStyle w:val="Caption"/>
      </w:pPr>
      <w:r>
        <w:rPr>
          <w:b/>
        </w:rPr>
        <w:t>Roadmap</w:t>
      </w:r>
    </w:p>
    <w:tbl>
      <w:tblPr>
        <w:tblStyle w:val="TableGrid"/>
        <w:tblW w:type="dxa" w:w="9360"/>
        <w:tblLayout w:type="fixed"/>
        <w:tblLook w:firstColumn="1" w:firstRow="1" w:lastColumn="0" w:lastRow="0" w:noHBand="0" w:noVBand="1" w:val="04A0"/>
        <w:tblInd w:w="120" w:type="dxa"/>
      </w:tblPr>
      <w:tblGrid>
        <w:gridCol w:w="2288"/>
        <w:gridCol w:w="2808"/>
        <w:gridCol w:w="4264"/>
      </w:tblGrid>
      <w:tr>
        <w:trPr>
          <w:tblHeader w:val="true"/>
        </w:trPr>
        <w:tc>
          <w:tcPr>
            <w:tcW w:type="dxa" w:w="2288"/>
            <w:shd w:fill="F2F4F7"/>
            <w:vAlign w:val="center"/>
            <w:tcMar>
              <w:top w:w="80" w:type="dxa"/>
              <w:start w:w="120" w:type="dxa"/>
              <w:bottom w:w="80" w:type="dxa"/>
              <w:end w:w="120" w:type="dxa"/>
            </w:tcMar>
          </w:tcPr>
          <w:p>
            <w:r>
              <w:rPr>
                <w:b/>
                <w:sz w:val="16"/>
              </w:rPr>
              <w:t>Phase</w:t>
            </w:r>
          </w:p>
        </w:tc>
        <w:tc>
          <w:tcPr>
            <w:tcW w:type="dxa" w:w="2808"/>
            <w:shd w:fill="F2F4F7"/>
            <w:vAlign w:val="center"/>
            <w:tcMar>
              <w:top w:w="80" w:type="dxa"/>
              <w:start w:w="120" w:type="dxa"/>
              <w:bottom w:w="80" w:type="dxa"/>
              <w:end w:w="120" w:type="dxa"/>
            </w:tcMar>
          </w:tcPr>
          <w:p>
            <w:r>
              <w:rPr>
                <w:b/>
                <w:sz w:val="16"/>
              </w:rPr>
              <w:t>Owner</w:t>
            </w:r>
          </w:p>
        </w:tc>
        <w:tc>
          <w:tcPr>
            <w:tcW w:type="dxa" w:w="4264"/>
            <w:shd w:fill="F2F4F7"/>
            <w:vAlign w:val="center"/>
            <w:tcMar>
              <w:top w:w="80" w:type="dxa"/>
              <w:start w:w="120" w:type="dxa"/>
              <w:bottom w:w="80" w:type="dxa"/>
              <w:end w:w="120" w:type="dxa"/>
            </w:tcMar>
          </w:tcPr>
          <w:p>
            <w:r>
              <w:rPr>
                <w:b/>
                <w:sz w:val="16"/>
              </w:rPr>
              <w:t>Exit evidence</w:t>
            </w:r>
          </w:p>
        </w:tc>
      </w:tr>
      <w:tr>
        <w:tc>
          <w:tcPr>
            <w:tcW w:type="dxa" w:w="2288"/>
            <w:vAlign w:val="center"/>
            <w:tcMar>
              <w:top w:w="80" w:type="dxa"/>
              <w:start w:w="120" w:type="dxa"/>
              <w:bottom w:w="80" w:type="dxa"/>
              <w:end w:w="120" w:type="dxa"/>
            </w:tcMar>
          </w:tcPr>
          <w:p>
            <w:r>
              <w:rPr>
                <w:sz w:val="16"/>
              </w:rPr>
              <w:t>0 Block</w:t>
            </w:r>
          </w:p>
        </w:tc>
        <w:tc>
          <w:tcPr>
            <w:tcW w:type="dxa" w:w="2808"/>
            <w:vAlign w:val="center"/>
            <w:tcMar>
              <w:top w:w="80" w:type="dxa"/>
              <w:start w:w="120" w:type="dxa"/>
              <w:bottom w:w="80" w:type="dxa"/>
              <w:end w:w="120" w:type="dxa"/>
            </w:tcMar>
          </w:tcPr>
          <w:p>
            <w:r>
              <w:rPr>
                <w:sz w:val="16"/>
              </w:rPr>
              <w:t>IDE Platform</w:t>
            </w:r>
          </w:p>
        </w:tc>
        <w:tc>
          <w:tcPr>
            <w:tcW w:type="dxa" w:w="4264"/>
            <w:vAlign w:val="center"/>
            <w:tcMar>
              <w:top w:w="80" w:type="dxa"/>
              <w:start w:w="120" w:type="dxa"/>
              <w:bottom w:w="80" w:type="dxa"/>
              <w:end w:w="120" w:type="dxa"/>
            </w:tcMar>
          </w:tcPr>
          <w:p>
            <w:r>
              <w:rPr>
                <w:sz w:val="16"/>
              </w:rPr>
              <w:t>Policy denial and preserved hash</w:t>
            </w:r>
          </w:p>
        </w:tc>
      </w:tr>
      <w:tr>
        <w:tc>
          <w:tcPr>
            <w:tcW w:type="dxa" w:w="2288"/>
            <w:vAlign w:val="center"/>
            <w:tcMar>
              <w:top w:w="80" w:type="dxa"/>
              <w:start w:w="120" w:type="dxa"/>
              <w:bottom w:w="80" w:type="dxa"/>
              <w:end w:w="120" w:type="dxa"/>
            </w:tcMar>
          </w:tcPr>
          <w:p>
            <w:r>
              <w:rPr>
                <w:sz w:val="16"/>
              </w:rPr>
              <w:t>1 Supplier remediation</w:t>
            </w:r>
          </w:p>
        </w:tc>
        <w:tc>
          <w:tcPr>
            <w:tcW w:type="dxa" w:w="2808"/>
            <w:vAlign w:val="center"/>
            <w:tcMar>
              <w:top w:w="80" w:type="dxa"/>
              <w:start w:w="120" w:type="dxa"/>
              <w:bottom w:w="80" w:type="dxa"/>
              <w:end w:w="120" w:type="dxa"/>
            </w:tcMar>
          </w:tcPr>
          <w:p>
            <w:r>
              <w:rPr>
                <w:sz w:val="16"/>
              </w:rPr>
              <w:t>Vendor Management / Privacy</w:t>
            </w:r>
          </w:p>
        </w:tc>
        <w:tc>
          <w:tcPr>
            <w:tcW w:type="dxa" w:w="4264"/>
            <w:vAlign w:val="center"/>
            <w:tcMar>
              <w:top w:w="80" w:type="dxa"/>
              <w:start w:w="120" w:type="dxa"/>
              <w:bottom w:w="80" w:type="dxa"/>
              <w:end w:w="120" w:type="dxa"/>
            </w:tcMar>
          </w:tcPr>
          <w:p>
            <w:r>
              <w:rPr>
                <w:sz w:val="16"/>
              </w:rPr>
              <w:t>Fixed package and assurance set</w:t>
            </w:r>
          </w:p>
        </w:tc>
      </w:tr>
      <w:tr>
        <w:tc>
          <w:tcPr>
            <w:tcW w:type="dxa" w:w="2288"/>
            <w:vAlign w:val="center"/>
            <w:tcMar>
              <w:top w:w="80" w:type="dxa"/>
              <w:start w:w="120" w:type="dxa"/>
              <w:bottom w:w="80" w:type="dxa"/>
              <w:end w:w="120" w:type="dxa"/>
            </w:tcMar>
          </w:tcPr>
          <w:p>
            <w:r>
              <w:rPr>
                <w:sz w:val="16"/>
              </w:rPr>
              <w:t>2 Static re-review</w:t>
            </w:r>
          </w:p>
        </w:tc>
        <w:tc>
          <w:tcPr>
            <w:tcW w:type="dxa" w:w="2808"/>
            <w:vAlign w:val="center"/>
            <w:tcMar>
              <w:top w:w="80" w:type="dxa"/>
              <w:start w:w="120" w:type="dxa"/>
              <w:bottom w:w="80" w:type="dxa"/>
              <w:end w:w="120" w:type="dxa"/>
            </w:tcMar>
          </w:tcPr>
          <w:p>
            <w:r>
              <w:rPr>
                <w:sz w:val="16"/>
              </w:rPr>
              <w:t>Security Engineering</w:t>
            </w:r>
          </w:p>
        </w:tc>
        <w:tc>
          <w:tcPr>
            <w:tcW w:type="dxa" w:w="4264"/>
            <w:vAlign w:val="center"/>
            <w:tcMar>
              <w:top w:w="80" w:type="dxa"/>
              <w:start w:w="120" w:type="dxa"/>
              <w:bottom w:w="80" w:type="dxa"/>
              <w:end w:w="120" w:type="dxa"/>
            </w:tcMar>
          </w:tcPr>
          <w:p>
            <w:r>
              <w:rPr>
                <w:sz w:val="16"/>
              </w:rPr>
              <w:t>Clean, dispositioned scans and provenance</w:t>
            </w:r>
          </w:p>
        </w:tc>
      </w:tr>
      <w:tr>
        <w:tc>
          <w:tcPr>
            <w:tcW w:type="dxa" w:w="2288"/>
            <w:vAlign w:val="center"/>
            <w:tcMar>
              <w:top w:w="80" w:type="dxa"/>
              <w:start w:w="120" w:type="dxa"/>
              <w:bottom w:w="80" w:type="dxa"/>
              <w:end w:w="120" w:type="dxa"/>
            </w:tcMar>
          </w:tcPr>
          <w:p>
            <w:r>
              <w:rPr>
                <w:sz w:val="16"/>
              </w:rPr>
              <w:t>3 Runtime pilot</w:t>
            </w:r>
          </w:p>
        </w:tc>
        <w:tc>
          <w:tcPr>
            <w:tcW w:type="dxa" w:w="2808"/>
            <w:vAlign w:val="center"/>
            <w:tcMar>
              <w:top w:w="80" w:type="dxa"/>
              <w:start w:w="120" w:type="dxa"/>
              <w:bottom w:w="80" w:type="dxa"/>
              <w:end w:w="120" w:type="dxa"/>
            </w:tcMar>
          </w:tcPr>
          <w:p>
            <w:r>
              <w:rPr>
                <w:sz w:val="16"/>
              </w:rPr>
              <w:t>Security / Endpoint</w:t>
            </w:r>
          </w:p>
        </w:tc>
        <w:tc>
          <w:tcPr>
            <w:tcW w:type="dxa" w:w="4264"/>
            <w:vAlign w:val="center"/>
            <w:tcMar>
              <w:top w:w="80" w:type="dxa"/>
              <w:start w:w="120" w:type="dxa"/>
              <w:bottom w:w="80" w:type="dxa"/>
              <w:end w:w="120" w:type="dxa"/>
            </w:tcMar>
          </w:tcPr>
          <w:p>
            <w:r>
              <w:rPr>
                <w:sz w:val="16"/>
              </w:rPr>
              <w:t>Complete synthetic host evidence</w:t>
            </w:r>
          </w:p>
        </w:tc>
      </w:tr>
      <w:tr>
        <w:tc>
          <w:tcPr>
            <w:tcW w:type="dxa" w:w="2288"/>
            <w:vAlign w:val="center"/>
            <w:tcMar>
              <w:top w:w="80" w:type="dxa"/>
              <w:start w:w="120" w:type="dxa"/>
              <w:bottom w:w="80" w:type="dxa"/>
              <w:end w:w="120" w:type="dxa"/>
            </w:tcMar>
          </w:tcPr>
          <w:p>
            <w:r>
              <w:rPr>
                <w:sz w:val="16"/>
              </w:rPr>
              <w:t>4 Limited evaluation</w:t>
            </w:r>
          </w:p>
        </w:tc>
        <w:tc>
          <w:tcPr>
            <w:tcW w:type="dxa" w:w="2808"/>
            <w:vAlign w:val="center"/>
            <w:tcMar>
              <w:top w:w="80" w:type="dxa"/>
              <w:start w:w="120" w:type="dxa"/>
              <w:bottom w:w="80" w:type="dxa"/>
              <w:end w:w="120" w:type="dxa"/>
            </w:tcMar>
          </w:tcPr>
          <w:p>
            <w:r>
              <w:rPr>
                <w:sz w:val="16"/>
              </w:rPr>
              <w:t>Risk owner</w:t>
            </w:r>
          </w:p>
        </w:tc>
        <w:tc>
          <w:tcPr>
            <w:tcW w:type="dxa" w:w="4264"/>
            <w:vAlign w:val="center"/>
            <w:tcMar>
              <w:top w:w="80" w:type="dxa"/>
              <w:start w:w="120" w:type="dxa"/>
              <w:bottom w:w="80" w:type="dxa"/>
              <w:end w:w="120" w:type="dxa"/>
            </w:tcMar>
          </w:tcPr>
          <w:p>
            <w:r>
              <w:rPr>
                <w:sz w:val="16"/>
              </w:rPr>
              <w:t>Time-bound signed acceptance</w:t>
            </w:r>
          </w:p>
        </w:tc>
      </w:tr>
    </w:tbl>
    <w:p/>
    <w:p>
      <w:pPr>
        <w:pStyle w:val="Heading1"/>
      </w:pPr>
      <w:r>
        <w:t>Detection Opportunities and Monitoring Plan</w:t>
      </w:r>
    </w:p>
    <w:p>
      <w:r>
        <w:t>Monitor extension inventory by identifier, version, publisher, and hash; profile changes; startup activation; MCP configuration; marketplace access; skill and server downloads; browser, audio, CLI, remote-agent, shell, archive, and worktree processes; keychain or credential-store access; endpoint and certificate changes; outbound volume; large file reads; denied actions; update attempts; and uninstall residue. Baseline expected events before broad rollout.</w:t>
      </w:r>
    </w:p>
    <w:p>
      <w:r>
        <w:t>Logs must be tamper-evident, exportable, time-synchronized, and useful without recording sensitive source or secret values. Each event should preserve user, device, extension hash, session, task, origin class, model or agent, tool, action class, approval decision, outcome, destination class, and policy version. Alerting needs a documented owner, response playbook, retention, privacy review, and kill-switch test.</w:t>
      </w:r>
    </w:p>
    <w:p>
      <w:pPr>
        <w:pStyle w:val="Heading1"/>
      </w:pPr>
      <w:r>
        <w:t>Detailed Validated Findings</w:t>
      </w:r>
    </w:p>
    <w:p>
      <w:r>
        <w:t>The eight finding records below are the decision-bearing risk statements. Scores use likelihood and impact from 1 to 5; inherent score is assessed before controls and residual score after verified controls. Advertised but untested controls receive limited credit. Confidence describes evidence quality, not severity. Each verification test requires the exact replacement package and a synthetic environment.</w:t>
      </w:r>
    </w:p>
    <w:p>
      <w:pPr>
        <w:pStyle w:val="Heading2"/>
      </w:pPr>
      <w:r>
        <w:t>F-001 — High-agency actions lack independently verified policy enforcement</w:t>
      </w:r>
    </w:p>
    <w:p>
      <w:r>
        <w:t>A malicious repository instruction, web page, model output, or compromised upstream induces file modification, command execution, browsing, or remote-agent action beyond the user's intent. Scope: VS Code 1.84+; extension 3.7.0; file, terminal, browser, remote-agent, and orchestration surfaces Evidence: EVD-BBX-001, EVD-BBX-004, EVD-BBX-011.</w:t>
      </w:r>
    </w:p>
    <w:p>
      <w:r>
        <w:t>Inherent: 4 Likely by 5 Severe = 20 Critical. Existing controls: Vendor claims granular per-operation approvals; VS Code Workspace Trust may restrict some extension behavior. Control strength: 1 Weak; approval semantics, coverage, defaults, bypass resistance, and auditability were not tested.</w:t>
      </w:r>
    </w:p>
    <w:p>
      <w:r>
        <w:t>Residual: 4 Likely by 5 Severe = 20 Critical. Treatment: Block production use; require deny-by-default action classes, mandatory human approval, synthetic adversarial runtime tests, and tamper-evident action logs. Owner: IDE Platform and Security Engineering. Priority and milestone: P0, Before any pilot. Verification: Exercise allow and deny paths for every action class with injected repository, browser, terminal, MCP, and model content; confirm no bypass or hidden action. Mappings: OWASP LLM prompt injection and excessive agency; OWASP Agentic tool misuse; NIST AI RMF Manage; MITRE ATLAS. Confidence: Medium; capability is verified, exploit path and controls are not runtime-tested.</w:t>
      </w:r>
    </w:p>
    <w:p>
      <w:pPr>
        <w:pStyle w:val="Heading2"/>
      </w:pPr>
      <w:r>
        <w:t>F-002 — Credential-like material is bundled in distributable code</w:t>
      </w:r>
    </w:p>
    <w:p>
      <w:r>
        <w:t>A reusable or insufficiently scoped credential embedded in a public extension is extracted and abused, causing unauthorized service use, cost, disruption, or pivoting. Scope: VSIX 3.7.0; Electron audio files, source map, and main bundle Evidence: EVD-BBX-005, EVD-BBX-002.</w:t>
      </w:r>
    </w:p>
    <w:p>
      <w:r>
        <w:t>Inherent: 4 Likely by 4 Major = 16 High. Existing controls: One JWT-like value was expired; secret values are redacted from retained assessment outputs. Control strength: 1 Weak; expiration of one value does not resolve the repeated audio/TURN credential-like material.</w:t>
      </w:r>
    </w:p>
    <w:p>
      <w:r>
        <w:t>Residual: 3 Possible by 4 Major = 12 High. Treatment: Remove all distributable credentials, rotate affected values, use short-lived user-bound issuance, scan release artefacts, and provide a signed remediation attestation. Owner: Vendor Product Security; verified by Security Engineering. Priority and milestone: P0, Before replacement package acceptance. Verification: Scan the replacement VSIX and source map; confirm zero credential findings and independently verify rotation, scope, audience, and expiry without disclosing values. Mappings: OWASP sensitive information disclosure; NIST SSDF; CWE-798 principles. Confidence: High for package presence; Low for live validity because validation was intentionally not attempted.</w:t>
      </w:r>
    </w:p>
    <w:p>
      <w:pPr>
        <w:pStyle w:val="Heading2"/>
      </w:pPr>
      <w:r>
        <w:t>F-003 — Outdated 7-Zip, Electron, WebSocket, and parser dependencies carry known advisories</w:t>
      </w:r>
    </w:p>
    <w:p>
      <w:r>
        <w:t>Untrusted archives, web content, or network messages reach a vulnerable bundled component and cause code execution, traversal, denial of service, or policy bypass. Scope: VSIX 3.7.0; 7-Zip 19.00, Electron 33.3.1, ws 8.17.1/8.18.0, socket.io-parser 4.2.4 Evidence: EVD-BBX-008, EVD-BBX-009.</w:t>
      </w:r>
    </w:p>
    <w:p>
      <w:r>
        <w:t>Inherent: 3 Possible by 5 Severe = 15 High. Existing controls: VS Code and OS boundaries may constrain some paths; reachability was not established. Control strength: 1 Weak; no vendor reachability analysis, runtime hardening evidence, or patched package was supplied.</w:t>
      </w:r>
    </w:p>
    <w:p>
      <w:r>
        <w:t>Residual: 3 Possible by 5 Severe = 15 High. Treatment: Upgrade or remove affected components, document reachability and mitigations, add dependency policy gates, and issue a vendor-signed SBOM tied to the replacement VSIX. Owner: Vendor Engineering and Product Security. Priority and milestone: P0, Before any pilot. Verification: Rescan immutable replacement bytes; review reachability evidence; exercise archive, WebSocket, parser, and Electron boundary tests in isolation. Mappings: OWASP supply-chain vulnerabilities; NIST SSDF RV; CIS vulnerability management. Confidence: High for versions and matches; Medium for exploitability.</w:t>
      </w:r>
    </w:p>
    <w:p>
      <w:pPr>
        <w:pStyle w:val="Heading2"/>
      </w:pPr>
      <w:r>
        <w:t>F-004 — MCP marketplace and autonomous skills create uncontrolled composition risk</w:t>
      </w:r>
    </w:p>
    <w:p>
      <w:r>
        <w:t>A malicious or compromised MCP server or skill receives workspace data, returns injected instructions, invokes over-broad tools, or changes behavior after review. Scope: VS Code 3.7.0; MCP full mode, enabled marketplace, servers, tools, resources, prompts, and Blackbox Skills Evidence: EVD-BBX-001, EVD-BBX-004, EVD-BBX-011.</w:t>
      </w:r>
    </w:p>
    <w:p>
      <w:r>
        <w:t>Inherent: 4 Likely by 5 Severe = 20 Critical. Existing controls: Configuration exposes an MCP mode and marketplace enablement setting. Control strength: 1 Weak; defaults are broad and no allowlist, signature, isolation, or approval enforcement was observed.</w:t>
      </w:r>
    </w:p>
    <w:p>
      <w:r>
        <w:t>Residual: 4 Likely by 5 Severe = 20 Critical. Treatment: Disable marketplace and full mode by default; require immutable allowlists, schema review, scoped credentials, server isolation, skill tree review, and per-call approval and logging. Owner: IDE Platform, Security Architecture, and service owners. Priority and milestone: P0, Before any pilot. Verification: Attempt unapproved server and skill installation, tool escalation, prompt injection, token forwarding, and configuration drift; verify fail-closed enforcement. Mappings: MCP security best practices; OWASP Agentic supply chain and tool misuse; NIST AI RMF Govern. Confidence: Medium; static defaults and claims are verified, runtime implementation is not.</w:t>
      </w:r>
    </w:p>
    <w:p>
      <w:pPr>
        <w:pStyle w:val="Heading2"/>
      </w:pPr>
      <w:r>
        <w:t>F-005 — Source, licence, changelog, and build provenance are insufficient</w:t>
      </w:r>
    </w:p>
    <w:p>
      <w:r>
        <w:t>Reviewers cannot establish what source produced the package, what licence governs it, what changed, or whether release controls prevented tampering. Scope: VSIX 3.7.0 release provenance Evidence: EVD-BBX-003, EVD-BBX-004, EVD-BBX-012.</w:t>
      </w:r>
    </w:p>
    <w:p>
      <w:r>
        <w:t>Inherent: 4 Likely by 4 Major = 16 High. Existing controls: Marketplace distribution and verified publisher domain provide identity context. Control strength: 1 Weak; identity does not replace source, attestation, signing detail, or reproducible build evidence.</w:t>
      </w:r>
    </w:p>
    <w:p>
      <w:r>
        <w:t>Residual: 4 Likely by 4 Major = 16 High. Treatment: Provide versioned reviewable source or independent audit, complete licence and changelog, signed provenance, build recipe, dependency lock, and package-to-source attestation. Owner: Vendor Release Engineering and Vendor Management. Priority and milestone: P1, Before procurement approval. Verification: Rebuild or independently compare the replacement package, validate signatures and attestation, and reconcile every shipped executable and dependency. Mappings: NIST SSDF; OWASP software supply chain; SLSA provenance principles. Confidence: High.</w:t>
      </w:r>
    </w:p>
    <w:p>
      <w:pPr>
        <w:pStyle w:val="Heading2"/>
      </w:pPr>
      <w:r>
        <w:t>F-006 — Data routing, retention, telemetry, and subprocess handling are not deployment-specific</w:t>
      </w:r>
    </w:p>
    <w:p>
      <w:r>
        <w:t>Source code, secrets, personal data, or regulated records are sent to an unapproved endpoint, retained under an unexpected policy, or exposed through a third party. Scope: Extension 3.7.0; vendor, model, agent, browser, audio, MCP, and integration services Evidence: EVD-BBX-001, EVD-BBX-004, EVD-BBX-010, EVD-BBX-011.</w:t>
      </w:r>
    </w:p>
    <w:p>
      <w:r>
        <w:t>Inherent: 4 Likely by 5 Severe = 20 Critical. Existing controls: Vendor publishes privacy, terms, encryption, and ZDR materials; some offerings claim restricted retention. Control strength: 1 Weak; applicability to every extension path, model, agent, and tier is not evidenced.</w:t>
      </w:r>
    </w:p>
    <w:p>
      <w:r>
        <w:t>Residual: 4 Likely by 5 Severe = 20 Critical. Treatment: Prohibit confidential data; obtain DPA, subprocessors, routing and endpoint inventory, retention/deletion commitments, tenant isolation evidence, encryption mode, telemetry schema, and egress controls. Owner: Privacy, Legal, Vendor Management, and Security Architecture. Priority and milestone: P0, Before any data-bearing pilot. Verification: Contract review plus controlled canary and network test across models, agents, browser, audio, telemetry, and MCP; verify deletion and token revocation. Mappings: UK GDPR principles; NIST Privacy Framework; OWASP sensitive information disclosure; FCA operational resilience conditional. Confidence: Medium for policy statements; Low for deployment-specific behavior.</w:t>
      </w:r>
    </w:p>
    <w:p>
      <w:pPr>
        <w:pStyle w:val="Heading2"/>
      </w:pPr>
      <w:r>
        <w:t>F-007 — Runtime, update, and uninstall behavior remains blocked</w:t>
      </w:r>
    </w:p>
    <w:p>
      <w:r>
        <w:t>Unexpected processes, files, network calls, persistence, updates, or uninstall residue escape static review and remain after product removal. Scope: All supported operating systems and VS Code versions for extension 3.7.0 Evidence: EVD-BBX-011.</w:t>
      </w:r>
    </w:p>
    <w:p>
      <w:r>
        <w:t>Inherent: 3 Possible by 4 Major = 12 High. Existing controls: A controlled runtime plan is defined; package was not executed during static review. Control strength: 1 Weak; a plan is not operational evidence.</w:t>
      </w:r>
    </w:p>
    <w:p>
      <w:r>
        <w:t>Residual: 3 Possible by 4 Major = 12 High. Treatment: Complete representative disposable-host testing with synthetic data, rollback, egress monitoring, process/file baselines, update/downgrade, and uninstall verification. Owner: Security Engineering and Endpoint Engineering. Priority and milestone: P0, Before any pilot. Verification: Produce signed before/after manifests, network and process evidence, approval traces, update observations, clean uninstall proof, and restored snapshot hash. Mappings: NIST AI RMF Measure; CIS inventory and monitoring; OWASP logging and monitoring. Confidence: High that evidence is absent.</w:t>
      </w:r>
    </w:p>
    <w:p>
      <w:pPr>
        <w:pStyle w:val="Heading2"/>
      </w:pPr>
      <w:r>
        <w:t>F-008 — Startup activation and monitoring gaps increase ambient exposure</w:t>
      </w:r>
    </w:p>
    <w:p>
      <w:r>
        <w:t>The extension activates in repositories not intended for AI processing and reads context, creates processes, or communicates before enterprise policy and user intent are verified. Scope: VS Code 1.84+; onStartupFinished and inline completion activation Evidence: EVD-BBX-004, EVD-BBX-011.</w:t>
      </w:r>
    </w:p>
    <w:p>
      <w:r>
        <w:t>Inherent: 4 Likely by 4 Major = 16 High. Existing controls: Users may toggle inline completion and VS Code provides profile and trust controls. Control strength: 1 Weak; startup behavior, Restricted Mode support, telemetry timing, and policy enforcement were not observed.</w:t>
      </w:r>
    </w:p>
    <w:p>
      <w:r>
        <w:t>Residual: 4 Likely by 4 Major = 16 High. Treatment: Use deny-by-default extension policy, dedicated profile, Restricted Mode tests, explicit session activation, no pre-consent egress, and monitoring for hash, settings, child process, and endpoint drift. Owner: IDE Platform and Endpoint Security. Priority and milestone: P1, Before any pilot. Verification: Open trusted and untrusted synthetic workspaces under deny and allow policy; verify zero action or egress before explicit activation and capture complete audit events. Mappings: VS Code Workspace Trust; OWASP excessive agency; CIS application control and logging. Confidence: High for activation declaration; Low for runtime behavior.</w:t>
      </w:r>
    </w:p>
    <w:p>
      <w:pPr>
        <w:pStyle w:val="Heading1"/>
      </w:pPr>
      <w:r>
        <w:t>Consolidated Risk Register</w:t>
      </w:r>
    </w:p>
    <w:p>
      <w:r>
        <w:t>Legend: ID is the unique finding identifier; Risk is the adverse scenario; Scope is the affected component; L and I are inherent likelihood and impact from 1 to 5; Inherent is L multiplied by I before controls; rL and rI are residual likelihood and impact after verified controls; Residual is rL multiplied by rI; Treatment is the required action; Owner is accountable for evidence. Rating bands are 1–4 Low, 5–9 Moderate, 10–16 High, and 17–25 Critical.</w:t>
      </w:r>
    </w:p>
    <w:p>
      <w:pPr>
        <w:pStyle w:val="Caption"/>
      </w:pPr>
      <w:r>
        <w:rPr>
          <w:b/>
        </w:rPr>
        <w:t>Consolidated risk register</w:t>
      </w:r>
    </w:p>
    <w:tbl>
      <w:tblPr>
        <w:tblStyle w:val="TableGrid"/>
        <w:tblW w:type="dxa" w:w="9360"/>
        <w:tblLayout w:type="fixed"/>
        <w:tblLook w:firstColumn="1" w:firstRow="1" w:lastColumn="0" w:lastRow="0" w:noHBand="0" w:noVBand="1" w:val="04A0"/>
        <w:tblInd w:w="120" w:type="dxa"/>
      </w:tblPr>
      <w:tblGrid>
        <w:gridCol w:w="705"/>
        <w:gridCol w:w="2083"/>
        <w:gridCol w:w="705"/>
        <w:gridCol w:w="705"/>
        <w:gridCol w:w="917"/>
        <w:gridCol w:w="705"/>
        <w:gridCol w:w="705"/>
        <w:gridCol w:w="917"/>
        <w:gridCol w:w="1918"/>
      </w:tblGrid>
      <w:tr>
        <w:trPr>
          <w:tblHeader w:val="true"/>
        </w:trPr>
        <w:tc>
          <w:tcPr>
            <w:tcW w:type="dxa" w:w="705"/>
            <w:shd w:fill="F2F4F7"/>
            <w:vAlign w:val="center"/>
            <w:tcMar>
              <w:top w:w="80" w:type="dxa"/>
              <w:start w:w="120" w:type="dxa"/>
              <w:bottom w:w="80" w:type="dxa"/>
              <w:end w:w="120" w:type="dxa"/>
            </w:tcMar>
          </w:tcPr>
          <w:p>
            <w:r>
              <w:rPr>
                <w:b/>
                <w:sz w:val="16"/>
              </w:rPr>
              <w:t>ID</w:t>
            </w:r>
          </w:p>
        </w:tc>
        <w:tc>
          <w:tcPr>
            <w:tcW w:type="dxa" w:w="2083"/>
            <w:shd w:fill="F2F4F7"/>
            <w:vAlign w:val="center"/>
            <w:tcMar>
              <w:top w:w="80" w:type="dxa"/>
              <w:start w:w="120" w:type="dxa"/>
              <w:bottom w:w="80" w:type="dxa"/>
              <w:end w:w="120" w:type="dxa"/>
            </w:tcMar>
          </w:tcPr>
          <w:p>
            <w:r>
              <w:rPr>
                <w:b/>
                <w:sz w:val="16"/>
              </w:rPr>
              <w:t>Risk</w:t>
            </w:r>
          </w:p>
        </w:tc>
        <w:tc>
          <w:tcPr>
            <w:tcW w:type="dxa" w:w="705"/>
            <w:shd w:fill="F2F4F7"/>
            <w:vAlign w:val="center"/>
            <w:tcMar>
              <w:top w:w="80" w:type="dxa"/>
              <w:start w:w="120" w:type="dxa"/>
              <w:bottom w:w="80" w:type="dxa"/>
              <w:end w:w="120" w:type="dxa"/>
            </w:tcMar>
          </w:tcPr>
          <w:p>
            <w:r>
              <w:rPr>
                <w:b/>
                <w:sz w:val="16"/>
              </w:rPr>
              <w:t>L</w:t>
            </w:r>
          </w:p>
        </w:tc>
        <w:tc>
          <w:tcPr>
            <w:tcW w:type="dxa" w:w="705"/>
            <w:shd w:fill="F2F4F7"/>
            <w:vAlign w:val="center"/>
            <w:tcMar>
              <w:top w:w="80" w:type="dxa"/>
              <w:start w:w="120" w:type="dxa"/>
              <w:bottom w:w="80" w:type="dxa"/>
              <w:end w:w="120" w:type="dxa"/>
            </w:tcMar>
          </w:tcPr>
          <w:p>
            <w:r>
              <w:rPr>
                <w:b/>
                <w:sz w:val="16"/>
              </w:rPr>
              <w:t>I</w:t>
            </w:r>
          </w:p>
        </w:tc>
        <w:tc>
          <w:tcPr>
            <w:tcW w:type="dxa" w:w="917"/>
            <w:shd w:fill="F2F4F7"/>
            <w:vAlign w:val="center"/>
            <w:tcMar>
              <w:top w:w="80" w:type="dxa"/>
              <w:start w:w="120" w:type="dxa"/>
              <w:bottom w:w="80" w:type="dxa"/>
              <w:end w:w="120" w:type="dxa"/>
            </w:tcMar>
          </w:tcPr>
          <w:p>
            <w:r>
              <w:rPr>
                <w:b/>
                <w:sz w:val="16"/>
              </w:rPr>
              <w:t>Inherent</w:t>
            </w:r>
          </w:p>
        </w:tc>
        <w:tc>
          <w:tcPr>
            <w:tcW w:type="dxa" w:w="705"/>
            <w:shd w:fill="F2F4F7"/>
            <w:vAlign w:val="center"/>
            <w:tcMar>
              <w:top w:w="80" w:type="dxa"/>
              <w:start w:w="120" w:type="dxa"/>
              <w:bottom w:w="80" w:type="dxa"/>
              <w:end w:w="120" w:type="dxa"/>
            </w:tcMar>
          </w:tcPr>
          <w:p>
            <w:r>
              <w:rPr>
                <w:b/>
                <w:sz w:val="16"/>
              </w:rPr>
              <w:t>rL</w:t>
            </w:r>
          </w:p>
        </w:tc>
        <w:tc>
          <w:tcPr>
            <w:tcW w:type="dxa" w:w="705"/>
            <w:shd w:fill="F2F4F7"/>
            <w:vAlign w:val="center"/>
            <w:tcMar>
              <w:top w:w="80" w:type="dxa"/>
              <w:start w:w="120" w:type="dxa"/>
              <w:bottom w:w="80" w:type="dxa"/>
              <w:end w:w="120" w:type="dxa"/>
            </w:tcMar>
          </w:tcPr>
          <w:p>
            <w:r>
              <w:rPr>
                <w:b/>
                <w:sz w:val="16"/>
              </w:rPr>
              <w:t>rI</w:t>
            </w:r>
          </w:p>
        </w:tc>
        <w:tc>
          <w:tcPr>
            <w:tcW w:type="dxa" w:w="917"/>
            <w:shd w:fill="F2F4F7"/>
            <w:vAlign w:val="center"/>
            <w:tcMar>
              <w:top w:w="80" w:type="dxa"/>
              <w:start w:w="120" w:type="dxa"/>
              <w:bottom w:w="80" w:type="dxa"/>
              <w:end w:w="120" w:type="dxa"/>
            </w:tcMar>
          </w:tcPr>
          <w:p>
            <w:r>
              <w:rPr>
                <w:b/>
                <w:sz w:val="16"/>
              </w:rPr>
              <w:t>Residual</w:t>
            </w:r>
          </w:p>
        </w:tc>
        <w:tc>
          <w:tcPr>
            <w:tcW w:type="dxa" w:w="1918"/>
            <w:shd w:fill="F2F4F7"/>
            <w:vAlign w:val="center"/>
            <w:tcMar>
              <w:top w:w="80" w:type="dxa"/>
              <w:start w:w="120" w:type="dxa"/>
              <w:bottom w:w="80" w:type="dxa"/>
              <w:end w:w="120" w:type="dxa"/>
            </w:tcMar>
          </w:tcPr>
          <w:p>
            <w:r>
              <w:rPr>
                <w:b/>
                <w:sz w:val="16"/>
              </w:rPr>
              <w:t>Owner</w:t>
            </w:r>
          </w:p>
        </w:tc>
      </w:tr>
      <w:tr>
        <w:tc>
          <w:tcPr>
            <w:tcW w:type="dxa" w:w="705"/>
            <w:vAlign w:val="center"/>
            <w:tcMar>
              <w:top w:w="80" w:type="dxa"/>
              <w:start w:w="120" w:type="dxa"/>
              <w:bottom w:w="80" w:type="dxa"/>
              <w:end w:w="120" w:type="dxa"/>
            </w:tcMar>
          </w:tcPr>
          <w:p>
            <w:r>
              <w:rPr>
                <w:sz w:val="16"/>
              </w:rPr>
              <w:t>F-001</w:t>
            </w:r>
          </w:p>
        </w:tc>
        <w:tc>
          <w:tcPr>
            <w:tcW w:type="dxa" w:w="2083"/>
            <w:vAlign w:val="center"/>
            <w:tcMar>
              <w:top w:w="80" w:type="dxa"/>
              <w:start w:w="120" w:type="dxa"/>
              <w:bottom w:w="80" w:type="dxa"/>
              <w:end w:w="120" w:type="dxa"/>
            </w:tcMar>
          </w:tcPr>
          <w:p>
            <w:r>
              <w:rPr>
                <w:sz w:val="16"/>
              </w:rPr>
              <w:t>Unverified high agency</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20 Critical</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20 Critical</w:t>
            </w:r>
          </w:p>
        </w:tc>
        <w:tc>
          <w:tcPr>
            <w:tcW w:type="dxa" w:w="1918"/>
            <w:vAlign w:val="center"/>
            <w:tcMar>
              <w:top w:w="80" w:type="dxa"/>
              <w:start w:w="120" w:type="dxa"/>
              <w:bottom w:w="80" w:type="dxa"/>
              <w:end w:w="120" w:type="dxa"/>
            </w:tcMar>
          </w:tcPr>
          <w:p>
            <w:r>
              <w:rPr>
                <w:sz w:val="16"/>
              </w:rPr>
              <w:t>IDE Platform / Security</w:t>
            </w:r>
          </w:p>
        </w:tc>
      </w:tr>
      <w:tr>
        <w:tc>
          <w:tcPr>
            <w:tcW w:type="dxa" w:w="705"/>
            <w:vAlign w:val="center"/>
            <w:tcMar>
              <w:top w:w="80" w:type="dxa"/>
              <w:start w:w="120" w:type="dxa"/>
              <w:bottom w:w="80" w:type="dxa"/>
              <w:end w:w="120" w:type="dxa"/>
            </w:tcMar>
          </w:tcPr>
          <w:p>
            <w:r>
              <w:rPr>
                <w:sz w:val="16"/>
              </w:rPr>
              <w:t>F-002</w:t>
            </w:r>
          </w:p>
        </w:tc>
        <w:tc>
          <w:tcPr>
            <w:tcW w:type="dxa" w:w="2083"/>
            <w:vAlign w:val="center"/>
            <w:tcMar>
              <w:top w:w="80" w:type="dxa"/>
              <w:start w:w="120" w:type="dxa"/>
              <w:bottom w:w="80" w:type="dxa"/>
              <w:end w:w="120" w:type="dxa"/>
            </w:tcMar>
          </w:tcPr>
          <w:p>
            <w:r>
              <w:rPr>
                <w:sz w:val="16"/>
              </w:rPr>
              <w:t>Bundled credentials</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16 High</w:t>
            </w:r>
          </w:p>
        </w:tc>
        <w:tc>
          <w:tcPr>
            <w:tcW w:type="dxa" w:w="705"/>
            <w:vAlign w:val="center"/>
            <w:tcMar>
              <w:top w:w="80" w:type="dxa"/>
              <w:start w:w="120" w:type="dxa"/>
              <w:bottom w:w="80" w:type="dxa"/>
              <w:end w:w="120" w:type="dxa"/>
            </w:tcMar>
          </w:tcPr>
          <w:p>
            <w:r>
              <w:rPr>
                <w:sz w:val="16"/>
              </w:rPr>
              <w:t>3</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12 High</w:t>
            </w:r>
          </w:p>
        </w:tc>
        <w:tc>
          <w:tcPr>
            <w:tcW w:type="dxa" w:w="1918"/>
            <w:vAlign w:val="center"/>
            <w:tcMar>
              <w:top w:w="80" w:type="dxa"/>
              <w:start w:w="120" w:type="dxa"/>
              <w:bottom w:w="80" w:type="dxa"/>
              <w:end w:w="120" w:type="dxa"/>
            </w:tcMar>
          </w:tcPr>
          <w:p>
            <w:r>
              <w:rPr>
                <w:sz w:val="16"/>
              </w:rPr>
              <w:t>Vendor Product Security</w:t>
            </w:r>
          </w:p>
        </w:tc>
      </w:tr>
      <w:tr>
        <w:tc>
          <w:tcPr>
            <w:tcW w:type="dxa" w:w="705"/>
            <w:vAlign w:val="center"/>
            <w:tcMar>
              <w:top w:w="80" w:type="dxa"/>
              <w:start w:w="120" w:type="dxa"/>
              <w:bottom w:w="80" w:type="dxa"/>
              <w:end w:w="120" w:type="dxa"/>
            </w:tcMar>
          </w:tcPr>
          <w:p>
            <w:r>
              <w:rPr>
                <w:sz w:val="16"/>
              </w:rPr>
              <w:t>F-003</w:t>
            </w:r>
          </w:p>
        </w:tc>
        <w:tc>
          <w:tcPr>
            <w:tcW w:type="dxa" w:w="2083"/>
            <w:vAlign w:val="center"/>
            <w:tcMar>
              <w:top w:w="80" w:type="dxa"/>
              <w:start w:w="120" w:type="dxa"/>
              <w:bottom w:w="80" w:type="dxa"/>
              <w:end w:w="120" w:type="dxa"/>
            </w:tcMar>
          </w:tcPr>
          <w:p>
            <w:r>
              <w:rPr>
                <w:sz w:val="16"/>
              </w:rPr>
              <w:t>Vulnerable dependencies</w:t>
            </w:r>
          </w:p>
        </w:tc>
        <w:tc>
          <w:tcPr>
            <w:tcW w:type="dxa" w:w="705"/>
            <w:vAlign w:val="center"/>
            <w:tcMar>
              <w:top w:w="80" w:type="dxa"/>
              <w:start w:w="120" w:type="dxa"/>
              <w:bottom w:w="80" w:type="dxa"/>
              <w:end w:w="120" w:type="dxa"/>
            </w:tcMar>
          </w:tcPr>
          <w:p>
            <w:r>
              <w:rPr>
                <w:sz w:val="16"/>
              </w:rPr>
              <w:t>3</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15 High</w:t>
            </w:r>
          </w:p>
        </w:tc>
        <w:tc>
          <w:tcPr>
            <w:tcW w:type="dxa" w:w="705"/>
            <w:vAlign w:val="center"/>
            <w:tcMar>
              <w:top w:w="80" w:type="dxa"/>
              <w:start w:w="120" w:type="dxa"/>
              <w:bottom w:w="80" w:type="dxa"/>
              <w:end w:w="120" w:type="dxa"/>
            </w:tcMar>
          </w:tcPr>
          <w:p>
            <w:r>
              <w:rPr>
                <w:sz w:val="16"/>
              </w:rPr>
              <w:t>3</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15 High</w:t>
            </w:r>
          </w:p>
        </w:tc>
        <w:tc>
          <w:tcPr>
            <w:tcW w:type="dxa" w:w="1918"/>
            <w:vAlign w:val="center"/>
            <w:tcMar>
              <w:top w:w="80" w:type="dxa"/>
              <w:start w:w="120" w:type="dxa"/>
              <w:bottom w:w="80" w:type="dxa"/>
              <w:end w:w="120" w:type="dxa"/>
            </w:tcMar>
          </w:tcPr>
          <w:p>
            <w:r>
              <w:rPr>
                <w:sz w:val="16"/>
              </w:rPr>
              <w:t>Vendor Engineering</w:t>
            </w:r>
          </w:p>
        </w:tc>
      </w:tr>
      <w:tr>
        <w:tc>
          <w:tcPr>
            <w:tcW w:type="dxa" w:w="705"/>
            <w:vAlign w:val="center"/>
            <w:tcMar>
              <w:top w:w="80" w:type="dxa"/>
              <w:start w:w="120" w:type="dxa"/>
              <w:bottom w:w="80" w:type="dxa"/>
              <w:end w:w="120" w:type="dxa"/>
            </w:tcMar>
          </w:tcPr>
          <w:p>
            <w:r>
              <w:rPr>
                <w:sz w:val="16"/>
              </w:rPr>
              <w:t>F-004</w:t>
            </w:r>
          </w:p>
        </w:tc>
        <w:tc>
          <w:tcPr>
            <w:tcW w:type="dxa" w:w="2083"/>
            <w:vAlign w:val="center"/>
            <w:tcMar>
              <w:top w:w="80" w:type="dxa"/>
              <w:start w:w="120" w:type="dxa"/>
              <w:bottom w:w="80" w:type="dxa"/>
              <w:end w:w="120" w:type="dxa"/>
            </w:tcMar>
          </w:tcPr>
          <w:p>
            <w:r>
              <w:rPr>
                <w:sz w:val="16"/>
              </w:rPr>
              <w:t>MCP and skill composition</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20 Critical</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20 Critical</w:t>
            </w:r>
          </w:p>
        </w:tc>
        <w:tc>
          <w:tcPr>
            <w:tcW w:type="dxa" w:w="1918"/>
            <w:vAlign w:val="center"/>
            <w:tcMar>
              <w:top w:w="80" w:type="dxa"/>
              <w:start w:w="120" w:type="dxa"/>
              <w:bottom w:w="80" w:type="dxa"/>
              <w:end w:w="120" w:type="dxa"/>
            </w:tcMar>
          </w:tcPr>
          <w:p>
            <w:r>
              <w:rPr>
                <w:sz w:val="16"/>
              </w:rPr>
              <w:t>Security Architecture</w:t>
            </w:r>
          </w:p>
        </w:tc>
      </w:tr>
      <w:tr>
        <w:tc>
          <w:tcPr>
            <w:tcW w:type="dxa" w:w="705"/>
            <w:vAlign w:val="center"/>
            <w:tcMar>
              <w:top w:w="80" w:type="dxa"/>
              <w:start w:w="120" w:type="dxa"/>
              <w:bottom w:w="80" w:type="dxa"/>
              <w:end w:w="120" w:type="dxa"/>
            </w:tcMar>
          </w:tcPr>
          <w:p>
            <w:r>
              <w:rPr>
                <w:sz w:val="16"/>
              </w:rPr>
              <w:t>F-005</w:t>
            </w:r>
          </w:p>
        </w:tc>
        <w:tc>
          <w:tcPr>
            <w:tcW w:type="dxa" w:w="2083"/>
            <w:vAlign w:val="center"/>
            <w:tcMar>
              <w:top w:w="80" w:type="dxa"/>
              <w:start w:w="120" w:type="dxa"/>
              <w:bottom w:w="80" w:type="dxa"/>
              <w:end w:w="120" w:type="dxa"/>
            </w:tcMar>
          </w:tcPr>
          <w:p>
            <w:r>
              <w:rPr>
                <w:sz w:val="16"/>
              </w:rPr>
              <w:t>Opaque provenance</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16 High</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16 High</w:t>
            </w:r>
          </w:p>
        </w:tc>
        <w:tc>
          <w:tcPr>
            <w:tcW w:type="dxa" w:w="1918"/>
            <w:vAlign w:val="center"/>
            <w:tcMar>
              <w:top w:w="80" w:type="dxa"/>
              <w:start w:w="120" w:type="dxa"/>
              <w:bottom w:w="80" w:type="dxa"/>
              <w:end w:w="120" w:type="dxa"/>
            </w:tcMar>
          </w:tcPr>
          <w:p>
            <w:r>
              <w:rPr>
                <w:sz w:val="16"/>
              </w:rPr>
              <w:t>Vendor Management</w:t>
            </w:r>
          </w:p>
        </w:tc>
      </w:tr>
      <w:tr>
        <w:tc>
          <w:tcPr>
            <w:tcW w:type="dxa" w:w="705"/>
            <w:vAlign w:val="center"/>
            <w:tcMar>
              <w:top w:w="80" w:type="dxa"/>
              <w:start w:w="120" w:type="dxa"/>
              <w:bottom w:w="80" w:type="dxa"/>
              <w:end w:w="120" w:type="dxa"/>
            </w:tcMar>
          </w:tcPr>
          <w:p>
            <w:r>
              <w:rPr>
                <w:sz w:val="16"/>
              </w:rPr>
              <w:t>F-006</w:t>
            </w:r>
          </w:p>
        </w:tc>
        <w:tc>
          <w:tcPr>
            <w:tcW w:type="dxa" w:w="2083"/>
            <w:vAlign w:val="center"/>
            <w:tcMar>
              <w:top w:w="80" w:type="dxa"/>
              <w:start w:w="120" w:type="dxa"/>
              <w:bottom w:w="80" w:type="dxa"/>
              <w:end w:w="120" w:type="dxa"/>
            </w:tcMar>
          </w:tcPr>
          <w:p>
            <w:r>
              <w:rPr>
                <w:sz w:val="16"/>
              </w:rPr>
              <w:t>Data routing uncertainty</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20 Critical</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5</w:t>
            </w:r>
          </w:p>
        </w:tc>
        <w:tc>
          <w:tcPr>
            <w:tcW w:type="dxa" w:w="917"/>
            <w:vAlign w:val="center"/>
            <w:tcMar>
              <w:top w:w="80" w:type="dxa"/>
              <w:start w:w="120" w:type="dxa"/>
              <w:bottom w:w="80" w:type="dxa"/>
              <w:end w:w="120" w:type="dxa"/>
            </w:tcMar>
          </w:tcPr>
          <w:p>
            <w:r>
              <w:rPr>
                <w:sz w:val="16"/>
              </w:rPr>
              <w:t>20 Critical</w:t>
            </w:r>
          </w:p>
        </w:tc>
        <w:tc>
          <w:tcPr>
            <w:tcW w:type="dxa" w:w="1918"/>
            <w:vAlign w:val="center"/>
            <w:tcMar>
              <w:top w:w="80" w:type="dxa"/>
              <w:start w:w="120" w:type="dxa"/>
              <w:bottom w:w="80" w:type="dxa"/>
              <w:end w:w="120" w:type="dxa"/>
            </w:tcMar>
          </w:tcPr>
          <w:p>
            <w:r>
              <w:rPr>
                <w:sz w:val="16"/>
              </w:rPr>
              <w:t>Privacy / Security</w:t>
            </w:r>
          </w:p>
        </w:tc>
      </w:tr>
      <w:tr>
        <w:tc>
          <w:tcPr>
            <w:tcW w:type="dxa" w:w="705"/>
            <w:vAlign w:val="center"/>
            <w:tcMar>
              <w:top w:w="80" w:type="dxa"/>
              <w:start w:w="120" w:type="dxa"/>
              <w:bottom w:w="80" w:type="dxa"/>
              <w:end w:w="120" w:type="dxa"/>
            </w:tcMar>
          </w:tcPr>
          <w:p>
            <w:r>
              <w:rPr>
                <w:sz w:val="16"/>
              </w:rPr>
              <w:t>F-007</w:t>
            </w:r>
          </w:p>
        </w:tc>
        <w:tc>
          <w:tcPr>
            <w:tcW w:type="dxa" w:w="2083"/>
            <w:vAlign w:val="center"/>
            <w:tcMar>
              <w:top w:w="80" w:type="dxa"/>
              <w:start w:w="120" w:type="dxa"/>
              <w:bottom w:w="80" w:type="dxa"/>
              <w:end w:w="120" w:type="dxa"/>
            </w:tcMar>
          </w:tcPr>
          <w:p>
            <w:r>
              <w:rPr>
                <w:sz w:val="16"/>
              </w:rPr>
              <w:t>Blocked runtime evidence</w:t>
            </w:r>
          </w:p>
        </w:tc>
        <w:tc>
          <w:tcPr>
            <w:tcW w:type="dxa" w:w="705"/>
            <w:vAlign w:val="center"/>
            <w:tcMar>
              <w:top w:w="80" w:type="dxa"/>
              <w:start w:w="120" w:type="dxa"/>
              <w:bottom w:w="80" w:type="dxa"/>
              <w:end w:w="120" w:type="dxa"/>
            </w:tcMar>
          </w:tcPr>
          <w:p>
            <w:r>
              <w:rPr>
                <w:sz w:val="16"/>
              </w:rPr>
              <w:t>3</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12 High</w:t>
            </w:r>
          </w:p>
        </w:tc>
        <w:tc>
          <w:tcPr>
            <w:tcW w:type="dxa" w:w="705"/>
            <w:vAlign w:val="center"/>
            <w:tcMar>
              <w:top w:w="80" w:type="dxa"/>
              <w:start w:w="120" w:type="dxa"/>
              <w:bottom w:w="80" w:type="dxa"/>
              <w:end w:w="120" w:type="dxa"/>
            </w:tcMar>
          </w:tcPr>
          <w:p>
            <w:r>
              <w:rPr>
                <w:sz w:val="16"/>
              </w:rPr>
              <w:t>3</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12 High</w:t>
            </w:r>
          </w:p>
        </w:tc>
        <w:tc>
          <w:tcPr>
            <w:tcW w:type="dxa" w:w="1918"/>
            <w:vAlign w:val="center"/>
            <w:tcMar>
              <w:top w:w="80" w:type="dxa"/>
              <w:start w:w="120" w:type="dxa"/>
              <w:bottom w:w="80" w:type="dxa"/>
              <w:end w:w="120" w:type="dxa"/>
            </w:tcMar>
          </w:tcPr>
          <w:p>
            <w:r>
              <w:rPr>
                <w:sz w:val="16"/>
              </w:rPr>
              <w:t>Security Engineering</w:t>
            </w:r>
          </w:p>
        </w:tc>
      </w:tr>
      <w:tr>
        <w:tc>
          <w:tcPr>
            <w:tcW w:type="dxa" w:w="705"/>
            <w:vAlign w:val="center"/>
            <w:tcMar>
              <w:top w:w="80" w:type="dxa"/>
              <w:start w:w="120" w:type="dxa"/>
              <w:bottom w:w="80" w:type="dxa"/>
              <w:end w:w="120" w:type="dxa"/>
            </w:tcMar>
          </w:tcPr>
          <w:p>
            <w:r>
              <w:rPr>
                <w:sz w:val="16"/>
              </w:rPr>
              <w:t>F-008</w:t>
            </w:r>
          </w:p>
        </w:tc>
        <w:tc>
          <w:tcPr>
            <w:tcW w:type="dxa" w:w="2083"/>
            <w:vAlign w:val="center"/>
            <w:tcMar>
              <w:top w:w="80" w:type="dxa"/>
              <w:start w:w="120" w:type="dxa"/>
              <w:bottom w:w="80" w:type="dxa"/>
              <w:end w:w="120" w:type="dxa"/>
            </w:tcMar>
          </w:tcPr>
          <w:p>
            <w:r>
              <w:rPr>
                <w:sz w:val="16"/>
              </w:rPr>
              <w:t>Ambient startup exposure</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16 High</w:t>
            </w:r>
          </w:p>
        </w:tc>
        <w:tc>
          <w:tcPr>
            <w:tcW w:type="dxa" w:w="705"/>
            <w:vAlign w:val="center"/>
            <w:tcMar>
              <w:top w:w="80" w:type="dxa"/>
              <w:start w:w="120" w:type="dxa"/>
              <w:bottom w:w="80" w:type="dxa"/>
              <w:end w:w="120" w:type="dxa"/>
            </w:tcMar>
          </w:tcPr>
          <w:p>
            <w:r>
              <w:rPr>
                <w:sz w:val="16"/>
              </w:rPr>
              <w:t>4</w:t>
            </w:r>
          </w:p>
        </w:tc>
        <w:tc>
          <w:tcPr>
            <w:tcW w:type="dxa" w:w="705"/>
            <w:vAlign w:val="center"/>
            <w:tcMar>
              <w:top w:w="80" w:type="dxa"/>
              <w:start w:w="120" w:type="dxa"/>
              <w:bottom w:w="80" w:type="dxa"/>
              <w:end w:w="120" w:type="dxa"/>
            </w:tcMar>
          </w:tcPr>
          <w:p>
            <w:r>
              <w:rPr>
                <w:sz w:val="16"/>
              </w:rPr>
              <w:t>4</w:t>
            </w:r>
          </w:p>
        </w:tc>
        <w:tc>
          <w:tcPr>
            <w:tcW w:type="dxa" w:w="917"/>
            <w:vAlign w:val="center"/>
            <w:tcMar>
              <w:top w:w="80" w:type="dxa"/>
              <w:start w:w="120" w:type="dxa"/>
              <w:bottom w:w="80" w:type="dxa"/>
              <w:end w:w="120" w:type="dxa"/>
            </w:tcMar>
          </w:tcPr>
          <w:p>
            <w:r>
              <w:rPr>
                <w:sz w:val="16"/>
              </w:rPr>
              <w:t>16 High</w:t>
            </w:r>
          </w:p>
        </w:tc>
        <w:tc>
          <w:tcPr>
            <w:tcW w:type="dxa" w:w="1918"/>
            <w:vAlign w:val="center"/>
            <w:tcMar>
              <w:top w:w="80" w:type="dxa"/>
              <w:start w:w="120" w:type="dxa"/>
              <w:bottom w:w="80" w:type="dxa"/>
              <w:end w:w="120" w:type="dxa"/>
            </w:tcMar>
          </w:tcPr>
          <w:p>
            <w:r>
              <w:rPr>
                <w:sz w:val="16"/>
              </w:rPr>
              <w:t>IDE Platform</w:t>
            </w:r>
          </w:p>
        </w:tc>
      </w:tr>
    </w:tbl>
    <w:p/>
    <w:p>
      <w:pPr>
        <w:pStyle w:val="Heading1"/>
      </w:pPr>
      <w:r>
        <w:t>Residual Risk and Approval Recommendation</w:t>
      </w:r>
    </w:p>
    <w:p>
      <w:r>
        <w:t>The authoritative recommendation is Defer pending evidence, with overall residual risk High. The result is not a conditional approval because multiple P0 issues precede safe pilot operation: distributable credential-like material, vulnerable components, broad MCP and skill composition, unverified high-agency approval, deployment-specific privacy uncertainty, and absent runtime evidence. Several individual residual scenarios remain Critical.</w:t>
      </w:r>
    </w:p>
    <w:p>
      <w:r>
        <w:t>The accountable enterprise risk owner may reconsider only after evidence shows remediation rather than promise. Any exception before closure should be denied because it would require production exposure without control verification. The review trigger is the earliest of a replacement immutable package, material vendor control or legal-document change, or 2026-10-31.</w:t>
      </w:r>
    </w:p>
    <w:p>
      <w:pPr>
        <w:pStyle w:val="Heading1"/>
      </w:pPr>
      <w:r>
        <w:t>Limitations and Confidence Levels</w:t>
      </w:r>
    </w:p>
    <w:p>
      <w:r>
        <w:t>No package execution, login, model request, browser action, audio session, command, edit, MCP registration, skill installation, remote agent, worktree, update, uninstall, token revocation, or network capture occurred. No source-to-package comparison, code-signing chain analysis beyond Marketplace context, vendor penetration report, SOC report, DPA, subprocessor list, endpoint inventory, retention configuration, deletion evidence, or tenant-isolation evidence was supplied.</w:t>
      </w:r>
    </w:p>
    <w:p>
      <w:r>
        <w:t>ClamAV used a database older than seven days. YARA matched only a dynamic-evaluation/encoded-data heuristic in the main generated bundle; that expected-capability signal is not a malware determination, and three other heuristic non-matches are not proof of absence. Semgrep reported one syntax limitation and three timeouts. Grype matches are not reachability findings and its operator log recorded a database activation warning. Static strings are not network observations. Confidence is High for immutable package facts, Medium for vendor claims and architecture inference, and Low for runtime and contract applicability. These limits strengthen the defer decision; they do not establish maliciousness.</w:t>
      </w:r>
    </w:p>
    <w:p>
      <w:pPr>
        <w:pStyle w:val="Heading1"/>
      </w:pPr>
      <w:r>
        <w:t>Evidence Register</w:t>
      </w:r>
    </w:p>
    <w:p>
      <w:r>
        <w:t>The evidence register distinguishes direct artefact observation, primary vendor claims, generated scanner output, and blocked evidence. Scanner files are retained separately from this report model. Credential values and workstation-specific paths are excluded. Every evidence item has a limitation so readers do not mistake inventory, non-detection, or advisory matching for runtime proof.</w:t>
      </w:r>
    </w:p>
    <w:p>
      <w:pPr>
        <w:pStyle w:val="Heading1"/>
      </w:pPr>
      <w:r>
        <w:t>References</w:t>
      </w:r>
    </w:p>
    <w:p>
      <w:r>
        <w:t>References prioritize official Marketplace, vendor, standards-body, regulator, and advisory sources current to the assessment date. In-text identifiers resolve to the reference table in the generated report. Vendor pages are cited for vendor claims, not treated as independent assurance. Framework pages guide analysis but do not certify the product.</w:t>
      </w:r>
    </w:p>
    <w:p>
      <w:pPr>
        <w:pStyle w:val="Heading1"/>
      </w:pPr>
      <w:r>
        <w:t>Appendices and Verification Procedures</w:t>
      </w:r>
    </w:p>
    <w:p>
      <w:r>
        <w:t>Appendices consist of the package inventory, scanner outputs, generated SBOM, claims register, stage manifest, architecture figure, findings, and host-verification procedure. The package itself is retained as controlled evidence and is not a delivery artefact. Verification uses a synthetic repository and account, a disposable least-privilege host, controlled egress, immutable test fixtures, before-and-after baselines, and rollback.</w:t>
      </w:r>
    </w:p>
    <w:p>
      <w:r>
        <w:t>Final document release additionally requires schema validation, hash-bound stage consumption, internal and external citation-link checks, accessibility and metadata review, native Microsoft Word rendering of every page, privacy inspection, secure review, and final SHA-256. Passing document QA does not change the product decision or authorize public publication.</w:t>
      </w:r>
    </w:p>
    <w:p>
      <w:pPr>
        <w:pStyle w:val="Heading1"/>
      </w:pPr>
      <w:r>
        <w:t>Individual Finding Records</w:t>
      </w:r>
    </w:p>
    <w:p>
      <w:pPr>
        <w:pStyle w:val="Heading2"/>
      </w:pPr>
      <w:r>
        <w:t>F-001 — High-agency actions lack independently verified policy enforcement</w:t>
      </w:r>
    </w:p>
    <w:p>
      <w:pPr>
        <w:pStyle w:val="Caption"/>
      </w:pPr>
      <w:r>
        <w:rPr>
          <w:b/>
        </w:rPr>
        <w:t>Finding record — F-001</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VS Code 1.84+; extension 3.7.0; file, terminal, browser, remote-agent, and orchestration surfaces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 malicious repository instruction, web page, model output, or compromised upstream induces file modification, command execution, browsing, or remote-agent action beyond the user's intent.</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EVD-BBX-001, EVD-BBX-004, EVD-BBX-011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Vendor claims granular per-operation approvals; VS Code Workspace Trust may restrict some extension behavior.</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approval semantics, coverage, defaults, bypass resistance, and auditability were not tested.</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Block production use; require deny-by-default action classes, mandatory human approval, synthetic adversarial runtime tests, and tamper-evident action logs.</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IDE Platform and Security Engineering</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pilot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Exercise allow and deny paths for every action class with injected repository, browser, terminal, MCP, and model content; confirm no bypass or hidden action.</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LLM prompt injection and excessive agency; OWASP Agentic tool misuse; NIST AI RMF Manage; MITRE ATLAS</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Medium; capability is verified, exploit path and controls are not runtime-tested.</w:t>
            </w:r>
          </w:p>
        </w:tc>
      </w:tr>
    </w:tbl>
    <w:p/>
    <w:p>
      <w:pPr>
        <w:pStyle w:val="Heading2"/>
      </w:pPr>
      <w:r>
        <w:t>F-002 — Credential-like material is bundled in distributable code</w:t>
      </w:r>
    </w:p>
    <w:p>
      <w:pPr>
        <w:pStyle w:val="Caption"/>
      </w:pPr>
      <w:r>
        <w:rPr>
          <w:b/>
        </w:rPr>
        <w:t>Finding record — F-002</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VSIX 3.7.0; Electron audio files, source map, and main bundle</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 reusable or insufficiently scoped credential embedded in a public extension is extracted and abused, causing unauthorized service use, cost, disruption, or pivoting.</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EVD-BBX-005, EVD-BBX-002</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One JWT-like value was expired; secret values are redacted from retained assessment outputs.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expiration of one value does not resolve the repeated audio/TURN credential-like material.</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 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12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Remove all distributable credentials, rotate affected values, use short-lived user-bound issuance, scan release artefacts, and provide a signed remediation attestation.</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Vendor Product Security; verified by Security Engineering</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replacement package acceptance</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Scan the replacement VSIX and source map; confirm zero credential findings and independently verify rotation, scope, audience, and expiry without disclosing values.</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sensitive information disclosure; NIST SSDF; CWE-798 principles</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for package presence; Low for live validity because validation was intentionally not attempted.</w:t>
            </w:r>
          </w:p>
        </w:tc>
      </w:tr>
    </w:tbl>
    <w:p/>
    <w:p>
      <w:pPr>
        <w:pStyle w:val="Heading2"/>
      </w:pPr>
      <w:r>
        <w:t>F-003 — Outdated 7-Zip, Electron, WebSocket, and parser dependencies carry known advisories</w:t>
      </w:r>
    </w:p>
    <w:p>
      <w:pPr>
        <w:pStyle w:val="Caption"/>
      </w:pPr>
      <w:r>
        <w:rPr>
          <w:b/>
        </w:rPr>
        <w:t>Finding record — F-003</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VSIX 3.7.0; 7-Zip 19.00, Electron 33.3.1, ws 8.17.1/8.18.0, socket.io-parser 4.2.4</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Untrusted archives, web content, or network messages reach a vulnerable bundled component and cause code execution, traversal, denial of service, or policy bypass.</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EVD-BBX-008, EVD-BBX-009</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3 Possible</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15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VS Code and OS boundaries may constrain some paths; reachability was not established.</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no vendor reachability analysis, runtime hardening evidence, or patched package was supplied.</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 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15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Upgrade or remove affected components, document reachability and mitigations, add dependency policy gates, and issue a vendor-signed SBOM tied to the replacement VSIX.</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Vendor Engineering and Product Security</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pilot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Rescan immutable replacement bytes; review reachability evidence; exercise archive, WebSocket, parser, and Electron boundary tests in isolation.</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supply-chain vulnerabilities; NIST SSDF RV; CIS vulnerability management</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for versions and matches; Medium for exploitability.</w:t>
            </w:r>
          </w:p>
        </w:tc>
      </w:tr>
    </w:tbl>
    <w:p/>
    <w:p>
      <w:pPr>
        <w:pStyle w:val="Heading2"/>
      </w:pPr>
      <w:r>
        <w:t>F-004 — MCP marketplace and autonomous skills create uncontrolled composition risk</w:t>
      </w:r>
    </w:p>
    <w:p>
      <w:pPr>
        <w:pStyle w:val="Caption"/>
      </w:pPr>
      <w:r>
        <w:rPr>
          <w:b/>
        </w:rPr>
        <w:t>Finding record — F-004</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VS Code 3.7.0; MCP full mode, enabled marketplace, servers, tools, resources, prompts, and Blackbox Skills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 malicious or compromised MCP server or skill receives workspace data, returns injected instructions, invokes over-broad tools, or changes behavior after review.</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EVD-BBX-001, EVD-BBX-004, EVD-BBX-011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Configuration exposes an MCP mode and marketplace enablement setting.</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defaults are broad and no allowlist, signature, isolation, or approval enforcement was observed.</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Disable marketplace and full mode by default; require immutable allowlists, schema review, scoped credentials, server isolation, skill tree review, and per-call approval and logging.</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IDE Platform, Security Architecture, and service owners</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pilot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Attempt unapproved server and skill installation, tool escalation, prompt injection, token forwarding, and configuration drift; verify fail-closed enforcement.</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MCP security best practices; OWASP Agentic supply chain and tool misuse; NIST AI RMF Govern</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Medium; static defaults and claims are verified, runtime implementation is not.</w:t>
            </w:r>
          </w:p>
        </w:tc>
      </w:tr>
    </w:tbl>
    <w:p/>
    <w:p>
      <w:pPr>
        <w:pStyle w:val="Heading2"/>
      </w:pPr>
      <w:r>
        <w:t>F-005 — Source, licence, changelog, and build provenance are insufficient</w:t>
      </w:r>
    </w:p>
    <w:p>
      <w:pPr>
        <w:pStyle w:val="Caption"/>
      </w:pPr>
      <w:r>
        <w:rPr>
          <w:b/>
        </w:rPr>
        <w:t>Finding record — F-005</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VSIX 3.7.0 release provenance</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Reviewers cannot establish what source produced the package, what licence governs it, what changed, or whether release controls prevented tampering.</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EVD-BBX-003, EVD-BBX-004, EVD-BBX-012</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Marketplace distribution and verified publisher domain provide identity context.</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identity does not replace source, attestation, signing detail, or reproducible build evidence.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Provide versioned reviewable source or independent audit, complete licence and changelog, signed provenance, build recipe, dependency lock, and package-to-source attestation.</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Vendor Release Engineering and Vendor Management</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procurement approval</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Rebuild or independently compare the replacement package, validate signatures and attestation, and reconcile every shipped executable and dependency.</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NIST SSDF; OWASP software supply chain; SLSA provenance principles</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w:t>
            </w:r>
          </w:p>
        </w:tc>
      </w:tr>
    </w:tbl>
    <w:p/>
    <w:p>
      <w:pPr>
        <w:pStyle w:val="Heading2"/>
      </w:pPr>
      <w:r>
        <w:t>F-006 — Data routing, retention, telemetry, and subprocess handling are not deployment-specific</w:t>
      </w:r>
    </w:p>
    <w:p>
      <w:pPr>
        <w:pStyle w:val="Caption"/>
      </w:pPr>
      <w:r>
        <w:rPr>
          <w:b/>
        </w:rPr>
        <w:t>Finding record — F-006</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Extension 3.7.0; vendor, model, agent, browser, audio, MCP, and integration services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Source code, secrets, personal data, or regulated records are sent to an unapproved endpoint, retained under an unexpected policy, or exposed through a third party.</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EVD-BBX-001, EVD-BBX-004, EVD-BBX-010, EVD-BBX-011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Vendor publishes privacy, terms, encryption, and ZDR materials; some offerings claim restricted retention.</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applicability to every extension path, model, agent, and tier is not evidenced.</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5 Severe</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Prohibit confidential data; obtain DPA, subprocessors, routing and endpoint inventory, retention/deletion commitments, tenant isolation evidence, encryption mode, telemetry schema, and egress controls.</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Privacy, Legal, Vendor Management, and Security Architecture</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data-bearing pilot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Contract review plus controlled canary and network test across models, agents, browser, audio, telemetry, and MCP; verify deletion and token revocation.</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UK GDPR principles; NIST Privacy Framework; OWASP sensitive information disclosure; FCA operational resilience conditional</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Medium for policy statements; Low for deployment-specific behavior.</w:t>
            </w:r>
          </w:p>
        </w:tc>
      </w:tr>
    </w:tbl>
    <w:p/>
    <w:p>
      <w:pPr>
        <w:pStyle w:val="Heading2"/>
      </w:pPr>
      <w:r>
        <w:t>F-007 — Runtime, update, and uninstall behavior remains blocked</w:t>
      </w:r>
    </w:p>
    <w:p>
      <w:pPr>
        <w:pStyle w:val="Caption"/>
      </w:pPr>
      <w:r>
        <w:rPr>
          <w:b/>
        </w:rPr>
        <w:t>Finding record — F-007</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All supported operating systems and VS Code versions for extension 3.7.0</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Unexpected processes, files, network calls, persistence, updates, or uninstall residue escape static review and remain after product removal.</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EVD-BBX-011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3 Possible</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12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A controlled runtime plan is defined; package was not executed during static review.</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a plan is not operational evidence.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 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12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Complete representative disposable-host testing with synthetic data, rollback, egress monitoring, process/file baselines, update/downgrade, and uninstall verification.</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Security Engineering and Endpoint Engineering</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pilot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Produce signed before/after manifests, network and process evidence, approval traces, update observations, clean uninstall proof, and restored snapshot hash.</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NIST AI RMF Measure; CIS inventory and monitoring; OWASP logging and monitoring</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that evidence is absent.</w:t>
            </w:r>
          </w:p>
        </w:tc>
      </w:tr>
    </w:tbl>
    <w:p/>
    <w:p>
      <w:pPr>
        <w:pStyle w:val="Heading2"/>
      </w:pPr>
      <w:r>
        <w:t>F-008 — Startup activation and monitoring gaps increase ambient exposure</w:t>
      </w:r>
    </w:p>
    <w:p>
      <w:pPr>
        <w:pStyle w:val="Caption"/>
      </w:pPr>
      <w:r>
        <w:rPr>
          <w:b/>
        </w:rPr>
        <w:t>Finding record — F-008</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VS Code 1.84+; onStartupFinished and inline completion activation</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The extension activates in repositories not intended for AI processing and reads context, creates processes, or communicates before enterprise policy and user intent are verified.</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EVD-BBX-004, EVD-BBX-011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Users may toggle inline completion and VS Code provides profile and trust controls.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1 Weak; startup behavior, Restricted Mode support, telemetry timing, and policy enforcement were not observed.</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4 Likely</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4 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Use deny-by-default extension policy, dedicated profile, Restricted Mode tests, explicit session activation, no pre-consent egress, and monitoring for hash, settings, child process, and endpoint drift.</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IDE Platform and Endpoint Security</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pilot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Open trusted and untrusted synthetic workspaces under deny and allow policy; verify zero action or egress before explicit activation and capture complete audit events.</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VS Code Workspace Trust; OWASP excessive agency; CIS application control and logging</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for activation declaration; Low for runtime behavior.</w:t>
            </w:r>
          </w:p>
        </w:tc>
      </w:tr>
    </w:tbl>
    <w:p/>
    <w:p>
      <w:pPr>
        <w:pStyle w:val="Heading1"/>
      </w:pPr>
      <w:r>
        <w:t>Consolidated Risk Register</w:t>
      </w:r>
    </w:p>
    <w:p>
      <w: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pPr>
        <w:pStyle w:val="Caption"/>
      </w:pPr>
      <w:r>
        <w:rPr>
          <w:b/>
        </w:rPr>
        <w:t>Consolidated risk register</w:t>
      </w:r>
    </w:p>
    <w:tbl>
      <w:tblPr>
        <w:tblStyle w:val="TableGrid"/>
        <w:tblW w:type="dxa" w:w="9360"/>
        <w:tblLayout w:type="fixed"/>
        <w:tblLook w:firstColumn="1" w:firstRow="1" w:lastColumn="0" w:lastRow="0" w:noHBand="0" w:noVBand="1" w:val="04A0"/>
        <w:tblInd w:w="120" w:type="dxa"/>
      </w:tblPr>
      <w:tblGrid>
        <w:gridCol w:w="600"/>
        <w:gridCol w:w="1696"/>
        <w:gridCol w:w="1696"/>
        <w:gridCol w:w="600"/>
        <w:gridCol w:w="600"/>
        <w:gridCol w:w="600"/>
        <w:gridCol w:w="600"/>
        <w:gridCol w:w="1696"/>
        <w:gridCol w:w="1272"/>
      </w:tblGrid>
      <w:tr>
        <w:trPr>
          <w:tblHeader w:val="true"/>
        </w:trPr>
        <w:tc>
          <w:tcPr>
            <w:tcW w:type="dxa" w:w="600"/>
            <w:shd w:fill="F2F4F7"/>
            <w:vAlign w:val="center"/>
            <w:tcMar>
              <w:top w:w="80" w:type="dxa"/>
              <w:start w:w="120" w:type="dxa"/>
              <w:bottom w:w="80" w:type="dxa"/>
              <w:end w:w="120" w:type="dxa"/>
            </w:tcMar>
          </w:tcPr>
          <w:p>
            <w:r>
              <w:rPr>
                <w:b/>
                <w:sz w:val="16"/>
              </w:rPr>
              <w:t>ID</w:t>
            </w:r>
          </w:p>
        </w:tc>
        <w:tc>
          <w:tcPr>
            <w:tcW w:type="dxa" w:w="1696"/>
            <w:shd w:fill="F2F4F7"/>
            <w:vAlign w:val="center"/>
            <w:tcMar>
              <w:top w:w="80" w:type="dxa"/>
              <w:start w:w="120" w:type="dxa"/>
              <w:bottom w:w="80" w:type="dxa"/>
              <w:end w:w="120" w:type="dxa"/>
            </w:tcMar>
          </w:tcPr>
          <w:p>
            <w:r>
              <w:rPr>
                <w:b/>
                <w:sz w:val="16"/>
              </w:rPr>
              <w:t>Risk</w:t>
            </w:r>
          </w:p>
        </w:tc>
        <w:tc>
          <w:tcPr>
            <w:tcW w:type="dxa" w:w="1696"/>
            <w:shd w:fill="F2F4F7"/>
            <w:vAlign w:val="center"/>
            <w:tcMar>
              <w:top w:w="80" w:type="dxa"/>
              <w:start w:w="120" w:type="dxa"/>
              <w:bottom w:w="80" w:type="dxa"/>
              <w:end w:w="120" w:type="dxa"/>
            </w:tcMar>
          </w:tcPr>
          <w:p>
            <w:r>
              <w:rPr>
                <w:b/>
                <w:sz w:val="16"/>
              </w:rPr>
              <w:t>Scope</w:t>
            </w:r>
          </w:p>
        </w:tc>
        <w:tc>
          <w:tcPr>
            <w:tcW w:type="dxa" w:w="600"/>
            <w:shd w:fill="F2F4F7"/>
            <w:vAlign w:val="center"/>
            <w:tcMar>
              <w:top w:w="80" w:type="dxa"/>
              <w:start w:w="120" w:type="dxa"/>
              <w:bottom w:w="80" w:type="dxa"/>
              <w:end w:w="120" w:type="dxa"/>
            </w:tcMar>
          </w:tcPr>
          <w:p>
            <w:r>
              <w:rPr>
                <w:b/>
                <w:sz w:val="16"/>
              </w:rPr>
              <w:t>L/I</w:t>
            </w:r>
          </w:p>
        </w:tc>
        <w:tc>
          <w:tcPr>
            <w:tcW w:type="dxa" w:w="600"/>
            <w:shd w:fill="F2F4F7"/>
            <w:vAlign w:val="center"/>
            <w:tcMar>
              <w:top w:w="80" w:type="dxa"/>
              <w:start w:w="120" w:type="dxa"/>
              <w:bottom w:w="80" w:type="dxa"/>
              <w:end w:w="120" w:type="dxa"/>
            </w:tcMar>
          </w:tcPr>
          <w:p>
            <w:r>
              <w:rPr>
                <w:b/>
                <w:sz w:val="16"/>
              </w:rPr>
              <w:t>Inherent</w:t>
            </w:r>
          </w:p>
        </w:tc>
        <w:tc>
          <w:tcPr>
            <w:tcW w:type="dxa" w:w="600"/>
            <w:shd w:fill="F2F4F7"/>
            <w:vAlign w:val="center"/>
            <w:tcMar>
              <w:top w:w="80" w:type="dxa"/>
              <w:start w:w="120" w:type="dxa"/>
              <w:bottom w:w="80" w:type="dxa"/>
              <w:end w:w="120" w:type="dxa"/>
            </w:tcMar>
          </w:tcPr>
          <w:p>
            <w:r>
              <w:rPr>
                <w:b/>
                <w:sz w:val="16"/>
              </w:rPr>
              <w:t>rL/rI</w:t>
            </w:r>
          </w:p>
        </w:tc>
        <w:tc>
          <w:tcPr>
            <w:tcW w:type="dxa" w:w="600"/>
            <w:shd w:fill="F2F4F7"/>
            <w:vAlign w:val="center"/>
            <w:tcMar>
              <w:top w:w="80" w:type="dxa"/>
              <w:start w:w="120" w:type="dxa"/>
              <w:bottom w:w="80" w:type="dxa"/>
              <w:end w:w="120" w:type="dxa"/>
            </w:tcMar>
          </w:tcPr>
          <w:p>
            <w:r>
              <w:rPr>
                <w:b/>
                <w:sz w:val="16"/>
              </w:rPr>
              <w:t>Residual</w:t>
            </w:r>
          </w:p>
        </w:tc>
        <w:tc>
          <w:tcPr>
            <w:tcW w:type="dxa" w:w="1696"/>
            <w:shd w:fill="F2F4F7"/>
            <w:vAlign w:val="center"/>
            <w:tcMar>
              <w:top w:w="80" w:type="dxa"/>
              <w:start w:w="120" w:type="dxa"/>
              <w:bottom w:w="80" w:type="dxa"/>
              <w:end w:w="120" w:type="dxa"/>
            </w:tcMar>
          </w:tcPr>
          <w:p>
            <w:r>
              <w:rPr>
                <w:b/>
                <w:sz w:val="16"/>
              </w:rPr>
              <w:t>Treatment</w:t>
            </w:r>
          </w:p>
        </w:tc>
        <w:tc>
          <w:tcPr>
            <w:tcW w:type="dxa" w:w="1272"/>
            <w:shd w:fill="F2F4F7"/>
            <w:vAlign w:val="center"/>
            <w:tcMar>
              <w:top w:w="80" w:type="dxa"/>
              <w:start w:w="120" w:type="dxa"/>
              <w:bottom w:w="80" w:type="dxa"/>
              <w:end w:w="120" w:type="dxa"/>
            </w:tcMar>
          </w:tcPr>
          <w:p>
            <w:r>
              <w:rPr>
                <w:b/>
                <w:sz w:val="16"/>
              </w:rPr>
              <w:t>Owner</w:t>
            </w:r>
          </w:p>
        </w:tc>
      </w:tr>
      <w:tr>
        <w:tc>
          <w:tcPr>
            <w:tcW w:type="dxa" w:w="600"/>
            <w:vAlign w:val="center"/>
            <w:tcMar>
              <w:top w:w="80" w:type="dxa"/>
              <w:start w:w="120" w:type="dxa"/>
              <w:bottom w:w="80" w:type="dxa"/>
              <w:end w:w="120" w:type="dxa"/>
            </w:tcMar>
          </w:tcPr>
          <w:p>
            <w:r>
              <w:rPr>
                <w:sz w:val="16"/>
              </w:rPr>
              <w:t>F-001</w:t>
            </w:r>
          </w:p>
        </w:tc>
        <w:tc>
          <w:tcPr>
            <w:tcW w:type="dxa" w:w="1696"/>
            <w:vAlign w:val="center"/>
            <w:tcMar>
              <w:top w:w="80" w:type="dxa"/>
              <w:start w:w="120" w:type="dxa"/>
              <w:bottom w:w="80" w:type="dxa"/>
              <w:end w:w="120" w:type="dxa"/>
            </w:tcMar>
          </w:tcPr>
          <w:p>
            <w:r>
              <w:rPr>
                <w:sz w:val="16"/>
              </w:rPr>
              <w:t>High-agency actions lack independently verified policy enforcement</w:t>
            </w:r>
          </w:p>
        </w:tc>
        <w:tc>
          <w:tcPr>
            <w:tcW w:type="dxa" w:w="1696"/>
            <w:vAlign w:val="center"/>
            <w:tcMar>
              <w:top w:w="80" w:type="dxa"/>
              <w:start w:w="120" w:type="dxa"/>
              <w:bottom w:w="80" w:type="dxa"/>
              <w:end w:w="120" w:type="dxa"/>
            </w:tcMar>
          </w:tcPr>
          <w:p>
            <w:r>
              <w:rPr>
                <w:sz w:val="16"/>
              </w:rPr>
              <w:t>VS Code 1.84+; extension 3.7.0; file, terminal, browser, remote-agent, and orchestration surfaces</w:t>
            </w:r>
          </w:p>
        </w:tc>
        <w:tc>
          <w:tcPr>
            <w:tcW w:type="dxa" w:w="600"/>
            <w:vAlign w:val="center"/>
            <w:tcMar>
              <w:top w:w="80" w:type="dxa"/>
              <w:start w:w="120" w:type="dxa"/>
              <w:bottom w:w="80" w:type="dxa"/>
              <w:end w:w="120" w:type="dxa"/>
            </w:tcMar>
          </w:tcPr>
          <w:p>
            <w:r>
              <w:rPr>
                <w:sz w:val="16"/>
              </w:rPr>
              <w:t>4 Likely/5 Severe</w:t>
            </w:r>
          </w:p>
        </w:tc>
        <w:tc>
          <w:tcPr>
            <w:tcW w:type="dxa" w:w="600"/>
            <w:vAlign w:val="center"/>
            <w:tcMar>
              <w:top w:w="80" w:type="dxa"/>
              <w:start w:w="120" w:type="dxa"/>
              <w:bottom w:w="80" w:type="dxa"/>
              <w:end w:w="120" w:type="dxa"/>
            </w:tcMar>
          </w:tcPr>
          <w:p>
            <w:r>
              <w:rPr>
                <w:sz w:val="16"/>
              </w:rPr>
              <w:t>20 Critical</w:t>
            </w:r>
          </w:p>
        </w:tc>
        <w:tc>
          <w:tcPr>
            <w:tcW w:type="dxa" w:w="600"/>
            <w:vAlign w:val="center"/>
            <w:tcMar>
              <w:top w:w="80" w:type="dxa"/>
              <w:start w:w="120" w:type="dxa"/>
              <w:bottom w:w="80" w:type="dxa"/>
              <w:end w:w="120" w:type="dxa"/>
            </w:tcMar>
          </w:tcPr>
          <w:p>
            <w:r>
              <w:rPr>
                <w:sz w:val="16"/>
              </w:rPr>
              <w:t>4 Likely/5 Severe</w:t>
            </w:r>
          </w:p>
        </w:tc>
        <w:tc>
          <w:tcPr>
            <w:tcW w:type="dxa" w:w="600"/>
            <w:vAlign w:val="center"/>
            <w:tcMar>
              <w:top w:w="80" w:type="dxa"/>
              <w:start w:w="120" w:type="dxa"/>
              <w:bottom w:w="80" w:type="dxa"/>
              <w:end w:w="120" w:type="dxa"/>
            </w:tcMar>
          </w:tcPr>
          <w:p>
            <w:r>
              <w:rPr>
                <w:sz w:val="16"/>
              </w:rPr>
              <w:t>20 Critical</w:t>
            </w:r>
          </w:p>
        </w:tc>
        <w:tc>
          <w:tcPr>
            <w:tcW w:type="dxa" w:w="1696"/>
            <w:vAlign w:val="center"/>
            <w:tcMar>
              <w:top w:w="80" w:type="dxa"/>
              <w:start w:w="120" w:type="dxa"/>
              <w:bottom w:w="80" w:type="dxa"/>
              <w:end w:w="120" w:type="dxa"/>
            </w:tcMar>
          </w:tcPr>
          <w:p>
            <w:r>
              <w:rPr>
                <w:sz w:val="16"/>
              </w:rPr>
              <w:t>Block production use; require deny-by-default action classes, mandatory human approval, synthetic adversarial runtime tests, and tamper-evident action logs.</w:t>
            </w:r>
          </w:p>
        </w:tc>
        <w:tc>
          <w:tcPr>
            <w:tcW w:type="dxa" w:w="1272"/>
            <w:vAlign w:val="center"/>
            <w:tcMar>
              <w:top w:w="80" w:type="dxa"/>
              <w:start w:w="120" w:type="dxa"/>
              <w:bottom w:w="80" w:type="dxa"/>
              <w:end w:w="120" w:type="dxa"/>
            </w:tcMar>
          </w:tcPr>
          <w:p>
            <w:r>
              <w:rPr>
                <w:sz w:val="16"/>
              </w:rPr>
              <w:t>IDE Platform and Security Engineering</w:t>
            </w:r>
          </w:p>
        </w:tc>
      </w:tr>
      <w:tr>
        <w:tc>
          <w:tcPr>
            <w:tcW w:type="dxa" w:w="600"/>
            <w:vAlign w:val="center"/>
            <w:tcMar>
              <w:top w:w="80" w:type="dxa"/>
              <w:start w:w="120" w:type="dxa"/>
              <w:bottom w:w="80" w:type="dxa"/>
              <w:end w:w="120" w:type="dxa"/>
            </w:tcMar>
          </w:tcPr>
          <w:p>
            <w:r>
              <w:rPr>
                <w:sz w:val="16"/>
              </w:rPr>
              <w:t>F-002</w:t>
            </w:r>
          </w:p>
        </w:tc>
        <w:tc>
          <w:tcPr>
            <w:tcW w:type="dxa" w:w="1696"/>
            <w:vAlign w:val="center"/>
            <w:tcMar>
              <w:top w:w="80" w:type="dxa"/>
              <w:start w:w="120" w:type="dxa"/>
              <w:bottom w:w="80" w:type="dxa"/>
              <w:end w:w="120" w:type="dxa"/>
            </w:tcMar>
          </w:tcPr>
          <w:p>
            <w:r>
              <w:rPr>
                <w:sz w:val="16"/>
              </w:rPr>
              <w:t>Credential-like material is bundled in distributable code</w:t>
            </w:r>
          </w:p>
        </w:tc>
        <w:tc>
          <w:tcPr>
            <w:tcW w:type="dxa" w:w="1696"/>
            <w:vAlign w:val="center"/>
            <w:tcMar>
              <w:top w:w="80" w:type="dxa"/>
              <w:start w:w="120" w:type="dxa"/>
              <w:bottom w:w="80" w:type="dxa"/>
              <w:end w:w="120" w:type="dxa"/>
            </w:tcMar>
          </w:tcPr>
          <w:p>
            <w:r>
              <w:rPr>
                <w:sz w:val="16"/>
              </w:rPr>
              <w:t>VSIX 3.7.0; Electron audio files, source map, and main bundle</w:t>
            </w:r>
          </w:p>
        </w:tc>
        <w:tc>
          <w:tcPr>
            <w:tcW w:type="dxa" w:w="600"/>
            <w:vAlign w:val="center"/>
            <w:tcMar>
              <w:top w:w="80" w:type="dxa"/>
              <w:start w:w="120" w:type="dxa"/>
              <w:bottom w:w="80" w:type="dxa"/>
              <w:end w:w="120" w:type="dxa"/>
            </w:tcMar>
          </w:tcPr>
          <w:p>
            <w:r>
              <w:rPr>
                <w:sz w:val="16"/>
              </w:rPr>
              <w:t>4 Likely/4 Major</w:t>
            </w:r>
          </w:p>
        </w:tc>
        <w:tc>
          <w:tcPr>
            <w:tcW w:type="dxa" w:w="600"/>
            <w:vAlign w:val="center"/>
            <w:tcMar>
              <w:top w:w="80" w:type="dxa"/>
              <w:start w:w="120" w:type="dxa"/>
              <w:bottom w:w="80" w:type="dxa"/>
              <w:end w:w="120" w:type="dxa"/>
            </w:tcMar>
          </w:tcPr>
          <w:p>
            <w:r>
              <w:rPr>
                <w:sz w:val="16"/>
              </w:rPr>
              <w:t>16 High</w:t>
            </w:r>
          </w:p>
        </w:tc>
        <w:tc>
          <w:tcPr>
            <w:tcW w:type="dxa" w:w="600"/>
            <w:vAlign w:val="center"/>
            <w:tcMar>
              <w:top w:w="80" w:type="dxa"/>
              <w:start w:w="120" w:type="dxa"/>
              <w:bottom w:w="80" w:type="dxa"/>
              <w:end w:w="120" w:type="dxa"/>
            </w:tcMar>
          </w:tcPr>
          <w:p>
            <w:r>
              <w:rPr>
                <w:sz w:val="16"/>
              </w:rPr>
              <w:t>3 Possible/4 Major</w:t>
            </w:r>
          </w:p>
        </w:tc>
        <w:tc>
          <w:tcPr>
            <w:tcW w:type="dxa" w:w="600"/>
            <w:vAlign w:val="center"/>
            <w:tcMar>
              <w:top w:w="80" w:type="dxa"/>
              <w:start w:w="120" w:type="dxa"/>
              <w:bottom w:w="80" w:type="dxa"/>
              <w:end w:w="120" w:type="dxa"/>
            </w:tcMar>
          </w:tcPr>
          <w:p>
            <w:r>
              <w:rPr>
                <w:sz w:val="16"/>
              </w:rPr>
              <w:t>12 High</w:t>
            </w:r>
          </w:p>
        </w:tc>
        <w:tc>
          <w:tcPr>
            <w:tcW w:type="dxa" w:w="1696"/>
            <w:vAlign w:val="center"/>
            <w:tcMar>
              <w:top w:w="80" w:type="dxa"/>
              <w:start w:w="120" w:type="dxa"/>
              <w:bottom w:w="80" w:type="dxa"/>
              <w:end w:w="120" w:type="dxa"/>
            </w:tcMar>
          </w:tcPr>
          <w:p>
            <w:r>
              <w:rPr>
                <w:sz w:val="16"/>
              </w:rPr>
              <w:t>Remove all distributable credentials, rotate affected values, use short-lived user-bound issuance, scan release artefacts, and provide a signed remediation attestation.</w:t>
            </w:r>
          </w:p>
        </w:tc>
        <w:tc>
          <w:tcPr>
            <w:tcW w:type="dxa" w:w="1272"/>
            <w:vAlign w:val="center"/>
            <w:tcMar>
              <w:top w:w="80" w:type="dxa"/>
              <w:start w:w="120" w:type="dxa"/>
              <w:bottom w:w="80" w:type="dxa"/>
              <w:end w:w="120" w:type="dxa"/>
            </w:tcMar>
          </w:tcPr>
          <w:p>
            <w:r>
              <w:rPr>
                <w:sz w:val="16"/>
              </w:rPr>
              <w:t>Vendor Product Security; verified by Security Engineering</w:t>
            </w:r>
          </w:p>
        </w:tc>
      </w:tr>
      <w:tr>
        <w:tc>
          <w:tcPr>
            <w:tcW w:type="dxa" w:w="600"/>
            <w:vAlign w:val="center"/>
            <w:tcMar>
              <w:top w:w="80" w:type="dxa"/>
              <w:start w:w="120" w:type="dxa"/>
              <w:bottom w:w="80" w:type="dxa"/>
              <w:end w:w="120" w:type="dxa"/>
            </w:tcMar>
          </w:tcPr>
          <w:p>
            <w:r>
              <w:rPr>
                <w:sz w:val="16"/>
              </w:rPr>
              <w:t>F-003</w:t>
            </w:r>
          </w:p>
        </w:tc>
        <w:tc>
          <w:tcPr>
            <w:tcW w:type="dxa" w:w="1696"/>
            <w:vAlign w:val="center"/>
            <w:tcMar>
              <w:top w:w="80" w:type="dxa"/>
              <w:start w:w="120" w:type="dxa"/>
              <w:bottom w:w="80" w:type="dxa"/>
              <w:end w:w="120" w:type="dxa"/>
            </w:tcMar>
          </w:tcPr>
          <w:p>
            <w:r>
              <w:rPr>
                <w:sz w:val="16"/>
              </w:rPr>
              <w:t>Outdated 7-Zip, Electron, WebSocket, and parser dependencies carry known advisories</w:t>
            </w:r>
          </w:p>
        </w:tc>
        <w:tc>
          <w:tcPr>
            <w:tcW w:type="dxa" w:w="1696"/>
            <w:vAlign w:val="center"/>
            <w:tcMar>
              <w:top w:w="80" w:type="dxa"/>
              <w:start w:w="120" w:type="dxa"/>
              <w:bottom w:w="80" w:type="dxa"/>
              <w:end w:w="120" w:type="dxa"/>
            </w:tcMar>
          </w:tcPr>
          <w:p>
            <w:r>
              <w:rPr>
                <w:sz w:val="16"/>
              </w:rPr>
              <w:t>VSIX 3.7.0; 7-Zip 19.00, Electron 33.3.1, ws 8.17.1/8.18.0, socket.io-parser 4.2.4</w:t>
            </w:r>
          </w:p>
        </w:tc>
        <w:tc>
          <w:tcPr>
            <w:tcW w:type="dxa" w:w="600"/>
            <w:vAlign w:val="center"/>
            <w:tcMar>
              <w:top w:w="80" w:type="dxa"/>
              <w:start w:w="120" w:type="dxa"/>
              <w:bottom w:w="80" w:type="dxa"/>
              <w:end w:w="120" w:type="dxa"/>
            </w:tcMar>
          </w:tcPr>
          <w:p>
            <w:r>
              <w:rPr>
                <w:sz w:val="16"/>
              </w:rPr>
              <w:t>3 Possible/5 Severe</w:t>
            </w:r>
          </w:p>
        </w:tc>
        <w:tc>
          <w:tcPr>
            <w:tcW w:type="dxa" w:w="600"/>
            <w:vAlign w:val="center"/>
            <w:tcMar>
              <w:top w:w="80" w:type="dxa"/>
              <w:start w:w="120" w:type="dxa"/>
              <w:bottom w:w="80" w:type="dxa"/>
              <w:end w:w="120" w:type="dxa"/>
            </w:tcMar>
          </w:tcPr>
          <w:p>
            <w:r>
              <w:rPr>
                <w:sz w:val="16"/>
              </w:rPr>
              <w:t>15 High</w:t>
            </w:r>
          </w:p>
        </w:tc>
        <w:tc>
          <w:tcPr>
            <w:tcW w:type="dxa" w:w="600"/>
            <w:vAlign w:val="center"/>
            <w:tcMar>
              <w:top w:w="80" w:type="dxa"/>
              <w:start w:w="120" w:type="dxa"/>
              <w:bottom w:w="80" w:type="dxa"/>
              <w:end w:w="120" w:type="dxa"/>
            </w:tcMar>
          </w:tcPr>
          <w:p>
            <w:r>
              <w:rPr>
                <w:sz w:val="16"/>
              </w:rPr>
              <w:t>3 Possible/5 Severe</w:t>
            </w:r>
          </w:p>
        </w:tc>
        <w:tc>
          <w:tcPr>
            <w:tcW w:type="dxa" w:w="600"/>
            <w:vAlign w:val="center"/>
            <w:tcMar>
              <w:top w:w="80" w:type="dxa"/>
              <w:start w:w="120" w:type="dxa"/>
              <w:bottom w:w="80" w:type="dxa"/>
              <w:end w:w="120" w:type="dxa"/>
            </w:tcMar>
          </w:tcPr>
          <w:p>
            <w:r>
              <w:rPr>
                <w:sz w:val="16"/>
              </w:rPr>
              <w:t>15 High</w:t>
            </w:r>
          </w:p>
        </w:tc>
        <w:tc>
          <w:tcPr>
            <w:tcW w:type="dxa" w:w="1696"/>
            <w:vAlign w:val="center"/>
            <w:tcMar>
              <w:top w:w="80" w:type="dxa"/>
              <w:start w:w="120" w:type="dxa"/>
              <w:bottom w:w="80" w:type="dxa"/>
              <w:end w:w="120" w:type="dxa"/>
            </w:tcMar>
          </w:tcPr>
          <w:p>
            <w:r>
              <w:rPr>
                <w:sz w:val="16"/>
              </w:rPr>
              <w:t>Upgrade or remove affected components, document reachability and mitigations, add dependency policy gates, and issue a vendor-signed SBOM tied to the replacement VSIX.</w:t>
            </w:r>
          </w:p>
        </w:tc>
        <w:tc>
          <w:tcPr>
            <w:tcW w:type="dxa" w:w="1272"/>
            <w:vAlign w:val="center"/>
            <w:tcMar>
              <w:top w:w="80" w:type="dxa"/>
              <w:start w:w="120" w:type="dxa"/>
              <w:bottom w:w="80" w:type="dxa"/>
              <w:end w:w="120" w:type="dxa"/>
            </w:tcMar>
          </w:tcPr>
          <w:p>
            <w:r>
              <w:rPr>
                <w:sz w:val="16"/>
              </w:rPr>
              <w:t>Vendor Engineering and Product Security</w:t>
            </w:r>
          </w:p>
        </w:tc>
      </w:tr>
      <w:tr>
        <w:tc>
          <w:tcPr>
            <w:tcW w:type="dxa" w:w="600"/>
            <w:vAlign w:val="center"/>
            <w:tcMar>
              <w:top w:w="80" w:type="dxa"/>
              <w:start w:w="120" w:type="dxa"/>
              <w:bottom w:w="80" w:type="dxa"/>
              <w:end w:w="120" w:type="dxa"/>
            </w:tcMar>
          </w:tcPr>
          <w:p>
            <w:r>
              <w:rPr>
                <w:sz w:val="16"/>
              </w:rPr>
              <w:t>F-004</w:t>
            </w:r>
          </w:p>
        </w:tc>
        <w:tc>
          <w:tcPr>
            <w:tcW w:type="dxa" w:w="1696"/>
            <w:vAlign w:val="center"/>
            <w:tcMar>
              <w:top w:w="80" w:type="dxa"/>
              <w:start w:w="120" w:type="dxa"/>
              <w:bottom w:w="80" w:type="dxa"/>
              <w:end w:w="120" w:type="dxa"/>
            </w:tcMar>
          </w:tcPr>
          <w:p>
            <w:r>
              <w:rPr>
                <w:sz w:val="16"/>
              </w:rPr>
              <w:t>MCP marketplace and autonomous skills create uncontrolled composition risk</w:t>
            </w:r>
          </w:p>
        </w:tc>
        <w:tc>
          <w:tcPr>
            <w:tcW w:type="dxa" w:w="1696"/>
            <w:vAlign w:val="center"/>
            <w:tcMar>
              <w:top w:w="80" w:type="dxa"/>
              <w:start w:w="120" w:type="dxa"/>
              <w:bottom w:w="80" w:type="dxa"/>
              <w:end w:w="120" w:type="dxa"/>
            </w:tcMar>
          </w:tcPr>
          <w:p>
            <w:r>
              <w:rPr>
                <w:sz w:val="16"/>
              </w:rPr>
              <w:t>VS Code 3.7.0; MCP full mode, enabled marketplace, servers, tools, resources, prompts, and Blackbox Skills</w:t>
            </w:r>
          </w:p>
        </w:tc>
        <w:tc>
          <w:tcPr>
            <w:tcW w:type="dxa" w:w="600"/>
            <w:vAlign w:val="center"/>
            <w:tcMar>
              <w:top w:w="80" w:type="dxa"/>
              <w:start w:w="120" w:type="dxa"/>
              <w:bottom w:w="80" w:type="dxa"/>
              <w:end w:w="120" w:type="dxa"/>
            </w:tcMar>
          </w:tcPr>
          <w:p>
            <w:r>
              <w:rPr>
                <w:sz w:val="16"/>
              </w:rPr>
              <w:t>4 Likely/5 Severe</w:t>
            </w:r>
          </w:p>
        </w:tc>
        <w:tc>
          <w:tcPr>
            <w:tcW w:type="dxa" w:w="600"/>
            <w:vAlign w:val="center"/>
            <w:tcMar>
              <w:top w:w="80" w:type="dxa"/>
              <w:start w:w="120" w:type="dxa"/>
              <w:bottom w:w="80" w:type="dxa"/>
              <w:end w:w="120" w:type="dxa"/>
            </w:tcMar>
          </w:tcPr>
          <w:p>
            <w:r>
              <w:rPr>
                <w:sz w:val="16"/>
              </w:rPr>
              <w:t>20 Critical</w:t>
            </w:r>
          </w:p>
        </w:tc>
        <w:tc>
          <w:tcPr>
            <w:tcW w:type="dxa" w:w="600"/>
            <w:vAlign w:val="center"/>
            <w:tcMar>
              <w:top w:w="80" w:type="dxa"/>
              <w:start w:w="120" w:type="dxa"/>
              <w:bottom w:w="80" w:type="dxa"/>
              <w:end w:w="120" w:type="dxa"/>
            </w:tcMar>
          </w:tcPr>
          <w:p>
            <w:r>
              <w:rPr>
                <w:sz w:val="16"/>
              </w:rPr>
              <w:t>4 Likely/5 Severe</w:t>
            </w:r>
          </w:p>
        </w:tc>
        <w:tc>
          <w:tcPr>
            <w:tcW w:type="dxa" w:w="600"/>
            <w:vAlign w:val="center"/>
            <w:tcMar>
              <w:top w:w="80" w:type="dxa"/>
              <w:start w:w="120" w:type="dxa"/>
              <w:bottom w:w="80" w:type="dxa"/>
              <w:end w:w="120" w:type="dxa"/>
            </w:tcMar>
          </w:tcPr>
          <w:p>
            <w:r>
              <w:rPr>
                <w:sz w:val="16"/>
              </w:rPr>
              <w:t>20 Critical</w:t>
            </w:r>
          </w:p>
        </w:tc>
        <w:tc>
          <w:tcPr>
            <w:tcW w:type="dxa" w:w="1696"/>
            <w:vAlign w:val="center"/>
            <w:tcMar>
              <w:top w:w="80" w:type="dxa"/>
              <w:start w:w="120" w:type="dxa"/>
              <w:bottom w:w="80" w:type="dxa"/>
              <w:end w:w="120" w:type="dxa"/>
            </w:tcMar>
          </w:tcPr>
          <w:p>
            <w:r>
              <w:rPr>
                <w:sz w:val="16"/>
              </w:rPr>
              <w:t>Disable marketplace and full mode by default; require immutable allowlists, schema review, scoped credentials, server isolation, skill tree review, and per-call approval and logging.</w:t>
            </w:r>
          </w:p>
        </w:tc>
        <w:tc>
          <w:tcPr>
            <w:tcW w:type="dxa" w:w="1272"/>
            <w:vAlign w:val="center"/>
            <w:tcMar>
              <w:top w:w="80" w:type="dxa"/>
              <w:start w:w="120" w:type="dxa"/>
              <w:bottom w:w="80" w:type="dxa"/>
              <w:end w:w="120" w:type="dxa"/>
            </w:tcMar>
          </w:tcPr>
          <w:p>
            <w:r>
              <w:rPr>
                <w:sz w:val="16"/>
              </w:rPr>
              <w:t>IDE Platform, Security Architecture, and service owners</w:t>
            </w:r>
          </w:p>
        </w:tc>
      </w:tr>
      <w:tr>
        <w:tc>
          <w:tcPr>
            <w:tcW w:type="dxa" w:w="600"/>
            <w:vAlign w:val="center"/>
            <w:tcMar>
              <w:top w:w="80" w:type="dxa"/>
              <w:start w:w="120" w:type="dxa"/>
              <w:bottom w:w="80" w:type="dxa"/>
              <w:end w:w="120" w:type="dxa"/>
            </w:tcMar>
          </w:tcPr>
          <w:p>
            <w:r>
              <w:rPr>
                <w:sz w:val="16"/>
              </w:rPr>
              <w:t>F-005</w:t>
            </w:r>
          </w:p>
        </w:tc>
        <w:tc>
          <w:tcPr>
            <w:tcW w:type="dxa" w:w="1696"/>
            <w:vAlign w:val="center"/>
            <w:tcMar>
              <w:top w:w="80" w:type="dxa"/>
              <w:start w:w="120" w:type="dxa"/>
              <w:bottom w:w="80" w:type="dxa"/>
              <w:end w:w="120" w:type="dxa"/>
            </w:tcMar>
          </w:tcPr>
          <w:p>
            <w:r>
              <w:rPr>
                <w:sz w:val="16"/>
              </w:rPr>
              <w:t>Source, licence, changelog, and build provenance are insufficient</w:t>
            </w:r>
          </w:p>
        </w:tc>
        <w:tc>
          <w:tcPr>
            <w:tcW w:type="dxa" w:w="1696"/>
            <w:vAlign w:val="center"/>
            <w:tcMar>
              <w:top w:w="80" w:type="dxa"/>
              <w:start w:w="120" w:type="dxa"/>
              <w:bottom w:w="80" w:type="dxa"/>
              <w:end w:w="120" w:type="dxa"/>
            </w:tcMar>
          </w:tcPr>
          <w:p>
            <w:r>
              <w:rPr>
                <w:sz w:val="16"/>
              </w:rPr>
              <w:t>VSIX 3.7.0 release provenance</w:t>
            </w:r>
          </w:p>
        </w:tc>
        <w:tc>
          <w:tcPr>
            <w:tcW w:type="dxa" w:w="600"/>
            <w:vAlign w:val="center"/>
            <w:tcMar>
              <w:top w:w="80" w:type="dxa"/>
              <w:start w:w="120" w:type="dxa"/>
              <w:bottom w:w="80" w:type="dxa"/>
              <w:end w:w="120" w:type="dxa"/>
            </w:tcMar>
          </w:tcPr>
          <w:p>
            <w:r>
              <w:rPr>
                <w:sz w:val="16"/>
              </w:rPr>
              <w:t>4 Likely/4 Major</w:t>
            </w:r>
          </w:p>
        </w:tc>
        <w:tc>
          <w:tcPr>
            <w:tcW w:type="dxa" w:w="600"/>
            <w:vAlign w:val="center"/>
            <w:tcMar>
              <w:top w:w="80" w:type="dxa"/>
              <w:start w:w="120" w:type="dxa"/>
              <w:bottom w:w="80" w:type="dxa"/>
              <w:end w:w="120" w:type="dxa"/>
            </w:tcMar>
          </w:tcPr>
          <w:p>
            <w:r>
              <w:rPr>
                <w:sz w:val="16"/>
              </w:rPr>
              <w:t>16 High</w:t>
            </w:r>
          </w:p>
        </w:tc>
        <w:tc>
          <w:tcPr>
            <w:tcW w:type="dxa" w:w="600"/>
            <w:vAlign w:val="center"/>
            <w:tcMar>
              <w:top w:w="80" w:type="dxa"/>
              <w:start w:w="120" w:type="dxa"/>
              <w:bottom w:w="80" w:type="dxa"/>
              <w:end w:w="120" w:type="dxa"/>
            </w:tcMar>
          </w:tcPr>
          <w:p>
            <w:r>
              <w:rPr>
                <w:sz w:val="16"/>
              </w:rPr>
              <w:t>4 Likely/4 Major</w:t>
            </w:r>
          </w:p>
        </w:tc>
        <w:tc>
          <w:tcPr>
            <w:tcW w:type="dxa" w:w="600"/>
            <w:vAlign w:val="center"/>
            <w:tcMar>
              <w:top w:w="80" w:type="dxa"/>
              <w:start w:w="120" w:type="dxa"/>
              <w:bottom w:w="80" w:type="dxa"/>
              <w:end w:w="120" w:type="dxa"/>
            </w:tcMar>
          </w:tcPr>
          <w:p>
            <w:r>
              <w:rPr>
                <w:sz w:val="16"/>
              </w:rPr>
              <w:t>16 High</w:t>
            </w:r>
          </w:p>
        </w:tc>
        <w:tc>
          <w:tcPr>
            <w:tcW w:type="dxa" w:w="1696"/>
            <w:vAlign w:val="center"/>
            <w:tcMar>
              <w:top w:w="80" w:type="dxa"/>
              <w:start w:w="120" w:type="dxa"/>
              <w:bottom w:w="80" w:type="dxa"/>
              <w:end w:w="120" w:type="dxa"/>
            </w:tcMar>
          </w:tcPr>
          <w:p>
            <w:r>
              <w:rPr>
                <w:sz w:val="16"/>
              </w:rPr>
              <w:t>Provide versioned reviewable source or independent audit, complete licence and changelog, signed provenance, build recipe, dependency lock, and package-to-source attestation.</w:t>
            </w:r>
          </w:p>
        </w:tc>
        <w:tc>
          <w:tcPr>
            <w:tcW w:type="dxa" w:w="1272"/>
            <w:vAlign w:val="center"/>
            <w:tcMar>
              <w:top w:w="80" w:type="dxa"/>
              <w:start w:w="120" w:type="dxa"/>
              <w:bottom w:w="80" w:type="dxa"/>
              <w:end w:w="120" w:type="dxa"/>
            </w:tcMar>
          </w:tcPr>
          <w:p>
            <w:r>
              <w:rPr>
                <w:sz w:val="16"/>
              </w:rPr>
              <w:t>Vendor Release Engineering and Vendor Management</w:t>
            </w:r>
          </w:p>
        </w:tc>
      </w:tr>
      <w:tr>
        <w:tc>
          <w:tcPr>
            <w:tcW w:type="dxa" w:w="600"/>
            <w:vAlign w:val="center"/>
            <w:tcMar>
              <w:top w:w="80" w:type="dxa"/>
              <w:start w:w="120" w:type="dxa"/>
              <w:bottom w:w="80" w:type="dxa"/>
              <w:end w:w="120" w:type="dxa"/>
            </w:tcMar>
          </w:tcPr>
          <w:p>
            <w:r>
              <w:rPr>
                <w:sz w:val="16"/>
              </w:rPr>
              <w:t>F-006</w:t>
            </w:r>
          </w:p>
        </w:tc>
        <w:tc>
          <w:tcPr>
            <w:tcW w:type="dxa" w:w="1696"/>
            <w:vAlign w:val="center"/>
            <w:tcMar>
              <w:top w:w="80" w:type="dxa"/>
              <w:start w:w="120" w:type="dxa"/>
              <w:bottom w:w="80" w:type="dxa"/>
              <w:end w:w="120" w:type="dxa"/>
            </w:tcMar>
          </w:tcPr>
          <w:p>
            <w:r>
              <w:rPr>
                <w:sz w:val="16"/>
              </w:rPr>
              <w:t>Data routing, retention, telemetry, and subprocess handling are not deployment-specific</w:t>
            </w:r>
          </w:p>
        </w:tc>
        <w:tc>
          <w:tcPr>
            <w:tcW w:type="dxa" w:w="1696"/>
            <w:vAlign w:val="center"/>
            <w:tcMar>
              <w:top w:w="80" w:type="dxa"/>
              <w:start w:w="120" w:type="dxa"/>
              <w:bottom w:w="80" w:type="dxa"/>
              <w:end w:w="120" w:type="dxa"/>
            </w:tcMar>
          </w:tcPr>
          <w:p>
            <w:r>
              <w:rPr>
                <w:sz w:val="16"/>
              </w:rPr>
              <w:t>Extension 3.7.0; vendor, model, agent, browser, audio, MCP, and integration services</w:t>
            </w:r>
          </w:p>
        </w:tc>
        <w:tc>
          <w:tcPr>
            <w:tcW w:type="dxa" w:w="600"/>
            <w:vAlign w:val="center"/>
            <w:tcMar>
              <w:top w:w="80" w:type="dxa"/>
              <w:start w:w="120" w:type="dxa"/>
              <w:bottom w:w="80" w:type="dxa"/>
              <w:end w:w="120" w:type="dxa"/>
            </w:tcMar>
          </w:tcPr>
          <w:p>
            <w:r>
              <w:rPr>
                <w:sz w:val="16"/>
              </w:rPr>
              <w:t>4 Likely/5 Severe</w:t>
            </w:r>
          </w:p>
        </w:tc>
        <w:tc>
          <w:tcPr>
            <w:tcW w:type="dxa" w:w="600"/>
            <w:vAlign w:val="center"/>
            <w:tcMar>
              <w:top w:w="80" w:type="dxa"/>
              <w:start w:w="120" w:type="dxa"/>
              <w:bottom w:w="80" w:type="dxa"/>
              <w:end w:w="120" w:type="dxa"/>
            </w:tcMar>
          </w:tcPr>
          <w:p>
            <w:r>
              <w:rPr>
                <w:sz w:val="16"/>
              </w:rPr>
              <w:t>20 Critical</w:t>
            </w:r>
          </w:p>
        </w:tc>
        <w:tc>
          <w:tcPr>
            <w:tcW w:type="dxa" w:w="600"/>
            <w:vAlign w:val="center"/>
            <w:tcMar>
              <w:top w:w="80" w:type="dxa"/>
              <w:start w:w="120" w:type="dxa"/>
              <w:bottom w:w="80" w:type="dxa"/>
              <w:end w:w="120" w:type="dxa"/>
            </w:tcMar>
          </w:tcPr>
          <w:p>
            <w:r>
              <w:rPr>
                <w:sz w:val="16"/>
              </w:rPr>
              <w:t>4 Likely/5 Severe</w:t>
            </w:r>
          </w:p>
        </w:tc>
        <w:tc>
          <w:tcPr>
            <w:tcW w:type="dxa" w:w="600"/>
            <w:vAlign w:val="center"/>
            <w:tcMar>
              <w:top w:w="80" w:type="dxa"/>
              <w:start w:w="120" w:type="dxa"/>
              <w:bottom w:w="80" w:type="dxa"/>
              <w:end w:w="120" w:type="dxa"/>
            </w:tcMar>
          </w:tcPr>
          <w:p>
            <w:r>
              <w:rPr>
                <w:sz w:val="16"/>
              </w:rPr>
              <w:t>20 Critical</w:t>
            </w:r>
          </w:p>
        </w:tc>
        <w:tc>
          <w:tcPr>
            <w:tcW w:type="dxa" w:w="1696"/>
            <w:vAlign w:val="center"/>
            <w:tcMar>
              <w:top w:w="80" w:type="dxa"/>
              <w:start w:w="120" w:type="dxa"/>
              <w:bottom w:w="80" w:type="dxa"/>
              <w:end w:w="120" w:type="dxa"/>
            </w:tcMar>
          </w:tcPr>
          <w:p>
            <w:r>
              <w:rPr>
                <w:sz w:val="16"/>
              </w:rPr>
              <w:t>Prohibit confidential data; obtain DPA, subprocessors, routing and endpoint inventory, retention/deletion commitments, tenant isolation evidence, encryption mode, telemetry schema, and egress controls.</w:t>
            </w:r>
          </w:p>
        </w:tc>
        <w:tc>
          <w:tcPr>
            <w:tcW w:type="dxa" w:w="1272"/>
            <w:vAlign w:val="center"/>
            <w:tcMar>
              <w:top w:w="80" w:type="dxa"/>
              <w:start w:w="120" w:type="dxa"/>
              <w:bottom w:w="80" w:type="dxa"/>
              <w:end w:w="120" w:type="dxa"/>
            </w:tcMar>
          </w:tcPr>
          <w:p>
            <w:r>
              <w:rPr>
                <w:sz w:val="16"/>
              </w:rPr>
              <w:t>Privacy, Legal, Vendor Management, and Security Architecture</w:t>
            </w:r>
          </w:p>
        </w:tc>
      </w:tr>
      <w:tr>
        <w:tc>
          <w:tcPr>
            <w:tcW w:type="dxa" w:w="600"/>
            <w:vAlign w:val="center"/>
            <w:tcMar>
              <w:top w:w="80" w:type="dxa"/>
              <w:start w:w="120" w:type="dxa"/>
              <w:bottom w:w="80" w:type="dxa"/>
              <w:end w:w="120" w:type="dxa"/>
            </w:tcMar>
          </w:tcPr>
          <w:p>
            <w:r>
              <w:rPr>
                <w:sz w:val="16"/>
              </w:rPr>
              <w:t>F-007</w:t>
            </w:r>
          </w:p>
        </w:tc>
        <w:tc>
          <w:tcPr>
            <w:tcW w:type="dxa" w:w="1696"/>
            <w:vAlign w:val="center"/>
            <w:tcMar>
              <w:top w:w="80" w:type="dxa"/>
              <w:start w:w="120" w:type="dxa"/>
              <w:bottom w:w="80" w:type="dxa"/>
              <w:end w:w="120" w:type="dxa"/>
            </w:tcMar>
          </w:tcPr>
          <w:p>
            <w:r>
              <w:rPr>
                <w:sz w:val="16"/>
              </w:rPr>
              <w:t>Runtime, update, and uninstall behavior remains blocked</w:t>
            </w:r>
          </w:p>
        </w:tc>
        <w:tc>
          <w:tcPr>
            <w:tcW w:type="dxa" w:w="1696"/>
            <w:vAlign w:val="center"/>
            <w:tcMar>
              <w:top w:w="80" w:type="dxa"/>
              <w:start w:w="120" w:type="dxa"/>
              <w:bottom w:w="80" w:type="dxa"/>
              <w:end w:w="120" w:type="dxa"/>
            </w:tcMar>
          </w:tcPr>
          <w:p>
            <w:r>
              <w:rPr>
                <w:sz w:val="16"/>
              </w:rPr>
              <w:t>All supported operating systems and VS Code versions for extension 3.7.0</w:t>
            </w:r>
          </w:p>
        </w:tc>
        <w:tc>
          <w:tcPr>
            <w:tcW w:type="dxa" w:w="600"/>
            <w:vAlign w:val="center"/>
            <w:tcMar>
              <w:top w:w="80" w:type="dxa"/>
              <w:start w:w="120" w:type="dxa"/>
              <w:bottom w:w="80" w:type="dxa"/>
              <w:end w:w="120" w:type="dxa"/>
            </w:tcMar>
          </w:tcPr>
          <w:p>
            <w:r>
              <w:rPr>
                <w:sz w:val="16"/>
              </w:rPr>
              <w:t>3 Possible/4 Major</w:t>
            </w:r>
          </w:p>
        </w:tc>
        <w:tc>
          <w:tcPr>
            <w:tcW w:type="dxa" w:w="600"/>
            <w:vAlign w:val="center"/>
            <w:tcMar>
              <w:top w:w="80" w:type="dxa"/>
              <w:start w:w="120" w:type="dxa"/>
              <w:bottom w:w="80" w:type="dxa"/>
              <w:end w:w="120" w:type="dxa"/>
            </w:tcMar>
          </w:tcPr>
          <w:p>
            <w:r>
              <w:rPr>
                <w:sz w:val="16"/>
              </w:rPr>
              <w:t>12 High</w:t>
            </w:r>
          </w:p>
        </w:tc>
        <w:tc>
          <w:tcPr>
            <w:tcW w:type="dxa" w:w="600"/>
            <w:vAlign w:val="center"/>
            <w:tcMar>
              <w:top w:w="80" w:type="dxa"/>
              <w:start w:w="120" w:type="dxa"/>
              <w:bottom w:w="80" w:type="dxa"/>
              <w:end w:w="120" w:type="dxa"/>
            </w:tcMar>
          </w:tcPr>
          <w:p>
            <w:r>
              <w:rPr>
                <w:sz w:val="16"/>
              </w:rPr>
              <w:t>3 Possible/4 Major</w:t>
            </w:r>
          </w:p>
        </w:tc>
        <w:tc>
          <w:tcPr>
            <w:tcW w:type="dxa" w:w="600"/>
            <w:vAlign w:val="center"/>
            <w:tcMar>
              <w:top w:w="80" w:type="dxa"/>
              <w:start w:w="120" w:type="dxa"/>
              <w:bottom w:w="80" w:type="dxa"/>
              <w:end w:w="120" w:type="dxa"/>
            </w:tcMar>
          </w:tcPr>
          <w:p>
            <w:r>
              <w:rPr>
                <w:sz w:val="16"/>
              </w:rPr>
              <w:t>12 High</w:t>
            </w:r>
          </w:p>
        </w:tc>
        <w:tc>
          <w:tcPr>
            <w:tcW w:type="dxa" w:w="1696"/>
            <w:vAlign w:val="center"/>
            <w:tcMar>
              <w:top w:w="80" w:type="dxa"/>
              <w:start w:w="120" w:type="dxa"/>
              <w:bottom w:w="80" w:type="dxa"/>
              <w:end w:w="120" w:type="dxa"/>
            </w:tcMar>
          </w:tcPr>
          <w:p>
            <w:r>
              <w:rPr>
                <w:sz w:val="16"/>
              </w:rPr>
              <w:t>Complete representative disposable-host testing with synthetic data, rollback, egress monitoring, process/file baselines, update/downgrade, and uninstall verification.</w:t>
            </w:r>
          </w:p>
        </w:tc>
        <w:tc>
          <w:tcPr>
            <w:tcW w:type="dxa" w:w="1272"/>
            <w:vAlign w:val="center"/>
            <w:tcMar>
              <w:top w:w="80" w:type="dxa"/>
              <w:start w:w="120" w:type="dxa"/>
              <w:bottom w:w="80" w:type="dxa"/>
              <w:end w:w="120" w:type="dxa"/>
            </w:tcMar>
          </w:tcPr>
          <w:p>
            <w:r>
              <w:rPr>
                <w:sz w:val="16"/>
              </w:rPr>
              <w:t>Security Engineering and Endpoint Engineering</w:t>
            </w:r>
          </w:p>
        </w:tc>
      </w:tr>
      <w:tr>
        <w:tc>
          <w:tcPr>
            <w:tcW w:type="dxa" w:w="600"/>
            <w:vAlign w:val="center"/>
            <w:tcMar>
              <w:top w:w="80" w:type="dxa"/>
              <w:start w:w="120" w:type="dxa"/>
              <w:bottom w:w="80" w:type="dxa"/>
              <w:end w:w="120" w:type="dxa"/>
            </w:tcMar>
          </w:tcPr>
          <w:p>
            <w:r>
              <w:rPr>
                <w:sz w:val="16"/>
              </w:rPr>
              <w:t>F-008</w:t>
            </w:r>
          </w:p>
        </w:tc>
        <w:tc>
          <w:tcPr>
            <w:tcW w:type="dxa" w:w="1696"/>
            <w:vAlign w:val="center"/>
            <w:tcMar>
              <w:top w:w="80" w:type="dxa"/>
              <w:start w:w="120" w:type="dxa"/>
              <w:bottom w:w="80" w:type="dxa"/>
              <w:end w:w="120" w:type="dxa"/>
            </w:tcMar>
          </w:tcPr>
          <w:p>
            <w:r>
              <w:rPr>
                <w:sz w:val="16"/>
              </w:rPr>
              <w:t>Startup activation and monitoring gaps increase ambient exposure</w:t>
            </w:r>
          </w:p>
        </w:tc>
        <w:tc>
          <w:tcPr>
            <w:tcW w:type="dxa" w:w="1696"/>
            <w:vAlign w:val="center"/>
            <w:tcMar>
              <w:top w:w="80" w:type="dxa"/>
              <w:start w:w="120" w:type="dxa"/>
              <w:bottom w:w="80" w:type="dxa"/>
              <w:end w:w="120" w:type="dxa"/>
            </w:tcMar>
          </w:tcPr>
          <w:p>
            <w:r>
              <w:rPr>
                <w:sz w:val="16"/>
              </w:rPr>
              <w:t>VS Code 1.84+; onStartupFinished and inline completion activation</w:t>
            </w:r>
          </w:p>
        </w:tc>
        <w:tc>
          <w:tcPr>
            <w:tcW w:type="dxa" w:w="600"/>
            <w:vAlign w:val="center"/>
            <w:tcMar>
              <w:top w:w="80" w:type="dxa"/>
              <w:start w:w="120" w:type="dxa"/>
              <w:bottom w:w="80" w:type="dxa"/>
              <w:end w:w="120" w:type="dxa"/>
            </w:tcMar>
          </w:tcPr>
          <w:p>
            <w:r>
              <w:rPr>
                <w:sz w:val="16"/>
              </w:rPr>
              <w:t>4 Likely/4 Major</w:t>
            </w:r>
          </w:p>
        </w:tc>
        <w:tc>
          <w:tcPr>
            <w:tcW w:type="dxa" w:w="600"/>
            <w:vAlign w:val="center"/>
            <w:tcMar>
              <w:top w:w="80" w:type="dxa"/>
              <w:start w:w="120" w:type="dxa"/>
              <w:bottom w:w="80" w:type="dxa"/>
              <w:end w:w="120" w:type="dxa"/>
            </w:tcMar>
          </w:tcPr>
          <w:p>
            <w:r>
              <w:rPr>
                <w:sz w:val="16"/>
              </w:rPr>
              <w:t>16 High</w:t>
            </w:r>
          </w:p>
        </w:tc>
        <w:tc>
          <w:tcPr>
            <w:tcW w:type="dxa" w:w="600"/>
            <w:vAlign w:val="center"/>
            <w:tcMar>
              <w:top w:w="80" w:type="dxa"/>
              <w:start w:w="120" w:type="dxa"/>
              <w:bottom w:w="80" w:type="dxa"/>
              <w:end w:w="120" w:type="dxa"/>
            </w:tcMar>
          </w:tcPr>
          <w:p>
            <w:r>
              <w:rPr>
                <w:sz w:val="16"/>
              </w:rPr>
              <w:t>4 Likely/4 Major</w:t>
            </w:r>
          </w:p>
        </w:tc>
        <w:tc>
          <w:tcPr>
            <w:tcW w:type="dxa" w:w="600"/>
            <w:vAlign w:val="center"/>
            <w:tcMar>
              <w:top w:w="80" w:type="dxa"/>
              <w:start w:w="120" w:type="dxa"/>
              <w:bottom w:w="80" w:type="dxa"/>
              <w:end w:w="120" w:type="dxa"/>
            </w:tcMar>
          </w:tcPr>
          <w:p>
            <w:r>
              <w:rPr>
                <w:sz w:val="16"/>
              </w:rPr>
              <w:t>16 High</w:t>
            </w:r>
          </w:p>
        </w:tc>
        <w:tc>
          <w:tcPr>
            <w:tcW w:type="dxa" w:w="1696"/>
            <w:vAlign w:val="center"/>
            <w:tcMar>
              <w:top w:w="80" w:type="dxa"/>
              <w:start w:w="120" w:type="dxa"/>
              <w:bottom w:w="80" w:type="dxa"/>
              <w:end w:w="120" w:type="dxa"/>
            </w:tcMar>
          </w:tcPr>
          <w:p>
            <w:r>
              <w:rPr>
                <w:sz w:val="16"/>
              </w:rPr>
              <w:t>Use deny-by-default extension policy, dedicated profile, Restricted Mode tests, explicit session activation, no pre-consent egress, and monitoring for hash, settings, child process, and endpoint drift.</w:t>
            </w:r>
          </w:p>
        </w:tc>
        <w:tc>
          <w:tcPr>
            <w:tcW w:type="dxa" w:w="1272"/>
            <w:vAlign w:val="center"/>
            <w:tcMar>
              <w:top w:w="80" w:type="dxa"/>
              <w:start w:w="120" w:type="dxa"/>
              <w:bottom w:w="80" w:type="dxa"/>
              <w:end w:w="120" w:type="dxa"/>
            </w:tcMar>
          </w:tcPr>
          <w:p>
            <w:r>
              <w:rPr>
                <w:sz w:val="16"/>
              </w:rPr>
              <w:t>IDE Platform and Endpoint Security</w:t>
            </w:r>
          </w:p>
        </w:tc>
      </w:tr>
    </w:tbl>
    <w:p/>
    <w:p>
      <w:pPr>
        <w:pStyle w:val="Heading1"/>
      </w:pPr>
      <w:r>
        <w:t>Evidence Register</w:t>
      </w:r>
    </w:p>
    <w:p>
      <w:pPr>
        <w:pStyle w:val="Caption"/>
      </w:pPr>
      <w:r>
        <w:rPr>
          <w:b/>
        </w:rPr>
        <w:t>Evidence register</w:t>
      </w:r>
    </w:p>
    <w:tbl>
      <w:tblPr>
        <w:tblStyle w:val="TableGrid"/>
        <w:tblW w:type="dxa" w:w="9360"/>
        <w:tblLayout w:type="fixed"/>
        <w:tblLook w:firstColumn="1" w:firstRow="1" w:lastColumn="0" w:lastRow="0" w:noHBand="0" w:noVBand="1" w:val="04A0"/>
        <w:tblInd w:w="120" w:type="dxa"/>
      </w:tblPr>
      <w:tblGrid>
        <w:gridCol w:w="666"/>
        <w:gridCol w:w="1128"/>
        <w:gridCol w:w="2422"/>
        <w:gridCol w:w="1824"/>
        <w:gridCol w:w="666"/>
        <w:gridCol w:w="2654"/>
      </w:tblGrid>
      <w:tr>
        <w:trPr>
          <w:tblHeader w:val="true"/>
        </w:trPr>
        <w:tc>
          <w:tcPr>
            <w:tcW w:type="dxa" w:w="666"/>
            <w:shd w:fill="F2F4F7"/>
            <w:vAlign w:val="center"/>
            <w:tcMar>
              <w:top w:w="80" w:type="dxa"/>
              <w:start w:w="120" w:type="dxa"/>
              <w:bottom w:w="80" w:type="dxa"/>
              <w:end w:w="120" w:type="dxa"/>
            </w:tcMar>
          </w:tcPr>
          <w:p>
            <w:r>
              <w:rPr>
                <w:b/>
                <w:sz w:val="16"/>
              </w:rPr>
              <w:t>ID</w:t>
            </w:r>
          </w:p>
        </w:tc>
        <w:tc>
          <w:tcPr>
            <w:tcW w:type="dxa" w:w="1128"/>
            <w:shd w:fill="F2F4F7"/>
            <w:vAlign w:val="center"/>
            <w:tcMar>
              <w:top w:w="80" w:type="dxa"/>
              <w:start w:w="120" w:type="dxa"/>
              <w:bottom w:w="80" w:type="dxa"/>
              <w:end w:w="120" w:type="dxa"/>
            </w:tcMar>
          </w:tcPr>
          <w:p>
            <w:r>
              <w:rPr>
                <w:b/>
                <w:sz w:val="16"/>
              </w:rPr>
              <w:t>Evidence</w:t>
            </w:r>
          </w:p>
        </w:tc>
        <w:tc>
          <w:tcPr>
            <w:tcW w:type="dxa" w:w="2422"/>
            <w:shd w:fill="F2F4F7"/>
            <w:vAlign w:val="center"/>
            <w:tcMar>
              <w:top w:w="80" w:type="dxa"/>
              <w:start w:w="120" w:type="dxa"/>
              <w:bottom w:w="80" w:type="dxa"/>
              <w:end w:w="120" w:type="dxa"/>
            </w:tcMar>
          </w:tcPr>
          <w:p>
            <w:r>
              <w:rPr>
                <w:b/>
                <w:sz w:val="16"/>
              </w:rPr>
              <w:t>Source</w:t>
            </w:r>
          </w:p>
        </w:tc>
        <w:tc>
          <w:tcPr>
            <w:tcW w:type="dxa" w:w="1824"/>
            <w:shd w:fill="F2F4F7"/>
            <w:vAlign w:val="center"/>
            <w:tcMar>
              <w:top w:w="80" w:type="dxa"/>
              <w:start w:w="120" w:type="dxa"/>
              <w:bottom w:w="80" w:type="dxa"/>
              <w:end w:w="120" w:type="dxa"/>
            </w:tcMar>
          </w:tcPr>
          <w:p>
            <w:r>
              <w:rPr>
                <w:b/>
                <w:sz w:val="16"/>
              </w:rPr>
              <w:t>Method</w:t>
            </w:r>
          </w:p>
        </w:tc>
        <w:tc>
          <w:tcPr>
            <w:tcW w:type="dxa" w:w="666"/>
            <w:shd w:fill="F2F4F7"/>
            <w:vAlign w:val="center"/>
            <w:tcMar>
              <w:top w:w="80" w:type="dxa"/>
              <w:start w:w="120" w:type="dxa"/>
              <w:bottom w:w="80" w:type="dxa"/>
              <w:end w:w="120" w:type="dxa"/>
            </w:tcMar>
          </w:tcPr>
          <w:p>
            <w:r>
              <w:rPr>
                <w:b/>
                <w:sz w:val="16"/>
              </w:rPr>
              <w:t>State</w:t>
            </w:r>
          </w:p>
        </w:tc>
        <w:tc>
          <w:tcPr>
            <w:tcW w:type="dxa" w:w="2654"/>
            <w:shd w:fill="F2F4F7"/>
            <w:vAlign w:val="center"/>
            <w:tcMar>
              <w:top w:w="80" w:type="dxa"/>
              <w:start w:w="120" w:type="dxa"/>
              <w:bottom w:w="80" w:type="dxa"/>
              <w:end w:w="120" w:type="dxa"/>
            </w:tcMar>
          </w:tcPr>
          <w:p>
            <w:r>
              <w:rPr>
                <w:b/>
                <w:sz w:val="16"/>
              </w:rPr>
              <w:t>Limitation</w:t>
            </w:r>
          </w:p>
        </w:tc>
      </w:tr>
      <w:tr>
        <w:tc>
          <w:tcPr>
            <w:tcW w:type="dxa" w:w="666"/>
            <w:vAlign w:val="center"/>
            <w:tcMar>
              <w:top w:w="80" w:type="dxa"/>
              <w:start w:w="120" w:type="dxa"/>
              <w:bottom w:w="80" w:type="dxa"/>
              <w:end w:w="120" w:type="dxa"/>
            </w:tcMar>
          </w:tcPr>
          <w:p>
            <w:r>
              <w:rPr>
                <w:sz w:val="16"/>
              </w:rPr>
              <w:t>EVD-BBX-001</w:t>
            </w:r>
          </w:p>
        </w:tc>
        <w:tc>
          <w:tcPr>
            <w:tcW w:type="dxa" w:w="1128"/>
            <w:vAlign w:val="center"/>
            <w:tcMar>
              <w:top w:w="80" w:type="dxa"/>
              <w:start w:w="120" w:type="dxa"/>
              <w:bottom w:w="80" w:type="dxa"/>
              <w:end w:w="120" w:type="dxa"/>
            </w:tcMar>
          </w:tcPr>
          <w:p>
            <w:r>
              <w:rPr>
                <w:sz w:val="16"/>
              </w:rPr>
              <w:t>Official Marketplace listing</w:t>
            </w:r>
          </w:p>
        </w:tc>
        <w:tc>
          <w:tcPr>
            <w:tcW w:type="dxa" w:w="2422"/>
            <w:vAlign w:val="center"/>
            <w:tcMar>
              <w:top w:w="80" w:type="dxa"/>
              <w:start w:w="120" w:type="dxa"/>
              <w:bottom w:w="80" w:type="dxa"/>
              <w:end w:w="120" w:type="dxa"/>
            </w:tcMar>
          </w:tcPr>
          <w:p>
            <w:r>
              <w:rPr>
                <w:sz w:val="16"/>
              </w:rPr>
              <w:t>Microsoft Visual Studio Marketplace listing for Blackboxapp.blackboxagent</w:t>
            </w:r>
          </w:p>
        </w:tc>
        <w:tc>
          <w:tcPr>
            <w:tcW w:type="dxa" w:w="1824"/>
            <w:vAlign w:val="center"/>
            <w:tcMar>
              <w:top w:w="80" w:type="dxa"/>
              <w:start w:w="120" w:type="dxa"/>
              <w:bottom w:w="80" w:type="dxa"/>
              <w:end w:w="120" w:type="dxa"/>
            </w:tcMar>
          </w:tcPr>
          <w:p>
            <w:r>
              <w:rPr>
                <w:sz w:val="16"/>
              </w:rPr>
              <w:t>Primary-source identity and capability review</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Vendor-authored capability claims; runtime behavior not independently observed.</w:t>
            </w:r>
          </w:p>
        </w:tc>
      </w:tr>
      <w:tr>
        <w:tc>
          <w:tcPr>
            <w:tcW w:type="dxa" w:w="666"/>
            <w:vAlign w:val="center"/>
            <w:tcMar>
              <w:top w:w="80" w:type="dxa"/>
              <w:start w:w="120" w:type="dxa"/>
              <w:bottom w:w="80" w:type="dxa"/>
              <w:end w:w="120" w:type="dxa"/>
            </w:tcMar>
          </w:tcPr>
          <w:p>
            <w:r>
              <w:rPr>
                <w:sz w:val="16"/>
              </w:rPr>
              <w:t>EVD-BBX-002</w:t>
            </w:r>
          </w:p>
        </w:tc>
        <w:tc>
          <w:tcPr>
            <w:tcW w:type="dxa" w:w="1128"/>
            <w:vAlign w:val="center"/>
            <w:tcMar>
              <w:top w:w="80" w:type="dxa"/>
              <w:start w:w="120" w:type="dxa"/>
              <w:bottom w:w="80" w:type="dxa"/>
              <w:end w:w="120" w:type="dxa"/>
            </w:tcMar>
          </w:tcPr>
          <w:p>
            <w:r>
              <w:rPr>
                <w:sz w:val="16"/>
              </w:rPr>
              <w:t>Retained VSIX package</w:t>
            </w:r>
          </w:p>
        </w:tc>
        <w:tc>
          <w:tcPr>
            <w:tcW w:type="dxa" w:w="2422"/>
            <w:vAlign w:val="center"/>
            <w:tcMar>
              <w:top w:w="80" w:type="dxa"/>
              <w:start w:w="120" w:type="dxa"/>
              <w:bottom w:w="80" w:type="dxa"/>
              <w:end w:w="120" w:type="dxa"/>
            </w:tcMar>
          </w:tcPr>
          <w:p>
            <w:r>
              <w:rPr>
                <w:sz w:val="16"/>
              </w:rPr>
              <w:t>Blackboxapp.blackboxagent version 3.7.0 universal VSIX</w:t>
            </w:r>
          </w:p>
        </w:tc>
        <w:tc>
          <w:tcPr>
            <w:tcW w:type="dxa" w:w="1824"/>
            <w:vAlign w:val="center"/>
            <w:tcMar>
              <w:top w:w="80" w:type="dxa"/>
              <w:start w:w="120" w:type="dxa"/>
              <w:bottom w:w="80" w:type="dxa"/>
              <w:end w:w="120" w:type="dxa"/>
            </w:tcMar>
          </w:tcPr>
          <w:p>
            <w:r>
              <w:rPr>
                <w:sz w:val="16"/>
              </w:rPr>
              <w:t>Immutable SHA-256 and bounded non-executing acquisition</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Marketplace transport provenance does not establish reproducible build provenance.</w:t>
            </w:r>
          </w:p>
        </w:tc>
      </w:tr>
      <w:tr>
        <w:tc>
          <w:tcPr>
            <w:tcW w:type="dxa" w:w="666"/>
            <w:vAlign w:val="center"/>
            <w:tcMar>
              <w:top w:w="80" w:type="dxa"/>
              <w:start w:w="120" w:type="dxa"/>
              <w:bottom w:w="80" w:type="dxa"/>
              <w:end w:w="120" w:type="dxa"/>
            </w:tcMar>
          </w:tcPr>
          <w:p>
            <w:r>
              <w:rPr>
                <w:sz w:val="16"/>
              </w:rPr>
              <w:t>EVD-BBX-003</w:t>
            </w:r>
          </w:p>
        </w:tc>
        <w:tc>
          <w:tcPr>
            <w:tcW w:type="dxa" w:w="1128"/>
            <w:vAlign w:val="center"/>
            <w:tcMar>
              <w:top w:w="80" w:type="dxa"/>
              <w:start w:w="120" w:type="dxa"/>
              <w:bottom w:w="80" w:type="dxa"/>
              <w:end w:w="120" w:type="dxa"/>
            </w:tcMar>
          </w:tcPr>
          <w:p>
            <w:r>
              <w:rPr>
                <w:sz w:val="16"/>
              </w:rPr>
              <w:t>VSIX inventory</w:t>
            </w:r>
          </w:p>
        </w:tc>
        <w:tc>
          <w:tcPr>
            <w:tcW w:type="dxa" w:w="2422"/>
            <w:vAlign w:val="center"/>
            <w:tcMar>
              <w:top w:w="80" w:type="dxa"/>
              <w:start w:w="120" w:type="dxa"/>
              <w:bottom w:w="80" w:type="dxa"/>
              <w:end w:w="120" w:type="dxa"/>
            </w:tcMar>
          </w:tcPr>
          <w:p>
            <w:r>
              <w:rPr>
                <w:sz w:val="16"/>
              </w:rPr>
              <w:t>vsix-inventory.json</w:t>
            </w:r>
          </w:p>
        </w:tc>
        <w:tc>
          <w:tcPr>
            <w:tcW w:type="dxa" w:w="1824"/>
            <w:vAlign w:val="center"/>
            <w:tcMar>
              <w:top w:w="80" w:type="dxa"/>
              <w:start w:w="120" w:type="dxa"/>
              <w:bottom w:w="80" w:type="dxa"/>
              <w:end w:w="120" w:type="dxa"/>
            </w:tcMar>
          </w:tcPr>
          <w:p>
            <w:r>
              <w:rPr>
                <w:sz w:val="16"/>
              </w:rPr>
              <w:t>Bounded archive inventory with per-member SHA-256</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Static inventory cannot establish runtime reachability or behavior.</w:t>
            </w:r>
          </w:p>
        </w:tc>
      </w:tr>
      <w:tr>
        <w:tc>
          <w:tcPr>
            <w:tcW w:type="dxa" w:w="666"/>
            <w:vAlign w:val="center"/>
            <w:tcMar>
              <w:top w:w="80" w:type="dxa"/>
              <w:start w:w="120" w:type="dxa"/>
              <w:bottom w:w="80" w:type="dxa"/>
              <w:end w:w="120" w:type="dxa"/>
            </w:tcMar>
          </w:tcPr>
          <w:p>
            <w:r>
              <w:rPr>
                <w:sz w:val="16"/>
              </w:rPr>
              <w:t>EVD-BBX-004</w:t>
            </w:r>
          </w:p>
        </w:tc>
        <w:tc>
          <w:tcPr>
            <w:tcW w:type="dxa" w:w="1128"/>
            <w:vAlign w:val="center"/>
            <w:tcMar>
              <w:top w:w="80" w:type="dxa"/>
              <w:start w:w="120" w:type="dxa"/>
              <w:bottom w:w="80" w:type="dxa"/>
              <w:end w:w="120" w:type="dxa"/>
            </w:tcMar>
          </w:tcPr>
          <w:p>
            <w:r>
              <w:rPr>
                <w:sz w:val="16"/>
              </w:rPr>
              <w:t>Manifest and package static review</w:t>
            </w:r>
          </w:p>
        </w:tc>
        <w:tc>
          <w:tcPr>
            <w:tcW w:type="dxa" w:w="2422"/>
            <w:vAlign w:val="center"/>
            <w:tcMar>
              <w:top w:w="80" w:type="dxa"/>
              <w:start w:w="120" w:type="dxa"/>
              <w:bottom w:w="80" w:type="dxa"/>
              <w:end w:w="120" w:type="dxa"/>
            </w:tcMar>
          </w:tcPr>
          <w:p>
            <w:r>
              <w:rPr>
                <w:sz w:val="16"/>
              </w:rPr>
              <w:t>Package manifest, readme, empty licence and changelog, generated bundles</w:t>
            </w:r>
          </w:p>
        </w:tc>
        <w:tc>
          <w:tcPr>
            <w:tcW w:type="dxa" w:w="1824"/>
            <w:vAlign w:val="center"/>
            <w:tcMar>
              <w:top w:w="80" w:type="dxa"/>
              <w:start w:w="120" w:type="dxa"/>
              <w:bottom w:w="80" w:type="dxa"/>
              <w:end w:w="120" w:type="dxa"/>
            </w:tcMar>
          </w:tcPr>
          <w:p>
            <w:r>
              <w:rPr>
                <w:sz w:val="16"/>
              </w:rPr>
              <w:t>Read-only structured and string inspection</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Generated code and absent source reduce manual-review depth.</w:t>
            </w:r>
          </w:p>
        </w:tc>
      </w:tr>
      <w:tr>
        <w:tc>
          <w:tcPr>
            <w:tcW w:type="dxa" w:w="666"/>
            <w:vAlign w:val="center"/>
            <w:tcMar>
              <w:top w:w="80" w:type="dxa"/>
              <w:start w:w="120" w:type="dxa"/>
              <w:bottom w:w="80" w:type="dxa"/>
              <w:end w:w="120" w:type="dxa"/>
            </w:tcMar>
          </w:tcPr>
          <w:p>
            <w:r>
              <w:rPr>
                <w:sz w:val="16"/>
              </w:rPr>
              <w:t>EVD-BBX-005</w:t>
            </w:r>
          </w:p>
        </w:tc>
        <w:tc>
          <w:tcPr>
            <w:tcW w:type="dxa" w:w="1128"/>
            <w:vAlign w:val="center"/>
            <w:tcMar>
              <w:top w:w="80" w:type="dxa"/>
              <w:start w:w="120" w:type="dxa"/>
              <w:bottom w:w="80" w:type="dxa"/>
              <w:end w:w="120" w:type="dxa"/>
            </w:tcMar>
          </w:tcPr>
          <w:p>
            <w:r>
              <w:rPr>
                <w:sz w:val="16"/>
              </w:rPr>
              <w:t>Secret scanner results</w:t>
            </w:r>
          </w:p>
        </w:tc>
        <w:tc>
          <w:tcPr>
            <w:tcW w:type="dxa" w:w="2422"/>
            <w:vAlign w:val="center"/>
            <w:tcMar>
              <w:top w:w="80" w:type="dxa"/>
              <w:start w:w="120" w:type="dxa"/>
              <w:bottom w:w="80" w:type="dxa"/>
              <w:end w:w="120" w:type="dxa"/>
            </w:tcMar>
          </w:tcPr>
          <w:p>
            <w:r>
              <w:rPr>
                <w:sz w:val="16"/>
              </w:rPr>
              <w:t>Redacted gitleaks.json</w:t>
            </w:r>
          </w:p>
        </w:tc>
        <w:tc>
          <w:tcPr>
            <w:tcW w:type="dxa" w:w="1824"/>
            <w:vAlign w:val="center"/>
            <w:tcMar>
              <w:top w:w="80" w:type="dxa"/>
              <w:start w:w="120" w:type="dxa"/>
              <w:bottom w:w="80" w:type="dxa"/>
              <w:end w:w="120" w:type="dxa"/>
            </w:tcMar>
          </w:tcPr>
          <w:p>
            <w:r>
              <w:rPr>
                <w:sz w:val="16"/>
              </w:rPr>
              <w:t>Gitleaks 8.30.1 plus manual non-disclosing triage</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No live validation of credential scope; secret values intentionally excluded.</w:t>
            </w:r>
          </w:p>
        </w:tc>
      </w:tr>
      <w:tr>
        <w:tc>
          <w:tcPr>
            <w:tcW w:type="dxa" w:w="666"/>
            <w:vAlign w:val="center"/>
            <w:tcMar>
              <w:top w:w="80" w:type="dxa"/>
              <w:start w:w="120" w:type="dxa"/>
              <w:bottom w:w="80" w:type="dxa"/>
              <w:end w:w="120" w:type="dxa"/>
            </w:tcMar>
          </w:tcPr>
          <w:p>
            <w:r>
              <w:rPr>
                <w:sz w:val="16"/>
              </w:rPr>
              <w:t>EVD-BBX-006</w:t>
            </w:r>
          </w:p>
        </w:tc>
        <w:tc>
          <w:tcPr>
            <w:tcW w:type="dxa" w:w="1128"/>
            <w:vAlign w:val="center"/>
            <w:tcMar>
              <w:top w:w="80" w:type="dxa"/>
              <w:start w:w="120" w:type="dxa"/>
              <w:bottom w:w="80" w:type="dxa"/>
              <w:end w:w="120" w:type="dxa"/>
            </w:tcMar>
          </w:tcPr>
          <w:p>
            <w:r>
              <w:rPr>
                <w:sz w:val="16"/>
              </w:rPr>
              <w:t>Malware scan results</w:t>
            </w:r>
          </w:p>
        </w:tc>
        <w:tc>
          <w:tcPr>
            <w:tcW w:type="dxa" w:w="2422"/>
            <w:vAlign w:val="center"/>
            <w:tcMar>
              <w:top w:w="80" w:type="dxa"/>
              <w:start w:w="120" w:type="dxa"/>
              <w:bottom w:w="80" w:type="dxa"/>
              <w:end w:w="120" w:type="dxa"/>
            </w:tcMar>
          </w:tcPr>
          <w:p>
            <w:r>
              <w:rPr>
                <w:sz w:val="16"/>
              </w:rPr>
              <w:t>clamav-findings.txt</w:t>
            </w:r>
          </w:p>
        </w:tc>
        <w:tc>
          <w:tcPr>
            <w:tcW w:type="dxa" w:w="1824"/>
            <w:vAlign w:val="center"/>
            <w:tcMar>
              <w:top w:w="80" w:type="dxa"/>
              <w:start w:w="120" w:type="dxa"/>
              <w:bottom w:w="80" w:type="dxa"/>
              <w:end w:w="120" w:type="dxa"/>
            </w:tcMar>
          </w:tcPr>
          <w:p>
            <w:r>
              <w:rPr>
                <w:sz w:val="16"/>
              </w:rPr>
              <w:t>ClamAV 1.5.3 static scan</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No detections, but signature database was more than seven days old; not proof of safety.</w:t>
            </w:r>
          </w:p>
        </w:tc>
      </w:tr>
      <w:tr>
        <w:tc>
          <w:tcPr>
            <w:tcW w:type="dxa" w:w="666"/>
            <w:vAlign w:val="center"/>
            <w:tcMar>
              <w:top w:w="80" w:type="dxa"/>
              <w:start w:w="120" w:type="dxa"/>
              <w:bottom w:w="80" w:type="dxa"/>
              <w:end w:w="120" w:type="dxa"/>
            </w:tcMar>
          </w:tcPr>
          <w:p>
            <w:r>
              <w:rPr>
                <w:sz w:val="16"/>
              </w:rPr>
              <w:t>EVD-BBX-007</w:t>
            </w:r>
          </w:p>
        </w:tc>
        <w:tc>
          <w:tcPr>
            <w:tcW w:type="dxa" w:w="1128"/>
            <w:vAlign w:val="center"/>
            <w:tcMar>
              <w:top w:w="80" w:type="dxa"/>
              <w:start w:w="120" w:type="dxa"/>
              <w:bottom w:w="80" w:type="dxa"/>
              <w:end w:w="120" w:type="dxa"/>
            </w:tcMar>
          </w:tcPr>
          <w:p>
            <w:r>
              <w:rPr>
                <w:sz w:val="16"/>
              </w:rPr>
              <w:t>Static rules scan</w:t>
            </w:r>
          </w:p>
        </w:tc>
        <w:tc>
          <w:tcPr>
            <w:tcW w:type="dxa" w:w="2422"/>
            <w:vAlign w:val="center"/>
            <w:tcMar>
              <w:top w:w="80" w:type="dxa"/>
              <w:start w:w="120" w:type="dxa"/>
              <w:bottom w:w="80" w:type="dxa"/>
              <w:end w:w="120" w:type="dxa"/>
            </w:tcMar>
          </w:tcPr>
          <w:p>
            <w:r>
              <w:rPr>
                <w:sz w:val="16"/>
              </w:rPr>
              <w:t>semgrep.json</w:t>
            </w:r>
          </w:p>
        </w:tc>
        <w:tc>
          <w:tcPr>
            <w:tcW w:type="dxa" w:w="1824"/>
            <w:vAlign w:val="center"/>
            <w:tcMar>
              <w:top w:w="80" w:type="dxa"/>
              <w:start w:w="120" w:type="dxa"/>
              <w:bottom w:w="80" w:type="dxa"/>
              <w:end w:w="120" w:type="dxa"/>
            </w:tcMar>
          </w:tcPr>
          <w:p>
            <w:r>
              <w:rPr>
                <w:sz w:val="16"/>
              </w:rPr>
              <w:t>Semgrep 1.172.0, 309 JavaScript rules</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No findings; one syntax limitation and three timeouts on generated bundles.</w:t>
            </w:r>
          </w:p>
        </w:tc>
      </w:tr>
      <w:tr>
        <w:tc>
          <w:tcPr>
            <w:tcW w:type="dxa" w:w="666"/>
            <w:vAlign w:val="center"/>
            <w:tcMar>
              <w:top w:w="80" w:type="dxa"/>
              <w:start w:w="120" w:type="dxa"/>
              <w:bottom w:w="80" w:type="dxa"/>
              <w:end w:w="120" w:type="dxa"/>
            </w:tcMar>
          </w:tcPr>
          <w:p>
            <w:r>
              <w:rPr>
                <w:sz w:val="16"/>
              </w:rPr>
              <w:t>EVD-BBX-008</w:t>
            </w:r>
          </w:p>
        </w:tc>
        <w:tc>
          <w:tcPr>
            <w:tcW w:type="dxa" w:w="1128"/>
            <w:vAlign w:val="center"/>
            <w:tcMar>
              <w:top w:w="80" w:type="dxa"/>
              <w:start w:w="120" w:type="dxa"/>
              <w:bottom w:w="80" w:type="dxa"/>
              <w:end w:w="120" w:type="dxa"/>
            </w:tcMar>
          </w:tcPr>
          <w:p>
            <w:r>
              <w:rPr>
                <w:sz w:val="16"/>
              </w:rPr>
              <w:t>CycloneDX package inventory</w:t>
            </w:r>
          </w:p>
        </w:tc>
        <w:tc>
          <w:tcPr>
            <w:tcW w:type="dxa" w:w="2422"/>
            <w:vAlign w:val="center"/>
            <w:tcMar>
              <w:top w:w="80" w:type="dxa"/>
              <w:start w:w="120" w:type="dxa"/>
              <w:bottom w:w="80" w:type="dxa"/>
              <w:end w:w="120" w:type="dxa"/>
            </w:tcMar>
          </w:tcPr>
          <w:p>
            <w:r>
              <w:rPr>
                <w:sz w:val="16"/>
              </w:rPr>
              <w:t>sbom.cdx.json</w:t>
            </w:r>
          </w:p>
        </w:tc>
        <w:tc>
          <w:tcPr>
            <w:tcW w:type="dxa" w:w="1824"/>
            <w:vAlign w:val="center"/>
            <w:tcMar>
              <w:top w:w="80" w:type="dxa"/>
              <w:start w:w="120" w:type="dxa"/>
              <w:bottom w:w="80" w:type="dxa"/>
              <w:end w:w="120" w:type="dxa"/>
            </w:tcMar>
          </w:tcPr>
          <w:p>
            <w:r>
              <w:rPr>
                <w:sz w:val="16"/>
              </w:rPr>
              <w:t>Syft 1.50.0 SBOM generation</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Generated SBOM is not a vendor attestation and may include unreachable components.</w:t>
            </w:r>
          </w:p>
        </w:tc>
      </w:tr>
      <w:tr>
        <w:tc>
          <w:tcPr>
            <w:tcW w:type="dxa" w:w="666"/>
            <w:vAlign w:val="center"/>
            <w:tcMar>
              <w:top w:w="80" w:type="dxa"/>
              <w:start w:w="120" w:type="dxa"/>
              <w:bottom w:w="80" w:type="dxa"/>
              <w:end w:w="120" w:type="dxa"/>
            </w:tcMar>
          </w:tcPr>
          <w:p>
            <w:r>
              <w:rPr>
                <w:sz w:val="16"/>
              </w:rPr>
              <w:t>EVD-BBX-009</w:t>
            </w:r>
          </w:p>
        </w:tc>
        <w:tc>
          <w:tcPr>
            <w:tcW w:type="dxa" w:w="1128"/>
            <w:vAlign w:val="center"/>
            <w:tcMar>
              <w:top w:w="80" w:type="dxa"/>
              <w:start w:w="120" w:type="dxa"/>
              <w:bottom w:w="80" w:type="dxa"/>
              <w:end w:w="120" w:type="dxa"/>
            </w:tcMar>
          </w:tcPr>
          <w:p>
            <w:r>
              <w:rPr>
                <w:sz w:val="16"/>
              </w:rPr>
              <w:t>Vulnerability scan</w:t>
            </w:r>
          </w:p>
        </w:tc>
        <w:tc>
          <w:tcPr>
            <w:tcW w:type="dxa" w:w="2422"/>
            <w:vAlign w:val="center"/>
            <w:tcMar>
              <w:top w:w="80" w:type="dxa"/>
              <w:start w:w="120" w:type="dxa"/>
              <w:bottom w:w="80" w:type="dxa"/>
              <w:end w:w="120" w:type="dxa"/>
            </w:tcMar>
          </w:tcPr>
          <w:p>
            <w:r>
              <w:rPr>
                <w:sz w:val="16"/>
              </w:rPr>
              <w:t>grype.json</w:t>
            </w:r>
          </w:p>
        </w:tc>
        <w:tc>
          <w:tcPr>
            <w:tcW w:type="dxa" w:w="1824"/>
            <w:vAlign w:val="center"/>
            <w:tcMar>
              <w:top w:w="80" w:type="dxa"/>
              <w:start w:w="120" w:type="dxa"/>
              <w:bottom w:w="80" w:type="dxa"/>
              <w:end w:w="120" w:type="dxa"/>
            </w:tcMar>
          </w:tcPr>
          <w:p>
            <w:r>
              <w:rPr>
                <w:sz w:val="16"/>
              </w:rPr>
              <w:t>Grype 0.116.1 package and dependency matching</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Matches require reachability and configuration analysis; database activation warning recorded by operator.</w:t>
            </w:r>
          </w:p>
        </w:tc>
      </w:tr>
      <w:tr>
        <w:tc>
          <w:tcPr>
            <w:tcW w:type="dxa" w:w="666"/>
            <w:vAlign w:val="center"/>
            <w:tcMar>
              <w:top w:w="80" w:type="dxa"/>
              <w:start w:w="120" w:type="dxa"/>
              <w:bottom w:w="80" w:type="dxa"/>
              <w:end w:w="120" w:type="dxa"/>
            </w:tcMar>
          </w:tcPr>
          <w:p>
            <w:r>
              <w:rPr>
                <w:sz w:val="16"/>
              </w:rPr>
              <w:t>EVD-BBX-010</w:t>
            </w:r>
          </w:p>
        </w:tc>
        <w:tc>
          <w:tcPr>
            <w:tcW w:type="dxa" w:w="1128"/>
            <w:vAlign w:val="center"/>
            <w:tcMar>
              <w:top w:w="80" w:type="dxa"/>
              <w:start w:w="120" w:type="dxa"/>
              <w:bottom w:w="80" w:type="dxa"/>
              <w:end w:w="120" w:type="dxa"/>
            </w:tcMar>
          </w:tcPr>
          <w:p>
            <w:r>
              <w:rPr>
                <w:sz w:val="16"/>
              </w:rPr>
              <w:t>Vendor privacy and terms</w:t>
            </w:r>
          </w:p>
        </w:tc>
        <w:tc>
          <w:tcPr>
            <w:tcW w:type="dxa" w:w="2422"/>
            <w:vAlign w:val="center"/>
            <w:tcMar>
              <w:top w:w="80" w:type="dxa"/>
              <w:start w:w="120" w:type="dxa"/>
              <w:bottom w:w="80" w:type="dxa"/>
              <w:end w:w="120" w:type="dxa"/>
            </w:tcMar>
          </w:tcPr>
          <w:p>
            <w:r>
              <w:rPr>
                <w:sz w:val="16"/>
              </w:rPr>
              <w:t>Official Blackbox privacy policy and terms of service</w:t>
            </w:r>
          </w:p>
        </w:tc>
        <w:tc>
          <w:tcPr>
            <w:tcW w:type="dxa" w:w="1824"/>
            <w:vAlign w:val="center"/>
            <w:tcMar>
              <w:top w:w="80" w:type="dxa"/>
              <w:start w:w="120" w:type="dxa"/>
              <w:bottom w:w="80" w:type="dxa"/>
              <w:end w:w="120" w:type="dxa"/>
            </w:tcMar>
          </w:tcPr>
          <w:p>
            <w:r>
              <w:rPr>
                <w:sz w:val="16"/>
              </w:rPr>
              <w:t>Primary legal-page review</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General service terms are not version-specific technical or contractual assurance for this deployment.</w:t>
            </w:r>
          </w:p>
        </w:tc>
      </w:tr>
      <w:tr>
        <w:tc>
          <w:tcPr>
            <w:tcW w:type="dxa" w:w="666"/>
            <w:vAlign w:val="center"/>
            <w:tcMar>
              <w:top w:w="80" w:type="dxa"/>
              <w:start w:w="120" w:type="dxa"/>
              <w:bottom w:w="80" w:type="dxa"/>
              <w:end w:w="120" w:type="dxa"/>
            </w:tcMar>
          </w:tcPr>
          <w:p>
            <w:r>
              <w:rPr>
                <w:sz w:val="16"/>
              </w:rPr>
              <w:t>EVD-BBX-011</w:t>
            </w:r>
          </w:p>
        </w:tc>
        <w:tc>
          <w:tcPr>
            <w:tcW w:type="dxa" w:w="1128"/>
            <w:vAlign w:val="center"/>
            <w:tcMar>
              <w:top w:w="80" w:type="dxa"/>
              <w:start w:w="120" w:type="dxa"/>
              <w:bottom w:w="80" w:type="dxa"/>
              <w:end w:w="120" w:type="dxa"/>
            </w:tcMar>
          </w:tcPr>
          <w:p>
            <w:r>
              <w:rPr>
                <w:sz w:val="16"/>
              </w:rPr>
              <w:t>Runtime evidence</w:t>
            </w:r>
          </w:p>
        </w:tc>
        <w:tc>
          <w:tcPr>
            <w:tcW w:type="dxa" w:w="2422"/>
            <w:vAlign w:val="center"/>
            <w:tcMar>
              <w:top w:w="80" w:type="dxa"/>
              <w:start w:w="120" w:type="dxa"/>
              <w:bottom w:w="80" w:type="dxa"/>
              <w:end w:w="120" w:type="dxa"/>
            </w:tcMar>
          </w:tcPr>
          <w:p>
            <w:r>
              <w:rPr>
                <w:sz w:val="16"/>
              </w:rPr>
              <w:t>Representative disposable VS Code host</w:t>
            </w:r>
          </w:p>
        </w:tc>
        <w:tc>
          <w:tcPr>
            <w:tcW w:type="dxa" w:w="1824"/>
            <w:vAlign w:val="center"/>
            <w:tcMar>
              <w:top w:w="80" w:type="dxa"/>
              <w:start w:w="120" w:type="dxa"/>
              <w:bottom w:w="80" w:type="dxa"/>
              <w:end w:w="120" w:type="dxa"/>
            </w:tcMar>
          </w:tcPr>
          <w:p>
            <w:r>
              <w:rPr>
                <w:sz w:val="16"/>
              </w:rPr>
              <w:t>Planned controlled runtime analysis</w:t>
            </w:r>
          </w:p>
        </w:tc>
        <w:tc>
          <w:tcPr>
            <w:tcW w:type="dxa" w:w="666"/>
            <w:vAlign w:val="center"/>
            <w:tcMar>
              <w:top w:w="80" w:type="dxa"/>
              <w:start w:w="120" w:type="dxa"/>
              <w:bottom w:w="80" w:type="dxa"/>
              <w:end w:w="120" w:type="dxa"/>
            </w:tcMar>
          </w:tcPr>
          <w:p>
            <w:r>
              <w:rPr>
                <w:sz w:val="16"/>
              </w:rPr>
              <w:t>Blocked</w:t>
            </w:r>
          </w:p>
        </w:tc>
        <w:tc>
          <w:tcPr>
            <w:tcW w:type="dxa" w:w="2654"/>
            <w:vAlign w:val="center"/>
            <w:tcMar>
              <w:top w:w="80" w:type="dxa"/>
              <w:start w:w="120" w:type="dxa"/>
              <w:bottom w:w="80" w:type="dxa"/>
              <w:end w:w="120" w:type="dxa"/>
            </w:tcMar>
          </w:tcPr>
          <w:p>
            <w:r>
              <w:rPr>
                <w:sz w:val="16"/>
              </w:rPr>
              <w:t>No approved representative disposable host, synthetic account, network controls, or rollback baseline was available.</w:t>
            </w:r>
          </w:p>
        </w:tc>
      </w:tr>
      <w:tr>
        <w:tc>
          <w:tcPr>
            <w:tcW w:type="dxa" w:w="666"/>
            <w:vAlign w:val="center"/>
            <w:tcMar>
              <w:top w:w="80" w:type="dxa"/>
              <w:start w:w="120" w:type="dxa"/>
              <w:bottom w:w="80" w:type="dxa"/>
              <w:end w:w="120" w:type="dxa"/>
            </w:tcMar>
          </w:tcPr>
          <w:p>
            <w:r>
              <w:rPr>
                <w:sz w:val="16"/>
              </w:rPr>
              <w:t>EVD-BBX-012</w:t>
            </w:r>
          </w:p>
        </w:tc>
        <w:tc>
          <w:tcPr>
            <w:tcW w:type="dxa" w:w="1128"/>
            <w:vAlign w:val="center"/>
            <w:tcMar>
              <w:top w:w="80" w:type="dxa"/>
              <w:start w:w="120" w:type="dxa"/>
              <w:bottom w:w="80" w:type="dxa"/>
              <w:end w:w="120" w:type="dxa"/>
            </w:tcMar>
          </w:tcPr>
          <w:p>
            <w:r>
              <w:rPr>
                <w:sz w:val="16"/>
              </w:rPr>
              <w:t>Source and build provenance</w:t>
            </w:r>
          </w:p>
        </w:tc>
        <w:tc>
          <w:tcPr>
            <w:tcW w:type="dxa" w:w="2422"/>
            <w:vAlign w:val="center"/>
            <w:tcMar>
              <w:top w:w="80" w:type="dxa"/>
              <w:start w:w="120" w:type="dxa"/>
              <w:bottom w:w="80" w:type="dxa"/>
              <w:end w:w="120" w:type="dxa"/>
            </w:tcMar>
          </w:tcPr>
          <w:p>
            <w:r>
              <w:rPr>
                <w:sz w:val="16"/>
              </w:rPr>
              <w:t>Versioned public source, vendor SBOM, build attestation</w:t>
            </w:r>
          </w:p>
        </w:tc>
        <w:tc>
          <w:tcPr>
            <w:tcW w:type="dxa" w:w="1824"/>
            <w:vAlign w:val="center"/>
            <w:tcMar>
              <w:top w:w="80" w:type="dxa"/>
              <w:start w:w="120" w:type="dxa"/>
              <w:bottom w:w="80" w:type="dxa"/>
              <w:end w:w="120" w:type="dxa"/>
            </w:tcMar>
          </w:tcPr>
          <w:p>
            <w:r>
              <w:rPr>
                <w:sz w:val="16"/>
              </w:rPr>
              <w:t>Package manifest and public-source search</w:t>
            </w:r>
          </w:p>
        </w:tc>
        <w:tc>
          <w:tcPr>
            <w:tcW w:type="dxa" w:w="666"/>
            <w:vAlign w:val="center"/>
            <w:tcMar>
              <w:top w:w="80" w:type="dxa"/>
              <w:start w:w="120" w:type="dxa"/>
              <w:bottom w:w="80" w:type="dxa"/>
              <w:end w:w="120" w:type="dxa"/>
            </w:tcMar>
          </w:tcPr>
          <w:p>
            <w:r>
              <w:rPr>
                <w:sz w:val="16"/>
              </w:rPr>
              <w:t>Unknown</w:t>
            </w:r>
          </w:p>
        </w:tc>
        <w:tc>
          <w:tcPr>
            <w:tcW w:type="dxa" w:w="2654"/>
            <w:vAlign w:val="center"/>
            <w:tcMar>
              <w:top w:w="80" w:type="dxa"/>
              <w:start w:w="120" w:type="dxa"/>
              <w:bottom w:w="80" w:type="dxa"/>
              <w:end w:w="120" w:type="dxa"/>
            </w:tcMar>
          </w:tcPr>
          <w:p>
            <w:r>
              <w:rPr>
                <w:sz w:val="16"/>
              </w:rPr>
              <w:t>Manifest repository URL and licence fields are empty; no source-to-package comparison was possible.</w:t>
            </w:r>
          </w:p>
        </w:tc>
      </w:tr>
      <w:tr>
        <w:tc>
          <w:tcPr>
            <w:tcW w:type="dxa" w:w="666"/>
            <w:vAlign w:val="center"/>
            <w:tcMar>
              <w:top w:w="80" w:type="dxa"/>
              <w:start w:w="120" w:type="dxa"/>
              <w:bottom w:w="80" w:type="dxa"/>
              <w:end w:w="120" w:type="dxa"/>
            </w:tcMar>
          </w:tcPr>
          <w:p>
            <w:r>
              <w:rPr>
                <w:sz w:val="16"/>
              </w:rPr>
              <w:t>EVD-BBX-013</w:t>
            </w:r>
          </w:p>
        </w:tc>
        <w:tc>
          <w:tcPr>
            <w:tcW w:type="dxa" w:w="1128"/>
            <w:vAlign w:val="center"/>
            <w:tcMar>
              <w:top w:w="80" w:type="dxa"/>
              <w:start w:w="120" w:type="dxa"/>
              <w:bottom w:w="80" w:type="dxa"/>
              <w:end w:w="120" w:type="dxa"/>
            </w:tcMar>
          </w:tcPr>
          <w:p>
            <w:r>
              <w:rPr>
                <w:sz w:val="16"/>
              </w:rPr>
              <w:t>Trivy package scan</w:t>
            </w:r>
          </w:p>
        </w:tc>
        <w:tc>
          <w:tcPr>
            <w:tcW w:type="dxa" w:w="2422"/>
            <w:vAlign w:val="center"/>
            <w:tcMar>
              <w:top w:w="80" w:type="dxa"/>
              <w:start w:w="120" w:type="dxa"/>
              <w:bottom w:w="80" w:type="dxa"/>
              <w:end w:w="120" w:type="dxa"/>
            </w:tcMar>
          </w:tcPr>
          <w:p>
            <w:r>
              <w:rPr>
                <w:sz w:val="16"/>
              </w:rPr>
              <w:t>trivy-package.json</w:t>
            </w:r>
          </w:p>
        </w:tc>
        <w:tc>
          <w:tcPr>
            <w:tcW w:type="dxa" w:w="1824"/>
            <w:vAlign w:val="center"/>
            <w:tcMar>
              <w:top w:w="80" w:type="dxa"/>
              <w:start w:w="120" w:type="dxa"/>
              <w:bottom w:w="80" w:type="dxa"/>
              <w:end w:w="120" w:type="dxa"/>
            </w:tcMar>
          </w:tcPr>
          <w:p>
            <w:r>
              <w:rPr>
                <w:sz w:val="16"/>
              </w:rPr>
              <w:t>Trivy 0.72.0 vulnerability and secret scan</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Twenty-three vulnerability records and one secret signal overlap other package triage; reachability and live credential scope are not established.</w:t>
            </w:r>
          </w:p>
        </w:tc>
      </w:tr>
      <w:tr>
        <w:tc>
          <w:tcPr>
            <w:tcW w:type="dxa" w:w="666"/>
            <w:vAlign w:val="center"/>
            <w:tcMar>
              <w:top w:w="80" w:type="dxa"/>
              <w:start w:w="120" w:type="dxa"/>
              <w:bottom w:w="80" w:type="dxa"/>
              <w:end w:w="120" w:type="dxa"/>
            </w:tcMar>
          </w:tcPr>
          <w:p>
            <w:r>
              <w:rPr>
                <w:sz w:val="16"/>
              </w:rPr>
              <w:t>EVD-BBX-014</w:t>
            </w:r>
          </w:p>
        </w:tc>
        <w:tc>
          <w:tcPr>
            <w:tcW w:type="dxa" w:w="1128"/>
            <w:vAlign w:val="center"/>
            <w:tcMar>
              <w:top w:w="80" w:type="dxa"/>
              <w:start w:w="120" w:type="dxa"/>
              <w:bottom w:w="80" w:type="dxa"/>
              <w:end w:w="120" w:type="dxa"/>
            </w:tcMar>
          </w:tcPr>
          <w:p>
            <w:r>
              <w:rPr>
                <w:sz w:val="16"/>
              </w:rPr>
              <w:t>YARA static heuristics</w:t>
            </w:r>
          </w:p>
        </w:tc>
        <w:tc>
          <w:tcPr>
            <w:tcW w:type="dxa" w:w="2422"/>
            <w:vAlign w:val="center"/>
            <w:tcMar>
              <w:top w:w="80" w:type="dxa"/>
              <w:start w:w="120" w:type="dxa"/>
              <w:bottom w:w="80" w:type="dxa"/>
              <w:end w:w="120" w:type="dxa"/>
            </w:tcMar>
          </w:tcPr>
          <w:p>
            <w:r>
              <w:rPr>
                <w:sz w:val="16"/>
              </w:rPr>
              <w:t>ai-extension-static-heuristics.yar and yara-heuristics.log</w:t>
            </w:r>
          </w:p>
        </w:tc>
        <w:tc>
          <w:tcPr>
            <w:tcW w:type="dxa" w:w="1824"/>
            <w:vAlign w:val="center"/>
            <w:tcMar>
              <w:top w:w="80" w:type="dxa"/>
              <w:start w:w="120" w:type="dxa"/>
              <w:bottom w:w="80" w:type="dxa"/>
              <w:end w:w="120" w:type="dxa"/>
            </w:tcMar>
          </w:tcPr>
          <w:p>
            <w:r>
              <w:rPr>
                <w:sz w:val="16"/>
              </w:rPr>
              <w:t>YARA 4.5.8 bounded static heuristic scan</w:t>
            </w:r>
          </w:p>
        </w:tc>
        <w:tc>
          <w:tcPr>
            <w:tcW w:type="dxa" w:w="666"/>
            <w:vAlign w:val="center"/>
            <w:tcMar>
              <w:top w:w="80" w:type="dxa"/>
              <w:start w:w="120" w:type="dxa"/>
              <w:bottom w:w="80" w:type="dxa"/>
              <w:end w:w="120" w:type="dxa"/>
            </w:tcMar>
          </w:tcPr>
          <w:p>
            <w:r>
              <w:rPr>
                <w:sz w:val="16"/>
              </w:rPr>
              <w:t>Verified</w:t>
            </w:r>
          </w:p>
        </w:tc>
        <w:tc>
          <w:tcPr>
            <w:tcW w:type="dxa" w:w="2654"/>
            <w:vAlign w:val="center"/>
            <w:tcMar>
              <w:top w:w="80" w:type="dxa"/>
              <w:start w:w="120" w:type="dxa"/>
              <w:bottom w:w="80" w:type="dxa"/>
              <w:end w:w="120" w:type="dxa"/>
            </w:tcMar>
          </w:tcPr>
          <w:p>
            <w:r>
              <w:rPr>
                <w:sz w:val="16"/>
              </w:rPr>
              <w:t>The dynamic-evaluation/encoded-data match is an expected-capability review signal, not a malware determination; three heuristic non-matches do not prove absence.</w:t>
            </w:r>
          </w:p>
        </w:tc>
      </w:tr>
    </w:tbl>
    <w:p/>
    <w:p>
      <w:pPr>
        <w:pStyle w:val="Heading1"/>
      </w:pPr>
      <w:r>
        <w:t>References</w:t>
      </w:r>
    </w:p>
    <w:tbl>
      <w:tblPr>
        <w:tblStyle w:val="TableGrid"/>
        <w:tblW w:type="dxa" w:w="9360"/>
        <w:tblLayout w:type="fixed"/>
        <w:tblLook w:firstColumn="1" w:firstRow="1" w:lastColumn="0" w:lastRow="0" w:noHBand="0" w:noVBand="1" w:val="04A0"/>
        <w:tblInd w:w="120" w:type="dxa"/>
      </w:tblPr>
      <w:tblGrid>
        <w:gridCol w:w="659"/>
        <w:gridCol w:w="2331"/>
        <w:gridCol w:w="1049"/>
        <w:gridCol w:w="2331"/>
        <w:gridCol w:w="659"/>
        <w:gridCol w:w="2331"/>
      </w:tblGrid>
      <w:tr>
        <w:trPr>
          <w:tblHeader w:val="true"/>
        </w:trPr>
        <w:tc>
          <w:tcPr>
            <w:tcW w:type="dxa" w:w="659"/>
            <w:shd w:fill="F2F4F7"/>
            <w:tcMar>
              <w:top w:w="80" w:type="dxa"/>
              <w:start w:w="120" w:type="dxa"/>
              <w:bottom w:w="80" w:type="dxa"/>
              <w:end w:w="120" w:type="dxa"/>
            </w:tcMar>
          </w:tcPr>
          <w:p>
            <w:r>
              <w:t>ID</w:t>
            </w:r>
          </w:p>
        </w:tc>
        <w:tc>
          <w:tcPr>
            <w:tcW w:type="dxa" w:w="2331"/>
            <w:shd w:fill="F2F4F7"/>
            <w:tcMar>
              <w:top w:w="80" w:type="dxa"/>
              <w:start w:w="120" w:type="dxa"/>
              <w:bottom w:w="80" w:type="dxa"/>
              <w:end w:w="120" w:type="dxa"/>
            </w:tcMar>
          </w:tcPr>
          <w:p>
            <w:r>
              <w:t>Title</w:t>
            </w:r>
          </w:p>
        </w:tc>
        <w:tc>
          <w:tcPr>
            <w:tcW w:type="dxa" w:w="1049"/>
            <w:shd w:fill="F2F4F7"/>
            <w:tcMar>
              <w:top w:w="80" w:type="dxa"/>
              <w:start w:w="120" w:type="dxa"/>
              <w:bottom w:w="80" w:type="dxa"/>
              <w:end w:w="120" w:type="dxa"/>
            </w:tcMar>
          </w:tcPr>
          <w:p>
            <w:r>
              <w:t>Publisher</w:t>
            </w:r>
          </w:p>
        </w:tc>
        <w:tc>
          <w:tcPr>
            <w:tcW w:type="dxa" w:w="2331"/>
            <w:shd w:fill="F2F4F7"/>
            <w:tcMar>
              <w:top w:w="80" w:type="dxa"/>
              <w:start w:w="120" w:type="dxa"/>
              <w:bottom w:w="80" w:type="dxa"/>
              <w:end w:w="120" w:type="dxa"/>
            </w:tcMar>
          </w:tcPr>
          <w:p>
            <w:r>
              <w:t>Source</w:t>
            </w:r>
          </w:p>
        </w:tc>
        <w:tc>
          <w:tcPr>
            <w:tcW w:type="dxa" w:w="659"/>
            <w:shd w:fill="F2F4F7"/>
            <w:tcMar>
              <w:top w:w="80" w:type="dxa"/>
              <w:start w:w="120" w:type="dxa"/>
              <w:bottom w:w="80" w:type="dxa"/>
              <w:end w:w="120" w:type="dxa"/>
            </w:tcMar>
          </w:tcPr>
          <w:p>
            <w:r>
              <w:t>Accessed</w:t>
            </w:r>
          </w:p>
        </w:tc>
        <w:tc>
          <w:tcPr>
            <w:tcW w:type="dxa" w:w="2331"/>
            <w:shd w:fill="F2F4F7"/>
            <w:tcMar>
              <w:top w:w="80" w:type="dxa"/>
              <w:start w:w="120" w:type="dxa"/>
              <w:bottom w:w="80" w:type="dxa"/>
              <w:end w:w="120" w:type="dxa"/>
            </w:tcMar>
          </w:tcPr>
          <w:p>
            <w:r>
              <w:t>Applicability</w:t>
            </w:r>
          </w:p>
        </w:tc>
      </w:tr>
      <w:tr>
        <w:tc>
          <w:tcPr>
            <w:tcW w:type="dxa" w:w="659"/>
            <w:vAlign w:val="center"/>
            <w:tcMar>
              <w:top w:w="80" w:type="dxa"/>
              <w:start w:w="120" w:type="dxa"/>
              <w:bottom w:w="80" w:type="dxa"/>
              <w:end w:w="120" w:type="dxa"/>
            </w:tcMar>
          </w:tcPr>
          <w:p>
            <w:bookmarkStart w:id="1000" w:name="REF_001"/>
            <w:r>
              <w:rPr>
                <w:b/>
                <w:sz w:val="16"/>
              </w:rPr>
              <w:t>REF-001</w:t>
            </w:r>
            <w:bookmarkEnd w:id="1000"/>
          </w:p>
        </w:tc>
        <w:tc>
          <w:tcPr>
            <w:tcW w:type="dxa" w:w="2331"/>
            <w:vAlign w:val="center"/>
            <w:tcMar>
              <w:top w:w="80" w:type="dxa"/>
              <w:start w:w="120" w:type="dxa"/>
              <w:bottom w:w="80" w:type="dxa"/>
              <w:end w:w="120" w:type="dxa"/>
            </w:tcMar>
          </w:tcPr>
          <w:p>
            <w:r>
              <w:rPr>
                <w:sz w:val="16"/>
              </w:rPr>
              <w:t>Blackbox Agent - Coding Copilot</w:t>
            </w:r>
          </w:p>
        </w:tc>
        <w:tc>
          <w:tcPr>
            <w:tcW w:type="dxa" w:w="1049"/>
            <w:vAlign w:val="center"/>
            <w:tcMar>
              <w:top w:w="80" w:type="dxa"/>
              <w:start w:w="120" w:type="dxa"/>
              <w:bottom w:w="80" w:type="dxa"/>
              <w:end w:w="120" w:type="dxa"/>
            </w:tcMar>
          </w:tcPr>
          <w:p>
            <w:r>
              <w:rPr>
                <w:sz w:val="16"/>
              </w:rPr>
              <w:t>Microsoft Visual Studio Marketplace</w:t>
            </w:r>
          </w:p>
        </w:tc>
        <w:tc>
          <w:tcPr>
            <w:tcW w:type="dxa" w:w="2331"/>
            <w:vAlign w:val="center"/>
            <w:tcMar>
              <w:top w:w="80" w:type="dxa"/>
              <w:start w:w="120" w:type="dxa"/>
              <w:bottom w:w="80" w:type="dxa"/>
              <w:end w:w="120" w:type="dxa"/>
            </w:tcMar>
          </w:tcPr>
          <w:p>
            <w:hyperlink r:id="rId12">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Official listing for the assessed extension identity and advertised capabilities.</w:t>
            </w:r>
          </w:p>
        </w:tc>
      </w:tr>
      <w:tr>
        <w:tc>
          <w:tcPr>
            <w:tcW w:type="dxa" w:w="659"/>
            <w:vAlign w:val="center"/>
            <w:tcMar>
              <w:top w:w="80" w:type="dxa"/>
              <w:start w:w="120" w:type="dxa"/>
              <w:bottom w:w="80" w:type="dxa"/>
              <w:end w:w="120" w:type="dxa"/>
            </w:tcMar>
          </w:tcPr>
          <w:p>
            <w:bookmarkStart w:id="1001" w:name="REF_002"/>
            <w:r>
              <w:rPr>
                <w:b/>
                <w:sz w:val="16"/>
              </w:rPr>
              <w:t>REF-002</w:t>
            </w:r>
            <w:bookmarkEnd w:id="1001"/>
          </w:p>
        </w:tc>
        <w:tc>
          <w:tcPr>
            <w:tcW w:type="dxa" w:w="2331"/>
            <w:vAlign w:val="center"/>
            <w:tcMar>
              <w:top w:w="80" w:type="dxa"/>
              <w:start w:w="120" w:type="dxa"/>
              <w:bottom w:w="80" w:type="dxa"/>
              <w:end w:w="120" w:type="dxa"/>
            </w:tcMar>
          </w:tcPr>
          <w:p>
            <w:r>
              <w:rPr>
                <w:sz w:val="16"/>
              </w:rPr>
              <w:t>Privacy Policy</w:t>
            </w:r>
          </w:p>
        </w:tc>
        <w:tc>
          <w:tcPr>
            <w:tcW w:type="dxa" w:w="1049"/>
            <w:vAlign w:val="center"/>
            <w:tcMar>
              <w:top w:w="80" w:type="dxa"/>
              <w:start w:w="120" w:type="dxa"/>
              <w:bottom w:w="80" w:type="dxa"/>
              <w:end w:w="120" w:type="dxa"/>
            </w:tcMar>
          </w:tcPr>
          <w:p>
            <w:r>
              <w:rPr>
                <w:sz w:val="16"/>
              </w:rPr>
              <w:t>BLACKBOX AI</w:t>
            </w:r>
          </w:p>
        </w:tc>
        <w:tc>
          <w:tcPr>
            <w:tcW w:type="dxa" w:w="2331"/>
            <w:vAlign w:val="center"/>
            <w:tcMar>
              <w:top w:w="80" w:type="dxa"/>
              <w:start w:w="120" w:type="dxa"/>
              <w:bottom w:w="80" w:type="dxa"/>
              <w:end w:w="120" w:type="dxa"/>
            </w:tcMar>
          </w:tcPr>
          <w:p>
            <w:hyperlink r:id="rId13">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Vendor statements on service data processing, retention, transfers, rights, and extension scope.</w:t>
            </w:r>
          </w:p>
        </w:tc>
      </w:tr>
      <w:tr>
        <w:tc>
          <w:tcPr>
            <w:tcW w:type="dxa" w:w="659"/>
            <w:vAlign w:val="center"/>
            <w:tcMar>
              <w:top w:w="80" w:type="dxa"/>
              <w:start w:w="120" w:type="dxa"/>
              <w:bottom w:w="80" w:type="dxa"/>
              <w:end w:w="120" w:type="dxa"/>
            </w:tcMar>
          </w:tcPr>
          <w:p>
            <w:bookmarkStart w:id="1002" w:name="REF_003"/>
            <w:r>
              <w:rPr>
                <w:b/>
                <w:sz w:val="16"/>
              </w:rPr>
              <w:t>REF-003</w:t>
            </w:r>
            <w:bookmarkEnd w:id="1002"/>
          </w:p>
        </w:tc>
        <w:tc>
          <w:tcPr>
            <w:tcW w:type="dxa" w:w="2331"/>
            <w:vAlign w:val="center"/>
            <w:tcMar>
              <w:top w:w="80" w:type="dxa"/>
              <w:start w:w="120" w:type="dxa"/>
              <w:bottom w:w="80" w:type="dxa"/>
              <w:end w:w="120" w:type="dxa"/>
            </w:tcMar>
          </w:tcPr>
          <w:p>
            <w:r>
              <w:rPr>
                <w:sz w:val="16"/>
              </w:rPr>
              <w:t>Terms of Service</w:t>
            </w:r>
          </w:p>
        </w:tc>
        <w:tc>
          <w:tcPr>
            <w:tcW w:type="dxa" w:w="1049"/>
            <w:vAlign w:val="center"/>
            <w:tcMar>
              <w:top w:w="80" w:type="dxa"/>
              <w:start w:w="120" w:type="dxa"/>
              <w:bottom w:w="80" w:type="dxa"/>
              <w:end w:w="120" w:type="dxa"/>
            </w:tcMar>
          </w:tcPr>
          <w:p>
            <w:r>
              <w:rPr>
                <w:sz w:val="16"/>
              </w:rPr>
              <w:t>BLACKBOX AI</w:t>
            </w:r>
          </w:p>
        </w:tc>
        <w:tc>
          <w:tcPr>
            <w:tcW w:type="dxa" w:w="2331"/>
            <w:vAlign w:val="center"/>
            <w:tcMar>
              <w:top w:w="80" w:type="dxa"/>
              <w:start w:w="120" w:type="dxa"/>
              <w:bottom w:w="80" w:type="dxa"/>
              <w:end w:w="120" w:type="dxa"/>
            </w:tcMar>
          </w:tcPr>
          <w:p>
            <w:hyperlink r:id="rId14">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Vendor terms concerning user data, safeguards, services, results, and responsibilities.</w:t>
            </w:r>
          </w:p>
        </w:tc>
      </w:tr>
      <w:tr>
        <w:tc>
          <w:tcPr>
            <w:tcW w:type="dxa" w:w="659"/>
            <w:vAlign w:val="center"/>
            <w:tcMar>
              <w:top w:w="80" w:type="dxa"/>
              <w:start w:w="120" w:type="dxa"/>
              <w:bottom w:w="80" w:type="dxa"/>
              <w:end w:w="120" w:type="dxa"/>
            </w:tcMar>
          </w:tcPr>
          <w:p>
            <w:bookmarkStart w:id="1003" w:name="REF_004"/>
            <w:r>
              <w:rPr>
                <w:b/>
                <w:sz w:val="16"/>
              </w:rPr>
              <w:t>REF-004</w:t>
            </w:r>
            <w:bookmarkEnd w:id="1003"/>
          </w:p>
        </w:tc>
        <w:tc>
          <w:tcPr>
            <w:tcW w:type="dxa" w:w="2331"/>
            <w:vAlign w:val="center"/>
            <w:tcMar>
              <w:top w:w="80" w:type="dxa"/>
              <w:start w:w="120" w:type="dxa"/>
              <w:bottom w:w="80" w:type="dxa"/>
              <w:end w:w="120" w:type="dxa"/>
            </w:tcMar>
          </w:tcPr>
          <w:p>
            <w:r>
              <w:rPr>
                <w:sz w:val="16"/>
              </w:rPr>
              <w:t>BLACKBOX AI product site</w:t>
            </w:r>
          </w:p>
        </w:tc>
        <w:tc>
          <w:tcPr>
            <w:tcW w:type="dxa" w:w="1049"/>
            <w:vAlign w:val="center"/>
            <w:tcMar>
              <w:top w:w="80" w:type="dxa"/>
              <w:start w:w="120" w:type="dxa"/>
              <w:bottom w:w="80" w:type="dxa"/>
              <w:end w:w="120" w:type="dxa"/>
            </w:tcMar>
          </w:tcPr>
          <w:p>
            <w:r>
              <w:rPr>
                <w:sz w:val="16"/>
              </w:rPr>
              <w:t>BLACKBOX AI</w:t>
            </w:r>
          </w:p>
        </w:tc>
        <w:tc>
          <w:tcPr>
            <w:tcW w:type="dxa" w:w="2331"/>
            <w:vAlign w:val="center"/>
            <w:tcMar>
              <w:top w:w="80" w:type="dxa"/>
              <w:start w:w="120" w:type="dxa"/>
              <w:bottom w:w="80" w:type="dxa"/>
              <w:end w:w="120" w:type="dxa"/>
            </w:tcMar>
          </w:tcPr>
          <w:p>
            <w:hyperlink r:id="rId15">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Current vendor product and encrypted-inference claims; treated as claims pending deployment-specific verification.</w:t>
            </w:r>
          </w:p>
        </w:tc>
      </w:tr>
      <w:tr>
        <w:tc>
          <w:tcPr>
            <w:tcW w:type="dxa" w:w="659"/>
            <w:vAlign w:val="center"/>
            <w:tcMar>
              <w:top w:w="80" w:type="dxa"/>
              <w:start w:w="120" w:type="dxa"/>
              <w:bottom w:w="80" w:type="dxa"/>
              <w:end w:w="120" w:type="dxa"/>
            </w:tcMar>
          </w:tcPr>
          <w:p>
            <w:bookmarkStart w:id="1004" w:name="REF_005"/>
            <w:r>
              <w:rPr>
                <w:b/>
                <w:sz w:val="16"/>
              </w:rPr>
              <w:t>REF-005</w:t>
            </w:r>
            <w:bookmarkEnd w:id="1004"/>
          </w:p>
        </w:tc>
        <w:tc>
          <w:tcPr>
            <w:tcW w:type="dxa" w:w="2331"/>
            <w:vAlign w:val="center"/>
            <w:tcMar>
              <w:top w:w="80" w:type="dxa"/>
              <w:start w:w="120" w:type="dxa"/>
              <w:bottom w:w="80" w:type="dxa"/>
              <w:end w:w="120" w:type="dxa"/>
            </w:tcMar>
          </w:tcPr>
          <w:p>
            <w:r>
              <w:rPr>
                <w:sz w:val="16"/>
              </w:rPr>
              <w:t>Zero Data Retention</w:t>
            </w:r>
          </w:p>
        </w:tc>
        <w:tc>
          <w:tcPr>
            <w:tcW w:type="dxa" w:w="1049"/>
            <w:vAlign w:val="center"/>
            <w:tcMar>
              <w:top w:w="80" w:type="dxa"/>
              <w:start w:w="120" w:type="dxa"/>
              <w:bottom w:w="80" w:type="dxa"/>
              <w:end w:w="120" w:type="dxa"/>
            </w:tcMar>
          </w:tcPr>
          <w:p>
            <w:r>
              <w:rPr>
                <w:sz w:val="16"/>
              </w:rPr>
              <w:t>BLACKBOX AI Documentation</w:t>
            </w:r>
          </w:p>
        </w:tc>
        <w:tc>
          <w:tcPr>
            <w:tcW w:type="dxa" w:w="2331"/>
            <w:vAlign w:val="center"/>
            <w:tcMar>
              <w:top w:w="80" w:type="dxa"/>
              <w:start w:w="120" w:type="dxa"/>
              <w:bottom w:w="80" w:type="dxa"/>
              <w:end w:w="120" w:type="dxa"/>
            </w:tcMar>
          </w:tcPr>
          <w:p>
            <w:hyperlink r:id="rId16">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Explains endpoint-specific retention variability and ZDR selection; API behavior not assumed for this extension.</w:t>
            </w:r>
          </w:p>
        </w:tc>
      </w:tr>
      <w:tr>
        <w:tc>
          <w:tcPr>
            <w:tcW w:type="dxa" w:w="659"/>
            <w:vAlign w:val="center"/>
            <w:tcMar>
              <w:top w:w="80" w:type="dxa"/>
              <w:start w:w="120" w:type="dxa"/>
              <w:bottom w:w="80" w:type="dxa"/>
              <w:end w:w="120" w:type="dxa"/>
            </w:tcMar>
          </w:tcPr>
          <w:p>
            <w:bookmarkStart w:id="1005" w:name="REF_006"/>
            <w:r>
              <w:rPr>
                <w:b/>
                <w:sz w:val="16"/>
              </w:rPr>
              <w:t>REF-006</w:t>
            </w:r>
            <w:bookmarkEnd w:id="1005"/>
          </w:p>
        </w:tc>
        <w:tc>
          <w:tcPr>
            <w:tcW w:type="dxa" w:w="2331"/>
            <w:vAlign w:val="center"/>
            <w:tcMar>
              <w:top w:w="80" w:type="dxa"/>
              <w:start w:w="120" w:type="dxa"/>
              <w:bottom w:w="80" w:type="dxa"/>
              <w:end w:w="120" w:type="dxa"/>
            </w:tcMar>
          </w:tcPr>
          <w:p>
            <w:r>
              <w:rPr>
                <w:sz w:val="16"/>
              </w:rPr>
              <w:t>Artificial Intelligence Risk Management Framework</w:t>
            </w:r>
          </w:p>
        </w:tc>
        <w:tc>
          <w:tcPr>
            <w:tcW w:type="dxa" w:w="1049"/>
            <w:vAlign w:val="center"/>
            <w:tcMar>
              <w:top w:w="80" w:type="dxa"/>
              <w:start w:w="120" w:type="dxa"/>
              <w:bottom w:w="80" w:type="dxa"/>
              <w:end w:w="120" w:type="dxa"/>
            </w:tcMar>
          </w:tcPr>
          <w:p>
            <w:r>
              <w:rPr>
                <w:sz w:val="16"/>
              </w:rPr>
              <w:t>NIST</w:t>
            </w:r>
          </w:p>
        </w:tc>
        <w:tc>
          <w:tcPr>
            <w:tcW w:type="dxa" w:w="2331"/>
            <w:vAlign w:val="center"/>
            <w:tcMar>
              <w:top w:w="80" w:type="dxa"/>
              <w:start w:w="120" w:type="dxa"/>
              <w:bottom w:w="80" w:type="dxa"/>
              <w:end w:w="120" w:type="dxa"/>
            </w:tcMar>
          </w:tcPr>
          <w:p>
            <w:hyperlink r:id="rId17">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Govern, Map, Measure, and Manage structure for enterprise AI risk.</w:t>
            </w:r>
          </w:p>
        </w:tc>
      </w:tr>
      <w:tr>
        <w:tc>
          <w:tcPr>
            <w:tcW w:type="dxa" w:w="659"/>
            <w:vAlign w:val="center"/>
            <w:tcMar>
              <w:top w:w="80" w:type="dxa"/>
              <w:start w:w="120" w:type="dxa"/>
              <w:bottom w:w="80" w:type="dxa"/>
              <w:end w:w="120" w:type="dxa"/>
            </w:tcMar>
          </w:tcPr>
          <w:p>
            <w:bookmarkStart w:id="1006" w:name="REF_007"/>
            <w:r>
              <w:rPr>
                <w:b/>
                <w:sz w:val="16"/>
              </w:rPr>
              <w:t>REF-007</w:t>
            </w:r>
            <w:bookmarkEnd w:id="1006"/>
          </w:p>
        </w:tc>
        <w:tc>
          <w:tcPr>
            <w:tcW w:type="dxa" w:w="2331"/>
            <w:vAlign w:val="center"/>
            <w:tcMar>
              <w:top w:w="80" w:type="dxa"/>
              <w:start w:w="120" w:type="dxa"/>
              <w:bottom w:w="80" w:type="dxa"/>
              <w:end w:w="120" w:type="dxa"/>
            </w:tcMar>
          </w:tcPr>
          <w:p>
            <w:r>
              <w:rPr>
                <w:sz w:val="16"/>
              </w:rPr>
              <w:t>Artificial Intelligence Risk Management Framework: Generative Artificial Intelligence Profile</w:t>
            </w:r>
          </w:p>
        </w:tc>
        <w:tc>
          <w:tcPr>
            <w:tcW w:type="dxa" w:w="1049"/>
            <w:vAlign w:val="center"/>
            <w:tcMar>
              <w:top w:w="80" w:type="dxa"/>
              <w:start w:w="120" w:type="dxa"/>
              <w:bottom w:w="80" w:type="dxa"/>
              <w:end w:w="120" w:type="dxa"/>
            </w:tcMar>
          </w:tcPr>
          <w:p>
            <w:r>
              <w:rPr>
                <w:sz w:val="16"/>
              </w:rPr>
              <w:t>NIST</w:t>
            </w:r>
          </w:p>
        </w:tc>
        <w:tc>
          <w:tcPr>
            <w:tcW w:type="dxa" w:w="2331"/>
            <w:vAlign w:val="center"/>
            <w:tcMar>
              <w:top w:w="80" w:type="dxa"/>
              <w:start w:w="120" w:type="dxa"/>
              <w:bottom w:w="80" w:type="dxa"/>
              <w:end w:w="120" w:type="dxa"/>
            </w:tcMar>
          </w:tcPr>
          <w:p>
            <w:hyperlink r:id="rId18">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Generative-AI risk actions for content provenance, security, privacy, and monitoring.</w:t>
            </w:r>
          </w:p>
        </w:tc>
      </w:tr>
      <w:tr>
        <w:tc>
          <w:tcPr>
            <w:tcW w:type="dxa" w:w="659"/>
            <w:vAlign w:val="center"/>
            <w:tcMar>
              <w:top w:w="80" w:type="dxa"/>
              <w:start w:w="120" w:type="dxa"/>
              <w:bottom w:w="80" w:type="dxa"/>
              <w:end w:w="120" w:type="dxa"/>
            </w:tcMar>
          </w:tcPr>
          <w:p>
            <w:bookmarkStart w:id="1007" w:name="REF_008"/>
            <w:r>
              <w:rPr>
                <w:b/>
                <w:sz w:val="16"/>
              </w:rPr>
              <w:t>REF-008</w:t>
            </w:r>
            <w:bookmarkEnd w:id="1007"/>
          </w:p>
        </w:tc>
        <w:tc>
          <w:tcPr>
            <w:tcW w:type="dxa" w:w="2331"/>
            <w:vAlign w:val="center"/>
            <w:tcMar>
              <w:top w:w="80" w:type="dxa"/>
              <w:start w:w="120" w:type="dxa"/>
              <w:bottom w:w="80" w:type="dxa"/>
              <w:end w:w="120" w:type="dxa"/>
            </w:tcMar>
          </w:tcPr>
          <w:p>
            <w:r>
              <w:rPr>
                <w:sz w:val="16"/>
              </w:rPr>
              <w:t>Security Best Practices for MCP</w:t>
            </w:r>
          </w:p>
        </w:tc>
        <w:tc>
          <w:tcPr>
            <w:tcW w:type="dxa" w:w="1049"/>
            <w:vAlign w:val="center"/>
            <w:tcMar>
              <w:top w:w="80" w:type="dxa"/>
              <w:start w:w="120" w:type="dxa"/>
              <w:bottom w:w="80" w:type="dxa"/>
              <w:end w:w="120" w:type="dxa"/>
            </w:tcMar>
          </w:tcPr>
          <w:p>
            <w:r>
              <w:rPr>
                <w:sz w:val="16"/>
              </w:rPr>
              <w:t>Model Context Protocol</w:t>
            </w:r>
          </w:p>
        </w:tc>
        <w:tc>
          <w:tcPr>
            <w:tcW w:type="dxa" w:w="2331"/>
            <w:vAlign w:val="center"/>
            <w:tcMar>
              <w:top w:w="80" w:type="dxa"/>
              <w:start w:w="120" w:type="dxa"/>
              <w:bottom w:w="80" w:type="dxa"/>
              <w:end w:w="120" w:type="dxa"/>
            </w:tcMar>
          </w:tcPr>
          <w:p>
            <w:hyperlink r:id="rId19">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Applicable to MCP authorization, confused-deputy, token, consent, and local-server risks.</w:t>
            </w:r>
          </w:p>
        </w:tc>
      </w:tr>
      <w:tr>
        <w:tc>
          <w:tcPr>
            <w:tcW w:type="dxa" w:w="659"/>
            <w:vAlign w:val="center"/>
            <w:tcMar>
              <w:top w:w="80" w:type="dxa"/>
              <w:start w:w="120" w:type="dxa"/>
              <w:bottom w:w="80" w:type="dxa"/>
              <w:end w:w="120" w:type="dxa"/>
            </w:tcMar>
          </w:tcPr>
          <w:p>
            <w:bookmarkStart w:id="1008" w:name="REF_009"/>
            <w:r>
              <w:rPr>
                <w:b/>
                <w:sz w:val="16"/>
              </w:rPr>
              <w:t>REF-009</w:t>
            </w:r>
            <w:bookmarkEnd w:id="1008"/>
          </w:p>
        </w:tc>
        <w:tc>
          <w:tcPr>
            <w:tcW w:type="dxa" w:w="2331"/>
            <w:vAlign w:val="center"/>
            <w:tcMar>
              <w:top w:w="80" w:type="dxa"/>
              <w:start w:w="120" w:type="dxa"/>
              <w:bottom w:w="80" w:type="dxa"/>
              <w:end w:w="120" w:type="dxa"/>
            </w:tcMar>
          </w:tcPr>
          <w:p>
            <w:r>
              <w:rPr>
                <w:sz w:val="16"/>
              </w:rPr>
              <w:t>OWASP Top 10 for Large Language Model Applications</w:t>
            </w:r>
          </w:p>
        </w:tc>
        <w:tc>
          <w:tcPr>
            <w:tcW w:type="dxa" w:w="1049"/>
            <w:vAlign w:val="center"/>
            <w:tcMar>
              <w:top w:w="80" w:type="dxa"/>
              <w:start w:w="120" w:type="dxa"/>
              <w:bottom w:w="80" w:type="dxa"/>
              <w:end w:w="120" w:type="dxa"/>
            </w:tcMar>
          </w:tcPr>
          <w:p>
            <w:r>
              <w:rPr>
                <w:sz w:val="16"/>
              </w:rPr>
              <w:t>OWASP Foundation</w:t>
            </w:r>
          </w:p>
        </w:tc>
        <w:tc>
          <w:tcPr>
            <w:tcW w:type="dxa" w:w="2331"/>
            <w:vAlign w:val="center"/>
            <w:tcMar>
              <w:top w:w="80" w:type="dxa"/>
              <w:start w:w="120" w:type="dxa"/>
              <w:bottom w:w="80" w:type="dxa"/>
              <w:end w:w="120" w:type="dxa"/>
            </w:tcMar>
          </w:tcPr>
          <w:p>
            <w:hyperlink r:id="rId20">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Prompt injection, sensitive disclosure, supply chain, excessive agency, and output-handling baseline.</w:t>
            </w:r>
          </w:p>
        </w:tc>
      </w:tr>
      <w:tr>
        <w:tc>
          <w:tcPr>
            <w:tcW w:type="dxa" w:w="659"/>
            <w:vAlign w:val="center"/>
            <w:tcMar>
              <w:top w:w="80" w:type="dxa"/>
              <w:start w:w="120" w:type="dxa"/>
              <w:bottom w:w="80" w:type="dxa"/>
              <w:end w:w="120" w:type="dxa"/>
            </w:tcMar>
          </w:tcPr>
          <w:p>
            <w:bookmarkStart w:id="1009" w:name="REF_010"/>
            <w:r>
              <w:rPr>
                <w:b/>
                <w:sz w:val="16"/>
              </w:rPr>
              <w:t>REF-010</w:t>
            </w:r>
            <w:bookmarkEnd w:id="1009"/>
          </w:p>
        </w:tc>
        <w:tc>
          <w:tcPr>
            <w:tcW w:type="dxa" w:w="2331"/>
            <w:vAlign w:val="center"/>
            <w:tcMar>
              <w:top w:w="80" w:type="dxa"/>
              <w:start w:w="120" w:type="dxa"/>
              <w:bottom w:w="80" w:type="dxa"/>
              <w:end w:w="120" w:type="dxa"/>
            </w:tcMar>
          </w:tcPr>
          <w:p>
            <w:r>
              <w:rPr>
                <w:sz w:val="16"/>
              </w:rPr>
              <w:t>OWASP Top 10 for Agentic Applications</w:t>
            </w:r>
          </w:p>
        </w:tc>
        <w:tc>
          <w:tcPr>
            <w:tcW w:type="dxa" w:w="1049"/>
            <w:vAlign w:val="center"/>
            <w:tcMar>
              <w:top w:w="80" w:type="dxa"/>
              <w:start w:w="120" w:type="dxa"/>
              <w:bottom w:w="80" w:type="dxa"/>
              <w:end w:w="120" w:type="dxa"/>
            </w:tcMar>
          </w:tcPr>
          <w:p>
            <w:r>
              <w:rPr>
                <w:sz w:val="16"/>
              </w:rPr>
              <w:t>OWASP Foundation</w:t>
            </w:r>
          </w:p>
        </w:tc>
        <w:tc>
          <w:tcPr>
            <w:tcW w:type="dxa" w:w="2331"/>
            <w:vAlign w:val="center"/>
            <w:tcMar>
              <w:top w:w="80" w:type="dxa"/>
              <w:start w:w="120" w:type="dxa"/>
              <w:bottom w:w="80" w:type="dxa"/>
              <w:end w:w="120" w:type="dxa"/>
            </w:tcMar>
          </w:tcPr>
          <w:p>
            <w:hyperlink r:id="rId21">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Agent goal, tool, identity, memory, orchestration, and human-control threats.</w:t>
            </w:r>
          </w:p>
        </w:tc>
      </w:tr>
      <w:tr>
        <w:tc>
          <w:tcPr>
            <w:tcW w:type="dxa" w:w="659"/>
            <w:vAlign w:val="center"/>
            <w:tcMar>
              <w:top w:w="80" w:type="dxa"/>
              <w:start w:w="120" w:type="dxa"/>
              <w:bottom w:w="80" w:type="dxa"/>
              <w:end w:w="120" w:type="dxa"/>
            </w:tcMar>
          </w:tcPr>
          <w:p>
            <w:bookmarkStart w:id="1010" w:name="REF_011"/>
            <w:r>
              <w:rPr>
                <w:b/>
                <w:sz w:val="16"/>
              </w:rPr>
              <w:t>REF-011</w:t>
            </w:r>
            <w:bookmarkEnd w:id="1010"/>
          </w:p>
        </w:tc>
        <w:tc>
          <w:tcPr>
            <w:tcW w:type="dxa" w:w="2331"/>
            <w:vAlign w:val="center"/>
            <w:tcMar>
              <w:top w:w="80" w:type="dxa"/>
              <w:start w:w="120" w:type="dxa"/>
              <w:bottom w:w="80" w:type="dxa"/>
              <w:end w:w="120" w:type="dxa"/>
            </w:tcMar>
          </w:tcPr>
          <w:p>
            <w:r>
              <w:rPr>
                <w:sz w:val="16"/>
              </w:rPr>
              <w:t>MITRE ATLAS</w:t>
            </w:r>
          </w:p>
        </w:tc>
        <w:tc>
          <w:tcPr>
            <w:tcW w:type="dxa" w:w="1049"/>
            <w:vAlign w:val="center"/>
            <w:tcMar>
              <w:top w:w="80" w:type="dxa"/>
              <w:start w:w="120" w:type="dxa"/>
              <w:bottom w:w="80" w:type="dxa"/>
              <w:end w:w="120" w:type="dxa"/>
            </w:tcMar>
          </w:tcPr>
          <w:p>
            <w:r>
              <w:rPr>
                <w:sz w:val="16"/>
              </w:rPr>
              <w:t>MITRE</w:t>
            </w:r>
          </w:p>
        </w:tc>
        <w:tc>
          <w:tcPr>
            <w:tcW w:type="dxa" w:w="2331"/>
            <w:vAlign w:val="center"/>
            <w:tcMar>
              <w:top w:w="80" w:type="dxa"/>
              <w:start w:w="120" w:type="dxa"/>
              <w:bottom w:w="80" w:type="dxa"/>
              <w:end w:w="120" w:type="dxa"/>
            </w:tcMar>
          </w:tcPr>
          <w:p>
            <w:hyperlink r:id="rId22">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Adversarial threat knowledge base for AI-enabled systems.</w:t>
            </w:r>
          </w:p>
        </w:tc>
      </w:tr>
      <w:tr>
        <w:tc>
          <w:tcPr>
            <w:tcW w:type="dxa" w:w="659"/>
            <w:vAlign w:val="center"/>
            <w:tcMar>
              <w:top w:w="80" w:type="dxa"/>
              <w:start w:w="120" w:type="dxa"/>
              <w:bottom w:w="80" w:type="dxa"/>
              <w:end w:w="120" w:type="dxa"/>
            </w:tcMar>
          </w:tcPr>
          <w:p>
            <w:bookmarkStart w:id="1011" w:name="REF_012"/>
            <w:r>
              <w:rPr>
                <w:b/>
                <w:sz w:val="16"/>
              </w:rPr>
              <w:t>REF-012</w:t>
            </w:r>
            <w:bookmarkEnd w:id="1011"/>
          </w:p>
        </w:tc>
        <w:tc>
          <w:tcPr>
            <w:tcW w:type="dxa" w:w="2331"/>
            <w:vAlign w:val="center"/>
            <w:tcMar>
              <w:top w:w="80" w:type="dxa"/>
              <w:start w:w="120" w:type="dxa"/>
              <w:bottom w:w="80" w:type="dxa"/>
              <w:end w:w="120" w:type="dxa"/>
            </w:tcMar>
          </w:tcPr>
          <w:p>
            <w:r>
              <w:rPr>
                <w:sz w:val="16"/>
              </w:rPr>
              <w:t>Workspace Trust</w:t>
            </w:r>
          </w:p>
        </w:tc>
        <w:tc>
          <w:tcPr>
            <w:tcW w:type="dxa" w:w="1049"/>
            <w:vAlign w:val="center"/>
            <w:tcMar>
              <w:top w:w="80" w:type="dxa"/>
              <w:start w:w="120" w:type="dxa"/>
              <w:bottom w:w="80" w:type="dxa"/>
              <w:end w:w="120" w:type="dxa"/>
            </w:tcMar>
          </w:tcPr>
          <w:p>
            <w:r>
              <w:rPr>
                <w:sz w:val="16"/>
              </w:rPr>
              <w:t>Visual Studio Code Documentation</w:t>
            </w:r>
          </w:p>
        </w:tc>
        <w:tc>
          <w:tcPr>
            <w:tcW w:type="dxa" w:w="2331"/>
            <w:vAlign w:val="center"/>
            <w:tcMar>
              <w:top w:w="80" w:type="dxa"/>
              <w:start w:w="120" w:type="dxa"/>
              <w:bottom w:w="80" w:type="dxa"/>
              <w:end w:w="120" w:type="dxa"/>
            </w:tcMar>
          </w:tcPr>
          <w:p>
            <w:hyperlink r:id="rId23">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Host control context for untrusted repositories and extension restrictions.</w:t>
            </w:r>
          </w:p>
        </w:tc>
      </w:tr>
      <w:tr>
        <w:tc>
          <w:tcPr>
            <w:tcW w:type="dxa" w:w="659"/>
            <w:vAlign w:val="center"/>
            <w:tcMar>
              <w:top w:w="80" w:type="dxa"/>
              <w:start w:w="120" w:type="dxa"/>
              <w:bottom w:w="80" w:type="dxa"/>
              <w:end w:w="120" w:type="dxa"/>
            </w:tcMar>
          </w:tcPr>
          <w:p>
            <w:bookmarkStart w:id="1012" w:name="REF_013"/>
            <w:r>
              <w:rPr>
                <w:b/>
                <w:sz w:val="16"/>
              </w:rPr>
              <w:t>REF-013</w:t>
            </w:r>
            <w:bookmarkEnd w:id="1012"/>
          </w:p>
        </w:tc>
        <w:tc>
          <w:tcPr>
            <w:tcW w:type="dxa" w:w="2331"/>
            <w:vAlign w:val="center"/>
            <w:tcMar>
              <w:top w:w="80" w:type="dxa"/>
              <w:start w:w="120" w:type="dxa"/>
              <w:bottom w:w="80" w:type="dxa"/>
              <w:end w:w="120" w:type="dxa"/>
            </w:tcMar>
          </w:tcPr>
          <w:p>
            <w:r>
              <w:rPr>
                <w:sz w:val="16"/>
              </w:rPr>
              <w:t>Extension Runtime Security</w:t>
            </w:r>
          </w:p>
        </w:tc>
        <w:tc>
          <w:tcPr>
            <w:tcW w:type="dxa" w:w="1049"/>
            <w:vAlign w:val="center"/>
            <w:tcMar>
              <w:top w:w="80" w:type="dxa"/>
              <w:start w:w="120" w:type="dxa"/>
              <w:bottom w:w="80" w:type="dxa"/>
              <w:end w:w="120" w:type="dxa"/>
            </w:tcMar>
          </w:tcPr>
          <w:p>
            <w:r>
              <w:rPr>
                <w:sz w:val="16"/>
              </w:rPr>
              <w:t>Visual Studio Code Documentation</w:t>
            </w:r>
          </w:p>
        </w:tc>
        <w:tc>
          <w:tcPr>
            <w:tcW w:type="dxa" w:w="2331"/>
            <w:vAlign w:val="center"/>
            <w:tcMar>
              <w:top w:w="80" w:type="dxa"/>
              <w:start w:w="120" w:type="dxa"/>
              <w:bottom w:w="80" w:type="dxa"/>
              <w:end w:w="120" w:type="dxa"/>
            </w:tcMar>
          </w:tcPr>
          <w:p>
            <w:hyperlink r:id="rId24">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VS Code extension runtime and security-control context.</w:t>
            </w:r>
          </w:p>
        </w:tc>
      </w:tr>
      <w:tr>
        <w:tc>
          <w:tcPr>
            <w:tcW w:type="dxa" w:w="659"/>
            <w:vAlign w:val="center"/>
            <w:tcMar>
              <w:top w:w="80" w:type="dxa"/>
              <w:start w:w="120" w:type="dxa"/>
              <w:bottom w:w="80" w:type="dxa"/>
              <w:end w:w="120" w:type="dxa"/>
            </w:tcMar>
          </w:tcPr>
          <w:p>
            <w:bookmarkStart w:id="1013" w:name="REF_014"/>
            <w:r>
              <w:rPr>
                <w:b/>
                <w:sz w:val="16"/>
              </w:rPr>
              <w:t>REF-014</w:t>
            </w:r>
            <w:bookmarkEnd w:id="1013"/>
          </w:p>
        </w:tc>
        <w:tc>
          <w:tcPr>
            <w:tcW w:type="dxa" w:w="2331"/>
            <w:vAlign w:val="center"/>
            <w:tcMar>
              <w:top w:w="80" w:type="dxa"/>
              <w:start w:w="120" w:type="dxa"/>
              <w:bottom w:w="80" w:type="dxa"/>
              <w:end w:w="120" w:type="dxa"/>
            </w:tcMar>
          </w:tcPr>
          <w:p>
            <w:r>
              <w:rPr>
                <w:sz w:val="16"/>
              </w:rPr>
              <w:t>CycloneDX Specification</w:t>
            </w:r>
          </w:p>
        </w:tc>
        <w:tc>
          <w:tcPr>
            <w:tcW w:type="dxa" w:w="1049"/>
            <w:vAlign w:val="center"/>
            <w:tcMar>
              <w:top w:w="80" w:type="dxa"/>
              <w:start w:w="120" w:type="dxa"/>
              <w:bottom w:w="80" w:type="dxa"/>
              <w:end w:w="120" w:type="dxa"/>
            </w:tcMar>
          </w:tcPr>
          <w:p>
            <w:r>
              <w:rPr>
                <w:sz w:val="16"/>
              </w:rPr>
              <w:t>OWASP Foundation</w:t>
            </w:r>
          </w:p>
        </w:tc>
        <w:tc>
          <w:tcPr>
            <w:tcW w:type="dxa" w:w="2331"/>
            <w:vAlign w:val="center"/>
            <w:tcMar>
              <w:top w:w="80" w:type="dxa"/>
              <w:start w:w="120" w:type="dxa"/>
              <w:bottom w:w="80" w:type="dxa"/>
              <w:end w:w="120" w:type="dxa"/>
            </w:tcMar>
          </w:tcPr>
          <w:p>
            <w:hyperlink r:id="rId25">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SBOM representation used for retained component inventory.</w:t>
            </w:r>
          </w:p>
        </w:tc>
      </w:tr>
      <w:tr>
        <w:tc>
          <w:tcPr>
            <w:tcW w:type="dxa" w:w="659"/>
            <w:vAlign w:val="center"/>
            <w:tcMar>
              <w:top w:w="80" w:type="dxa"/>
              <w:start w:w="120" w:type="dxa"/>
              <w:bottom w:w="80" w:type="dxa"/>
              <w:end w:w="120" w:type="dxa"/>
            </w:tcMar>
          </w:tcPr>
          <w:p>
            <w:bookmarkStart w:id="1014" w:name="REF_015"/>
            <w:r>
              <w:rPr>
                <w:b/>
                <w:sz w:val="16"/>
              </w:rPr>
              <w:t>REF-015</w:t>
            </w:r>
            <w:bookmarkEnd w:id="1014"/>
          </w:p>
        </w:tc>
        <w:tc>
          <w:tcPr>
            <w:tcW w:type="dxa" w:w="2331"/>
            <w:vAlign w:val="center"/>
            <w:tcMar>
              <w:top w:w="80" w:type="dxa"/>
              <w:start w:w="120" w:type="dxa"/>
              <w:bottom w:w="80" w:type="dxa"/>
              <w:end w:w="120" w:type="dxa"/>
            </w:tcMar>
          </w:tcPr>
          <w:p>
            <w:r>
              <w:rPr>
                <w:sz w:val="16"/>
              </w:rPr>
              <w:t>Secure Software Development Framework</w:t>
            </w:r>
          </w:p>
        </w:tc>
        <w:tc>
          <w:tcPr>
            <w:tcW w:type="dxa" w:w="1049"/>
            <w:vAlign w:val="center"/>
            <w:tcMar>
              <w:top w:w="80" w:type="dxa"/>
              <w:start w:w="120" w:type="dxa"/>
              <w:bottom w:w="80" w:type="dxa"/>
              <w:end w:w="120" w:type="dxa"/>
            </w:tcMar>
          </w:tcPr>
          <w:p>
            <w:r>
              <w:rPr>
                <w:sz w:val="16"/>
              </w:rPr>
              <w:t>NIST</w:t>
            </w:r>
          </w:p>
        </w:tc>
        <w:tc>
          <w:tcPr>
            <w:tcW w:type="dxa" w:w="2331"/>
            <w:vAlign w:val="center"/>
            <w:tcMar>
              <w:top w:w="80" w:type="dxa"/>
              <w:start w:w="120" w:type="dxa"/>
              <w:bottom w:w="80" w:type="dxa"/>
              <w:end w:w="120" w:type="dxa"/>
            </w:tcMar>
          </w:tcPr>
          <w:p>
            <w:hyperlink r:id="rId26">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Release integrity, provenance, vulnerability response, and secure development expectations.</w:t>
            </w:r>
          </w:p>
        </w:tc>
      </w:tr>
      <w:tr>
        <w:tc>
          <w:tcPr>
            <w:tcW w:type="dxa" w:w="659"/>
            <w:vAlign w:val="center"/>
            <w:tcMar>
              <w:top w:w="80" w:type="dxa"/>
              <w:start w:w="120" w:type="dxa"/>
              <w:bottom w:w="80" w:type="dxa"/>
              <w:end w:w="120" w:type="dxa"/>
            </w:tcMar>
          </w:tcPr>
          <w:p>
            <w:bookmarkStart w:id="1015" w:name="REF_016"/>
            <w:r>
              <w:rPr>
                <w:b/>
                <w:sz w:val="16"/>
              </w:rPr>
              <w:t>REF-016</w:t>
            </w:r>
            <w:bookmarkEnd w:id="1015"/>
          </w:p>
        </w:tc>
        <w:tc>
          <w:tcPr>
            <w:tcW w:type="dxa" w:w="2331"/>
            <w:vAlign w:val="center"/>
            <w:tcMar>
              <w:top w:w="80" w:type="dxa"/>
              <w:start w:w="120" w:type="dxa"/>
              <w:bottom w:w="80" w:type="dxa"/>
              <w:end w:w="120" w:type="dxa"/>
            </w:tcMar>
          </w:tcPr>
          <w:p>
            <w:r>
              <w:rPr>
                <w:sz w:val="16"/>
              </w:rPr>
              <w:t>CVE-2025-0411 Detail</w:t>
            </w:r>
          </w:p>
        </w:tc>
        <w:tc>
          <w:tcPr>
            <w:tcW w:type="dxa" w:w="1049"/>
            <w:vAlign w:val="center"/>
            <w:tcMar>
              <w:top w:w="80" w:type="dxa"/>
              <w:start w:w="120" w:type="dxa"/>
              <w:bottom w:w="80" w:type="dxa"/>
              <w:end w:w="120" w:type="dxa"/>
            </w:tcMar>
          </w:tcPr>
          <w:p>
            <w:r>
              <w:rPr>
                <w:sz w:val="16"/>
              </w:rPr>
              <w:t>NIST National Vulnerability Database</w:t>
            </w:r>
          </w:p>
        </w:tc>
        <w:tc>
          <w:tcPr>
            <w:tcW w:type="dxa" w:w="2331"/>
            <w:vAlign w:val="center"/>
            <w:tcMar>
              <w:top w:w="80" w:type="dxa"/>
              <w:start w:w="120" w:type="dxa"/>
              <w:bottom w:w="80" w:type="dxa"/>
              <w:end w:w="120" w:type="dxa"/>
            </w:tcMar>
          </w:tcPr>
          <w:p>
            <w:hyperlink r:id="rId27">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One material advisory associated with packaged 7-Zip 19.00; reachability requires vendor analysis.</w:t>
            </w:r>
          </w:p>
        </w:tc>
      </w:tr>
      <w:tr>
        <w:tc>
          <w:tcPr>
            <w:tcW w:type="dxa" w:w="659"/>
            <w:vAlign w:val="center"/>
            <w:tcMar>
              <w:top w:w="80" w:type="dxa"/>
              <w:start w:w="120" w:type="dxa"/>
              <w:bottom w:w="80" w:type="dxa"/>
              <w:end w:w="120" w:type="dxa"/>
            </w:tcMar>
          </w:tcPr>
          <w:p>
            <w:bookmarkStart w:id="1016" w:name="REF_017"/>
            <w:r>
              <w:rPr>
                <w:b/>
                <w:sz w:val="16"/>
              </w:rPr>
              <w:t>REF-017</w:t>
            </w:r>
            <w:bookmarkEnd w:id="1016"/>
          </w:p>
        </w:tc>
        <w:tc>
          <w:tcPr>
            <w:tcW w:type="dxa" w:w="2331"/>
            <w:vAlign w:val="center"/>
            <w:tcMar>
              <w:top w:w="80" w:type="dxa"/>
              <w:start w:w="120" w:type="dxa"/>
              <w:bottom w:w="80" w:type="dxa"/>
              <w:end w:w="120" w:type="dxa"/>
            </w:tcMar>
          </w:tcPr>
          <w:p>
            <w:r>
              <w:rPr>
                <w:sz w:val="16"/>
              </w:rPr>
              <w:t>UK GDPR guidance and resources</w:t>
            </w:r>
          </w:p>
        </w:tc>
        <w:tc>
          <w:tcPr>
            <w:tcW w:type="dxa" w:w="1049"/>
            <w:vAlign w:val="center"/>
            <w:tcMar>
              <w:top w:w="80" w:type="dxa"/>
              <w:start w:w="120" w:type="dxa"/>
              <w:bottom w:w="80" w:type="dxa"/>
              <w:end w:w="120" w:type="dxa"/>
            </w:tcMar>
          </w:tcPr>
          <w:p>
            <w:r>
              <w:rPr>
                <w:sz w:val="16"/>
              </w:rPr>
              <w:t>Information Commissioner's Office</w:t>
            </w:r>
          </w:p>
        </w:tc>
        <w:tc>
          <w:tcPr>
            <w:tcW w:type="dxa" w:w="2331"/>
            <w:vAlign w:val="center"/>
            <w:tcMar>
              <w:top w:w="80" w:type="dxa"/>
              <w:start w:w="120" w:type="dxa"/>
              <w:bottom w:w="80" w:type="dxa"/>
              <w:end w:w="120" w:type="dxa"/>
            </w:tcMar>
          </w:tcPr>
          <w:p>
            <w:hyperlink r:id="rId28">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Conditional privacy governance for UK personal-data processing.</w:t>
            </w:r>
          </w:p>
        </w:tc>
      </w:tr>
      <w:tr>
        <w:tc>
          <w:tcPr>
            <w:tcW w:type="dxa" w:w="659"/>
            <w:vAlign w:val="center"/>
            <w:tcMar>
              <w:top w:w="80" w:type="dxa"/>
              <w:start w:w="120" w:type="dxa"/>
              <w:bottom w:w="80" w:type="dxa"/>
              <w:end w:w="120" w:type="dxa"/>
            </w:tcMar>
          </w:tcPr>
          <w:p>
            <w:bookmarkStart w:id="1017" w:name="REF_018"/>
            <w:r>
              <w:rPr>
                <w:b/>
                <w:sz w:val="16"/>
              </w:rPr>
              <w:t>REF-018</w:t>
            </w:r>
            <w:bookmarkEnd w:id="1017"/>
          </w:p>
        </w:tc>
        <w:tc>
          <w:tcPr>
            <w:tcW w:type="dxa" w:w="2331"/>
            <w:vAlign w:val="center"/>
            <w:tcMar>
              <w:top w:w="80" w:type="dxa"/>
              <w:start w:w="120" w:type="dxa"/>
              <w:bottom w:w="80" w:type="dxa"/>
              <w:end w:w="120" w:type="dxa"/>
            </w:tcMar>
          </w:tcPr>
          <w:p>
            <w:r>
              <w:rPr>
                <w:sz w:val="16"/>
              </w:rPr>
              <w:t>Operational resilience</w:t>
            </w:r>
          </w:p>
        </w:tc>
        <w:tc>
          <w:tcPr>
            <w:tcW w:type="dxa" w:w="1049"/>
            <w:vAlign w:val="center"/>
            <w:tcMar>
              <w:top w:w="80" w:type="dxa"/>
              <w:start w:w="120" w:type="dxa"/>
              <w:bottom w:w="80" w:type="dxa"/>
              <w:end w:w="120" w:type="dxa"/>
            </w:tcMar>
          </w:tcPr>
          <w:p>
            <w:r>
              <w:rPr>
                <w:sz w:val="16"/>
              </w:rPr>
              <w:t>Financial Conduct Authority</w:t>
            </w:r>
          </w:p>
        </w:tc>
        <w:tc>
          <w:tcPr>
            <w:tcW w:type="dxa" w:w="2331"/>
            <w:vAlign w:val="center"/>
            <w:tcMar>
              <w:top w:w="80" w:type="dxa"/>
              <w:start w:w="120" w:type="dxa"/>
              <w:bottom w:w="80" w:type="dxa"/>
              <w:end w:w="120" w:type="dxa"/>
            </w:tcMar>
          </w:tcPr>
          <w:p>
            <w:hyperlink r:id="rId29">
              <w:r>
                <w:rPr>
                  <w:rStyle w:val="Hyperlink"/>
                </w:rPr>
                <w:t>Open source</w:t>
              </w:r>
            </w:hyperlink>
          </w:p>
        </w:tc>
        <w:tc>
          <w:tcPr>
            <w:tcW w:type="dxa" w:w="659"/>
            <w:vAlign w:val="center"/>
            <w:tcMar>
              <w:top w:w="80" w:type="dxa"/>
              <w:start w:w="120" w:type="dxa"/>
              <w:bottom w:w="80" w:type="dxa"/>
              <w:end w:w="120" w:type="dxa"/>
            </w:tcMar>
          </w:tcPr>
          <w:p>
            <w:r>
              <w:rPr>
                <w:sz w:val="16"/>
              </w:rPr>
              <w:t>2026-08-01</w:t>
            </w:r>
          </w:p>
        </w:tc>
        <w:tc>
          <w:tcPr>
            <w:tcW w:type="dxa" w:w="2331"/>
            <w:vAlign w:val="center"/>
            <w:tcMar>
              <w:top w:w="80" w:type="dxa"/>
              <w:start w:w="120" w:type="dxa"/>
              <w:bottom w:w="80" w:type="dxa"/>
              <w:end w:w="120" w:type="dxa"/>
            </w:tcMar>
          </w:tcPr>
          <w:p>
            <w:r>
              <w:rPr>
                <w:sz w:val="16"/>
              </w:rPr>
              <w:t>Conditional expectations for regulated financial-sector deployment and supplier dependencies.</w:t>
            </w:r>
          </w:p>
        </w:tc>
      </w:tr>
    </w:tbl>
    <w:p>
      <w:pPr>
        <w:pStyle w:val="Heading1"/>
      </w:pPr>
      <w:r>
        <w:t>Appendices</w:t>
      </w:r>
    </w:p>
    <w:p>
      <w:pPr>
        <w:pStyle w:val="Heading2"/>
      </w:pPr>
      <w:r>
        <w:t>Appendix A — Analysis Selections and Results</w:t>
      </w:r>
    </w:p>
    <w:p>
      <w: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Microsoft Word closeout remains a separate final gate.</w:t>
      </w:r>
    </w:p>
    <w:p>
      <w:pPr>
        <w:pStyle w:val="Heading2"/>
      </w:pPr>
      <w:r>
        <w:t>Appendix B — Build and Quality-Assurance Contract</w:t>
      </w:r>
    </w:p>
    <w:p>
      <w: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pPr>
        <w:pStyle w:val="Heading1"/>
      </w:pPr>
      <w:r>
        <w:t>Glossary</w:t>
      </w:r>
    </w:p>
    <w:p>
      <w:pPr>
        <w:pStyle w:val="Caption"/>
      </w:pPr>
      <w:r>
        <w:rPr>
          <w:b/>
        </w:rPr>
        <w:t>Glossary</w:t>
      </w:r>
    </w:p>
    <w:tbl>
      <w:tblPr>
        <w:tblStyle w:val="TableGrid"/>
        <w:tblW w:type="dxa" w:w="9360"/>
        <w:tblLayout w:type="fixed"/>
        <w:tblLook w:firstColumn="1" w:firstRow="1" w:lastColumn="0" w:lastRow="0" w:noHBand="0" w:noVBand="1" w:val="04A0"/>
        <w:tblInd w:w="120" w:type="dxa"/>
      </w:tblPr>
      <w:tblGrid>
        <w:gridCol w:w="1308"/>
        <w:gridCol w:w="8052"/>
      </w:tblGrid>
      <w:tr>
        <w:trPr>
          <w:tblHeader w:val="true"/>
        </w:trPr>
        <w:tc>
          <w:tcPr>
            <w:tcW w:type="dxa" w:w="1308"/>
            <w:shd w:fill="F2F4F7"/>
            <w:vAlign w:val="center"/>
            <w:tcMar>
              <w:top w:w="35" w:type="dxa"/>
              <w:start w:w="120" w:type="dxa"/>
              <w:bottom w:w="35" w:type="dxa"/>
              <w:end w:w="120" w:type="dxa"/>
            </w:tcMar>
          </w:tcPr>
          <w:p>
            <w:pPr>
              <w:spacing w:before="0" w:after="0"/>
            </w:pPr>
            <w:r>
              <w:rPr>
                <w:b/>
                <w:sz w:val="16"/>
              </w:rPr>
              <w:t>Term</w:t>
            </w:r>
          </w:p>
        </w:tc>
        <w:tc>
          <w:tcPr>
            <w:tcW w:type="dxa" w:w="8052"/>
            <w:shd w:fill="F2F4F7"/>
            <w:vAlign w:val="center"/>
            <w:tcMar>
              <w:top w:w="35" w:type="dxa"/>
              <w:start w:w="120" w:type="dxa"/>
              <w:bottom w:w="35" w:type="dxa"/>
              <w:end w:w="120" w:type="dxa"/>
            </w:tcMar>
          </w:tcPr>
          <w:p>
            <w:pPr>
              <w:spacing w:before="0" w:after="0"/>
            </w:pPr>
            <w:r>
              <w:rPr>
                <w:b/>
                <w:sz w:val="16"/>
              </w:rPr>
              <w:t>Definition</w:t>
            </w:r>
          </w:p>
        </w:tc>
      </w:tr>
      <w:tr>
        <w:tc>
          <w:tcPr>
            <w:tcW w:type="dxa" w:w="1308"/>
            <w:vAlign w:val="center"/>
            <w:tcMar>
              <w:top w:w="35" w:type="dxa"/>
              <w:start w:w="120" w:type="dxa"/>
              <w:bottom w:w="35" w:type="dxa"/>
              <w:end w:w="120" w:type="dxa"/>
            </w:tcMar>
          </w:tcPr>
          <w:p>
            <w:pPr>
              <w:spacing w:before="0" w:after="0"/>
            </w:pPr>
            <w:r>
              <w:rPr>
                <w:sz w:val="16"/>
              </w:rPr>
              <w:t>Agent Skill</w:t>
            </w:r>
          </w:p>
        </w:tc>
        <w:tc>
          <w:tcPr>
            <w:tcW w:type="dxa" w:w="8052"/>
            <w:vAlign w:val="center"/>
            <w:tcMar>
              <w:top w:w="35" w:type="dxa"/>
              <w:start w:w="120" w:type="dxa"/>
              <w:bottom w:w="35" w:type="dxa"/>
              <w:end w:w="120" w:type="dxa"/>
            </w:tcMar>
          </w:tcPr>
          <w:p>
            <w:pPr>
              <w:spacing w:before="0" w:after="0"/>
            </w:pPr>
            <w:r>
              <w:rPr>
                <w:sz w:val="16"/>
              </w:rPr>
              <w:t>A reusable instruction and tool workflow that may include references, scripts, dependencies, and autonomous invocation behavior.</w:t>
            </w:r>
          </w:p>
        </w:tc>
      </w:tr>
      <w:tr>
        <w:tc>
          <w:tcPr>
            <w:tcW w:type="dxa" w:w="1308"/>
            <w:vAlign w:val="center"/>
            <w:tcMar>
              <w:top w:w="35" w:type="dxa"/>
              <w:start w:w="120" w:type="dxa"/>
              <w:bottom w:w="35" w:type="dxa"/>
              <w:end w:w="120" w:type="dxa"/>
            </w:tcMar>
          </w:tcPr>
          <w:p>
            <w:pPr>
              <w:spacing w:before="0" w:after="0"/>
            </w:pPr>
            <w:r>
              <w:rPr>
                <w:sz w:val="16"/>
              </w:rPr>
              <w:t>MCP</w:t>
            </w:r>
          </w:p>
        </w:tc>
        <w:tc>
          <w:tcPr>
            <w:tcW w:type="dxa" w:w="8052"/>
            <w:vAlign w:val="center"/>
            <w:tcMar>
              <w:top w:w="35" w:type="dxa"/>
              <w:start w:w="120" w:type="dxa"/>
              <w:bottom w:w="35" w:type="dxa"/>
              <w:end w:w="120" w:type="dxa"/>
            </w:tcMar>
          </w:tcPr>
          <w:p>
            <w:pPr>
              <w:spacing w:before="0" w:after="0"/>
            </w:pPr>
            <w:r>
              <w:rPr>
                <w:sz w:val="16"/>
              </w:rPr>
              <w:t>Model Context Protocol, a protocol for connecting AI applications with tools, resources, prompts, and servers.</w:t>
            </w:r>
          </w:p>
        </w:tc>
      </w:tr>
      <w:tr>
        <w:tc>
          <w:tcPr>
            <w:tcW w:type="dxa" w:w="1308"/>
            <w:vAlign w:val="center"/>
            <w:tcMar>
              <w:top w:w="35" w:type="dxa"/>
              <w:start w:w="120" w:type="dxa"/>
              <w:bottom w:w="35" w:type="dxa"/>
              <w:end w:w="120" w:type="dxa"/>
            </w:tcMar>
          </w:tcPr>
          <w:p>
            <w:pPr>
              <w:spacing w:before="0" w:after="0"/>
            </w:pPr>
            <w:r>
              <w:rPr>
                <w:sz w:val="16"/>
              </w:rPr>
              <w:t>Residual risk</w:t>
            </w:r>
          </w:p>
        </w:tc>
        <w:tc>
          <w:tcPr>
            <w:tcW w:type="dxa" w:w="8052"/>
            <w:vAlign w:val="center"/>
            <w:tcMar>
              <w:top w:w="35" w:type="dxa"/>
              <w:start w:w="120" w:type="dxa"/>
              <w:bottom w:w="35" w:type="dxa"/>
              <w:end w:w="120" w:type="dxa"/>
            </w:tcMar>
          </w:tcPr>
          <w:p>
            <w:pPr>
              <w:spacing w:before="0" w:after="0"/>
            </w:pPr>
            <w:r>
              <w:rPr>
                <w:sz w:val="16"/>
              </w:rPr>
              <w:t>Risk remaining after considering controls that are actually evidenced for the assessed version and configuration.</w:t>
            </w:r>
          </w:p>
        </w:tc>
      </w:tr>
      <w:tr>
        <w:tc>
          <w:tcPr>
            <w:tcW w:type="dxa" w:w="1308"/>
            <w:vAlign w:val="center"/>
            <w:tcMar>
              <w:top w:w="35" w:type="dxa"/>
              <w:start w:w="120" w:type="dxa"/>
              <w:bottom w:w="35" w:type="dxa"/>
              <w:end w:w="120" w:type="dxa"/>
            </w:tcMar>
          </w:tcPr>
          <w:p>
            <w:pPr>
              <w:spacing w:before="0" w:after="0"/>
            </w:pPr>
            <w:r>
              <w:rPr>
                <w:sz w:val="16"/>
              </w:rPr>
              <w:t>SBOM</w:t>
            </w:r>
          </w:p>
        </w:tc>
        <w:tc>
          <w:tcPr>
            <w:tcW w:type="dxa" w:w="8052"/>
            <w:vAlign w:val="center"/>
            <w:tcMar>
              <w:top w:w="35" w:type="dxa"/>
              <w:start w:w="120" w:type="dxa"/>
              <w:bottom w:w="35" w:type="dxa"/>
              <w:end w:w="120" w:type="dxa"/>
            </w:tcMar>
          </w:tcPr>
          <w:p>
            <w:pPr>
              <w:spacing w:before="0" w:after="0"/>
            </w:pPr>
            <w:r>
              <w:rPr>
                <w:sz w:val="16"/>
              </w:rPr>
              <w:t>Software Bill of Materials, an inventory of software components and related metadata.</w:t>
            </w:r>
          </w:p>
        </w:tc>
      </w:tr>
      <w:tr>
        <w:tc>
          <w:tcPr>
            <w:tcW w:type="dxa" w:w="1308"/>
            <w:vAlign w:val="center"/>
            <w:tcMar>
              <w:top w:w="35" w:type="dxa"/>
              <w:start w:w="120" w:type="dxa"/>
              <w:bottom w:w="35" w:type="dxa"/>
              <w:end w:w="120" w:type="dxa"/>
            </w:tcMar>
          </w:tcPr>
          <w:p>
            <w:pPr>
              <w:spacing w:before="0" w:after="0"/>
            </w:pPr>
            <w:r>
              <w:rPr>
                <w:sz w:val="16"/>
              </w:rPr>
              <w:t>VSIX</w:t>
            </w:r>
          </w:p>
        </w:tc>
        <w:tc>
          <w:tcPr>
            <w:tcW w:type="dxa" w:w="8052"/>
            <w:vAlign w:val="center"/>
            <w:tcMar>
              <w:top w:w="35" w:type="dxa"/>
              <w:start w:w="120" w:type="dxa"/>
              <w:bottom w:w="35" w:type="dxa"/>
              <w:end w:w="120" w:type="dxa"/>
            </w:tcMar>
          </w:tcPr>
          <w:p>
            <w:pPr>
              <w:spacing w:before="0" w:after="0"/>
            </w:pPr>
            <w:r>
              <w:rPr>
                <w:sz w:val="16"/>
              </w:rPr>
              <w:t>The extension-package format used to distribute Visual Studio Code extensions.</w:t>
            </w:r>
          </w:p>
        </w:tc>
      </w:tr>
      <w:tr>
        <w:tc>
          <w:tcPr>
            <w:tcW w:type="dxa" w:w="1308"/>
            <w:vAlign w:val="center"/>
            <w:tcMar>
              <w:top w:w="35" w:type="dxa"/>
              <w:start w:w="120" w:type="dxa"/>
              <w:bottom w:w="35" w:type="dxa"/>
              <w:end w:w="120" w:type="dxa"/>
            </w:tcMar>
          </w:tcPr>
          <w:p>
            <w:pPr>
              <w:spacing w:before="0" w:after="0"/>
            </w:pPr>
            <w:r>
              <w:rPr>
                <w:sz w:val="16"/>
              </w:rPr>
              <w:t>ZDR</w:t>
            </w:r>
          </w:p>
        </w:tc>
        <w:tc>
          <w:tcPr>
            <w:tcW w:type="dxa" w:w="8052"/>
            <w:vAlign w:val="center"/>
            <w:tcMar>
              <w:top w:w="35" w:type="dxa"/>
              <w:start w:w="120" w:type="dxa"/>
              <w:bottom w:w="35" w:type="dxa"/>
              <w:end w:w="120" w:type="dxa"/>
            </w:tcMar>
          </w:tcPr>
          <w:p>
            <w:pPr>
              <w:spacing w:before="0" w:after="0"/>
            </w:pPr>
            <w:r>
              <w:rPr>
                <w:sz w:val="16"/>
              </w:rPr>
              <w:t>Zero Data Retention, a policy under which a provider does not retain request data for a period after processing.</w:t>
            </w:r>
          </w:p>
        </w:tc>
      </w:tr>
      <w:tr>
        <w:tc>
          <w:tcPr>
            <w:tcW w:type="dxa" w:w="1308"/>
            <w:vAlign w:val="center"/>
            <w:tcMar>
              <w:top w:w="35" w:type="dxa"/>
              <w:start w:w="120" w:type="dxa"/>
              <w:bottom w:w="35" w:type="dxa"/>
              <w:end w:w="120" w:type="dxa"/>
            </w:tcMar>
          </w:tcPr>
          <w:p>
            <w:pPr>
              <w:spacing w:before="0" w:after="0"/>
            </w:pPr>
            <w:r>
              <w:rPr>
                <w:sz w:val="16"/>
              </w:rPr>
              <w:t>Verified</w:t>
            </w:r>
          </w:p>
        </w:tc>
        <w:tc>
          <w:tcPr>
            <w:tcW w:type="dxa" w:w="8052"/>
            <w:vAlign w:val="center"/>
            <w:tcMar>
              <w:top w:w="35" w:type="dxa"/>
              <w:start w:w="120" w:type="dxa"/>
              <w:bottom w:w="35" w:type="dxa"/>
              <w:end w:w="120" w:type="dxa"/>
            </w:tcMar>
          </w:tcPr>
          <w:p>
            <w:pPr>
              <w:spacing w:before="0" w:after="0"/>
            </w:pPr>
            <w:r>
              <w:rPr>
                <w:sz w:val="16"/>
              </w:rPr>
              <w:t>Directly supported by retained package evidence, observation, or an attributed primary source.</w:t>
            </w:r>
          </w:p>
        </w:tc>
      </w:tr>
      <w:tr>
        <w:tc>
          <w:tcPr>
            <w:tcW w:type="dxa" w:w="1308"/>
            <w:vAlign w:val="center"/>
            <w:tcMar>
              <w:top w:w="35" w:type="dxa"/>
              <w:start w:w="120" w:type="dxa"/>
              <w:bottom w:w="35" w:type="dxa"/>
              <w:end w:w="120" w:type="dxa"/>
            </w:tcMar>
          </w:tcPr>
          <w:p>
            <w:pPr>
              <w:spacing w:before="0" w:after="0"/>
            </w:pPr>
            <w:r>
              <w:rPr>
                <w:sz w:val="16"/>
              </w:rPr>
              <w:t>Blocked</w:t>
            </w:r>
          </w:p>
        </w:tc>
        <w:tc>
          <w:tcPr>
            <w:tcW w:type="dxa" w:w="8052"/>
            <w:vAlign w:val="center"/>
            <w:tcMar>
              <w:top w:w="35" w:type="dxa"/>
              <w:start w:w="120" w:type="dxa"/>
              <w:bottom w:w="35" w:type="dxa"/>
              <w:end w:w="120" w:type="dxa"/>
            </w:tcMar>
          </w:tcPr>
          <w:p>
            <w:pPr>
              <w:spacing w:before="0" w:after="0"/>
            </w:pPr>
            <w:r>
              <w:rPr>
                <w:sz w:val="16"/>
              </w:rPr>
              <w:t>A planned assessment activity that could not safely proceed because prerequisites were unavailable.</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PUBLIC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Blackbox Agent - Coding Copilot for Visual Studio Code | Security assessment | Classification: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ketplace.visualstudio.com/items?itemName=Blackboxapp.blackboxagent" TargetMode="External"/><Relationship Id="rId13" Type="http://schemas.openxmlformats.org/officeDocument/2006/relationships/hyperlink" Target="https://www.blackbox.ai/privacy-policy" TargetMode="External"/><Relationship Id="rId14" Type="http://schemas.openxmlformats.org/officeDocument/2006/relationships/hyperlink" Target="https://www.blackbox.ai/terms-of-service" TargetMode="External"/><Relationship Id="rId15" Type="http://schemas.openxmlformats.org/officeDocument/2006/relationships/hyperlink" Target="https://www.blackbox.ai/" TargetMode="External"/><Relationship Id="rId16" Type="http://schemas.openxmlformats.org/officeDocument/2006/relationships/hyperlink" Target="https://docs.blackbox.ai/api-reference/zdr"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doi.org/10.6028/NIST.AI.600-1" TargetMode="External"/><Relationship Id="rId19" Type="http://schemas.openxmlformats.org/officeDocument/2006/relationships/hyperlink" Target="https://modelcontextprotocol.io/specification/draft/basic/security_best_practices" TargetMode="External"/><Relationship Id="rId20" Type="http://schemas.openxmlformats.org/officeDocument/2006/relationships/hyperlink" Target="https://genai.owasp.org/llm-top-10/" TargetMode="External"/><Relationship Id="rId21" Type="http://schemas.openxmlformats.org/officeDocument/2006/relationships/hyperlink" Target="https://genai.owasp.org/resource/owasp-top-10-for-agentic-applications-for-2026/" TargetMode="External"/><Relationship Id="rId22" Type="http://schemas.openxmlformats.org/officeDocument/2006/relationships/hyperlink" Target="https://atlas.mitre.org/" TargetMode="External"/><Relationship Id="rId23" Type="http://schemas.openxmlformats.org/officeDocument/2006/relationships/hyperlink" Target="https://code.visualstudio.com/docs/editing/workspaces/workspace-trust" TargetMode="External"/><Relationship Id="rId24" Type="http://schemas.openxmlformats.org/officeDocument/2006/relationships/hyperlink" Target="https://code.visualstudio.com/docs/configure/extensions/extension-runtime-security" TargetMode="External"/><Relationship Id="rId25" Type="http://schemas.openxmlformats.org/officeDocument/2006/relationships/hyperlink" Target="https://cyclonedx.org/specification/overview/" TargetMode="External"/><Relationship Id="rId26" Type="http://schemas.openxmlformats.org/officeDocument/2006/relationships/hyperlink" Target="https://csrc.nist.gov/Projects/ssdf" TargetMode="External"/><Relationship Id="rId27" Type="http://schemas.openxmlformats.org/officeDocument/2006/relationships/hyperlink" Target="https://nvd.nist.gov/vuln/detail/CVE-2025-0411" TargetMode="External"/><Relationship Id="rId28" Type="http://schemas.openxmlformats.org/officeDocument/2006/relationships/hyperlink" Target="https://ico.org.uk/for-organisations/uk-gdpr-guidance-and-resources/" TargetMode="External"/><Relationship Id="rId29" Type="http://schemas.openxmlformats.org/officeDocument/2006/relationships/hyperlink" Target="https://www.fca.org.uk/firms/operational-resil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Blackbox Agent - Coding Copilot for Visual Studio Code security assessment</dc:title>
  <dc:subject>Evidence-led Microsoft IDE extension security assessment</dc:subject>
  <dc:creator>SoloSentry Assessment Environment</dc:creator>
  <cp:keywords>security assessment, VS Code, AI, OWASP, privacy</cp:keywords>
  <dc:description>Generated from hash-bound validated stage outputs.</dc:description>
  <cp:lastModifiedBy>SoloSentry Assessment Environment</cp:lastModifiedBy>
  <cp:revision>1</cp:revision>
  <dcterms:created xsi:type="dcterms:W3CDTF">2013-12-23T23:15:00Z</dcterms:created>
  <dcterms:modified xsi:type="dcterms:W3CDTF">2013-12-23T23:15:00Z</dcterms:modified>
  <cp:category/>
</cp:coreProperties>
</file>