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Figma for VS Code (figma.figma-vscode-extension)</w:t>
      </w:r>
    </w:p>
    <w:p>
      <w:pPr>
        <w:jc w:val="center"/>
      </w:pPr>
      <w:r>
        <w:rPr>
          <w:i/>
        </w:rPr>
        <w:t>Microsoft IDE AI Extension Security Assessment</w:t>
      </w:r>
    </w:p>
    <w:p>
      <w:pPr>
        <w:pStyle w:val="Heading1"/>
      </w:pPr>
      <w:r>
        <w:t>Document Control</w:t>
      </w:r>
    </w:p>
    <w:p>
      <w:pPr>
        <w:pStyle w:val="Caption"/>
      </w:pPr>
      <w:r>
        <w:rPr>
          <w:b/>
        </w:rPr>
        <w:t>Table 1 — Document control</w:t>
      </w:r>
    </w:p>
    <w:tbl>
      <w:tblPr>
        <w:tblStyle w:val="TableGrid"/>
        <w:tblW w:type="dxa" w:w="9360"/>
        <w:tblLayout w:type="fixed"/>
        <w:tblLook w:firstColumn="1" w:firstRow="1" w:lastColumn="0" w:lastRow="0" w:noHBand="0" w:noVBand="1" w:val="04A0"/>
        <w:tblInd w:w="120" w:type="dxa"/>
      </w:tblPr>
      <w:tblGrid>
        <w:gridCol w:w="2304"/>
        <w:gridCol w:w="7056"/>
      </w:tblGrid>
      <w:tr>
        <w:trPr>
          <w:tblHeader w:val="true"/>
        </w:trPr>
        <w:tc>
          <w:tcPr>
            <w:tcW w:type="dxa" w:w="2304"/>
            <w:shd w:fill="F2F4F7"/>
            <w:vAlign w:val="center"/>
            <w:tcMar>
              <w:top w:w="80" w:type="dxa"/>
              <w:start w:w="120" w:type="dxa"/>
              <w:bottom w:w="80" w:type="dxa"/>
              <w:end w:w="120" w:type="dxa"/>
            </w:tcMar>
          </w:tcPr>
          <w:p>
            <w:r>
              <w:rPr>
                <w:b/>
                <w:sz w:val="16"/>
              </w:rPr>
              <w:t>Field</w:t>
            </w:r>
          </w:p>
        </w:tc>
        <w:tc>
          <w:tcPr>
            <w:tcW w:type="dxa" w:w="7056"/>
            <w:shd w:fill="F2F4F7"/>
            <w:vAlign w:val="center"/>
            <w:tcMar>
              <w:top w:w="80" w:type="dxa"/>
              <w:start w:w="120" w:type="dxa"/>
              <w:bottom w:w="80" w:type="dxa"/>
              <w:end w:w="120" w:type="dxa"/>
            </w:tcMar>
          </w:tcPr>
          <w:p>
            <w:r>
              <w:rPr>
                <w:b/>
                <w:sz w:val="16"/>
              </w:rPr>
              <w:t>Value</w:t>
            </w:r>
          </w:p>
        </w:tc>
      </w:tr>
      <w:tr>
        <w:tc>
          <w:tcPr>
            <w:tcW w:type="dxa" w:w="2304"/>
            <w:vAlign w:val="center"/>
            <w:tcMar>
              <w:top w:w="80" w:type="dxa"/>
              <w:start w:w="120" w:type="dxa"/>
              <w:bottom w:w="80" w:type="dxa"/>
              <w:end w:w="120" w:type="dxa"/>
            </w:tcMar>
          </w:tcPr>
          <w:p>
            <w:r>
              <w:rPr>
                <w:sz w:val="16"/>
              </w:rPr>
              <w:t>Assessment</w:t>
            </w:r>
          </w:p>
        </w:tc>
        <w:tc>
          <w:tcPr>
            <w:tcW w:type="dxa" w:w="7056"/>
            <w:vAlign w:val="center"/>
            <w:tcMar>
              <w:top w:w="80" w:type="dxa"/>
              <w:start w:w="120" w:type="dxa"/>
              <w:bottom w:w="80" w:type="dxa"/>
              <w:end w:w="120" w:type="dxa"/>
            </w:tcMar>
          </w:tcPr>
          <w:p>
            <w:r>
              <w:rPr>
                <w:sz w:val="16"/>
              </w:rPr>
              <w:t>Figma for VS Code</w:t>
            </w:r>
          </w:p>
        </w:tc>
      </w:tr>
      <w:tr>
        <w:tc>
          <w:tcPr>
            <w:tcW w:type="dxa" w:w="2304"/>
            <w:vAlign w:val="center"/>
            <w:tcMar>
              <w:top w:w="80" w:type="dxa"/>
              <w:start w:w="120" w:type="dxa"/>
              <w:bottom w:w="80" w:type="dxa"/>
              <w:end w:w="120" w:type="dxa"/>
            </w:tcMar>
          </w:tcPr>
          <w:p>
            <w:r>
              <w:rPr>
                <w:sz w:val="16"/>
              </w:rPr>
              <w:t>Target</w:t>
            </w:r>
          </w:p>
        </w:tc>
        <w:tc>
          <w:tcPr>
            <w:tcW w:type="dxa" w:w="7056"/>
            <w:vAlign w:val="center"/>
            <w:tcMar>
              <w:top w:w="80" w:type="dxa"/>
              <w:start w:w="120" w:type="dxa"/>
              <w:bottom w:w="80" w:type="dxa"/>
              <w:end w:w="120" w:type="dxa"/>
            </w:tcMar>
          </w:tcPr>
          <w:p>
            <w:r>
              <w:rPr>
                <w:sz w:val="16"/>
              </w:rPr>
              <w:t>Figma for VS Code (figma.figma-vscode-extension)</w:t>
            </w:r>
          </w:p>
        </w:tc>
      </w:tr>
      <w:tr>
        <w:tc>
          <w:tcPr>
            <w:tcW w:type="dxa" w:w="2304"/>
            <w:vAlign w:val="center"/>
            <w:tcMar>
              <w:top w:w="80" w:type="dxa"/>
              <w:start w:w="120" w:type="dxa"/>
              <w:bottom w:w="80" w:type="dxa"/>
              <w:end w:w="120" w:type="dxa"/>
            </w:tcMar>
          </w:tcPr>
          <w:p>
            <w:r>
              <w:rPr>
                <w:sz w:val="16"/>
              </w:rPr>
              <w:t>Publisher</w:t>
            </w:r>
          </w:p>
        </w:tc>
        <w:tc>
          <w:tcPr>
            <w:tcW w:type="dxa" w:w="7056"/>
            <w:vAlign w:val="center"/>
            <w:tcMar>
              <w:top w:w="80" w:type="dxa"/>
              <w:start w:w="120" w:type="dxa"/>
              <w:bottom w:w="80" w:type="dxa"/>
              <w:end w:w="120" w:type="dxa"/>
            </w:tcMar>
          </w:tcPr>
          <w:p>
            <w:r>
              <w:rPr>
                <w:sz w:val="16"/>
              </w:rPr>
              <w:t>Figma / figma</w:t>
            </w:r>
          </w:p>
        </w:tc>
      </w:tr>
      <w:tr>
        <w:tc>
          <w:tcPr>
            <w:tcW w:type="dxa" w:w="2304"/>
            <w:vAlign w:val="center"/>
            <w:tcMar>
              <w:top w:w="80" w:type="dxa"/>
              <w:start w:w="120" w:type="dxa"/>
              <w:bottom w:w="80" w:type="dxa"/>
              <w:end w:w="120" w:type="dxa"/>
            </w:tcMar>
          </w:tcPr>
          <w:p>
            <w:r>
              <w:rPr>
                <w:sz w:val="16"/>
              </w:rPr>
              <w:t>Extension ID</w:t>
            </w:r>
          </w:p>
        </w:tc>
        <w:tc>
          <w:tcPr>
            <w:tcW w:type="dxa" w:w="7056"/>
            <w:vAlign w:val="center"/>
            <w:tcMar>
              <w:top w:w="80" w:type="dxa"/>
              <w:start w:w="120" w:type="dxa"/>
              <w:bottom w:w="80" w:type="dxa"/>
              <w:end w:w="120" w:type="dxa"/>
            </w:tcMar>
          </w:tcPr>
          <w:p>
            <w:r>
              <w:rPr>
                <w:sz w:val="16"/>
              </w:rPr>
              <w:t>figma.figma-vscode-extension</w:t>
            </w:r>
          </w:p>
        </w:tc>
      </w:tr>
      <w:tr>
        <w:tc>
          <w:tcPr>
            <w:tcW w:type="dxa" w:w="2304"/>
            <w:vAlign w:val="center"/>
            <w:tcMar>
              <w:top w:w="80" w:type="dxa"/>
              <w:start w:w="120" w:type="dxa"/>
              <w:bottom w:w="80" w:type="dxa"/>
              <w:end w:w="120" w:type="dxa"/>
            </w:tcMar>
          </w:tcPr>
          <w:p>
            <w:r>
              <w:rPr>
                <w:sz w:val="16"/>
              </w:rPr>
              <w:t>Version</w:t>
            </w:r>
          </w:p>
        </w:tc>
        <w:tc>
          <w:tcPr>
            <w:tcW w:type="dxa" w:w="7056"/>
            <w:vAlign w:val="center"/>
            <w:tcMar>
              <w:top w:w="80" w:type="dxa"/>
              <w:start w:w="120" w:type="dxa"/>
              <w:bottom w:w="80" w:type="dxa"/>
              <w:end w:w="120" w:type="dxa"/>
            </w:tcMar>
          </w:tcPr>
          <w:p>
            <w:r>
              <w:rPr>
                <w:sz w:val="16"/>
              </w:rPr>
              <w:t>0.4.5</w:t>
            </w:r>
          </w:p>
        </w:tc>
      </w:tr>
      <w:tr>
        <w:tc>
          <w:tcPr>
            <w:tcW w:type="dxa" w:w="2304"/>
            <w:vAlign w:val="center"/>
            <w:tcMar>
              <w:top w:w="80" w:type="dxa"/>
              <w:start w:w="120" w:type="dxa"/>
              <w:bottom w:w="80" w:type="dxa"/>
              <w:end w:w="120" w:type="dxa"/>
            </w:tcMar>
          </w:tcPr>
          <w:p>
            <w:r>
              <w:rPr>
                <w:sz w:val="16"/>
              </w:rPr>
              <w:t>Run key</w:t>
            </w:r>
          </w:p>
        </w:tc>
        <w:tc>
          <w:tcPr>
            <w:tcW w:type="dxa" w:w="7056"/>
            <w:vAlign w:val="center"/>
            <w:tcMar>
              <w:top w:w="80" w:type="dxa"/>
              <w:start w:w="120" w:type="dxa"/>
              <w:bottom w:w="80" w:type="dxa"/>
              <w:end w:w="120" w:type="dxa"/>
            </w:tcMar>
          </w:tcPr>
          <w:p>
            <w:r>
              <w:rPr>
                <w:sz w:val="16"/>
              </w:rPr>
              <w:t>2026-08-03-v1.0</w:t>
            </w:r>
          </w:p>
        </w:tc>
      </w:tr>
      <w:tr>
        <w:tc>
          <w:tcPr>
            <w:tcW w:type="dxa" w:w="2304"/>
            <w:vAlign w:val="center"/>
            <w:tcMar>
              <w:top w:w="80" w:type="dxa"/>
              <w:start w:w="120" w:type="dxa"/>
              <w:bottom w:w="80" w:type="dxa"/>
              <w:end w:w="120" w:type="dxa"/>
            </w:tcMar>
          </w:tcPr>
          <w:p>
            <w:r>
              <w:rPr>
                <w:sz w:val="16"/>
              </w:rPr>
              <w:t>Distribution</w:t>
            </w:r>
          </w:p>
        </w:tc>
        <w:tc>
          <w:tcPr>
            <w:tcW w:type="dxa" w:w="7056"/>
            <w:vAlign w:val="center"/>
            <w:tcMar>
              <w:top w:w="80" w:type="dxa"/>
              <w:start w:w="120" w:type="dxa"/>
              <w:bottom w:w="80" w:type="dxa"/>
              <w:end w:w="120" w:type="dxa"/>
            </w:tcMar>
          </w:tcPr>
          <w:p>
            <w:r>
              <w:rPr>
                <w:sz w:val="16"/>
              </w:rPr>
              <w:t>Public distribution</w:t>
            </w:r>
          </w:p>
        </w:tc>
      </w:tr>
      <w:tr>
        <w:tc>
          <w:tcPr>
            <w:tcW w:type="dxa" w:w="2304"/>
            <w:vAlign w:val="center"/>
            <w:tcMar>
              <w:top w:w="80" w:type="dxa"/>
              <w:start w:w="120" w:type="dxa"/>
              <w:bottom w:w="80" w:type="dxa"/>
              <w:end w:w="120" w:type="dxa"/>
            </w:tcMar>
          </w:tcPr>
          <w:p>
            <w:r>
              <w:rPr>
                <w:sz w:val="16"/>
              </w:rPr>
              <w:t>Decision</w:t>
            </w:r>
          </w:p>
        </w:tc>
        <w:tc>
          <w:tcPr>
            <w:tcW w:type="dxa" w:w="7056"/>
            <w:vAlign w:val="center"/>
            <w:tcMar>
              <w:top w:w="80" w:type="dxa"/>
              <w:start w:w="120" w:type="dxa"/>
              <w:bottom w:w="80" w:type="dxa"/>
              <w:end w:w="120" w:type="dxa"/>
            </w:tcMar>
          </w:tcPr>
          <w:p>
            <w:r>
              <w:rPr>
                <w:sz w:val="16"/>
              </w:rPr>
              <w:t>Defer pending evidence</w:t>
            </w:r>
          </w:p>
        </w:tc>
      </w:tr>
    </w:tbl>
    <w:p/>
    <w:p>
      <w:pPr>
        <w:pStyle w:val="Heading1"/>
      </w:pPr>
      <w:r>
        <w:t>Revision History</w:t>
      </w:r>
    </w:p>
    <w:p>
      <w:pPr>
        <w:pStyle w:val="Caption"/>
      </w:pPr>
      <w:r>
        <w:rPr>
          <w:b/>
        </w:rPr>
        <w:t>Table 2 — Revision history</w:t>
      </w:r>
    </w:p>
    <w:tbl>
      <w:tblPr>
        <w:tblStyle w:val="TableGrid"/>
        <w:tblW w:type="dxa" w:w="9360"/>
        <w:tblLayout w:type="fixed"/>
        <w:tblLook w:firstColumn="1" w:firstRow="1" w:lastColumn="0" w:lastRow="0" w:noHBand="0" w:noVBand="1" w:val="04A0"/>
        <w:tblInd w:w="120" w:type="dxa"/>
      </w:tblPr>
      <w:tblGrid>
        <w:gridCol w:w="1698"/>
        <w:gridCol w:w="1331"/>
        <w:gridCol w:w="3043"/>
        <w:gridCol w:w="3288"/>
      </w:tblGrid>
      <w:tr>
        <w:trPr>
          <w:tblHeader w:val="true"/>
        </w:trPr>
        <w:tc>
          <w:tcPr>
            <w:tcW w:type="dxa" w:w="1698"/>
            <w:shd w:fill="F2F4F7"/>
            <w:vAlign w:val="center"/>
            <w:tcMar>
              <w:top w:w="80" w:type="dxa"/>
              <w:start w:w="120" w:type="dxa"/>
              <w:bottom w:w="80" w:type="dxa"/>
              <w:end w:w="120" w:type="dxa"/>
            </w:tcMar>
          </w:tcPr>
          <w:p>
            <w:r>
              <w:rPr>
                <w:b/>
                <w:sz w:val="16"/>
              </w:rPr>
              <w:t>Document version</w:t>
            </w:r>
          </w:p>
        </w:tc>
        <w:tc>
          <w:tcPr>
            <w:tcW w:type="dxa" w:w="1331"/>
            <w:shd w:fill="F2F4F7"/>
            <w:vAlign w:val="center"/>
            <w:tcMar>
              <w:top w:w="80" w:type="dxa"/>
              <w:start w:w="120" w:type="dxa"/>
              <w:bottom w:w="80" w:type="dxa"/>
              <w:end w:w="120" w:type="dxa"/>
            </w:tcMar>
          </w:tcPr>
          <w:p>
            <w:r>
              <w:rPr>
                <w:b/>
                <w:sz w:val="16"/>
              </w:rPr>
              <w:t>Date</w:t>
            </w:r>
          </w:p>
        </w:tc>
        <w:tc>
          <w:tcPr>
            <w:tcW w:type="dxa" w:w="3043"/>
            <w:shd w:fill="F2F4F7"/>
            <w:vAlign w:val="center"/>
            <w:tcMar>
              <w:top w:w="80" w:type="dxa"/>
              <w:start w:w="120" w:type="dxa"/>
              <w:bottom w:w="80" w:type="dxa"/>
              <w:end w:w="120" w:type="dxa"/>
            </w:tcMar>
          </w:tcPr>
          <w:p>
            <w:r>
              <w:rPr>
                <w:b/>
                <w:sz w:val="16"/>
              </w:rPr>
              <w:t>Status</w:t>
            </w:r>
          </w:p>
        </w:tc>
        <w:tc>
          <w:tcPr>
            <w:tcW w:type="dxa" w:w="3288"/>
            <w:shd w:fill="F2F4F7"/>
            <w:vAlign w:val="center"/>
            <w:tcMar>
              <w:top w:w="80" w:type="dxa"/>
              <w:start w:w="120" w:type="dxa"/>
              <w:bottom w:w="80" w:type="dxa"/>
              <w:end w:w="120" w:type="dxa"/>
            </w:tcMar>
          </w:tcPr>
          <w:p>
            <w:r>
              <w:rPr>
                <w:b/>
                <w:sz w:val="16"/>
              </w:rPr>
              <w:t>Change</w:t>
            </w:r>
          </w:p>
        </w:tc>
      </w:tr>
      <w:tr>
        <w:tc>
          <w:tcPr>
            <w:tcW w:type="dxa" w:w="1698"/>
            <w:vAlign w:val="center"/>
            <w:tcMar>
              <w:top w:w="80" w:type="dxa"/>
              <w:start w:w="120" w:type="dxa"/>
              <w:bottom w:w="80" w:type="dxa"/>
              <w:end w:w="120" w:type="dxa"/>
            </w:tcMar>
          </w:tcPr>
          <w:p>
            <w:r>
              <w:rPr>
                <w:sz w:val="16"/>
              </w:rPr>
              <w:t>1.0</w:t>
            </w:r>
          </w:p>
        </w:tc>
        <w:tc>
          <w:tcPr>
            <w:tcW w:type="dxa" w:w="1331"/>
            <w:vAlign w:val="center"/>
            <w:tcMar>
              <w:top w:w="80" w:type="dxa"/>
              <w:start w:w="120" w:type="dxa"/>
              <w:bottom w:w="80" w:type="dxa"/>
              <w:end w:w="120" w:type="dxa"/>
            </w:tcMar>
          </w:tcPr>
          <w:p>
            <w:r>
              <w:rPr>
                <w:sz w:val="16"/>
              </w:rPr>
              <w:t>2026-08-03</w:t>
            </w:r>
          </w:p>
        </w:tc>
        <w:tc>
          <w:tcPr>
            <w:tcW w:type="dxa" w:w="3043"/>
            <w:vAlign w:val="center"/>
            <w:tcMar>
              <w:top w:w="80" w:type="dxa"/>
              <w:start w:w="120" w:type="dxa"/>
              <w:bottom w:w="80" w:type="dxa"/>
              <w:end w:w="120" w:type="dxa"/>
            </w:tcMar>
          </w:tcPr>
          <w:p>
            <w:r>
              <w:rPr>
                <w:sz w:val="16"/>
              </w:rPr>
              <w:t>Candidate pending native Word closeout</w:t>
            </w:r>
          </w:p>
        </w:tc>
        <w:tc>
          <w:tcPr>
            <w:tcW w:type="dxa" w:w="3288"/>
            <w:vAlign w:val="center"/>
            <w:tcMar>
              <w:top w:w="80" w:type="dxa"/>
              <w:start w:w="120" w:type="dxa"/>
              <w:bottom w:w="80" w:type="dxa"/>
              <w:end w:w="120" w:type="dxa"/>
            </w:tcMar>
          </w:tcPr>
          <w:p>
            <w:r>
              <w:rPr>
                <w:sz w:val="16"/>
              </w:rPr>
              <w:t>Initial authoritative assessment candidate</w:t>
            </w:r>
          </w:p>
        </w:tc>
      </w:tr>
    </w:tbl>
    <w:p/>
    <w:p>
      <w:r>
        <w:br w:type="page"/>
      </w:r>
    </w:p>
    <w:p>
      <w:pPr>
        <w:pStyle w:val="TOCHeading"/>
      </w:pPr>
      <w:r>
        <w:t>Contents</w:t>
      </w:r>
    </w:p>
    <w:p>
      <w:fldSimple w:instr="TOC \o &quot;1-3&quot; \h \z \u" w:dirty="true"/>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Executive Summary</w:t>
      </w:r>
    </w:p>
    <w:p>
      <w:r>
        <w:t>Decision: Defer pending evidence. Overall residual risk: High. This assessment is scoped to In scope: Microsoft Visual Studio Code desktop using the retained stable Marketplace package., Static scope: the complete platform-neutral package; behavioural scope remains Blocked beyond installation identity., Not applicable: Microsoft Visual Studio, because no matching package or compatibility claim was established., Out of scope: separate Figma Desktop, Figma MCP, community plugins/skills, Figma Make and future versions. version 0.4.5 and is based on the evidence state and limitations recorded below.</w:t>
      </w:r>
    </w:p>
    <w:p>
      <w:pPr>
        <w:pStyle w:val="ListBullet"/>
      </w:pPr>
      <w:r>
        <w:t xml:space="preserve">Defer production and regulated-data approval: the exact signed package is reproducible, but the remote webview bridge and representative runtime controls are not acceptably evidenced. </w:t>
      </w:r>
      <w:hyperlink w:anchor="REF_007">
        <w:r>
          <w:rPr>
            <w:rStyle w:val="Hyperlink"/>
          </w:rPr>
          <w:t>REF-007</w:t>
        </w:r>
      </w:hyperlink>
      <w:r>
        <w:t xml:space="preserve"> </w:t>
      </w:r>
      <w:hyperlink w:anchor="REF_016">
        <w:r>
          <w:rPr>
            <w:rStyle w:val="Hyperlink"/>
          </w:rPr>
          <w:t>REF-016</w:t>
        </w:r>
      </w:hyperlink>
    </w:p>
    <w:p>
      <w:pPr>
        <w:pStyle w:val="ListBullet"/>
      </w:pPr>
      <w:r>
        <w:t xml:space="preserve">Require Figma to bind every webview message to the exact expected source and HTTPS origin, validate a versioned schema, use an exact targetOrigin and separate privileged capabilities before a pilot. </w:t>
      </w:r>
      <w:hyperlink w:anchor="REF_007">
        <w:r>
          <w:rPr>
            <w:rStyle w:val="Hyperlink"/>
          </w:rPr>
          <w:t>REF-007</w:t>
        </w:r>
      </w:hyperlink>
      <w:r>
        <w:t xml:space="preserve"> </w:t>
      </w:r>
      <w:hyperlink w:anchor="REF_011">
        <w:r>
          <w:rPr>
            <w:rStyle w:val="Hyperlink"/>
          </w:rPr>
          <w:t>REF-011</w:t>
        </w:r>
      </w:hyperlink>
    </w:p>
    <w:p>
      <w:pPr>
        <w:pStyle w:val="ListBullet"/>
      </w:pPr>
      <w:r>
        <w:t xml:space="preserve">Prevent authentication URLs and redemption secrets from entering Sentry breadcrumbs, support exports or logs; clear every secret and token on logout and verify server revocation. </w:t>
      </w:r>
      <w:hyperlink w:anchor="REF_004">
        <w:r>
          <w:rPr>
            <w:rStyle w:val="Hyperlink"/>
          </w:rPr>
          <w:t>REF-004</w:t>
        </w:r>
      </w:hyperlink>
      <w:r>
        <w:t xml:space="preserve"> </w:t>
      </w:r>
      <w:hyperlink w:anchor="REF_008">
        <w:r>
          <w:rPr>
            <w:rStyle w:val="Hyperlink"/>
          </w:rPr>
          <w:t>REF-008</w:t>
        </w:r>
      </w:hyperlink>
    </w:p>
    <w:p>
      <w:pPr>
        <w:pStyle w:val="ListBullet"/>
      </w:pPr>
      <w:r>
        <w:t xml:space="preserve">Honor VS Code telemetry policy for direct Sentry and Figma/Datadog-bound events, minimise stable identifiers, document fields and destinations, and provide an enterprise-disable control. </w:t>
      </w:r>
      <w:hyperlink w:anchor="REF_004">
        <w:r>
          <w:rPr>
            <w:rStyle w:val="Hyperlink"/>
          </w:rPr>
          <w:t>REF-004</w:t>
        </w:r>
      </w:hyperlink>
      <w:r>
        <w:t xml:space="preserve"> </w:t>
      </w:r>
      <w:hyperlink w:anchor="REF_008">
        <w:r>
          <w:rPr>
            <w:rStyle w:val="Hyperlink"/>
          </w:rPr>
          <w:t>REF-008</w:t>
        </w:r>
      </w:hyperlink>
    </w:p>
    <w:p>
      <w:pPr>
        <w:pStyle w:val="ListBullet"/>
      </w:pPr>
      <w:r>
        <w:t xml:space="preserve">Contain Code Connect and asset operations to trusted workspaces and canonical approved roots, eliminate predictable symlink-following temporary files, bound inputs and require just-in-time user approval. </w:t>
      </w:r>
      <w:hyperlink w:anchor="REF_009">
        <w:r>
          <w:rPr>
            <w:rStyle w:val="Hyperlink"/>
          </w:rPr>
          <w:t>REF-009</w:t>
        </w:r>
      </w:hyperlink>
      <w:r>
        <w:t xml:space="preserve"> </w:t>
      </w:r>
      <w:hyperlink w:anchor="REF_011">
        <w:r>
          <w:rPr>
            <w:rStyle w:val="Hyperlink"/>
          </w:rPr>
          <w:t>REF-011</w:t>
        </w:r>
      </w:hyperlink>
    </w:p>
    <w:p>
      <w:pPr>
        <w:pStyle w:val="ListBullet"/>
      </w:pPr>
      <w:r>
        <w:t xml:space="preserve">Obtain version-bound source, a signed package-specific SBOM, source-map/build provenance and complete advisory/licence disposition; current automated component coverage is materially incomplete. </w:t>
      </w:r>
      <w:hyperlink w:anchor="REF_011">
        <w:r>
          <w:rPr>
            <w:rStyle w:val="Hyperlink"/>
          </w:rPr>
          <w:t>REF-011</w:t>
        </w:r>
      </w:hyperlink>
      <w:r>
        <w:t xml:space="preserve"> </w:t>
      </w:r>
      <w:hyperlink w:anchor="REF_019">
        <w:r>
          <w:rPr>
            <w:rStyle w:val="Hyperlink"/>
          </w:rPr>
          <w:t>REF-019</w:t>
        </w:r>
      </w:hyperlink>
    </w:p>
    <w:p>
      <w:pPr>
        <w:pStyle w:val="ListBullet"/>
      </w:pPr>
      <w:r>
        <w:t xml:space="preserve">A synthetic-data pilot may be reconsidered only after the technical fixes, controlled runtime matrix, enterprise privacy terms, monitoring, incident response and tested exit controls are evidenced. </w:t>
      </w:r>
      <w:hyperlink w:anchor="REF_005">
        <w:r>
          <w:rPr>
            <w:rStyle w:val="Hyperlink"/>
          </w:rPr>
          <w:t>REF-005</w:t>
        </w:r>
      </w:hyperlink>
      <w:r>
        <w:t xml:space="preserve"> </w:t>
      </w:r>
      <w:hyperlink w:anchor="REF_016">
        <w:r>
          <w:rPr>
            <w:rStyle w:val="Hyperlink"/>
          </w:rPr>
          <w:t>REF-016</w:t>
        </w:r>
      </w:hyperlink>
    </w:p>
    <w:p>
      <w:pPr>
        <w:pStyle w:val="Heading2"/>
      </w:pPr>
      <w:r>
        <w:t>Approval Conditions and Immediate Actions</w:t>
      </w:r>
    </w:p>
    <w:p>
      <w:pPr>
        <w:pStyle w:val="ListNumber"/>
      </w:pPr>
      <w:r>
        <w:t>Use only synthetic designs, source, identities, credentials and plugins in a disposable least-privilege VS Code host with restricted and recorded egress.</w:t>
      </w:r>
    </w:p>
    <w:p>
      <w:pPr>
        <w:pStyle w:val="ListNumber"/>
      </w:pPr>
      <w:r>
        <w:t>Patch the bridge to require exact expected iframe source and HTTPS Figma origin, exact targetOrigin, versioned schema validation, size bounds, state/nonce binding and capability-specific handlers.</w:t>
      </w:r>
    </w:p>
    <w:p>
      <w:pPr>
        <w:pStyle w:val="ListNumber"/>
      </w:pPr>
      <w:r>
        <w:t>Prove non-allowlisted, nested, navigated, compromised and malformed iframe messages cannot invoke extension-host actions or receive cookies and MAC values.</w:t>
      </w:r>
    </w:p>
    <w:p>
      <w:pPr>
        <w:pStyle w:val="ListNumber"/>
      </w:pPr>
      <w:r>
        <w:t>Redact authentication query and fragment data before every breadcrumb, log, exception and support export; add negative canary tests.</w:t>
      </w:r>
    </w:p>
    <w:p>
      <w:pPr>
        <w:pStyle w:val="ListNumber"/>
      </w:pPr>
      <w:r>
        <w:t>Honor VS Code telemetry state and enterprise policy for every direct telemetry path; publish a field/destination/retention schedule and offer an enforceable disable control.</w:t>
      </w:r>
    </w:p>
    <w:p>
      <w:pPr>
        <w:pStyle w:val="ListNumber"/>
      </w:pPr>
      <w:r>
        <w:t>Require Workspace Trust before Code Connect, plugin development, Git discovery, filesystem mutation or generated-code operations.</w:t>
      </w:r>
    </w:p>
    <w:p>
      <w:pPr>
        <w:pStyle w:val="ListNumber"/>
      </w:pPr>
      <w:r>
        <w:t>Use a restrictive OS temporary directory with exclusive no-follow creation and post-open identity checks; remove the predictable project-root temporary filename.</w:t>
      </w:r>
    </w:p>
    <w:p>
      <w:pPr>
        <w:pStyle w:val="ListNumber"/>
      </w:pPr>
      <w:r>
        <w:t>Canonicalise asset destinations, enforce containment within an approved workspace subdirectory, reject traversal and symlinks, bound content, validate format and avoid silent overwrite.</w:t>
      </w:r>
    </w:p>
    <w:p>
      <w:pPr>
        <w:pStyle w:val="ListNumber"/>
      </w:pPr>
      <w:r>
        <w:t>Clear integration cookie, MAC, user ID, app-auth cookie, page-load token, caches, watchers and connections on logout/uninstall and prove server-side revocation.</w:t>
      </w:r>
    </w:p>
    <w:p>
      <w:pPr>
        <w:pStyle w:val="ListNumber"/>
      </w:pPr>
      <w:r>
        <w:t>Require HTTPS and exact approved hosts for all external navigation, related links and remote content; prohibit substring host validation.</w:t>
      </w:r>
    </w:p>
    <w:p>
      <w:pPr>
        <w:pStyle w:val="ListNumber"/>
      </w:pPr>
      <w:r>
        <w:t>Obtain signed SBOM, version-bound source/build provenance, source map, third-party notices and vulnerability/reachability disposition for the released bytes.</w:t>
      </w:r>
    </w:p>
    <w:p>
      <w:pPr>
        <w:pStyle w:val="ListNumber"/>
      </w:pPr>
      <w:r>
        <w:t>Execute the enterprise DPA, DPIA and transfer assessment; confirm roles, purposes, telemetry, subprocessors, locations, retention, deletion, rights, audit and incidents.</w:t>
      </w:r>
    </w:p>
    <w:p>
      <w:pPr>
        <w:pStyle w:val="ListNumber"/>
      </w:pPr>
      <w:r>
        <w:t>Run and retain the full runtime, authentication, prompt, denial, update, disable, logout, uninstall, residue, revocation and service-side deletion matrix.</w:t>
      </w:r>
    </w:p>
    <w:p>
      <w:pPr>
        <w:pStyle w:val="ListNumber"/>
      </w:pPr>
      <w:r>
        <w:t>Keep extension deployment deny-by-default outside the controlled pilot and pin publisher, identifier, stable version and approved digest in endpoint policy.</w:t>
      </w:r>
    </w:p>
    <w:p>
      <w:pPr>
        <w:pStyle w:val="Heading2"/>
      </w:pPr>
      <w:r>
        <w:t>Architecture and Trust-Boundary Figure</w:t>
      </w:r>
    </w:p>
    <w:p>
      <w:r>
        <w:drawing>
          <wp:inline xmlns:a="http://schemas.openxmlformats.org/drawingml/2006/main" xmlns:pic="http://schemas.openxmlformats.org/drawingml/2006/picture">
            <wp:extent cx="5943600" cy="3632200"/>
            <wp:docPr id="1" name="Figma for VS Code trust boundaries and principal data flows" title="Figma for VS Code trust boundaries and principal data flows" descr="Diagram showing the developer and VS Code connected to the Figma extension, workspace and Code Connect, remote Figma webview and services, and telemetry recipients. Arrows show design data, messages, authentication, workspace writes, repository metadata and telemetry."/>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632200"/>
                    </a:xfrm>
                    <a:prstGeom prst="rect"/>
                  </pic:spPr>
                </pic:pic>
              </a:graphicData>
            </a:graphic>
          </wp:inline>
        </w:drawing>
      </w:r>
    </w:p>
    <w:p>
      <w:pPr>
        <w:pStyle w:val="Caption"/>
      </w:pPr>
      <w:r>
        <w:t>Figure 1 — Figma for VS Code trust boundaries and principal data flows</w:t>
      </w:r>
    </w:p>
    <w:p>
      <w:pPr>
        <w:pStyle w:val="Heading1"/>
      </w:pPr>
      <w:r>
        <w:t>Purpose &amp; Function Overview</w:t>
      </w:r>
    </w:p>
    <w:p>
      <w:r>
        <w:t xml:space="preserve">This assessment determines whether Figma for VS Code 0.4.5 can be introduced into a Large UK Insurance development environment. It covers the exact retained Marketplace package, its official product claims, manifest and archive shape, authentication, browser/webview bridge, workspace writes, plugin and Code Connect capabilities, direct telemetry, package provenance, privacy obligations and enterprise controls. Static analysis, static malware review, privacy assessment and runtime analysis were all selected. Representative behavioural runtime remains Blocked because the required restricted-egress host, packet capture and synthetic Figma tenancy were unavailable. The decision is Defer pending evidence with High overall residual risk; this is a control and evidence conclusion, not an allegation of malicious intent. </w:t>
      </w:r>
      <w:hyperlink w:anchor="REF_001">
        <w:r>
          <w:rPr>
            <w:rStyle w:val="Hyperlink"/>
          </w:rPr>
          <w:t>REF-001</w:t>
        </w:r>
      </w:hyperlink>
      <w:r>
        <w:t xml:space="preserve"> </w:t>
      </w:r>
      <w:hyperlink w:anchor="REF_002">
        <w:r>
          <w:rPr>
            <w:rStyle w:val="Hyperlink"/>
          </w:rPr>
          <w:t>REF-002</w:t>
        </w:r>
      </w:hyperlink>
    </w:p>
    <w:p>
      <w:r>
        <w:t xml:space="preserve">Figma for VS Code is a design-to-code integration rather than a passive viewer. It embeds remote Figma content in a script-enabled webview, receives live design and notification data, links design components to repository files, proposes code completions, exports assets, supports local Dev Mode plugins and includes Code Connect parsing and Git repository discovery. Those functions place the extension between remote content, Figma identity, local workspace, browser, filesystem and extension-host APIs. The package is small in file count but concentrated in one large proprietary bundle, so strong message authority, workspace containment, telemetry governance and vendor provenance are essential conditions for enterprise use. </w:t>
      </w:r>
      <w:hyperlink w:anchor="REF_001">
        <w:r>
          <w:rPr>
            <w:rStyle w:val="Hyperlink"/>
          </w:rPr>
          <w:t>REF-001</w:t>
        </w:r>
      </w:hyperlink>
      <w:r>
        <w:t xml:space="preserve"> </w:t>
      </w:r>
      <w:hyperlink w:anchor="REF_007">
        <w:r>
          <w:rPr>
            <w:rStyle w:val="Hyperlink"/>
          </w:rPr>
          <w:t>REF-007</w:t>
        </w:r>
      </w:hyperlink>
    </w:p>
    <w:p>
      <w:pPr>
        <w:pStyle w:val="ListBullet"/>
      </w:pPr>
      <w:r>
        <w:t>Production or regulated-data use: not approved.</w:t>
      </w:r>
    </w:p>
    <w:p>
      <w:pPr>
        <w:pStyle w:val="ListBullet"/>
      </w:pPr>
      <w:r>
        <w:t>Synthetic-data pilot: reconsider only after every mandatory condition is evidenced.</w:t>
      </w:r>
    </w:p>
    <w:p>
      <w:pPr>
        <w:pStyle w:val="ListBullet"/>
      </w:pPr>
      <w:r>
        <w:t>Decision owner: accountable technology and risk owners supported by security, privacy, procurement and operational resilience.</w:t>
      </w:r>
    </w:p>
    <w:p>
      <w:pPr>
        <w:pStyle w:val="Heading1"/>
      </w:pPr>
      <w:r>
        <w:t>Product Identity and Version</w:t>
      </w:r>
    </w:p>
    <w:p>
      <w:r>
        <w:t xml:space="preserve">The exact target is Figma for VS Code, extension identifier figma.figma-vscode-extension, publisher figma with display publisher Figma, stable version 0.4.5 and verified publisher domain figma.com. Marketplace and embedded package metadata agree on identifier and version. The package requires VS Code ^1.75.0, activates onStartupFinished, runs from ./out/figma-for-vs-code.js, depends on vscode.git and is catalogued as a workspace extension. This identity check avoids conflating the extension with Figma Desktop, Figma's separate remote MCP server, community MCP wrappers, the Figma REST API or unrelated design-to-code products. </w:t>
      </w:r>
      <w:hyperlink w:anchor="REF_001">
        <w:r>
          <w:rPr>
            <w:rStyle w:val="Hyperlink"/>
          </w:rPr>
          <w:t>REF-001</w:t>
        </w:r>
      </w:hyperlink>
      <w:r>
        <w:t xml:space="preserve"> </w:t>
      </w:r>
      <w:hyperlink w:anchor="REF_002">
        <w:r>
          <w:rPr>
            <w:rStyle w:val="Hyperlink"/>
          </w:rPr>
          <w:t>REF-002</w:t>
        </w:r>
      </w:hyperlink>
    </w:p>
    <w:p>
      <w:r>
        <w:t>The retained VSIX is 3,669,279 bytes with SHA-256 0b5c096d3a65084c57ee6602bc8f377510c357a6eddcd67403127f1a1fbf98b4. That digest exactly matches Marketplace metadata, and the signed manifest binds the package and all 27 member digests. The observed signer is Microsoft Corporation under a DigiCert chain, although generic OpenSSL CMS verification did not validate the Marketplace-specific signature representation; independent platform trust therefore remains Unknown. Integrity of the acquired bytes is strong evidence, but it does not validate privileged-message design, source correspondence, component completeness or live service controls.</w:t>
      </w:r>
    </w:p>
    <w:p>
      <w:pPr>
        <w:pStyle w:val="Caption"/>
      </w:pPr>
      <w:r>
        <w:rPr>
          <w:b/>
        </w:rPr>
        <w:t>Assessed identity</w:t>
      </w:r>
    </w:p>
    <w:tbl>
      <w:tblPr>
        <w:tblStyle w:val="TableGrid"/>
        <w:tblW w:type="dxa" w:w="9360"/>
        <w:tblLayout w:type="fixed"/>
        <w:tblLook w:firstColumn="1" w:firstRow="1" w:lastColumn="0" w:lastRow="0" w:noHBand="0" w:noVBand="1" w:val="04A0"/>
        <w:tblInd w:w="120" w:type="dxa"/>
      </w:tblPr>
      <w:tblGrid>
        <w:gridCol w:w="2142"/>
        <w:gridCol w:w="7218"/>
      </w:tblGrid>
      <w:tr>
        <w:trPr>
          <w:tblHeader w:val="true"/>
        </w:trPr>
        <w:tc>
          <w:tcPr>
            <w:tcW w:type="dxa" w:w="2142"/>
            <w:shd w:fill="F2F4F7"/>
            <w:vAlign w:val="center"/>
            <w:tcMar>
              <w:top w:w="80" w:type="dxa"/>
              <w:start w:w="120" w:type="dxa"/>
              <w:bottom w:w="80" w:type="dxa"/>
              <w:end w:w="120" w:type="dxa"/>
            </w:tcMar>
          </w:tcPr>
          <w:p>
            <w:r>
              <w:rPr>
                <w:b/>
                <w:sz w:val="16"/>
              </w:rPr>
              <w:t>Attribute</w:t>
            </w:r>
          </w:p>
        </w:tc>
        <w:tc>
          <w:tcPr>
            <w:tcW w:type="dxa" w:w="7218"/>
            <w:shd w:fill="F2F4F7"/>
            <w:vAlign w:val="center"/>
            <w:tcMar>
              <w:top w:w="80" w:type="dxa"/>
              <w:start w:w="120" w:type="dxa"/>
              <w:bottom w:w="80" w:type="dxa"/>
              <w:end w:w="120" w:type="dxa"/>
            </w:tcMar>
          </w:tcPr>
          <w:p>
            <w:r>
              <w:rPr>
                <w:b/>
                <w:sz w:val="16"/>
              </w:rPr>
              <w:t>Value</w:t>
            </w:r>
          </w:p>
        </w:tc>
      </w:tr>
      <w:tr>
        <w:tc>
          <w:tcPr>
            <w:tcW w:type="dxa" w:w="2142"/>
            <w:vAlign w:val="center"/>
            <w:tcMar>
              <w:top w:w="80" w:type="dxa"/>
              <w:start w:w="120" w:type="dxa"/>
              <w:bottom w:w="80" w:type="dxa"/>
              <w:end w:w="120" w:type="dxa"/>
            </w:tcMar>
          </w:tcPr>
          <w:p>
            <w:r>
              <w:rPr>
                <w:sz w:val="16"/>
              </w:rPr>
              <w:t>Marketplace</w:t>
            </w:r>
          </w:p>
        </w:tc>
        <w:tc>
          <w:tcPr>
            <w:tcW w:type="dxa" w:w="7218"/>
            <w:vAlign w:val="center"/>
            <w:tcMar>
              <w:top w:w="80" w:type="dxa"/>
              <w:start w:w="120" w:type="dxa"/>
              <w:bottom w:w="80" w:type="dxa"/>
              <w:end w:w="120" w:type="dxa"/>
            </w:tcMar>
          </w:tcPr>
          <w:p>
            <w:r>
              <w:rPr>
                <w:sz w:val="16"/>
              </w:rPr>
              <w:t>Visual Studio Marketplace</w:t>
            </w:r>
          </w:p>
        </w:tc>
      </w:tr>
      <w:tr>
        <w:tc>
          <w:tcPr>
            <w:tcW w:type="dxa" w:w="2142"/>
            <w:vAlign w:val="center"/>
            <w:tcMar>
              <w:top w:w="80" w:type="dxa"/>
              <w:start w:w="120" w:type="dxa"/>
              <w:bottom w:w="80" w:type="dxa"/>
              <w:end w:w="120" w:type="dxa"/>
            </w:tcMar>
          </w:tcPr>
          <w:p>
            <w:r>
              <w:rPr>
                <w:sz w:val="16"/>
              </w:rPr>
              <w:t>Publisher</w:t>
            </w:r>
          </w:p>
        </w:tc>
        <w:tc>
          <w:tcPr>
            <w:tcW w:type="dxa" w:w="7218"/>
            <w:vAlign w:val="center"/>
            <w:tcMar>
              <w:top w:w="80" w:type="dxa"/>
              <w:start w:w="120" w:type="dxa"/>
              <w:bottom w:w="80" w:type="dxa"/>
              <w:end w:w="120" w:type="dxa"/>
            </w:tcMar>
          </w:tcPr>
          <w:p>
            <w:r>
              <w:rPr>
                <w:sz w:val="16"/>
              </w:rPr>
              <w:t>figma / Figma</w:t>
            </w:r>
          </w:p>
        </w:tc>
      </w:tr>
      <w:tr>
        <w:tc>
          <w:tcPr>
            <w:tcW w:type="dxa" w:w="2142"/>
            <w:vAlign w:val="center"/>
            <w:tcMar>
              <w:top w:w="80" w:type="dxa"/>
              <w:start w:w="120" w:type="dxa"/>
              <w:bottom w:w="80" w:type="dxa"/>
              <w:end w:w="120" w:type="dxa"/>
            </w:tcMar>
          </w:tcPr>
          <w:p>
            <w:r>
              <w:rPr>
                <w:sz w:val="16"/>
              </w:rPr>
              <w:t>Identifier</w:t>
            </w:r>
          </w:p>
        </w:tc>
        <w:tc>
          <w:tcPr>
            <w:tcW w:type="dxa" w:w="7218"/>
            <w:vAlign w:val="center"/>
            <w:tcMar>
              <w:top w:w="80" w:type="dxa"/>
              <w:start w:w="120" w:type="dxa"/>
              <w:bottom w:w="80" w:type="dxa"/>
              <w:end w:w="120" w:type="dxa"/>
            </w:tcMar>
          </w:tcPr>
          <w:p>
            <w:r>
              <w:rPr>
                <w:sz w:val="16"/>
              </w:rPr>
              <w:t>figma.figma-vscode-extension</w:t>
            </w:r>
          </w:p>
        </w:tc>
      </w:tr>
      <w:tr>
        <w:tc>
          <w:tcPr>
            <w:tcW w:type="dxa" w:w="2142"/>
            <w:vAlign w:val="center"/>
            <w:tcMar>
              <w:top w:w="80" w:type="dxa"/>
              <w:start w:w="120" w:type="dxa"/>
              <w:bottom w:w="80" w:type="dxa"/>
              <w:end w:w="120" w:type="dxa"/>
            </w:tcMar>
          </w:tcPr>
          <w:p>
            <w:r>
              <w:rPr>
                <w:sz w:val="16"/>
              </w:rPr>
              <w:t>Stable version</w:t>
            </w:r>
          </w:p>
        </w:tc>
        <w:tc>
          <w:tcPr>
            <w:tcW w:type="dxa" w:w="7218"/>
            <w:vAlign w:val="center"/>
            <w:tcMar>
              <w:top w:w="80" w:type="dxa"/>
              <w:start w:w="120" w:type="dxa"/>
              <w:bottom w:w="80" w:type="dxa"/>
              <w:end w:w="120" w:type="dxa"/>
            </w:tcMar>
          </w:tcPr>
          <w:p>
            <w:r>
              <w:rPr>
                <w:sz w:val="16"/>
              </w:rPr>
              <w:t>0.4.5</w:t>
            </w:r>
          </w:p>
        </w:tc>
      </w:tr>
      <w:tr>
        <w:tc>
          <w:tcPr>
            <w:tcW w:type="dxa" w:w="2142"/>
            <w:vAlign w:val="center"/>
            <w:tcMar>
              <w:top w:w="80" w:type="dxa"/>
              <w:start w:w="120" w:type="dxa"/>
              <w:bottom w:w="80" w:type="dxa"/>
              <w:end w:w="120" w:type="dxa"/>
            </w:tcMar>
          </w:tcPr>
          <w:p>
            <w:r>
              <w:rPr>
                <w:sz w:val="16"/>
              </w:rPr>
              <w:t>VSIX SHA-256</w:t>
            </w:r>
          </w:p>
        </w:tc>
        <w:tc>
          <w:tcPr>
            <w:tcW w:type="dxa" w:w="7218"/>
            <w:vAlign w:val="center"/>
            <w:tcMar>
              <w:top w:w="80" w:type="dxa"/>
              <w:start w:w="120" w:type="dxa"/>
              <w:bottom w:w="80" w:type="dxa"/>
              <w:end w:w="120" w:type="dxa"/>
            </w:tcMar>
          </w:tcPr>
          <w:p>
            <w:r>
              <w:rPr>
                <w:sz w:val="16"/>
              </w:rPr>
              <w:t>0b5c096d3a65084c57ee6602bc8f377510c357a6eddcd67403127f1a1fbf98b4</w:t>
            </w:r>
          </w:p>
        </w:tc>
      </w:tr>
      <w:tr>
        <w:tc>
          <w:tcPr>
            <w:tcW w:type="dxa" w:w="2142"/>
            <w:vAlign w:val="center"/>
            <w:tcMar>
              <w:top w:w="80" w:type="dxa"/>
              <w:start w:w="120" w:type="dxa"/>
              <w:bottom w:w="80" w:type="dxa"/>
              <w:end w:w="120" w:type="dxa"/>
            </w:tcMar>
          </w:tcPr>
          <w:p>
            <w:r>
              <w:rPr>
                <w:sz w:val="16"/>
              </w:rPr>
              <w:t>IDE</w:t>
            </w:r>
          </w:p>
        </w:tc>
        <w:tc>
          <w:tcPr>
            <w:tcW w:type="dxa" w:w="7218"/>
            <w:vAlign w:val="center"/>
            <w:tcMar>
              <w:top w:w="80" w:type="dxa"/>
              <w:start w:w="120" w:type="dxa"/>
              <w:bottom w:w="80" w:type="dxa"/>
              <w:end w:w="120" w:type="dxa"/>
            </w:tcMar>
          </w:tcPr>
          <w:p>
            <w:r>
              <w:rPr>
                <w:sz w:val="16"/>
              </w:rPr>
              <w:t>Microsoft Visual Studio Code desktop</w:t>
            </w:r>
          </w:p>
        </w:tc>
      </w:tr>
    </w:tbl>
    <w:p/>
    <w:p>
      <w:pPr>
        <w:pStyle w:val="Heading1"/>
      </w:pPr>
      <w:r>
        <w:t>Scope, Assumptions, Methodology and Assessment Criteria</w:t>
      </w:r>
    </w:p>
    <w:p>
      <w:r>
        <w:t>Scope is deliberately per IDE. Microsoft Visual Studio Code desktop is in scope using the retained stable package. Microsoft Visual Studio is Not applicable because the package declares only a VS Code engine and Node extension entry point. Browser-only Figma, Figma Desktop, the separate Figma MCP server, Figma Make, unbundled community plugins, future extension releases and production service penetration testing are outside the assessed identity. The enterprise context is a managed Large UK Insurance endpoint using synthetic code and design content for evaluation. No production credentials, customer data, claims data or confidential repository access was authorised.</w:t>
      </w:r>
    </w:p>
    <w:p>
      <w:r>
        <w:t>Methods included exact identity resolution, immutable acquisition, hashing, signature-member reconciliation, bounded archive inventory, manifest inspection, installation-only reproduction, independent static review, ClamAV, YARA, Semgrep, Trivy, Gitleaks, Syft, Grype and OSV checks, official-document review, privacy analysis, architecture modelling, threat scenarios, framework mapping and 5x5 scoring. Scanner output was treated as a lead until manually validated. Prohibited activity included normal-profile activation, unrestricted callbacks, real-account authentication, destructive testing, plugin detonation, credential collection, persistence and production access.</w:t>
      </w:r>
    </w:p>
    <w:p>
      <w:pPr>
        <w:pStyle w:val="ListBullet"/>
      </w:pPr>
      <w:r>
        <w:t>Static package analysis: completed with minification and absent-source limitations.</w:t>
      </w:r>
    </w:p>
    <w:p>
      <w:pPr>
        <w:pStyle w:val="ListBullet"/>
      </w:pPr>
      <w:r>
        <w:t>Static malware review: completed with antivirus database-age and no-detonation limitations.</w:t>
      </w:r>
    </w:p>
    <w:p>
      <w:pPr>
        <w:pStyle w:val="ListBullet"/>
      </w:pPr>
      <w:r>
        <w:t>Privacy review: completed from public terms and static telemetry paths; enterprise contracts remain unverified.</w:t>
      </w:r>
    </w:p>
    <w:p>
      <w:pPr>
        <w:pStyle w:val="ListBullet"/>
      </w:pPr>
      <w:r>
        <w:t>Runtime analysis: selected and Blocked, not silently changed to No.</w:t>
      </w:r>
    </w:p>
    <w:p>
      <w:pPr>
        <w:pStyle w:val="Heading1"/>
      </w:pPr>
      <w:r>
        <w:t>Large UK Insurance Enterprise Context</w:t>
      </w:r>
    </w:p>
    <w:p>
      <w:r>
        <w:t xml:space="preserve">A large insurer's source repositories may contain pricing logic, underwriting rules, claims workflows, fraud controls, operational-resilience dependencies, customer-impacting decision code, secrets and personal or special-category data. Design files and comments may reveal planned products, internal architecture, customer journeys and regulated processes. Even a collaboration extension therefore operates near information whose confidentiality, integrity, availability and retention may affect consumers, market obligations and incident response. The safest default is deny-by-default deployment, synthetic-only evaluation and explicit classification boundaries until actual data flows and lifecycle controls are proven. </w:t>
      </w:r>
      <w:hyperlink w:anchor="REF_015">
        <w:r>
          <w:rPr>
            <w:rStyle w:val="Hyperlink"/>
          </w:rPr>
          <w:t>REF-015</w:t>
        </w:r>
      </w:hyperlink>
      <w:r>
        <w:t xml:space="preserve"> </w:t>
      </w:r>
      <w:hyperlink w:anchor="REF_016">
        <w:r>
          <w:rPr>
            <w:rStyle w:val="Hyperlink"/>
          </w:rPr>
          <w:t>REF-016</w:t>
        </w:r>
      </w:hyperlink>
    </w:p>
    <w:p>
      <w:r>
        <w:t xml:space="preserve">FCA operational-resilience rules apply to insurers in scope and preserve firm accountability when third parties are used. PRA SS1/21 may also be relevant depending on the firm's status and whether affected services support important business services. This assessment does not declare Figma an outsourcing arrangement, material third party, critical third party or regulated service; those are firm-specific legal and materiality determinations. The engineering conclusion is narrower: if design-to-code workflows become operationally relied upon, inventory, change control, failure modes, exit, support, incident reporting and tested workarounds must be established before that reliance. </w:t>
      </w:r>
      <w:hyperlink w:anchor="REF_016">
        <w:r>
          <w:rPr>
            <w:rStyle w:val="Hyperlink"/>
          </w:rPr>
          <w:t>REF-016</w:t>
        </w:r>
      </w:hyperlink>
      <w:r>
        <w:t xml:space="preserve"> </w:t>
      </w:r>
      <w:hyperlink w:anchor="REF_017">
        <w:r>
          <w:rPr>
            <w:rStyle w:val="Hyperlink"/>
          </w:rPr>
          <w:t>REF-017</w:t>
        </w:r>
      </w:hyperlink>
    </w:p>
    <w:p>
      <w:pPr>
        <w:pStyle w:val="Heading1"/>
      </w:pPr>
      <w:r>
        <w:t>Part I — VS Code Assessment</w:t>
      </w:r>
    </w:p>
    <w:p>
      <w:r>
        <w:t>Part I evaluates the complete in-scope VS Code surface: installation identity, extension-host architecture, remote webview, authentication, notifications, design data, local plugins, Code Connect, Git discovery, asset and diagnostic writes, telemetry, updates and enterprise controls. The assessment distinguishes direct code observations from official product statements and from behaviour that remains Unknown or Blocked.</w:t>
      </w:r>
    </w:p>
    <w:p>
      <w:r>
        <w:t xml:space="preserve">The package's lack of native executables and clean archive structure reduce some malware and persistence concerns. They do not reduce the central browser-to-host risk: remote script-capable content is intentionally connected to privileged VS Code operations. That boundary must be designed and verified like an external API, with exact caller identity, schema validation, state binding, least authority, user consent, rate and size limits, logging and negative tests. </w:t>
      </w:r>
      <w:hyperlink w:anchor="REF_007">
        <w:r>
          <w:rPr>
            <w:rStyle w:val="Hyperlink"/>
          </w:rPr>
          <w:t>REF-007</w:t>
        </w:r>
      </w:hyperlink>
      <w:r>
        <w:t xml:space="preserve"> </w:t>
      </w:r>
      <w:hyperlink w:anchor="REF_011">
        <w:r>
          <w:rPr>
            <w:rStyle w:val="Hyperlink"/>
          </w:rPr>
          <w:t>REF-011</w:t>
        </w:r>
      </w:hyperlink>
    </w:p>
    <w:p>
      <w:pPr>
        <w:pStyle w:val="Heading1"/>
      </w:pPr>
      <w:r>
        <w:t>VS Code Purpose and Function</w:t>
      </w:r>
    </w:p>
    <w:p>
      <w:r>
        <w:t xml:space="preserve">Official materials describe navigation and inspection of Figma designs, real-time comments and activity, code suggestions based on selected layers, code-to-design links, asset export and Dev Mode plugin execution. The retained manifest contributes Figma file, login and notification views; commands for login, logout, layer movement, related links, URL opening, organization selection and diagnostic export; and settings for code-completion behaviour and asset output. These are material developer-productivity features with direct interaction across design and code assets. </w:t>
      </w:r>
      <w:hyperlink w:anchor="REF_001">
        <w:r>
          <w:rPr>
            <w:rStyle w:val="Hyperlink"/>
          </w:rPr>
          <w:t>REF-001</w:t>
        </w:r>
      </w:hyperlink>
      <w:r>
        <w:t xml:space="preserve"> </w:t>
      </w:r>
      <w:hyperlink w:anchor="REF_002">
        <w:r>
          <w:rPr>
            <w:rStyle w:val="Hyperlink"/>
          </w:rPr>
          <w:t>REF-002</w:t>
        </w:r>
      </w:hyperlink>
    </w:p>
    <w:p>
      <w:r>
        <w:t>The extension is not established as an AI agent, MCP client or installed Agent Skill. No MCP server, language-model tool, chat participant, SKILL.md or agent contribution was observed in the VSIX. Figma separately offers an MCP service, but it is not bundled into this target and must not inherit this assessment. AI-specific frameworks are therefore recorded as conditional or Not applicable, while conventional extension, browser, filesystem, privacy and supply-chain controls remain directly applicable.</w:t>
      </w:r>
    </w:p>
    <w:p>
      <w:pPr>
        <w:pStyle w:val="Heading1"/>
      </w:pPr>
      <w:r>
        <w:t>VS Code Architecture</w:t>
      </w:r>
    </w:p>
    <w:p>
      <w:r>
        <w:t>The architecture begins with VS Code and its workspace Extension Host, which loads the Node bundle at startup completion. The bundle uses VS Code SecretStorage, configuration, command, URI-handler, webview, workspace filesystem, clipboard, Git and browser APIs. A main script-enabled panel embeds a remote Figma integration iframe and relays messages through a small local bridge. The extension also maintains notification and file views, talks to Figma HTTPS and WebSocket services, initialises Sentry, emits Figma analytics for Datadog forwarding, reads Git metadata, watches local plugin files and parses Code Connect source.</w:t>
      </w:r>
    </w:p>
    <w:p>
      <w:r>
        <w:t xml:space="preserve">Trust does not flow transitively. Marketplace integrity authenticates the acquired package bytes, not the remote iframe content. A signed extension can still accept an unauthorised web message. A logged-in Figma session does not authorise every nested plugin or URL to write the workspace. A user prompt does not validate canonical containment. VS Code SecretStorage protects local values at rest but cannot prevent a secret-bearing URI from being logged before storage. Each boundary therefore needs its own caller, data, state and destination controls. </w:t>
      </w:r>
      <w:hyperlink w:anchor="REF_007">
        <w:r>
          <w:rPr>
            <w:rStyle w:val="Hyperlink"/>
          </w:rPr>
          <w:t>REF-007</w:t>
        </w:r>
      </w:hyperlink>
      <w:r>
        <w:t xml:space="preserve"> </w:t>
      </w:r>
      <w:hyperlink w:anchor="REF_010">
        <w:r>
          <w:rPr>
            <w:rStyle w:val="Hyperlink"/>
          </w:rPr>
          <w:t>REF-010</w:t>
        </w:r>
      </w:hyperlink>
    </w:p>
    <w:p>
      <w:pPr>
        <w:pStyle w:val="Heading1"/>
      </w:pPr>
      <w:r>
        <w:t>VS Code Trust Boundaries and Workspace Trust</w:t>
      </w:r>
    </w:p>
    <w:p>
      <w:r>
        <w:t>The principal boundaries are Marketplace-to-host, remote iframe-to-webview, webview-to-extension host, Figma service-to-workspace, untrusted repository-to-Code Connect parser, extension-to-child process, extension-to-browser, extension-to-telemetry recipients and local SecretStorage-to-support export. Repository files and symlinks must be treated as attacker-controlled because a developer can open a cloned or pull-request workspace before establishing trust. Remote design and plugin content must also be treated as untrusted even when delivered through a Figma origin because account compromise, nested content and application defects remain plausible.</w:t>
      </w:r>
    </w:p>
    <w:p>
      <w:r>
        <w:t xml:space="preserve">The manifest does not declare an extension-level untrustedWorkspace capability policy, and no application-specific Workspace Trust gate was traced for the privileged paths reviewed. Literal references to trust APIs inside a large bundle are not proof of enforcement. A safe enterprise posture must require trusted workspaces before local plugin watching, Git discovery, Code Connect parsing, generated-code operations or filesystem mutation, while keeping read-only design inspection separate where possible. Restricted Mode and explicit user denial must be tested rather than assumed. </w:t>
      </w:r>
      <w:hyperlink w:anchor="REF_009">
        <w:r>
          <w:rPr>
            <w:rStyle w:val="Hyperlink"/>
          </w:rPr>
          <w:t>REF-009</w:t>
        </w:r>
      </w:hyperlink>
    </w:p>
    <w:p>
      <w:pPr>
        <w:pStyle w:val="Heading1"/>
      </w:pPr>
      <w:r>
        <w:t>VS Code Installation Manifest and Uninstall Behaviour</w:t>
      </w:r>
    </w:p>
    <w:p>
      <w:r>
        <w:t>The local VSIX installed successfully under VS Code CLI 1.131.0 arm64 using fresh temporary user-data and extension directories with telemetry disabled. Listing returned exactly figma.figma-vscode-extension@0.4.5. The extension was not opened, activated or authenticated, and the task-owned temporary directories were removed automatically. This proves package compatibility and identity without exposing the normal user profile; it is not behavioural security evidence.</w:t>
      </w:r>
    </w:p>
    <w:p>
      <w:r>
        <w:t xml:space="preserve">No custom native installer, service, driver, scheduled task, registry modification or self-updater was observed. Marketplace update behaviour, disable semantics, VS Code account state, global storage, SecretStorage, plugin_dev_settings.json, workspace artefacts and server sessions still require a controlled lifecycle test. Uninstall assurance must demonstrate local removal, connection shutdown, token revocation, cache and watcher cleanup, diagnostic retention handling and endpoint policy rollback. </w:t>
      </w:r>
      <w:hyperlink w:anchor="REF_001">
        <w:r>
          <w:rPr>
            <w:rStyle w:val="Hyperlink"/>
          </w:rPr>
          <w:t>REF-001</w:t>
        </w:r>
      </w:hyperlink>
      <w:r>
        <w:t xml:space="preserve"> </w:t>
      </w:r>
      <w:hyperlink w:anchor="REF_010">
        <w:r>
          <w:rPr>
            <w:rStyle w:val="Hyperlink"/>
          </w:rPr>
          <w:t>REF-010</w:t>
        </w:r>
      </w:hyperlink>
    </w:p>
    <w:p>
      <w:pPr>
        <w:pStyle w:val="Heading1"/>
      </w:pPr>
      <w:r>
        <w:t>VS Code Authentication and Credential Storage</w:t>
      </w:r>
    </w:p>
    <w:p>
      <w:r>
        <w:t xml:space="preserve">Official guidance says users sign into a Figma account when first opening the extension. The retained code opens a browser grant flow, handles an app_auth_redeem URI, stores integration cookie, MAC, user ID and related values in VS Code SecretStorage, and uses authenticated HTTPS/WebSocket connections. SecretStorage is an appropriate local control. However, the URI is recorded before its query value is parsed as a redemption secret, creating a plausible path into Sentry breadcrumbs and the user-generated diagnostic bundle. </w:t>
      </w:r>
      <w:hyperlink w:anchor="REF_002">
        <w:r>
          <w:rPr>
            <w:rStyle w:val="Hyperlink"/>
          </w:rPr>
          <w:t>REF-002</w:t>
        </w:r>
      </w:hyperlink>
      <w:r>
        <w:t xml:space="preserve"> </w:t>
      </w:r>
      <w:hyperlink w:anchor="REF_004">
        <w:r>
          <w:rPr>
            <w:rStyle w:val="Hyperlink"/>
          </w:rPr>
          <w:t>REF-004</w:t>
        </w:r>
      </w:hyperlink>
    </w:p>
    <w:p>
      <w:r>
        <w:t>The reviewed logout routine deletes selected stored values and invokes a service logout, but complete deletion of the integration MAC, app-auth cookie, page-load token, local storage, caches and live connections was not established. No real credential was used, so replay, single-use redemption, state binding, server revocation and post-logout behaviour remain Unknown. Enterprise acceptance requires synthetic canaries, structured query parsing, nonce/state protection, total local cleanup, service revocation and proof that logs, telemetry and support files never contain secret material.</w:t>
      </w:r>
    </w:p>
    <w:p>
      <w:pPr>
        <w:pStyle w:val="Heading1"/>
      </w:pPr>
      <w:r>
        <w:t>VS Code Webviews and Remote Content Boundary</w:t>
      </w:r>
    </w:p>
    <w:p>
      <w:r>
        <w:t xml:space="preserve">resources/webview.js listens for every window message. A vscode-webview origin causes data to be posted to the iframe with targetOrigin '*'; every other origin is forwarded to the extension host, without a message.source equality check or exact Figma origin allowlist. Keyboard data is handled before the origin branch. The extension-side handler exposes privileged cases including asset writes, Code Connect generation, local extension directory operations, external browser navigation, developer tools, cache changes and logout. Semgrep independently flagged the wildcard postMessage and unvalidated host forwarding. </w:t>
      </w:r>
      <w:hyperlink w:anchor="REF_007">
        <w:r>
          <w:rPr>
            <w:rStyle w:val="Hyperlink"/>
          </w:rPr>
          <w:t>REF-007</w:t>
        </w:r>
      </w:hyperlink>
    </w:p>
    <w:p>
      <w:r>
        <w:t>The main panel enables scripts, retains context and embeds a remote Figma integration iframe without an observed iframe sandbox or main-panel CSP. Some host mutations prompt the user and some inputs are validated, but those controls are downstream and inconsistent; the bridge still accepts authority from any reachable window source. The exact exploit path depends on remote application composition, nested plugin behaviour or frame navigation and therefore needs safe runtime confirmation. Until fixed, the architecture violates fail-closed message-authority practice and drives a High residual finding.</w:t>
      </w:r>
    </w:p>
    <w:p>
      <w:pPr>
        <w:pStyle w:val="Heading1"/>
      </w:pPr>
      <w:r>
        <w:t>Design Data, Comments and Live Collaboration</w:t>
      </w:r>
    </w:p>
    <w:p>
      <w:r>
        <w:t xml:space="preserve">The extension displays design files, frames, code snippets, properties, comments and notifications and maintains live state over Figma services. Those data may include proprietary product plans, employee identifiers, discussion history, linked repository resources and operational context. The package also maps Figma selections into editor completions and related links. The assessment did not capture live payloads, destinations or retention, so exact field minimisation and tenant-isolation behaviour remain unobserved. </w:t>
      </w:r>
      <w:hyperlink w:anchor="REF_001">
        <w:r>
          <w:rPr>
            <w:rStyle w:val="Hyperlink"/>
          </w:rPr>
          <w:t>REF-001</w:t>
        </w:r>
      </w:hyperlink>
      <w:r>
        <w:t xml:space="preserve"> </w:t>
      </w:r>
      <w:hyperlink w:anchor="REF_002">
        <w:r>
          <w:rPr>
            <w:rStyle w:val="Hyperlink"/>
          </w:rPr>
          <w:t>REF-002</w:t>
        </w:r>
      </w:hyperlink>
    </w:p>
    <w:p>
      <w:r>
        <w:t xml:space="preserve">For a Large UK Insurance context, only synthetic or explicitly classified design content should enter a pilot. Design identifiers, comments, user identities, repository paths and linked URLs require a data inventory and retention schedule. Access must follow Figma tenancy and seat governance, least privilege, joiner-mover-leaver controls and auditability. The firm should test cross-team and cross-tenant negative cases, stale membership, revoked files, deleted comments and service outage behaviour before treating the integration as a normal developer tool. </w:t>
      </w:r>
      <w:hyperlink w:anchor="REF_004">
        <w:r>
          <w:rPr>
            <w:rStyle w:val="Hyperlink"/>
          </w:rPr>
          <w:t>REF-004</w:t>
        </w:r>
      </w:hyperlink>
      <w:r>
        <w:t xml:space="preserve"> </w:t>
      </w:r>
      <w:hyperlink w:anchor="REF_005">
        <w:r>
          <w:rPr>
            <w:rStyle w:val="Hyperlink"/>
          </w:rPr>
          <w:t>REF-005</w:t>
        </w:r>
      </w:hyperlink>
    </w:p>
    <w:p>
      <w:pPr>
        <w:pStyle w:val="Heading1"/>
      </w:pPr>
      <w:r>
        <w:t>Dev Mode Plugins and Code Generation</w:t>
      </w:r>
    </w:p>
    <w:p>
      <w:r>
        <w:t xml:space="preserve">Official materials say Dev Mode and codegen plugins can run inside the VS Code experience. The bundle reads and watches local plugin manifests and sources, persists plugin development settings, can create or remove local extension directories and sends generated code or schema-related data between the remote panel and host. These capabilities widen the trust boundary beyond Figma's core extension: plugin authors, plugin content and local plugin directories can influence what developers see and what host actions are requested. </w:t>
      </w:r>
      <w:hyperlink w:anchor="REF_001">
        <w:r>
          <w:rPr>
            <w:rStyle w:val="Hyperlink"/>
          </w:rPr>
          <w:t>REF-001</w:t>
        </w:r>
      </w:hyperlink>
      <w:r>
        <w:t xml:space="preserve"> </w:t>
      </w:r>
      <w:hyperlink w:anchor="REF_002">
        <w:r>
          <w:rPr>
            <w:rStyle w:val="Hyperlink"/>
          </w:rPr>
          <w:t>REF-002</w:t>
        </w:r>
      </w:hyperlink>
    </w:p>
    <w:p>
      <w:r>
        <w:t>No specific third-party plugin was assessed and no plugin code was executed. Plugin approval must therefore be independent, version-bound and deny-by-default. Enterprise controls should permit only reviewed plugins, separate plugin development from ordinary use, disable local plugin loading in sensitive repositories, validate all generated output as untrusted, preserve human review and tests, and ensure remote plugin content cannot directly invoke extension-host capabilities. AI or code-generating plugins would additionally require their own model, prompt, data and tool assessment.</w:t>
      </w:r>
    </w:p>
    <w:p>
      <w:pPr>
        <w:pStyle w:val="Heading1"/>
      </w:pPr>
      <w:r>
        <w:t>Code Connect, Git and Process Execution</w:t>
      </w:r>
    </w:p>
    <w:p>
      <w:r>
        <w:t>The bundle includes TypeScript and ts-morph parsing for Code Connect and uses spawnSync with argument arrays for Git repository metadata. No application-level shell:true or arbitrary shell string was observed, which reduces command-injection concern. The more direct weakness is a predictable temp-code-connect-parse.tsx file written with ordinary filesystem calls in the project context before parsing and unlinking. A hostile workspace can pre-position a symlink or race that path, and remote webview content can request the generation pathway.</w:t>
      </w:r>
    </w:p>
    <w:p>
      <w:r>
        <w:t xml:space="preserve">The parser also receives potentially large or complex code and project-glob inputs. Without runtime evidence, CPU, memory, timeout, cancellation, path, symlink and workspace-trust behaviour remain Unknown. The safe design is to use a random restrictive OS temporary directory with exclusive no-follow creation, bound every read and parse, avoid repository-root scratch files, validate Git executable provenance and environment, and require a trusted workspace plus immediate user initiation before any parser or process action. </w:t>
      </w:r>
      <w:hyperlink w:anchor="REF_009">
        <w:r>
          <w:rPr>
            <w:rStyle w:val="Hyperlink"/>
          </w:rPr>
          <w:t>REF-009</w:t>
        </w:r>
      </w:hyperlink>
      <w:r>
        <w:t xml:space="preserve"> </w:t>
      </w:r>
      <w:hyperlink w:anchor="REF_011">
        <w:r>
          <w:rPr>
            <w:rStyle w:val="Hyperlink"/>
          </w:rPr>
          <w:t>REF-011</w:t>
        </w:r>
      </w:hyperlink>
    </w:p>
    <w:p>
      <w:pPr>
        <w:pStyle w:val="Heading1"/>
      </w:pPr>
      <w:r>
        <w:t>Asset Export and Filesystem Mutation</w:t>
      </w:r>
    </w:p>
    <w:p>
      <w:r>
        <w:t>Remote iframe messages can provide asset name and bytes. The extension presents a user path prompt, joins the response to the first workspace URI and writes the file. The manifest exposes a default public/images export directory and /images public path, although static code/setting naming correspondence was not fully resolved. The prompt and suggested-name sanitisation are useful controls, but no canonical containment, traversal, absolute-path, symlink, alternate-scheme, existing-file, size or content-type enforcement was traced.</w:t>
      </w:r>
    </w:p>
    <w:p>
      <w:r>
        <w:t xml:space="preserve">Enterprise policy should restrict writes to a centrally configured subdirectory below a trusted workspace root. The extension must canonicalise both approved root and final parent, reject symlinks and traversal, bound bytes before allocation, validate type and extension, avoid silent overwrite and retain a privacy-safe audit event. Generated assets and snippets remain untrusted build inputs and must pass ordinary repository review, licence checks and malware/content validation before they enter a product or release. </w:t>
      </w:r>
      <w:hyperlink w:anchor="REF_002">
        <w:r>
          <w:rPr>
            <w:rStyle w:val="Hyperlink"/>
          </w:rPr>
          <w:t>REF-002</w:t>
        </w:r>
      </w:hyperlink>
      <w:r>
        <w:t xml:space="preserve"> </w:t>
      </w:r>
      <w:hyperlink w:anchor="REF_009">
        <w:r>
          <w:rPr>
            <w:rStyle w:val="Hyperlink"/>
          </w:rPr>
          <w:t>REF-009</w:t>
        </w:r>
      </w:hyperlink>
    </w:p>
    <w:p>
      <w:pPr>
        <w:pStyle w:val="Heading1"/>
      </w:pPr>
      <w:r>
        <w:t>External URLs and Related Resource Links</w:t>
      </w:r>
    </w:p>
    <w:p>
      <w:r>
        <w:t>The figma.openUrl command accepts a hostname using host.includes('figma.'), which also matches attacker-controlled names such as figma.example.com. Remote OPEN_IN_BROWSER and related-link paths also reach VS Code openExternal. Although some flows reconstruct an approved Figma URL or require user initiation, substring hostname validation is not a secure allowlist and remote content should not choose arbitrary schemes or destinations. Related links may intentionally target GitHub, Jira, Storybook or internal resources, so purpose-specific policies are required rather than one broad rule.</w:t>
      </w:r>
    </w:p>
    <w:p>
      <w:r>
        <w:t xml:space="preserve">Every navigation path should parse the URL, require HTTPS, normalise the hostname and port, compare against an exact documented allowlist or controlled subdomain suffix, reject credentials and dangerous schemes, and show the final destination before leaving the IDE when the source is remote content. Internal links need enterprise allowlists and browser isolation. Runtime tests should cover Unicode, trailing dots, encoded hostnames, redirects, localhost, private IPs, userinfo, fragments and malformed values. </w:t>
      </w:r>
      <w:hyperlink w:anchor="REF_003">
        <w:r>
          <w:rPr>
            <w:rStyle w:val="Hyperlink"/>
          </w:rPr>
          <w:t>REF-003</w:t>
        </w:r>
      </w:hyperlink>
      <w:r>
        <w:t xml:space="preserve"> </w:t>
      </w:r>
      <w:hyperlink w:anchor="REF_011">
        <w:r>
          <w:rPr>
            <w:rStyle w:val="Hyperlink"/>
          </w:rPr>
          <w:t>REF-011</w:t>
        </w:r>
      </w:hyperlink>
    </w:p>
    <w:p>
      <w:pPr>
        <w:pStyle w:val="Heading1"/>
      </w:pPr>
      <w:r>
        <w:t>Consolidated Supply Chain</w:t>
      </w:r>
    </w:p>
    <w:p>
      <w:r>
        <w:t>The VSIX contains 27 regular files and expands to approximately 15.9 MB. Bounded inventory found no path traversal, duplicate entry, symlink, encrypted member, embedded archive, native binary or executable anomaly. Marketplace and signed-manifest digests match every retained member. These are positive integrity controls and reduce exposure to archive and native-code classes. They do not provide component transparency because almost all logic is bundled into one 15.6 MB production JavaScript file.</w:t>
      </w:r>
    </w:p>
    <w:p>
      <w:r>
        <w:t>The package declares http://github.com/figma/figma as source while the Marketplace link is HTTPS; both repository API and Git reference resolution returned not found. The bundle ends with a sourceMappingURL for figma-for-vs-code.js.map, but no map is shipped. No source tag, lockfile, package-specific SBOM, release attestation or reproducible build instructions were established. The top-level licence is a short service-use licence, while third-party licence banners are only partially embedded. Full provenance and licence completeness therefore remain Unknown.</w:t>
      </w:r>
    </w:p>
    <w:p>
      <w:pPr>
        <w:pStyle w:val="Heading1"/>
      </w:pPr>
      <w:r>
        <w:t>VS Code Static Malware and Secret Review</w:t>
      </w:r>
    </w:p>
    <w:p>
      <w:r>
        <w:t>ClamAV 1.5.3 scanned the verified extraction and reported zero infected files. The engine used database 28071 and warned it was older than seven days, so freshness is a limitation. Assessment-specific YARA rules matched four expected review surfaces—the webview bridge, privileged message types, direct telemetry and process capability—not malware signatures. Gitleaks reported zero leaks. Trivy reported no secrets, vulnerabilities, licences or misconfigurations because the bundled layout yielded no supported language-specific target.</w:t>
      </w:r>
    </w:p>
    <w:p>
      <w:r>
        <w:t>No miner, reverse shell, persistence mechanism, credential harvester, native payload, self-updater or TLS-verification bypass was established. Direct Sentry and Figma analytics endpoints are documented application behaviours, not malware indicators, but they require privacy governance. Static no-detection cannot prove absence, especially in minified proprietary code. A future assessment should repeat antivirus with a fresh database, compare source and release, run targeted YARA/secret checks and preserve analyst dispositions; detonation remains unnecessary unless separately authorised and justified.</w:t>
      </w:r>
    </w:p>
    <w:p>
      <w:pPr>
        <w:pStyle w:val="Heading1"/>
      </w:pPr>
      <w:r>
        <w:t>VS Code SBOM and Vulnerability Triage</w:t>
      </w:r>
    </w:p>
    <w:p>
      <w:r>
        <w:t xml:space="preserve">Syft 1.50.0 produced a zero-component CycloneDX inventory because the distribution is bundled and ships no lockfile. Grype therefore had no meaningful matches. Static banners/version literals established Sentry Node 7.94.1, localForage 1.10.0 and React 18.3.1 with medium confidence; exact-version OSV queries on 2026-08-03 returned no advisory matches for those three clues. Undici, ws, TypeScript, ts-morph, lodash-like utilities and Figma internal packages appear present without complete exact versions. </w:t>
      </w:r>
      <w:hyperlink w:anchor="REF_019">
        <w:r>
          <w:rPr>
            <w:rStyle w:val="Hyperlink"/>
          </w:rPr>
          <w:t>REF-019</w:t>
        </w:r>
      </w:hyperlink>
    </w:p>
    <w:p>
      <w:r>
        <w:t>The zero matches must not be represented as a clean dependency assessment. Unknown components, build-time transformations, dead code, patched forks and reachability cannot be reconciled. The publisher should provide a signed package-specific CycloneDX or SPDX SBOM with purl, version, licence, hash, relationship and provenance fields, plus a vulnerability and reachability disposition tied to 0.4.5. Enterprise intake should reject later packages whose digest or inventory drifts until the same review is repeated.</w:t>
      </w:r>
    </w:p>
    <w:p>
      <w:pPr>
        <w:pStyle w:val="Heading1"/>
      </w:pPr>
      <w:r>
        <w:t>VS Code Runtime Processes, Network, Telemetry and Updates</w:t>
      </w:r>
    </w:p>
    <w:p>
      <w:r>
        <w:t>Runtime analysis remained selected but Blocked. The environment could safely reproduce installation identity, but it could not provide a disposable representative GUI host with restricted and observable egress, a synthetic Figma enterprise identity, a controlled test design and nested plugin fixture, packet capture or safe service-side deletion evidence. Activating the extension in the normal profile would have exposed personal sessions and credentials and was prohibited. Therefore process tree, DNS, TLS, WebSocket, prompts, denial bypass, update, logout and residue were not observed.</w:t>
      </w:r>
    </w:p>
    <w:p>
      <w:r>
        <w:t>The retained code indicates HTTPS Figma APIs, a wss://www.figma.com live connection, Sentry ingestion, Figma analytics with Datadog forwarding, browser authentication and Marketplace updates. Development and internal localhost/staging literals also exist but were not shown to be active in production. Closure requires an egress proxy and canaries, exact destination capture, payload classification, prompt screenshots, telemetry enabled/disabled comparison, update pinning, network-failure behaviour, logout/uninstall cleanup and server-side revocation/deletion confirmation.</w:t>
      </w:r>
    </w:p>
    <w:p>
      <w:pPr>
        <w:pStyle w:val="Heading1"/>
      </w:pPr>
      <w:r>
        <w:t>Telemetry, Diagnostics and Logging</w:t>
      </w:r>
    </w:p>
    <w:p>
      <w:r>
        <w:t>The bundle initialises Sentry with a production DSN, release identifier, environment and stack attachments; sets technical tags and a user identifier; and emits direct events to a Figma figment proxy with forwardToDatadog. Static fields include platform, OS release, VS Code and extension versions, application/environment, editor language, machineId and sessionId. No isTelemetryEnabled or onDidChangeTelemetryEnabled hook was found. The extension also registers test Sentry commands in the production bundle and retains an error/breadcrumb/log ring for support export.</w:t>
      </w:r>
    </w:p>
    <w:p>
      <w:r>
        <w:t xml:space="preserve">Figma's public policy describes Usage Data and Technical Data, but enterprise acceptance needs extension-specific fields, purposes, legal basis, destinations, subprocessors, retention, access and disable semantics. Host telemetry choice and central endpoint policy must be authoritative. Query strings, file paths, design names, repository links, user IDs and workspace content must be redacted before any breadcrumb or payload. The saved diagnostic file should be minimised, previewable, encrypted in transit to support, time-limited and deleted under a documented support workflow. </w:t>
      </w:r>
      <w:hyperlink w:anchor="REF_004">
        <w:r>
          <w:rPr>
            <w:rStyle w:val="Hyperlink"/>
          </w:rPr>
          <w:t>REF-004</w:t>
        </w:r>
      </w:hyperlink>
      <w:r>
        <w:t xml:space="preserve"> </w:t>
      </w:r>
      <w:hyperlink w:anchor="REF_008">
        <w:r>
          <w:rPr>
            <w:rStyle w:val="Hyperlink"/>
          </w:rPr>
          <w:t>REF-008</w:t>
        </w:r>
      </w:hyperlink>
    </w:p>
    <w:p>
      <w:pPr>
        <w:pStyle w:val="Heading1"/>
      </w:pPr>
      <w:r>
        <w:t>Privacy &amp; Data Protection Assessment</w:t>
      </w:r>
    </w:p>
    <w:p>
      <w:r>
        <w:t xml:space="preserve">The relevant categories may include Figma account identity, organisation and seat data, technical identifiers, IP and device information, design-file identifiers and content, comments, notifications, repository paths and links, asset names and bytes, telemetry, error stacks, breadcrumbs, logs, installed extension IDs and support correspondence. Some data may be personal or confidential even when source code itself is not uploaded. The public privacy policy effective 2 June 2026 covers Figma services and describes Customer Content, Usage Data and automatic Technical Data. </w:t>
      </w:r>
      <w:hyperlink w:anchor="REF_004">
        <w:r>
          <w:rPr>
            <w:rStyle w:val="Hyperlink"/>
          </w:rPr>
          <w:t>REF-004</w:t>
        </w:r>
      </w:hyperlink>
    </w:p>
    <w:p>
      <w:r>
        <w:t xml:space="preserve">For a UK insurer, the firm must identify controller/processor roles, purpose and lawful basis, update employee transparency, apply minimisation and access control, assess international transfers and subprocessors, set retention and deletion, support rights, and define incident and audit obligations. An executed DPA, data-flow schedule, DPIA and transfer assessment are required where processing meets the firm's thresholds. PECR is conditional on the actual storage/access technology and context. Public terms and a Marketplace click-through are insufficient proof of the firm's chosen enterprise controls. </w:t>
      </w:r>
      <w:hyperlink w:anchor="REF_005">
        <w:r>
          <w:rPr>
            <w:rStyle w:val="Hyperlink"/>
          </w:rPr>
          <w:t>REF-005</w:t>
        </w:r>
      </w:hyperlink>
      <w:r>
        <w:t xml:space="preserve"> </w:t>
      </w:r>
      <w:hyperlink w:anchor="REF_015">
        <w:r>
          <w:rPr>
            <w:rStyle w:val="Hyperlink"/>
          </w:rPr>
          <w:t>REF-015</w:t>
        </w:r>
      </w:hyperlink>
    </w:p>
    <w:p>
      <w:pPr>
        <w:pStyle w:val="Heading1"/>
      </w:pPr>
      <w:r>
        <w:t>VS Code Regulatory and Operational-Resilience Considerations</w:t>
      </w:r>
    </w:p>
    <w:p>
      <w:r>
        <w:t xml:space="preserve">UK GDPR and the Data Protection Act apply where personal data is processed; applicability and role depend on the firm, Figma contract and actual flow. FCA operational-resilience expectations apply to insurers in scope and require mapping, testing, remediation, communication and accountable third-party management where a tool supports important business services. PRA SS1/21 may apply to a PRA-regulated insurer's important business services. The extension itself is not automatically an outsourcing arrangement, material third party or critical third party, and Figma-specific materiality requires a documented firm decision. </w:t>
      </w:r>
      <w:hyperlink w:anchor="REF_015">
        <w:r>
          <w:rPr>
            <w:rStyle w:val="Hyperlink"/>
          </w:rPr>
          <w:t>REF-015</w:t>
        </w:r>
      </w:hyperlink>
      <w:r>
        <w:t xml:space="preserve"> </w:t>
      </w:r>
      <w:hyperlink w:anchor="REF_016">
        <w:r>
          <w:rPr>
            <w:rStyle w:val="Hyperlink"/>
          </w:rPr>
          <w:t>REF-016</w:t>
        </w:r>
      </w:hyperlink>
      <w:r>
        <w:t xml:space="preserve"> </w:t>
      </w:r>
      <w:hyperlink w:anchor="REF_017">
        <w:r>
          <w:rPr>
            <w:rStyle w:val="Hyperlink"/>
          </w:rPr>
          <w:t>REF-017</w:t>
        </w:r>
      </w:hyperlink>
    </w:p>
    <w:p>
      <w:r>
        <w:t xml:space="preserve">Operational controls should include service ownership, asset inventory, version pinning, change notifications, outage and compromise scenarios, manual workarounds, data export, access revocation, supplier incident contacts, recovery objectives and tested exit. New UK incident and material third-party reporting rules take effect in March 2027, so the firm should prepare without misrepresenting them as current obligations on 2026-08-03. Security, privacy, procurement, legal and business-service owners must jointly accept the residual risk; developer convenience alone cannot authorise production reliance. </w:t>
      </w:r>
      <w:hyperlink w:anchor="REF_016">
        <w:r>
          <w:rPr>
            <w:rStyle w:val="Hyperlink"/>
          </w:rPr>
          <w:t>REF-016</w:t>
        </w:r>
      </w:hyperlink>
    </w:p>
    <w:p>
      <w:pPr>
        <w:pStyle w:val="Heading1"/>
      </w:pPr>
      <w:r>
        <w:t>Framework Mappings</w:t>
      </w:r>
    </w:p>
    <w:p>
      <w:r>
        <w:t xml:space="preserve">OWASP ASVS 5.0.0 provides the most directly useful technical basis because the principal concerns are untrusted input, browser messaging, external navigation, filesystem handling, process execution, authentication, logging and privacy. CWE identifiers are assigned to specific implementation patterns, not to inflate severity. ISO/IEC 27001 supports supplier, access, logging, vulnerability, incident and change-control context. NIST AI RMF, MITRE ATLAS and NCSC AI guidance are conditional only if an approved Dev Mode plugin or future extension feature introduces model or agent behaviour. </w:t>
      </w:r>
      <w:hyperlink w:anchor="REF_011">
        <w:r>
          <w:rPr>
            <w:rStyle w:val="Hyperlink"/>
          </w:rPr>
          <w:t>REF-011</w:t>
        </w:r>
      </w:hyperlink>
      <w:r>
        <w:t xml:space="preserve"> </w:t>
      </w:r>
      <w:hyperlink w:anchor="REF_012">
        <w:r>
          <w:rPr>
            <w:rStyle w:val="Hyperlink"/>
          </w:rPr>
          <w:t>REF-012</w:t>
        </w:r>
      </w:hyperlink>
      <w:r>
        <w:t xml:space="preserve"> </w:t>
      </w:r>
      <w:hyperlink w:anchor="REF_013">
        <w:r>
          <w:rPr>
            <w:rStyle w:val="Hyperlink"/>
          </w:rPr>
          <w:t>REF-013</w:t>
        </w:r>
      </w:hyperlink>
      <w:r>
        <w:t xml:space="preserve"> </w:t>
      </w:r>
      <w:hyperlink w:anchor="REF_014">
        <w:r>
          <w:rPr>
            <w:rStyle w:val="Hyperlink"/>
          </w:rPr>
          <w:t>REF-014</w:t>
        </w:r>
      </w:hyperlink>
    </w:p>
    <w:p>
      <w:r>
        <w:t>OWASP MCP Top 10 is Not applicable to this package because no MCP server or client is bundled. OWASP LLM and Agentic categories are also not used as primary finding mappings because the assessed extension is a design collaboration and code-generation integration, not an evidenced autonomous AI agent. This avoids framework overreach while preserving a clear trigger: any separate Figma MCP connection, AI plugin, Figma Make integration or model-driven tool path requires a new identity- and version-bound assessment before use.</w:t>
      </w:r>
    </w:p>
    <w:p>
      <w:pPr>
        <w:pStyle w:val="Caption"/>
      </w:pPr>
      <w:r>
        <w:rPr>
          <w:b/>
        </w:rPr>
        <w:t>Framework applicability</w:t>
      </w:r>
    </w:p>
    <w:tbl>
      <w:tblPr>
        <w:tblStyle w:val="TableGrid"/>
        <w:tblW w:type="dxa" w:w="9360"/>
        <w:tblLayout w:type="fixed"/>
        <w:tblLook w:firstColumn="1" w:firstRow="1" w:lastColumn="0" w:lastRow="0" w:noHBand="0" w:noVBand="1" w:val="04A0"/>
        <w:tblInd w:w="120" w:type="dxa"/>
      </w:tblPr>
      <w:tblGrid>
        <w:gridCol w:w="2615"/>
        <w:gridCol w:w="2506"/>
        <w:gridCol w:w="4239"/>
      </w:tblGrid>
      <w:tr>
        <w:trPr>
          <w:tblHeader w:val="true"/>
        </w:trPr>
        <w:tc>
          <w:tcPr>
            <w:tcW w:type="dxa" w:w="2615"/>
            <w:shd w:fill="F2F4F7"/>
            <w:vAlign w:val="center"/>
            <w:tcMar>
              <w:top w:w="80" w:type="dxa"/>
              <w:start w:w="120" w:type="dxa"/>
              <w:bottom w:w="80" w:type="dxa"/>
              <w:end w:w="120" w:type="dxa"/>
            </w:tcMar>
          </w:tcPr>
          <w:p>
            <w:r>
              <w:rPr>
                <w:b/>
                <w:sz w:val="16"/>
              </w:rPr>
              <w:t>Framework</w:t>
            </w:r>
          </w:p>
        </w:tc>
        <w:tc>
          <w:tcPr>
            <w:tcW w:type="dxa" w:w="2506"/>
            <w:shd w:fill="F2F4F7"/>
            <w:vAlign w:val="center"/>
            <w:tcMar>
              <w:top w:w="80" w:type="dxa"/>
              <w:start w:w="120" w:type="dxa"/>
              <w:bottom w:w="80" w:type="dxa"/>
              <w:end w:w="120" w:type="dxa"/>
            </w:tcMar>
          </w:tcPr>
          <w:p>
            <w:r>
              <w:rPr>
                <w:b/>
                <w:sz w:val="16"/>
              </w:rPr>
              <w:t>Applicability</w:t>
            </w:r>
          </w:p>
        </w:tc>
        <w:tc>
          <w:tcPr>
            <w:tcW w:type="dxa" w:w="4239"/>
            <w:shd w:fill="F2F4F7"/>
            <w:vAlign w:val="center"/>
            <w:tcMar>
              <w:top w:w="80" w:type="dxa"/>
              <w:start w:w="120" w:type="dxa"/>
              <w:bottom w:w="80" w:type="dxa"/>
              <w:end w:w="120" w:type="dxa"/>
            </w:tcMar>
          </w:tcPr>
          <w:p>
            <w:r>
              <w:rPr>
                <w:b/>
                <w:sz w:val="16"/>
              </w:rPr>
              <w:t>Use</w:t>
            </w:r>
          </w:p>
        </w:tc>
      </w:tr>
      <w:tr>
        <w:tc>
          <w:tcPr>
            <w:tcW w:type="dxa" w:w="2615"/>
            <w:vAlign w:val="center"/>
            <w:tcMar>
              <w:top w:w="80" w:type="dxa"/>
              <w:start w:w="120" w:type="dxa"/>
              <w:bottom w:w="80" w:type="dxa"/>
              <w:end w:w="120" w:type="dxa"/>
            </w:tcMar>
          </w:tcPr>
          <w:p>
            <w:r>
              <w:rPr>
                <w:sz w:val="16"/>
              </w:rPr>
              <w:t>OWASP ASVS 5.0.0</w:t>
            </w:r>
          </w:p>
        </w:tc>
        <w:tc>
          <w:tcPr>
            <w:tcW w:type="dxa" w:w="2506"/>
            <w:vAlign w:val="center"/>
            <w:tcMar>
              <w:top w:w="80" w:type="dxa"/>
              <w:start w:w="120" w:type="dxa"/>
              <w:bottom w:w="80" w:type="dxa"/>
              <w:end w:w="120" w:type="dxa"/>
            </w:tcMar>
          </w:tcPr>
          <w:p>
            <w:r>
              <w:rPr>
                <w:sz w:val="16"/>
              </w:rPr>
              <w:t>Applicable</w:t>
            </w:r>
          </w:p>
        </w:tc>
        <w:tc>
          <w:tcPr>
            <w:tcW w:type="dxa" w:w="4239"/>
            <w:vAlign w:val="center"/>
            <w:tcMar>
              <w:top w:w="80" w:type="dxa"/>
              <w:start w:w="120" w:type="dxa"/>
              <w:bottom w:w="80" w:type="dxa"/>
              <w:end w:w="120" w:type="dxa"/>
            </w:tcMar>
          </w:tcPr>
          <w:p>
            <w:r>
              <w:rPr>
                <w:sz w:val="16"/>
              </w:rPr>
              <w:t>Webview, input, file, process, auth, logging and privacy controls</w:t>
            </w:r>
          </w:p>
        </w:tc>
      </w:tr>
      <w:tr>
        <w:tc>
          <w:tcPr>
            <w:tcW w:type="dxa" w:w="2615"/>
            <w:vAlign w:val="center"/>
            <w:tcMar>
              <w:top w:w="80" w:type="dxa"/>
              <w:start w:w="120" w:type="dxa"/>
              <w:bottom w:w="80" w:type="dxa"/>
              <w:end w:w="120" w:type="dxa"/>
            </w:tcMar>
          </w:tcPr>
          <w:p>
            <w:r>
              <w:rPr>
                <w:sz w:val="16"/>
              </w:rPr>
              <w:t>CWE</w:t>
            </w:r>
          </w:p>
        </w:tc>
        <w:tc>
          <w:tcPr>
            <w:tcW w:type="dxa" w:w="2506"/>
            <w:vAlign w:val="center"/>
            <w:tcMar>
              <w:top w:w="80" w:type="dxa"/>
              <w:start w:w="120" w:type="dxa"/>
              <w:bottom w:w="80" w:type="dxa"/>
              <w:end w:w="120" w:type="dxa"/>
            </w:tcMar>
          </w:tcPr>
          <w:p>
            <w:r>
              <w:rPr>
                <w:sz w:val="16"/>
              </w:rPr>
              <w:t>Applicable</w:t>
            </w:r>
          </w:p>
        </w:tc>
        <w:tc>
          <w:tcPr>
            <w:tcW w:type="dxa" w:w="4239"/>
            <w:vAlign w:val="center"/>
            <w:tcMar>
              <w:top w:w="80" w:type="dxa"/>
              <w:start w:w="120" w:type="dxa"/>
              <w:bottom w:w="80" w:type="dxa"/>
              <w:end w:w="120" w:type="dxa"/>
            </w:tcMar>
          </w:tcPr>
          <w:p>
            <w:r>
              <w:rPr>
                <w:sz w:val="16"/>
              </w:rPr>
              <w:t>Implementation-pattern classification</w:t>
            </w:r>
          </w:p>
        </w:tc>
      </w:tr>
      <w:tr>
        <w:tc>
          <w:tcPr>
            <w:tcW w:type="dxa" w:w="2615"/>
            <w:vAlign w:val="center"/>
            <w:tcMar>
              <w:top w:w="80" w:type="dxa"/>
              <w:start w:w="120" w:type="dxa"/>
              <w:bottom w:w="80" w:type="dxa"/>
              <w:end w:w="120" w:type="dxa"/>
            </w:tcMar>
          </w:tcPr>
          <w:p>
            <w:r>
              <w:rPr>
                <w:sz w:val="16"/>
              </w:rPr>
              <w:t>ISO/IEC 27001:2022</w:t>
            </w:r>
          </w:p>
        </w:tc>
        <w:tc>
          <w:tcPr>
            <w:tcW w:type="dxa" w:w="2506"/>
            <w:vAlign w:val="center"/>
            <w:tcMar>
              <w:top w:w="80" w:type="dxa"/>
              <w:start w:w="120" w:type="dxa"/>
              <w:bottom w:w="80" w:type="dxa"/>
              <w:end w:w="120" w:type="dxa"/>
            </w:tcMar>
          </w:tcPr>
          <w:p>
            <w:r>
              <w:rPr>
                <w:sz w:val="16"/>
              </w:rPr>
              <w:t>Applicable</w:t>
            </w:r>
          </w:p>
        </w:tc>
        <w:tc>
          <w:tcPr>
            <w:tcW w:type="dxa" w:w="4239"/>
            <w:vAlign w:val="center"/>
            <w:tcMar>
              <w:top w:w="80" w:type="dxa"/>
              <w:start w:w="120" w:type="dxa"/>
              <w:bottom w:w="80" w:type="dxa"/>
              <w:end w:w="120" w:type="dxa"/>
            </w:tcMar>
          </w:tcPr>
          <w:p>
            <w:r>
              <w:rPr>
                <w:sz w:val="16"/>
              </w:rPr>
              <w:t>Supplier and ISMS risk treatment</w:t>
            </w:r>
          </w:p>
        </w:tc>
      </w:tr>
      <w:tr>
        <w:tc>
          <w:tcPr>
            <w:tcW w:type="dxa" w:w="2615"/>
            <w:vAlign w:val="center"/>
            <w:tcMar>
              <w:top w:w="80" w:type="dxa"/>
              <w:start w:w="120" w:type="dxa"/>
              <w:bottom w:w="80" w:type="dxa"/>
              <w:end w:w="120" w:type="dxa"/>
            </w:tcMar>
          </w:tcPr>
          <w:p>
            <w:r>
              <w:rPr>
                <w:sz w:val="16"/>
              </w:rPr>
              <w:t>UK GDPR / ICO</w:t>
            </w:r>
          </w:p>
        </w:tc>
        <w:tc>
          <w:tcPr>
            <w:tcW w:type="dxa" w:w="2506"/>
            <w:vAlign w:val="center"/>
            <w:tcMar>
              <w:top w:w="80" w:type="dxa"/>
              <w:start w:w="120" w:type="dxa"/>
              <w:bottom w:w="80" w:type="dxa"/>
              <w:end w:w="120" w:type="dxa"/>
            </w:tcMar>
          </w:tcPr>
          <w:p>
            <w:r>
              <w:rPr>
                <w:sz w:val="16"/>
              </w:rPr>
              <w:t>Conditional on personal-data flow</w:t>
            </w:r>
          </w:p>
        </w:tc>
        <w:tc>
          <w:tcPr>
            <w:tcW w:type="dxa" w:w="4239"/>
            <w:vAlign w:val="center"/>
            <w:tcMar>
              <w:top w:w="80" w:type="dxa"/>
              <w:start w:w="120" w:type="dxa"/>
              <w:bottom w:w="80" w:type="dxa"/>
              <w:end w:w="120" w:type="dxa"/>
            </w:tcMar>
          </w:tcPr>
          <w:p>
            <w:r>
              <w:rPr>
                <w:sz w:val="16"/>
              </w:rPr>
              <w:t>Accountability, minimisation, transparency, rights and security</w:t>
            </w:r>
          </w:p>
        </w:tc>
      </w:tr>
      <w:tr>
        <w:tc>
          <w:tcPr>
            <w:tcW w:type="dxa" w:w="2615"/>
            <w:vAlign w:val="center"/>
            <w:tcMar>
              <w:top w:w="80" w:type="dxa"/>
              <w:start w:w="120" w:type="dxa"/>
              <w:bottom w:w="80" w:type="dxa"/>
              <w:end w:w="120" w:type="dxa"/>
            </w:tcMar>
          </w:tcPr>
          <w:p>
            <w:r>
              <w:rPr>
                <w:sz w:val="16"/>
              </w:rPr>
              <w:t>FCA / PRA operational resilience</w:t>
            </w:r>
          </w:p>
        </w:tc>
        <w:tc>
          <w:tcPr>
            <w:tcW w:type="dxa" w:w="2506"/>
            <w:vAlign w:val="center"/>
            <w:tcMar>
              <w:top w:w="80" w:type="dxa"/>
              <w:start w:w="120" w:type="dxa"/>
              <w:bottom w:w="80" w:type="dxa"/>
              <w:end w:w="120" w:type="dxa"/>
            </w:tcMar>
          </w:tcPr>
          <w:p>
            <w:r>
              <w:rPr>
                <w:sz w:val="16"/>
              </w:rPr>
              <w:t>Firm- and service-specific</w:t>
            </w:r>
          </w:p>
        </w:tc>
        <w:tc>
          <w:tcPr>
            <w:tcW w:type="dxa" w:w="4239"/>
            <w:vAlign w:val="center"/>
            <w:tcMar>
              <w:top w:w="80" w:type="dxa"/>
              <w:start w:w="120" w:type="dxa"/>
              <w:bottom w:w="80" w:type="dxa"/>
              <w:end w:w="120" w:type="dxa"/>
            </w:tcMar>
          </w:tcPr>
          <w:p>
            <w:r>
              <w:rPr>
                <w:sz w:val="16"/>
              </w:rPr>
              <w:t>Mapping, testing, accountability and exit</w:t>
            </w:r>
          </w:p>
        </w:tc>
      </w:tr>
      <w:tr>
        <w:tc>
          <w:tcPr>
            <w:tcW w:type="dxa" w:w="2615"/>
            <w:vAlign w:val="center"/>
            <w:tcMar>
              <w:top w:w="80" w:type="dxa"/>
              <w:start w:w="120" w:type="dxa"/>
              <w:bottom w:w="80" w:type="dxa"/>
              <w:end w:w="120" w:type="dxa"/>
            </w:tcMar>
          </w:tcPr>
          <w:p>
            <w:r>
              <w:rPr>
                <w:sz w:val="16"/>
              </w:rPr>
              <w:t>NIST AI RMF / MITRE ATLAS / NCSC AI</w:t>
            </w:r>
          </w:p>
        </w:tc>
        <w:tc>
          <w:tcPr>
            <w:tcW w:type="dxa" w:w="2506"/>
            <w:vAlign w:val="center"/>
            <w:tcMar>
              <w:top w:w="80" w:type="dxa"/>
              <w:start w:w="120" w:type="dxa"/>
              <w:bottom w:w="80" w:type="dxa"/>
              <w:end w:w="120" w:type="dxa"/>
            </w:tcMar>
          </w:tcPr>
          <w:p>
            <w:r>
              <w:rPr>
                <w:sz w:val="16"/>
              </w:rPr>
              <w:t>Conditional</w:t>
            </w:r>
          </w:p>
        </w:tc>
        <w:tc>
          <w:tcPr>
            <w:tcW w:type="dxa" w:w="4239"/>
            <w:vAlign w:val="center"/>
            <w:tcMar>
              <w:top w:w="80" w:type="dxa"/>
              <w:start w:w="120" w:type="dxa"/>
              <w:bottom w:w="80" w:type="dxa"/>
              <w:end w:w="120" w:type="dxa"/>
            </w:tcMar>
          </w:tcPr>
          <w:p>
            <w:r>
              <w:rPr>
                <w:sz w:val="16"/>
              </w:rPr>
              <w:t>Future AI-enabled plugin or service scope</w:t>
            </w:r>
          </w:p>
        </w:tc>
      </w:tr>
      <w:tr>
        <w:tc>
          <w:tcPr>
            <w:tcW w:type="dxa" w:w="2615"/>
            <w:vAlign w:val="center"/>
            <w:tcMar>
              <w:top w:w="80" w:type="dxa"/>
              <w:start w:w="120" w:type="dxa"/>
              <w:bottom w:w="80" w:type="dxa"/>
              <w:end w:w="120" w:type="dxa"/>
            </w:tcMar>
          </w:tcPr>
          <w:p>
            <w:r>
              <w:rPr>
                <w:sz w:val="16"/>
              </w:rPr>
              <w:t>OWASP MCP Top 10</w:t>
            </w:r>
          </w:p>
        </w:tc>
        <w:tc>
          <w:tcPr>
            <w:tcW w:type="dxa" w:w="2506"/>
            <w:vAlign w:val="center"/>
            <w:tcMar>
              <w:top w:w="80" w:type="dxa"/>
              <w:start w:w="120" w:type="dxa"/>
              <w:bottom w:w="80" w:type="dxa"/>
              <w:end w:w="120" w:type="dxa"/>
            </w:tcMar>
          </w:tcPr>
          <w:p>
            <w:r>
              <w:rPr>
                <w:sz w:val="16"/>
              </w:rPr>
              <w:t>Not applicable</w:t>
            </w:r>
          </w:p>
        </w:tc>
        <w:tc>
          <w:tcPr>
            <w:tcW w:type="dxa" w:w="4239"/>
            <w:vAlign w:val="center"/>
            <w:tcMar>
              <w:top w:w="80" w:type="dxa"/>
              <w:start w:w="120" w:type="dxa"/>
              <w:bottom w:w="80" w:type="dxa"/>
              <w:end w:w="120" w:type="dxa"/>
            </w:tcMar>
          </w:tcPr>
          <w:p>
            <w:r>
              <w:rPr>
                <w:sz w:val="16"/>
              </w:rPr>
              <w:t>No bundled MCP implementation</w:t>
            </w:r>
          </w:p>
        </w:tc>
      </w:tr>
    </w:tbl>
    <w:p/>
    <w:p>
      <w:pPr>
        <w:pStyle w:val="Heading1"/>
      </w:pPr>
      <w:r>
        <w:t>Threat Model and Abuse Cases</w:t>
      </w:r>
    </w:p>
    <w:p>
      <w:r>
        <w:t>The highest-priority abuse case is a nested, navigated or compromised remote frame posting a privileged message that the bridge forwards into the extension host. Other cases are an authentication secret captured in breadcrumbs, a hostile workspace symlink redirecting the Code Connect temporary write, a remote asset path escaping the approved root, direct telemetry continuing despite enterprise policy, a support bundle exposing sensitive state, an external-link hostname bypass, and a compromised update whose components cannot be reconciled because no complete SBOM/source baseline exists.</w:t>
      </w:r>
    </w:p>
    <w:p>
      <w:r>
        <w:t>Attacker preconditions vary. The webview scenario requires control of content capable of reaching the bridge; the temporary-file and path cases require a prepared workspace or deceptive user input; telemetry and diagnostics are privacy/control failures rather than attacker exploits; supply-chain risk concerns detection and response uncertainty. No credential theft, arbitrary code execution, cross-tenant access or malicious update was demonstrated. The report therefore uses plausible vulnerability, confirmed design weakness, governance gap and Blocked evidence labels rather than collapsing every scenario into a confirmed exploit.</w:t>
      </w:r>
    </w:p>
    <w:p>
      <w:pPr>
        <w:pStyle w:val="Heading1"/>
      </w:pPr>
      <w:r>
        <w:t>VS Code Residual Risk, Confidence and Verification</w:t>
      </w:r>
    </w:p>
    <w:p>
      <w:r>
        <w:t>Overall residual risk is High. F-001 and F-007 remain High because the bridge authorises remote messages too broadly and because complete source, dependency and behavioural evidence is unavailable. F-002 through F-006 are Moderate after existing controls are recognised, but they span authentication, telemetry, workspace, filesystem and session lifecycle and therefore cannot be accepted piecemeal. Package integrity, clean archive shape, no native executable and no static malware detection are positive observations; they do not compensate for authority and evidence gaps.</w:t>
      </w:r>
    </w:p>
    <w:p>
      <w:r>
        <w:t>Confidence is High in identity, digest, archive, manifest, bridge code, telemetry literals, predictable filename and missing source/SBOM facts. Confidence is Medium in end-to-end exploitability, runtime emissions, path semantics, logout residue and service-side controls because the safe runtime prerequisite was absent. Approval must therefore be deferred rather than denied as malicious. A vendor-fixed package plus a controlled runtime could materially reduce risk; a version update without evidence resets relevant assurance and triggers reassessment.</w:t>
      </w:r>
    </w:p>
    <w:p>
      <w:pPr>
        <w:pStyle w:val="Heading1"/>
      </w:pPr>
      <w:r>
        <w:t>Part II — Visual Studio Assessment</w:t>
      </w:r>
    </w:p>
    <w:p>
      <w:r>
        <w:t>Decision: Not applicable. Visual Studio is unsupported and out of scope for this VS Code extension. Evidence: the Marketplace manifest declares the Visual Studio Code engine only. Limitation: no Visual Studio package or runtime was assessed. Verification: reassess if the publisher releases a Visual Studio extension or claims Visual Studio compatibility.</w:t>
      </w:r>
    </w:p>
    <w:p>
      <w:r>
        <w:t>Microsoft Visual Studio is Not applicable for this assessment. The product identity is a Visual Studio Code Marketplace extension whose manifest declares a VS Code engine, Node entry point and VS Code contribution points. No VSIX installer, compatibility claim, Visual Studio command surface, MEF component or Visual Studio-specific package was identified. The Marketplace brand must not be interpreted as cross-IDE support.</w:t>
      </w:r>
    </w:p>
    <w:p>
      <w:r>
        <w:t>No conclusion in Part I should be transferred to a future Visual Studio product with a similar name. If Figma publishes a separate Visual Studio extension, its publisher, identifier, version, installer, privileges, authentication, webview/browser surface, data flows, update channel and runtime must be assessed independently. Current decision: unsupported and outside scope, with no installation or behaviour test performed.</w:t>
      </w:r>
    </w:p>
    <w:p>
      <w:pPr>
        <w:pStyle w:val="Heading1"/>
      </w:pPr>
      <w:r>
        <w:t>Installed Agent Skills — Part III</w:t>
      </w:r>
    </w:p>
    <w:p>
      <w:r>
        <w:t>No installed Agent Skill is bundled or contributed by Figma for VS Code 0.4.5. The archive contains no SKILL.md, agent metadata, language-model tool, chat participant or autonomous task contribution. Strings associated with Figma schemas or generic permissions are not evidence of an Agent Skill. This part is therefore Not applicable for the exact retained package.</w:t>
      </w:r>
    </w:p>
    <w:p>
      <w:r>
        <w:t>A user may separately install Figma-related MCP servers, community skills, codegen plugins or AI tools. Those artifacts have different publishers, update channels, permissions and attack surfaces and require their own assessment. They must not inherit Figma's verified publisher identity or this package's digest. Any future bundled AI or agent feature triggers a new scope, including prompt injection, tool authority, data provenance, model/provider, safety evaluation and monitoring.</w:t>
      </w:r>
    </w:p>
    <w:p>
      <w:pPr>
        <w:pStyle w:val="Heading1"/>
      </w:pPr>
      <w:r>
        <w:t>Cross-IDE Comparison</w:t>
      </w:r>
    </w:p>
    <w:p>
      <w:r>
        <w:t xml:space="preserve">Only VS Code is supported by the assessed package, so there is no equivalent Visual Studio control plane to compare. Within VS Code, deployment location matters: the Marketplace classifies the extension as workspace-oriented and the package depends on vscode.git. Remote development may therefore move parts of execution and data access into SSH, container or Codespaces extension hosts. That behaviour was not tested and must not be assumed equivalent to local desktop operation. </w:t>
      </w:r>
      <w:hyperlink w:anchor="REF_010">
        <w:r>
          <w:rPr>
            <w:rStyle w:val="Hyperlink"/>
          </w:rPr>
          <w:t>REF-010</w:t>
        </w:r>
      </w:hyperlink>
    </w:p>
    <w:p>
      <w:r>
        <w:t>Enterprise policy should identify allowed host types, repository classes, operating systems, Figma tenants and network zones. Local, remote, container and Codespaces deployment can change filesystem roots, SecretStorage backing, Git executable, proxy, certificate, egress and telemetry behaviour. Approval for one representative configuration does not authorise all. Each additional host class needs installation identity, boundary, runtime, update and residue evidence tied to the same package digest.</w:t>
      </w:r>
    </w:p>
    <w:p>
      <w:pPr>
        <w:pStyle w:val="Heading1"/>
      </w:pPr>
      <w:r>
        <w:t>Threats, Findings and Risk Summary</w:t>
      </w:r>
    </w:p>
    <w:p>
      <w:r>
        <w:t>Seven findings were validated. F-001 is the principal product-security concern: an origin-agnostic bridge connects remote content to privileged host operations and uses wildcard targetOrigin in the reverse direction. F-002 covers secret-bearing authentication URI data entering breadcrumbs. F-003 covers the predictable project temporary file and missing proven workspace gate. F-004 covers direct telemetry policy. F-005 covers asset containment. F-006 covers logout and debug residue. F-007 covers supply-chain and runtime evidence completeness.</w:t>
      </w:r>
    </w:p>
    <w:p>
      <w:r>
        <w:t>Risk scoring uses a 5x5 likelihood-impact matrix and recognises existing controls. Scores represent the enterprise scenario, not a universal CVSS claim. Findings are ordered by closure urgency and dependency: bridge authority and provenance/runtime evidence must close before other pilot controls can be meaningfully validated. Scanner signals that lacked a source-to-sink or package/version basis were not promoted. No target-specific public advisory, CISA KEV entry or confirmed incident was used as evidence of compromise.</w:t>
      </w:r>
    </w:p>
    <w:p>
      <w:pPr>
        <w:pStyle w:val="Heading1"/>
      </w:pPr>
      <w:r>
        <w:t>Enterprise Controls Roadmap</w:t>
      </w:r>
    </w:p>
    <w:p>
      <w:r>
        <w:t>Phase one is vendor remediation and evidence: exact bridge authority, sensitive-data redaction, host telemetry compliance, workspace containment, secure temporary files, total logout/uninstall cleanup, HTTPS allowlists, signed SBOM and version-bound source/build provenance. Phase two is a controlled synthetic pilot with pinned package digest, deny-by-default endpoint policy, trusted test workspace, synthetic Figma tenant, approved plugin fixture, restricted egress, packet capture, canaries and privacy-safe logging. Phase three is a joint risk decision supported by security, privacy, procurement, legal and operational-resilience owners.</w:t>
      </w:r>
    </w:p>
    <w:p>
      <w:r>
        <w:t>If conditions pass, any broader deployment should remain least privilege: approved tenants and repositories, no customer or production data, central extension allowlist, monitored version drift, separate plugin allowlist, protected branch review for generated output, clear user training, incident stop switch, session revocation, service inventory, data export and tested exit. If Figma cannot provide the evidence or the bridge remains permissive, keep deployment denied and use browser-based design handoff or exported, reviewed artifacts as lower-trust alternatives.</w:t>
      </w:r>
    </w:p>
    <w:p>
      <w:pPr>
        <w:pStyle w:val="Heading1"/>
      </w:pPr>
      <w:r>
        <w:t>Detection Opportunities and Monitoring Plan</w:t>
      </w:r>
    </w:p>
    <w:p>
      <w:r>
        <w:t>Endpoint and network controls should inventory publisher, identifier, version, digest, install location, activation host and updates; alert on unapproved versions or pre-release channels; and separately monitor Figma API/WebSocket, Sentry and analytics destinations. Egress records should be privacy-preserving and should never capture credentials or design content. Workspace file monitoring should flag unexpected temp-code-connect-parse.tsx files, plugin_dev_settings.json, asset writes outside approved roots and diagnostic exports while distinguishing authorised synthetic tests.</w:t>
      </w:r>
    </w:p>
    <w:p>
      <w:r>
        <w:t>Operational telemetry should measure denied bridge messages, invalid schemas, wrong origins, oversized payloads, asset-path rejections, parser timeouts, logout cleanup failures and revoked-session reuse without retaining sensitive payloads. Central monitoring needs an owner, purpose, retention and escalation playbook. Stop conditions include unapproved destination, secret canary, external write, wrong-tenant data, telemetry despite disable, bridge-forgery success, unsigned update, unexplained process or inability to revoke/delete. Detection does not replace prevention.</w:t>
      </w:r>
    </w:p>
    <w:p>
      <w:pPr>
        <w:pStyle w:val="Heading1"/>
      </w:pPr>
      <w:r>
        <w:t>Limitations and Confidence Levels</w:t>
      </w:r>
    </w:p>
    <w:p>
      <w:r>
        <w:t>The principal limitations are absent version-bound source, lockfile, source map and publisher SBOM; production minification; incomplete automated component discovery; no enterprise contract or service-side evidence; antivirus database age; and Blocked representative runtime. The Figma service can change independently of the retained package, and current help/legal pages are not a version-pinned behaviour contract. No production account, real design, customer data, third-party plugin, remote host or operating-system matrix was used.</w:t>
      </w:r>
    </w:p>
    <w:p>
      <w:r>
        <w:t>Static review can confirm implementation patterns but cannot prove exploitability, server enforcement, packet content, consent timing, deletion or residue. Absence of public advisory or scanner detection is not proof of safety. Conversely, literal capabilities and dormant development endpoints are not proof of active risk. The report consistently labels Verified, Inferred, Not observed, Unknown and Blocked states and carries limitations into findings and approval. Any new evidence can change the score without changing the integrity of this record.</w:t>
      </w:r>
    </w:p>
    <w:p>
      <w:pPr>
        <w:pStyle w:val="Heading1"/>
      </w:pPr>
      <w:r>
        <w:t>Residual Risk and Approval Recommendation</w:t>
      </w:r>
    </w:p>
    <w:p>
      <w:r>
        <w:t>Decision: Defer pending evidence. Overall residual risk: High. Production, confidential, personal, claims, underwriting, regulated and operationally critical use is not approved. The package is not classified as malware and its Marketplace/member integrity is verified, but the remote webview bridge does not establish caller authority, and complete source, component and behavioural assurance is missing. Those conditions are material because the extension can access authenticated remote content and privileged local capabilities.</w:t>
      </w:r>
    </w:p>
    <w:p>
      <w:r>
        <w:t>A synthetic-data pilot may be reconsidered only after Figma remediates or convincingly controls F-001 through F-006, supplies F-007 evidence, and the complete restricted runtime plan passes. Reassessment is also required for any new version, package digest, publisher/identifier change, service or plugin architecture change, security advisory, incident, privacy-term change, new IDE/remote host or introduction of AI/MCP capability. PUBLIC classification means the report content is suitable for potential external sharing; it does not authorise publication or disclosure.</w:t>
      </w:r>
    </w:p>
    <w:p>
      <w:pPr>
        <w:pStyle w:val="Heading1"/>
      </w:pPr>
      <w:r>
        <w:t>Verification Tests and Closure Plan</w:t>
      </w:r>
    </w:p>
    <w:p>
      <w:r>
        <w:t>The closure matrix must test exact iframe source/origin in both directions, nested and navigated frames, malformed/version-mismatched messages, replay, state, size and rate limits; authentication state/nonce, query redaction and single-use redemption; untrusted workspace denial; temporary-file symlink/race and resource bounds; asset traversal, symlink, content and overwrite; URL normalisation; telemetry enabled/disabled and live changes; logout/uninstall residue; update identity; and service-side revocation/deletion. Each test uses synthetic canaries and records negative as well as positive outcomes.</w:t>
      </w:r>
    </w:p>
    <w:p>
      <w:r>
        <w:t>Evidence must include the fixed Marketplace package digest, source commit, signed SBOM, source-to-VSIX reconciliation, test environment manifest, Figma tenant configuration, egress policy, packet/destination summary, prompts, process tree, filesystem diff, SecretStorage inventory identifiers without secret values, logout/uninstall proof, service confirmation and analyst disposition. Failures remain open findings; unavailable prerequisites remain Blocked. Only after secure review and all mandatory conditions pass should accountable owners decide whether to approve a narrowly bounded deployment.</w:t>
      </w:r>
    </w:p>
    <w:p>
      <w:pPr>
        <w:pStyle w:val="Heading1"/>
      </w:pPr>
      <w:r>
        <w:t>Individual Finding Records</w:t>
      </w:r>
    </w:p>
    <w:p>
      <w:pPr>
        <w:pStyle w:val="Heading2"/>
      </w:pPr>
      <w:r>
        <w:t>F-001 — Remote webview bridge lacks origin, source and schema enforcement</w:t>
      </w:r>
    </w:p>
    <w:p>
      <w:pPr>
        <w:pStyle w:val="Caption"/>
      </w:pPr>
      <w:r>
        <w:rPr>
          <w:b/>
        </w:rPr>
        <w:t>Finding record — F-001</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rPr>
              <w:t>Field</w:t>
            </w:r>
          </w:p>
        </w:tc>
        <w:tc>
          <w:tcPr>
            <w:tcW w:type="dxa" w:w="7120"/>
            <w:shd w:fill="F2F4F7"/>
            <w:vAlign w:val="center"/>
            <w:tcMar>
              <w:top w:w="80" w:type="dxa"/>
              <w:start w:w="120" w:type="dxa"/>
              <w:bottom w:w="80" w:type="dxa"/>
              <w:end w:w="120" w:type="dxa"/>
            </w:tcMar>
          </w:tcPr>
          <w:p>
            <w:r>
              <w:rPr>
                <w:b/>
                <w:sz w:val="16"/>
              </w:rPr>
              <w:t>Assessment</w:t>
            </w:r>
          </w:p>
        </w:tc>
      </w:tr>
      <w:tr>
        <w:tc>
          <w:tcPr>
            <w:tcW w:type="dxa" w:w="2240"/>
            <w:vAlign w:val="center"/>
            <w:tcMar>
              <w:top w:w="80" w:type="dxa"/>
              <w:start w:w="120" w:type="dxa"/>
              <w:bottom w:w="80" w:type="dxa"/>
              <w:end w:w="120" w:type="dxa"/>
            </w:tcMar>
          </w:tcPr>
          <w:p>
            <w:r>
              <w:rPr>
                <w:sz w:val="16"/>
              </w:rPr>
              <w:t>Scope</w:t>
            </w:r>
          </w:p>
        </w:tc>
        <w:tc>
          <w:tcPr>
            <w:tcW w:type="dxa" w:w="7120"/>
            <w:vAlign w:val="center"/>
            <w:tcMar>
              <w:top w:w="80" w:type="dxa"/>
              <w:start w:w="120" w:type="dxa"/>
              <w:bottom w:w="80" w:type="dxa"/>
              <w:end w:w="120" w:type="dxa"/>
            </w:tcMar>
          </w:tcPr>
          <w:p>
            <w:r>
              <w:rPr>
                <w:sz w:val="16"/>
              </w:rPr>
              <w:t>VS Code webview-to-extension-host trust boundary</w:t>
            </w:r>
          </w:p>
        </w:tc>
      </w:tr>
      <w:tr>
        <w:tc>
          <w:tcPr>
            <w:tcW w:type="dxa" w:w="2240"/>
            <w:vAlign w:val="center"/>
            <w:tcMar>
              <w:top w:w="80" w:type="dxa"/>
              <w:start w:w="120" w:type="dxa"/>
              <w:bottom w:w="80" w:type="dxa"/>
              <w:end w:w="120" w:type="dxa"/>
            </w:tcMar>
          </w:tcPr>
          <w:p>
            <w:r>
              <w:rPr>
                <w:sz w:val="16"/>
              </w:rPr>
              <w:t>Scenario</w:t>
            </w:r>
          </w:p>
        </w:tc>
        <w:tc>
          <w:tcPr>
            <w:tcW w:type="dxa" w:w="7120"/>
            <w:vAlign w:val="center"/>
            <w:tcMar>
              <w:top w:w="80" w:type="dxa"/>
              <w:start w:w="120" w:type="dxa"/>
              <w:bottom w:w="80" w:type="dxa"/>
              <w:end w:w="120" w:type="dxa"/>
            </w:tcMar>
          </w:tcPr>
          <w:p>
            <w:r>
              <w:rPr>
                <w:sz w:val="16"/>
              </w:rPr>
              <w:t xml:space="preserve">Any non-vscode-webview window message is forwarded into the extension host without checking the expected iframe source or an exact origin. The handler accepts privileged operations including asset writes, Code Connect parsing, local plugin directory operations, browser navigation, cache mutation, developer tools and logout. Extension messages, including observed cookie and MAC fields, are returned to the iframe with targetOrigin '*'. A nested, navigated or compromised remote frame could therefore plausibly act as a confused deputy. </w:t>
            </w:r>
            <w:hyperlink w:anchor="REF_007">
              <w:r>
                <w:rPr>
                  <w:rStyle w:val="Hyperlink"/>
                </w:rPr>
                <w:t>REF-007</w:t>
              </w:r>
            </w:hyperlink>
            <w:r>
              <w:rPr>
                <w:sz w:val="16"/>
              </w:rPr>
              <w:t xml:space="preserve"> </w:t>
            </w:r>
            <w:hyperlink w:anchor="REF_011">
              <w:r>
                <w:rPr>
                  <w:rStyle w:val="Hyperlink"/>
                </w:rPr>
                <w:t>REF-011</w:t>
              </w:r>
            </w:hyperlink>
          </w:p>
        </w:tc>
      </w:tr>
      <w:tr>
        <w:tc>
          <w:tcPr>
            <w:tcW w:type="dxa" w:w="2240"/>
            <w:vAlign w:val="center"/>
            <w:tcMar>
              <w:top w:w="80" w:type="dxa"/>
              <w:start w:w="120" w:type="dxa"/>
              <w:bottom w:w="80" w:type="dxa"/>
              <w:end w:w="120" w:type="dxa"/>
            </w:tcMar>
          </w:tcPr>
          <w:p>
            <w:r>
              <w:rPr>
                <w:sz w:val="16"/>
              </w:rPr>
              <w:t>Evidence Ids</w:t>
            </w:r>
          </w:p>
        </w:tc>
        <w:tc>
          <w:tcPr>
            <w:tcW w:type="dxa" w:w="7120"/>
            <w:vAlign w:val="center"/>
            <w:tcMar>
              <w:top w:w="80" w:type="dxa"/>
              <w:start w:w="120" w:type="dxa"/>
              <w:bottom w:w="80" w:type="dxa"/>
              <w:end w:w="120" w:type="dxa"/>
            </w:tcMar>
          </w:tcPr>
          <w:p>
            <w:r>
              <w:rPr>
                <w:sz w:val="16"/>
              </w:rPr>
              <w:t>EVD-WEBVIEW-001; EVD-STATIC-001; EVD-SEMGREP-001</w:t>
            </w:r>
          </w:p>
        </w:tc>
      </w:tr>
      <w:tr>
        <w:tc>
          <w:tcPr>
            <w:tcW w:type="dxa" w:w="2240"/>
            <w:vAlign w:val="center"/>
            <w:tcMar>
              <w:top w:w="80" w:type="dxa"/>
              <w:start w:w="120" w:type="dxa"/>
              <w:bottom w:w="80" w:type="dxa"/>
              <w:end w:w="120" w:type="dxa"/>
            </w:tcMar>
          </w:tcPr>
          <w:p>
            <w:r>
              <w:rPr>
                <w:sz w:val="16"/>
              </w:rPr>
              <w:t>Likelihood</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Impact</w:t>
            </w:r>
          </w:p>
        </w:tc>
        <w:tc>
          <w:tcPr>
            <w:tcW w:type="dxa" w:w="7120"/>
            <w:vAlign w:val="center"/>
            <w:tcMar>
              <w:top w:w="80" w:type="dxa"/>
              <w:start w:w="120" w:type="dxa"/>
              <w:bottom w:w="80" w:type="dxa"/>
              <w:end w:w="120" w:type="dxa"/>
            </w:tcMar>
          </w:tcPr>
          <w:p>
            <w:r>
              <w:rPr>
                <w:sz w:val="16"/>
              </w:rPr>
              <w:t>5</w:t>
            </w:r>
          </w:p>
        </w:tc>
      </w:tr>
      <w:tr>
        <w:tc>
          <w:tcPr>
            <w:tcW w:type="dxa" w:w="2240"/>
            <w:vAlign w:val="center"/>
            <w:tcMar>
              <w:top w:w="80" w:type="dxa"/>
              <w:start w:w="120" w:type="dxa"/>
              <w:bottom w:w="80" w:type="dxa"/>
              <w:end w:w="120" w:type="dxa"/>
            </w:tcMar>
          </w:tcPr>
          <w:p>
            <w:r>
              <w:rPr>
                <w:sz w:val="16"/>
              </w:rPr>
              <w:t>Inherent</w:t>
            </w:r>
          </w:p>
        </w:tc>
        <w:tc>
          <w:tcPr>
            <w:tcW w:type="dxa" w:w="7120"/>
            <w:vAlign w:val="center"/>
            <w:tcMar>
              <w:top w:w="80" w:type="dxa"/>
              <w:start w:w="120" w:type="dxa"/>
              <w:bottom w:w="80" w:type="dxa"/>
              <w:end w:w="120" w:type="dxa"/>
            </w:tcMar>
          </w:tcPr>
          <w:p>
            <w:r>
              <w:rPr>
                <w:sz w:val="16"/>
              </w:rPr>
              <w:t>15 High</w:t>
            </w:r>
          </w:p>
        </w:tc>
      </w:tr>
      <w:tr>
        <w:tc>
          <w:tcPr>
            <w:tcW w:type="dxa" w:w="2240"/>
            <w:vAlign w:val="center"/>
            <w:tcMar>
              <w:top w:w="80" w:type="dxa"/>
              <w:start w:w="120" w:type="dxa"/>
              <w:bottom w:w="80" w:type="dxa"/>
              <w:end w:w="120" w:type="dxa"/>
            </w:tcMar>
          </w:tcPr>
          <w:p>
            <w:r>
              <w:rPr>
                <w:sz w:val="16"/>
              </w:rPr>
              <w:t>Controls</w:t>
            </w:r>
          </w:p>
        </w:tc>
        <w:tc>
          <w:tcPr>
            <w:tcW w:type="dxa" w:w="7120"/>
            <w:vAlign w:val="center"/>
            <w:tcMar>
              <w:top w:w="80" w:type="dxa"/>
              <w:start w:w="120" w:type="dxa"/>
              <w:bottom w:w="80" w:type="dxa"/>
              <w:end w:w="120" w:type="dxa"/>
            </w:tcMar>
          </w:tcPr>
          <w:p>
            <w:r>
              <w:rPr>
                <w:sz w:val="16"/>
              </w:rPr>
              <w:t>The panel uses a fixed Figma integration URL and several host mutations have prompts or downstream validation, but the bridge itself does not establish message authority.</w:t>
            </w:r>
          </w:p>
        </w:tc>
      </w:tr>
      <w:tr>
        <w:tc>
          <w:tcPr>
            <w:tcW w:type="dxa" w:w="2240"/>
            <w:vAlign w:val="center"/>
            <w:tcMar>
              <w:top w:w="80" w:type="dxa"/>
              <w:start w:w="120" w:type="dxa"/>
              <w:bottom w:w="80" w:type="dxa"/>
              <w:end w:w="120" w:type="dxa"/>
            </w:tcMar>
          </w:tcPr>
          <w:p>
            <w:r>
              <w:rPr>
                <w:sz w:val="16"/>
              </w:rPr>
              <w:t>Control Strength</w:t>
            </w:r>
          </w:p>
        </w:tc>
        <w:tc>
          <w:tcPr>
            <w:tcW w:type="dxa" w:w="7120"/>
            <w:vAlign w:val="center"/>
            <w:tcMar>
              <w:top w:w="80" w:type="dxa"/>
              <w:start w:w="120" w:type="dxa"/>
              <w:bottom w:w="80" w:type="dxa"/>
              <w:end w:w="120" w:type="dxa"/>
            </w:tcMar>
          </w:tcPr>
          <w:p>
            <w:r>
              <w:rPr>
                <w:sz w:val="16"/>
              </w:rPr>
              <w:t>Weak</w:t>
            </w:r>
          </w:p>
        </w:tc>
      </w:tr>
      <w:tr>
        <w:tc>
          <w:tcPr>
            <w:tcW w:type="dxa" w:w="2240"/>
            <w:vAlign w:val="center"/>
            <w:tcMar>
              <w:top w:w="80" w:type="dxa"/>
              <w:start w:w="120" w:type="dxa"/>
              <w:bottom w:w="80" w:type="dxa"/>
              <w:end w:w="120" w:type="dxa"/>
            </w:tcMar>
          </w:tcPr>
          <w:p>
            <w:r>
              <w:rPr>
                <w:sz w:val="16"/>
              </w:rPr>
              <w:t>Residual Likelihood</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Residual Impact</w:t>
            </w:r>
          </w:p>
        </w:tc>
        <w:tc>
          <w:tcPr>
            <w:tcW w:type="dxa" w:w="7120"/>
            <w:vAlign w:val="center"/>
            <w:tcMar>
              <w:top w:w="80" w:type="dxa"/>
              <w:start w:w="120" w:type="dxa"/>
              <w:bottom w:w="80" w:type="dxa"/>
              <w:end w:w="120" w:type="dxa"/>
            </w:tcMar>
          </w:tcPr>
          <w:p>
            <w:r>
              <w:rPr>
                <w:sz w:val="16"/>
              </w:rPr>
              <w:t>4</w:t>
            </w:r>
          </w:p>
        </w:tc>
      </w:tr>
      <w:tr>
        <w:tc>
          <w:tcPr>
            <w:tcW w:type="dxa" w:w="2240"/>
            <w:vAlign w:val="center"/>
            <w:tcMar>
              <w:top w:w="80" w:type="dxa"/>
              <w:start w:w="120" w:type="dxa"/>
              <w:bottom w:w="80" w:type="dxa"/>
              <w:end w:w="120" w:type="dxa"/>
            </w:tcMar>
          </w:tcPr>
          <w:p>
            <w:r>
              <w:rPr>
                <w:sz w:val="16"/>
              </w:rPr>
              <w:t>Residual</w:t>
            </w:r>
          </w:p>
        </w:tc>
        <w:tc>
          <w:tcPr>
            <w:tcW w:type="dxa" w:w="7120"/>
            <w:vAlign w:val="center"/>
            <w:tcMar>
              <w:top w:w="80" w:type="dxa"/>
              <w:start w:w="120" w:type="dxa"/>
              <w:bottom w:w="80" w:type="dxa"/>
              <w:end w:w="120" w:type="dxa"/>
            </w:tcMar>
          </w:tcPr>
          <w:p>
            <w:r>
              <w:rPr>
                <w:sz w:val="16"/>
              </w:rPr>
              <w:t>12 High</w:t>
            </w:r>
          </w:p>
        </w:tc>
      </w:tr>
      <w:tr>
        <w:tc>
          <w:tcPr>
            <w:tcW w:type="dxa" w:w="2240"/>
            <w:vAlign w:val="center"/>
            <w:tcMar>
              <w:top w:w="80" w:type="dxa"/>
              <w:start w:w="120" w:type="dxa"/>
              <w:bottom w:w="80" w:type="dxa"/>
              <w:end w:w="120" w:type="dxa"/>
            </w:tcMar>
          </w:tcPr>
          <w:p>
            <w:r>
              <w:rPr>
                <w:sz w:val="16"/>
              </w:rPr>
              <w:t>Recommendation</w:t>
            </w:r>
          </w:p>
        </w:tc>
        <w:tc>
          <w:tcPr>
            <w:tcW w:type="dxa" w:w="7120"/>
            <w:vAlign w:val="center"/>
            <w:tcMar>
              <w:top w:w="80" w:type="dxa"/>
              <w:start w:w="120" w:type="dxa"/>
              <w:bottom w:w="80" w:type="dxa"/>
              <w:end w:w="120" w:type="dxa"/>
            </w:tcMar>
          </w:tcPr>
          <w:p>
            <w:r>
              <w:rPr>
                <w:sz w:val="16"/>
              </w:rPr>
              <w:t xml:space="preserve">Require message.source to equal the retained iframe window, require an exact allowlisted HTTPS origin, use that origin as targetOrigin, validate discriminated schemas and sizes, bind authentication state, separate capabilities and require immediate user approval for every host mutation. Add a restrictive CSP and iframe sandbox where compatible. </w:t>
            </w:r>
            <w:hyperlink w:anchor="REF_007">
              <w:r>
                <w:rPr>
                  <w:rStyle w:val="Hyperlink"/>
                </w:rPr>
                <w:t>REF-007</w:t>
              </w:r>
            </w:hyperlink>
            <w:r>
              <w:rPr>
                <w:sz w:val="16"/>
              </w:rPr>
              <w:t xml:space="preserve"> </w:t>
            </w:r>
            <w:hyperlink w:anchor="REF_011">
              <w:r>
                <w:rPr>
                  <w:rStyle w:val="Hyperlink"/>
                </w:rPr>
                <w:t>REF-011</w:t>
              </w:r>
            </w:hyperlink>
          </w:p>
        </w:tc>
      </w:tr>
      <w:tr>
        <w:tc>
          <w:tcPr>
            <w:tcW w:type="dxa" w:w="2240"/>
            <w:vAlign w:val="center"/>
            <w:tcMar>
              <w:top w:w="80" w:type="dxa"/>
              <w:start w:w="120" w:type="dxa"/>
              <w:bottom w:w="80" w:type="dxa"/>
              <w:end w:w="120" w:type="dxa"/>
            </w:tcMar>
          </w:tcPr>
          <w:p>
            <w:r>
              <w:rPr>
                <w:sz w:val="16"/>
              </w:rPr>
              <w:t>Owner</w:t>
            </w:r>
          </w:p>
        </w:tc>
        <w:tc>
          <w:tcPr>
            <w:tcW w:type="dxa" w:w="7120"/>
            <w:vAlign w:val="center"/>
            <w:tcMar>
              <w:top w:w="80" w:type="dxa"/>
              <w:start w:w="120" w:type="dxa"/>
              <w:bottom w:w="80" w:type="dxa"/>
              <w:end w:w="120" w:type="dxa"/>
            </w:tcMar>
          </w:tcPr>
          <w:p>
            <w:r>
              <w:rPr>
                <w:sz w:val="16"/>
              </w:rPr>
              <w:t>Figma extension engineering and product security</w:t>
            </w:r>
          </w:p>
        </w:tc>
      </w:tr>
      <w:tr>
        <w:tc>
          <w:tcPr>
            <w:tcW w:type="dxa" w:w="2240"/>
            <w:vAlign w:val="center"/>
            <w:tcMar>
              <w:top w:w="80" w:type="dxa"/>
              <w:start w:w="120" w:type="dxa"/>
              <w:bottom w:w="80" w:type="dxa"/>
              <w:end w:w="120" w:type="dxa"/>
            </w:tcMar>
          </w:tcPr>
          <w:p>
            <w:r>
              <w:rPr>
                <w:sz w:val="16"/>
              </w:rPr>
              <w:t>Priority</w:t>
            </w:r>
          </w:p>
        </w:tc>
        <w:tc>
          <w:tcPr>
            <w:tcW w:type="dxa" w:w="7120"/>
            <w:vAlign w:val="center"/>
            <w:tcMar>
              <w:top w:w="80" w:type="dxa"/>
              <w:start w:w="120" w:type="dxa"/>
              <w:bottom w:w="80" w:type="dxa"/>
              <w:end w:w="120" w:type="dxa"/>
            </w:tcMar>
          </w:tcPr>
          <w:p>
            <w:r>
              <w:rPr>
                <w:sz w:val="16"/>
              </w:rPr>
              <w:t>P1</w:t>
            </w:r>
          </w:p>
        </w:tc>
      </w:tr>
      <w:tr>
        <w:tc>
          <w:tcPr>
            <w:tcW w:type="dxa" w:w="2240"/>
            <w:vAlign w:val="center"/>
            <w:tcMar>
              <w:top w:w="80" w:type="dxa"/>
              <w:start w:w="120" w:type="dxa"/>
              <w:bottom w:w="80" w:type="dxa"/>
              <w:end w:w="120" w:type="dxa"/>
            </w:tcMar>
          </w:tcPr>
          <w:p>
            <w:r>
              <w:rPr>
                <w:sz w:val="16"/>
              </w:rPr>
              <w:t>Target Date</w:t>
            </w:r>
          </w:p>
        </w:tc>
        <w:tc>
          <w:tcPr>
            <w:tcW w:type="dxa" w:w="7120"/>
            <w:vAlign w:val="center"/>
            <w:tcMar>
              <w:top w:w="80" w:type="dxa"/>
              <w:start w:w="120" w:type="dxa"/>
              <w:bottom w:w="80" w:type="dxa"/>
              <w:end w:w="120" w:type="dxa"/>
            </w:tcMar>
          </w:tcPr>
          <w:p>
            <w:r>
              <w:rPr>
                <w:sz w:val="16"/>
              </w:rPr>
              <w:t>Before any enterprise pilot</w:t>
            </w:r>
          </w:p>
        </w:tc>
      </w:tr>
      <w:tr>
        <w:tc>
          <w:tcPr>
            <w:tcW w:type="dxa" w:w="2240"/>
            <w:vAlign w:val="center"/>
            <w:tcMar>
              <w:top w:w="80" w:type="dxa"/>
              <w:start w:w="120" w:type="dxa"/>
              <w:bottom w:w="80" w:type="dxa"/>
              <w:end w:w="120" w:type="dxa"/>
            </w:tcMar>
          </w:tcPr>
          <w:p>
            <w:r>
              <w:rPr>
                <w:sz w:val="16"/>
              </w:rPr>
              <w:t>Verification</w:t>
            </w:r>
          </w:p>
        </w:tc>
        <w:tc>
          <w:tcPr>
            <w:tcW w:type="dxa" w:w="7120"/>
            <w:vAlign w:val="center"/>
            <w:tcMar>
              <w:top w:w="80" w:type="dxa"/>
              <w:start w:w="120" w:type="dxa"/>
              <w:bottom w:w="80" w:type="dxa"/>
              <w:end w:w="120" w:type="dxa"/>
            </w:tcMar>
          </w:tcPr>
          <w:p>
            <w:r>
              <w:rPr>
                <w:sz w:val="16"/>
              </w:rPr>
              <w:t>A synthetic nested/navigated-frame test matrix proves malformed, replayed, wrong-origin, wrong-source, oversized and out-of-state messages are rejected and cannot receive secrets or invoke privileged actions.</w:t>
            </w:r>
          </w:p>
        </w:tc>
      </w:tr>
      <w:tr>
        <w:tc>
          <w:tcPr>
            <w:tcW w:type="dxa" w:w="2240"/>
            <w:vAlign w:val="center"/>
            <w:tcMar>
              <w:top w:w="80" w:type="dxa"/>
              <w:start w:w="120" w:type="dxa"/>
              <w:bottom w:w="80" w:type="dxa"/>
              <w:end w:w="120" w:type="dxa"/>
            </w:tcMar>
          </w:tcPr>
          <w:p>
            <w:r>
              <w:rPr>
                <w:sz w:val="16"/>
              </w:rPr>
              <w:t>Mappings</w:t>
            </w:r>
          </w:p>
        </w:tc>
        <w:tc>
          <w:tcPr>
            <w:tcW w:type="dxa" w:w="7120"/>
            <w:vAlign w:val="center"/>
            <w:tcMar>
              <w:top w:w="80" w:type="dxa"/>
              <w:start w:w="120" w:type="dxa"/>
              <w:bottom w:w="80" w:type="dxa"/>
              <w:end w:w="120" w:type="dxa"/>
            </w:tcMar>
          </w:tcPr>
          <w:p>
            <w:r>
              <w:rPr>
                <w:sz w:val="16"/>
              </w:rPr>
              <w:t>CWE-346; CWE-20; CWE-749; OWASP ASVS 5.0 browser and API verification themes</w:t>
            </w:r>
          </w:p>
        </w:tc>
      </w:tr>
      <w:tr>
        <w:tc>
          <w:tcPr>
            <w:tcW w:type="dxa" w:w="2240"/>
            <w:vAlign w:val="center"/>
            <w:tcMar>
              <w:top w:w="80" w:type="dxa"/>
              <w:start w:w="120" w:type="dxa"/>
              <w:bottom w:w="80" w:type="dxa"/>
              <w:end w:w="120" w:type="dxa"/>
            </w:tcMar>
          </w:tcPr>
          <w:p>
            <w:r>
              <w:rPr>
                <w:sz w:val="16"/>
              </w:rPr>
              <w:t>Confidence</w:t>
            </w:r>
          </w:p>
        </w:tc>
        <w:tc>
          <w:tcPr>
            <w:tcW w:type="dxa" w:w="7120"/>
            <w:vAlign w:val="center"/>
            <w:tcMar>
              <w:top w:w="80" w:type="dxa"/>
              <w:start w:w="120" w:type="dxa"/>
              <w:bottom w:w="80" w:type="dxa"/>
              <w:end w:w="120" w:type="dxa"/>
            </w:tcMar>
          </w:tcPr>
          <w:p>
            <w:r>
              <w:rPr>
                <w:sz w:val="16"/>
              </w:rPr>
              <w:t>High for the design weakness; Medium for end-to-end exploitability</w:t>
            </w:r>
          </w:p>
        </w:tc>
      </w:tr>
    </w:tbl>
    <w:p/>
    <w:p>
      <w:pPr>
        <w:pStyle w:val="Heading2"/>
      </w:pPr>
      <w:r>
        <w:t>F-002 — Authentication redemption URI can enter Sentry and support breadcrumbs</w:t>
      </w:r>
    </w:p>
    <w:p>
      <w:pPr>
        <w:pStyle w:val="Caption"/>
      </w:pPr>
      <w:r>
        <w:rPr>
          <w:b/>
        </w:rPr>
        <w:t>Finding record — F-002</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rPr>
              <w:t>Field</w:t>
            </w:r>
          </w:p>
        </w:tc>
        <w:tc>
          <w:tcPr>
            <w:tcW w:type="dxa" w:w="7120"/>
            <w:shd w:fill="F2F4F7"/>
            <w:vAlign w:val="center"/>
            <w:tcMar>
              <w:top w:w="80" w:type="dxa"/>
              <w:start w:w="120" w:type="dxa"/>
              <w:bottom w:w="80" w:type="dxa"/>
              <w:end w:w="120" w:type="dxa"/>
            </w:tcMar>
          </w:tcPr>
          <w:p>
            <w:r>
              <w:rPr>
                <w:b/>
                <w:sz w:val="16"/>
              </w:rPr>
              <w:t>Assessment</w:t>
            </w:r>
          </w:p>
        </w:tc>
      </w:tr>
      <w:tr>
        <w:tc>
          <w:tcPr>
            <w:tcW w:type="dxa" w:w="2240"/>
            <w:vAlign w:val="center"/>
            <w:tcMar>
              <w:top w:w="80" w:type="dxa"/>
              <w:start w:w="120" w:type="dxa"/>
              <w:bottom w:w="80" w:type="dxa"/>
              <w:end w:w="120" w:type="dxa"/>
            </w:tcMar>
          </w:tcPr>
          <w:p>
            <w:r>
              <w:rPr>
                <w:sz w:val="16"/>
              </w:rPr>
              <w:t>Scope</w:t>
            </w:r>
          </w:p>
        </w:tc>
        <w:tc>
          <w:tcPr>
            <w:tcW w:type="dxa" w:w="7120"/>
            <w:vAlign w:val="center"/>
            <w:tcMar>
              <w:top w:w="80" w:type="dxa"/>
              <w:start w:w="120" w:type="dxa"/>
              <w:bottom w:w="80" w:type="dxa"/>
              <w:end w:w="120" w:type="dxa"/>
            </w:tcMar>
          </w:tcPr>
          <w:p>
            <w:r>
              <w:rPr>
                <w:sz w:val="16"/>
              </w:rPr>
              <w:t>Authentication, telemetry and diagnostic-data boundary</w:t>
            </w:r>
          </w:p>
        </w:tc>
      </w:tr>
      <w:tr>
        <w:tc>
          <w:tcPr>
            <w:tcW w:type="dxa" w:w="2240"/>
            <w:vAlign w:val="center"/>
            <w:tcMar>
              <w:top w:w="80" w:type="dxa"/>
              <w:start w:w="120" w:type="dxa"/>
              <w:bottom w:w="80" w:type="dxa"/>
              <w:end w:w="120" w:type="dxa"/>
            </w:tcMar>
          </w:tcPr>
          <w:p>
            <w:r>
              <w:rPr>
                <w:sz w:val="16"/>
              </w:rPr>
              <w:t>Scenario</w:t>
            </w:r>
          </w:p>
        </w:tc>
        <w:tc>
          <w:tcPr>
            <w:tcW w:type="dxa" w:w="7120"/>
            <w:vAlign w:val="center"/>
            <w:tcMar>
              <w:top w:w="80" w:type="dxa"/>
              <w:start w:w="120" w:type="dxa"/>
              <w:bottom w:w="80" w:type="dxa"/>
              <w:end w:w="120" w:type="dxa"/>
            </w:tcMar>
          </w:tcPr>
          <w:p>
            <w:r>
              <w:rPr>
                <w:sz w:val="16"/>
              </w:rPr>
              <w:t xml:space="preserve">The URI handler records the complete incoming URI before app_auth_redeem extracts the query value using a split operation. The record is added to Sentry breadcrumbs and the debug export includes breadcrumbs. A later captured exception or user-supplied support bundle could therefore disclose the redemption secret or other query data. </w:t>
            </w:r>
            <w:hyperlink w:anchor="REF_004">
              <w:r>
                <w:rPr>
                  <w:rStyle w:val="Hyperlink"/>
                </w:rPr>
                <w:t>REF-004</w:t>
              </w:r>
            </w:hyperlink>
            <w:r>
              <w:rPr>
                <w:sz w:val="16"/>
              </w:rPr>
              <w:t xml:space="preserve"> </w:t>
            </w:r>
            <w:hyperlink w:anchor="REF_008">
              <w:r>
                <w:rPr>
                  <w:rStyle w:val="Hyperlink"/>
                </w:rPr>
                <w:t>REF-008</w:t>
              </w:r>
            </w:hyperlink>
          </w:p>
        </w:tc>
      </w:tr>
      <w:tr>
        <w:tc>
          <w:tcPr>
            <w:tcW w:type="dxa" w:w="2240"/>
            <w:vAlign w:val="center"/>
            <w:tcMar>
              <w:top w:w="80" w:type="dxa"/>
              <w:start w:w="120" w:type="dxa"/>
              <w:bottom w:w="80" w:type="dxa"/>
              <w:end w:w="120" w:type="dxa"/>
            </w:tcMar>
          </w:tcPr>
          <w:p>
            <w:r>
              <w:rPr>
                <w:sz w:val="16"/>
              </w:rPr>
              <w:t>Evidence Ids</w:t>
            </w:r>
          </w:p>
        </w:tc>
        <w:tc>
          <w:tcPr>
            <w:tcW w:type="dxa" w:w="7120"/>
            <w:vAlign w:val="center"/>
            <w:tcMar>
              <w:top w:w="80" w:type="dxa"/>
              <w:start w:w="120" w:type="dxa"/>
              <w:bottom w:w="80" w:type="dxa"/>
              <w:end w:w="120" w:type="dxa"/>
            </w:tcMar>
          </w:tcPr>
          <w:p>
            <w:r>
              <w:rPr>
                <w:sz w:val="16"/>
              </w:rPr>
              <w:t>EVD-AUTH-001; EVD-TELEMETRY-001</w:t>
            </w:r>
          </w:p>
        </w:tc>
      </w:tr>
      <w:tr>
        <w:tc>
          <w:tcPr>
            <w:tcW w:type="dxa" w:w="2240"/>
            <w:vAlign w:val="center"/>
            <w:tcMar>
              <w:top w:w="80" w:type="dxa"/>
              <w:start w:w="120" w:type="dxa"/>
              <w:bottom w:w="80" w:type="dxa"/>
              <w:end w:w="120" w:type="dxa"/>
            </w:tcMar>
          </w:tcPr>
          <w:p>
            <w:r>
              <w:rPr>
                <w:sz w:val="16"/>
              </w:rPr>
              <w:t>Likelihood</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Impact</w:t>
            </w:r>
          </w:p>
        </w:tc>
        <w:tc>
          <w:tcPr>
            <w:tcW w:type="dxa" w:w="7120"/>
            <w:vAlign w:val="center"/>
            <w:tcMar>
              <w:top w:w="80" w:type="dxa"/>
              <w:start w:w="120" w:type="dxa"/>
              <w:bottom w:w="80" w:type="dxa"/>
              <w:end w:w="120" w:type="dxa"/>
            </w:tcMar>
          </w:tcPr>
          <w:p>
            <w:r>
              <w:rPr>
                <w:sz w:val="16"/>
              </w:rPr>
              <w:t>4</w:t>
            </w:r>
          </w:p>
        </w:tc>
      </w:tr>
      <w:tr>
        <w:tc>
          <w:tcPr>
            <w:tcW w:type="dxa" w:w="2240"/>
            <w:vAlign w:val="center"/>
            <w:tcMar>
              <w:top w:w="80" w:type="dxa"/>
              <w:start w:w="120" w:type="dxa"/>
              <w:bottom w:w="80" w:type="dxa"/>
              <w:end w:w="120" w:type="dxa"/>
            </w:tcMar>
          </w:tcPr>
          <w:p>
            <w:r>
              <w:rPr>
                <w:sz w:val="16"/>
              </w:rPr>
              <w:t>Inherent</w:t>
            </w:r>
          </w:p>
        </w:tc>
        <w:tc>
          <w:tcPr>
            <w:tcW w:type="dxa" w:w="7120"/>
            <w:vAlign w:val="center"/>
            <w:tcMar>
              <w:top w:w="80" w:type="dxa"/>
              <w:start w:w="120" w:type="dxa"/>
              <w:bottom w:w="80" w:type="dxa"/>
              <w:end w:w="120" w:type="dxa"/>
            </w:tcMar>
          </w:tcPr>
          <w:p>
            <w:r>
              <w:rPr>
                <w:sz w:val="16"/>
              </w:rPr>
              <w:t>12 High</w:t>
            </w:r>
          </w:p>
        </w:tc>
      </w:tr>
      <w:tr>
        <w:tc>
          <w:tcPr>
            <w:tcW w:type="dxa" w:w="2240"/>
            <w:vAlign w:val="center"/>
            <w:tcMar>
              <w:top w:w="80" w:type="dxa"/>
              <w:start w:w="120" w:type="dxa"/>
              <w:bottom w:w="80" w:type="dxa"/>
              <w:end w:w="120" w:type="dxa"/>
            </w:tcMar>
          </w:tcPr>
          <w:p>
            <w:r>
              <w:rPr>
                <w:sz w:val="16"/>
              </w:rPr>
              <w:t>Controls</w:t>
            </w:r>
          </w:p>
        </w:tc>
        <w:tc>
          <w:tcPr>
            <w:tcW w:type="dxa" w:w="7120"/>
            <w:vAlign w:val="center"/>
            <w:tcMar>
              <w:top w:w="80" w:type="dxa"/>
              <w:start w:w="120" w:type="dxa"/>
              <w:bottom w:w="80" w:type="dxa"/>
              <w:end w:w="120" w:type="dxa"/>
            </w:tcMar>
          </w:tcPr>
          <w:p>
            <w:r>
              <w:rPr>
                <w:sz w:val="16"/>
              </w:rPr>
              <w:t>VS Code SecretStorage is used for retained authentication values and Sentry beforeSend limits some events, but no pre-breadcrumb query redaction was traced.</w:t>
            </w:r>
          </w:p>
        </w:tc>
      </w:tr>
      <w:tr>
        <w:tc>
          <w:tcPr>
            <w:tcW w:type="dxa" w:w="2240"/>
            <w:vAlign w:val="center"/>
            <w:tcMar>
              <w:top w:w="80" w:type="dxa"/>
              <w:start w:w="120" w:type="dxa"/>
              <w:bottom w:w="80" w:type="dxa"/>
              <w:end w:w="120" w:type="dxa"/>
            </w:tcMar>
          </w:tcPr>
          <w:p>
            <w:r>
              <w:rPr>
                <w:sz w:val="16"/>
              </w:rPr>
              <w:t>Control Strength</w:t>
            </w:r>
          </w:p>
        </w:tc>
        <w:tc>
          <w:tcPr>
            <w:tcW w:type="dxa" w:w="7120"/>
            <w:vAlign w:val="center"/>
            <w:tcMar>
              <w:top w:w="80" w:type="dxa"/>
              <w:start w:w="120" w:type="dxa"/>
              <w:bottom w:w="80" w:type="dxa"/>
              <w:end w:w="120" w:type="dxa"/>
            </w:tcMar>
          </w:tcPr>
          <w:p>
            <w:r>
              <w:rPr>
                <w:sz w:val="16"/>
              </w:rPr>
              <w:t>Partial</w:t>
            </w:r>
          </w:p>
        </w:tc>
      </w:tr>
      <w:tr>
        <w:tc>
          <w:tcPr>
            <w:tcW w:type="dxa" w:w="2240"/>
            <w:vAlign w:val="center"/>
            <w:tcMar>
              <w:top w:w="80" w:type="dxa"/>
              <w:start w:w="120" w:type="dxa"/>
              <w:bottom w:w="80" w:type="dxa"/>
              <w:end w:w="120" w:type="dxa"/>
            </w:tcMar>
          </w:tcPr>
          <w:p>
            <w:r>
              <w:rPr>
                <w:sz w:val="16"/>
              </w:rPr>
              <w:t>Residual Likelihood</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Residual Impact</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Residual</w:t>
            </w:r>
          </w:p>
        </w:tc>
        <w:tc>
          <w:tcPr>
            <w:tcW w:type="dxa" w:w="7120"/>
            <w:vAlign w:val="center"/>
            <w:tcMar>
              <w:top w:w="80" w:type="dxa"/>
              <w:start w:w="120" w:type="dxa"/>
              <w:bottom w:w="80" w:type="dxa"/>
              <w:end w:w="120" w:type="dxa"/>
            </w:tcMar>
          </w:tcPr>
          <w:p>
            <w:r>
              <w:rPr>
                <w:sz w:val="16"/>
              </w:rPr>
              <w:t>9 Moderate</w:t>
            </w:r>
          </w:p>
        </w:tc>
      </w:tr>
      <w:tr>
        <w:tc>
          <w:tcPr>
            <w:tcW w:type="dxa" w:w="2240"/>
            <w:vAlign w:val="center"/>
            <w:tcMar>
              <w:top w:w="80" w:type="dxa"/>
              <w:start w:w="120" w:type="dxa"/>
              <w:bottom w:w="80" w:type="dxa"/>
              <w:end w:w="120" w:type="dxa"/>
            </w:tcMar>
          </w:tcPr>
          <w:p>
            <w:r>
              <w:rPr>
                <w:sz w:val="16"/>
              </w:rPr>
              <w:t>Recommendation</w:t>
            </w:r>
          </w:p>
        </w:tc>
        <w:tc>
          <w:tcPr>
            <w:tcW w:type="dxa" w:w="7120"/>
            <w:vAlign w:val="center"/>
            <w:tcMar>
              <w:top w:w="80" w:type="dxa"/>
              <w:start w:w="120" w:type="dxa"/>
              <w:bottom w:w="80" w:type="dxa"/>
              <w:end w:w="120" w:type="dxa"/>
            </w:tcMar>
          </w:tcPr>
          <w:p>
            <w:r>
              <w:rPr>
                <w:sz w:val="16"/>
              </w:rPr>
              <w:t xml:space="preserve">Parse expected query names and cardinality with structured URL APIs, require state/nonce binding, log only a constant route name, centrally redact all query, fragment, cookie, token, path and identifier data in beforeBreadcrumb, beforeSend and support exports, and rotate exposed values. </w:t>
            </w:r>
            <w:hyperlink w:anchor="REF_008">
              <w:r>
                <w:rPr>
                  <w:rStyle w:val="Hyperlink"/>
                </w:rPr>
                <w:t>REF-008</w:t>
              </w:r>
            </w:hyperlink>
            <w:r>
              <w:rPr>
                <w:sz w:val="16"/>
              </w:rPr>
              <w:t xml:space="preserve"> </w:t>
            </w:r>
            <w:hyperlink w:anchor="REF_011">
              <w:r>
                <w:rPr>
                  <w:rStyle w:val="Hyperlink"/>
                </w:rPr>
                <w:t>REF-011</w:t>
              </w:r>
            </w:hyperlink>
          </w:p>
        </w:tc>
      </w:tr>
      <w:tr>
        <w:tc>
          <w:tcPr>
            <w:tcW w:type="dxa" w:w="2240"/>
            <w:vAlign w:val="center"/>
            <w:tcMar>
              <w:top w:w="80" w:type="dxa"/>
              <w:start w:w="120" w:type="dxa"/>
              <w:bottom w:w="80" w:type="dxa"/>
              <w:end w:w="120" w:type="dxa"/>
            </w:tcMar>
          </w:tcPr>
          <w:p>
            <w:r>
              <w:rPr>
                <w:sz w:val="16"/>
              </w:rPr>
              <w:t>Owner</w:t>
            </w:r>
          </w:p>
        </w:tc>
        <w:tc>
          <w:tcPr>
            <w:tcW w:type="dxa" w:w="7120"/>
            <w:vAlign w:val="center"/>
            <w:tcMar>
              <w:top w:w="80" w:type="dxa"/>
              <w:start w:w="120" w:type="dxa"/>
              <w:bottom w:w="80" w:type="dxa"/>
              <w:end w:w="120" w:type="dxa"/>
            </w:tcMar>
          </w:tcPr>
          <w:p>
            <w:r>
              <w:rPr>
                <w:sz w:val="16"/>
              </w:rPr>
              <w:t>Figma identity and observability engineering</w:t>
            </w:r>
          </w:p>
        </w:tc>
      </w:tr>
      <w:tr>
        <w:tc>
          <w:tcPr>
            <w:tcW w:type="dxa" w:w="2240"/>
            <w:vAlign w:val="center"/>
            <w:tcMar>
              <w:top w:w="80" w:type="dxa"/>
              <w:start w:w="120" w:type="dxa"/>
              <w:bottom w:w="80" w:type="dxa"/>
              <w:end w:w="120" w:type="dxa"/>
            </w:tcMar>
          </w:tcPr>
          <w:p>
            <w:r>
              <w:rPr>
                <w:sz w:val="16"/>
              </w:rPr>
              <w:t>Priority</w:t>
            </w:r>
          </w:p>
        </w:tc>
        <w:tc>
          <w:tcPr>
            <w:tcW w:type="dxa" w:w="7120"/>
            <w:vAlign w:val="center"/>
            <w:tcMar>
              <w:top w:w="80" w:type="dxa"/>
              <w:start w:w="120" w:type="dxa"/>
              <w:bottom w:w="80" w:type="dxa"/>
              <w:end w:w="120" w:type="dxa"/>
            </w:tcMar>
          </w:tcPr>
          <w:p>
            <w:r>
              <w:rPr>
                <w:sz w:val="16"/>
              </w:rPr>
              <w:t>P1</w:t>
            </w:r>
          </w:p>
        </w:tc>
      </w:tr>
      <w:tr>
        <w:tc>
          <w:tcPr>
            <w:tcW w:type="dxa" w:w="2240"/>
            <w:vAlign w:val="center"/>
            <w:tcMar>
              <w:top w:w="80" w:type="dxa"/>
              <w:start w:w="120" w:type="dxa"/>
              <w:bottom w:w="80" w:type="dxa"/>
              <w:end w:w="120" w:type="dxa"/>
            </w:tcMar>
          </w:tcPr>
          <w:p>
            <w:r>
              <w:rPr>
                <w:sz w:val="16"/>
              </w:rPr>
              <w:t>Target Date</w:t>
            </w:r>
          </w:p>
        </w:tc>
        <w:tc>
          <w:tcPr>
            <w:tcW w:type="dxa" w:w="7120"/>
            <w:vAlign w:val="center"/>
            <w:tcMar>
              <w:top w:w="80" w:type="dxa"/>
              <w:start w:w="120" w:type="dxa"/>
              <w:bottom w:w="80" w:type="dxa"/>
              <w:end w:w="120" w:type="dxa"/>
            </w:tcMar>
          </w:tcPr>
          <w:p>
            <w:r>
              <w:rPr>
                <w:sz w:val="16"/>
              </w:rPr>
              <w:t>Before pilot authentication</w:t>
            </w:r>
          </w:p>
        </w:tc>
      </w:tr>
      <w:tr>
        <w:tc>
          <w:tcPr>
            <w:tcW w:type="dxa" w:w="2240"/>
            <w:vAlign w:val="center"/>
            <w:tcMar>
              <w:top w:w="80" w:type="dxa"/>
              <w:start w:w="120" w:type="dxa"/>
              <w:bottom w:w="80" w:type="dxa"/>
              <w:end w:w="120" w:type="dxa"/>
            </w:tcMar>
          </w:tcPr>
          <w:p>
            <w:r>
              <w:rPr>
                <w:sz w:val="16"/>
              </w:rPr>
              <w:t>Verification</w:t>
            </w:r>
          </w:p>
        </w:tc>
        <w:tc>
          <w:tcPr>
            <w:tcW w:type="dxa" w:w="7120"/>
            <w:vAlign w:val="center"/>
            <w:tcMar>
              <w:top w:w="80" w:type="dxa"/>
              <w:start w:w="120" w:type="dxa"/>
              <w:bottom w:w="80" w:type="dxa"/>
              <w:end w:w="120" w:type="dxa"/>
            </w:tcMar>
          </w:tcPr>
          <w:p>
            <w:r>
              <w:rPr>
                <w:sz w:val="16"/>
              </w:rPr>
              <w:t>Synthetic canaries in query and fragment values never appear in breadcrumbs, Sentry envelopes, logs, errors or saved diagnostics; redemption is single-use and state-bound.</w:t>
            </w:r>
          </w:p>
        </w:tc>
      </w:tr>
      <w:tr>
        <w:tc>
          <w:tcPr>
            <w:tcW w:type="dxa" w:w="2240"/>
            <w:vAlign w:val="center"/>
            <w:tcMar>
              <w:top w:w="80" w:type="dxa"/>
              <w:start w:w="120" w:type="dxa"/>
              <w:bottom w:w="80" w:type="dxa"/>
              <w:end w:w="120" w:type="dxa"/>
            </w:tcMar>
          </w:tcPr>
          <w:p>
            <w:r>
              <w:rPr>
                <w:sz w:val="16"/>
              </w:rPr>
              <w:t>Mappings</w:t>
            </w:r>
          </w:p>
        </w:tc>
        <w:tc>
          <w:tcPr>
            <w:tcW w:type="dxa" w:w="7120"/>
            <w:vAlign w:val="center"/>
            <w:tcMar>
              <w:top w:w="80" w:type="dxa"/>
              <w:start w:w="120" w:type="dxa"/>
              <w:bottom w:w="80" w:type="dxa"/>
              <w:end w:w="120" w:type="dxa"/>
            </w:tcMar>
          </w:tcPr>
          <w:p>
            <w:r>
              <w:rPr>
                <w:sz w:val="16"/>
              </w:rPr>
              <w:t>CWE-532; CWE-598; CWE-312; UK GDPR security and minimisation</w:t>
            </w:r>
          </w:p>
        </w:tc>
      </w:tr>
      <w:tr>
        <w:tc>
          <w:tcPr>
            <w:tcW w:type="dxa" w:w="2240"/>
            <w:vAlign w:val="center"/>
            <w:tcMar>
              <w:top w:w="80" w:type="dxa"/>
              <w:start w:w="120" w:type="dxa"/>
              <w:bottom w:w="80" w:type="dxa"/>
              <w:end w:w="120" w:type="dxa"/>
            </w:tcMar>
          </w:tcPr>
          <w:p>
            <w:r>
              <w:rPr>
                <w:sz w:val="16"/>
              </w:rPr>
              <w:t>Confidence</w:t>
            </w:r>
          </w:p>
        </w:tc>
        <w:tc>
          <w:tcPr>
            <w:tcW w:type="dxa" w:w="7120"/>
            <w:vAlign w:val="center"/>
            <w:tcMar>
              <w:top w:w="80" w:type="dxa"/>
              <w:start w:w="120" w:type="dxa"/>
              <w:bottom w:w="80" w:type="dxa"/>
              <w:end w:w="120" w:type="dxa"/>
            </w:tcMar>
          </w:tcPr>
          <w:p>
            <w:r>
              <w:rPr>
                <w:sz w:val="16"/>
              </w:rPr>
              <w:t>High for the data path; Medium for actual event emission</w:t>
            </w:r>
          </w:p>
        </w:tc>
      </w:tr>
    </w:tbl>
    <w:p/>
    <w:p>
      <w:pPr>
        <w:pStyle w:val="Heading2"/>
      </w:pPr>
      <w:r>
        <w:t>F-003 — Code Connect uses a predictable symlink-following workspace temporary file</w:t>
      </w:r>
    </w:p>
    <w:p>
      <w:pPr>
        <w:pStyle w:val="Caption"/>
      </w:pPr>
      <w:r>
        <w:rPr>
          <w:b/>
        </w:rPr>
        <w:t>Finding record — F-003</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rPr>
              <w:t>Field</w:t>
            </w:r>
          </w:p>
        </w:tc>
        <w:tc>
          <w:tcPr>
            <w:tcW w:type="dxa" w:w="7120"/>
            <w:shd w:fill="F2F4F7"/>
            <w:vAlign w:val="center"/>
            <w:tcMar>
              <w:top w:w="80" w:type="dxa"/>
              <w:start w:w="120" w:type="dxa"/>
              <w:bottom w:w="80" w:type="dxa"/>
              <w:end w:w="120" w:type="dxa"/>
            </w:tcMar>
          </w:tcPr>
          <w:p>
            <w:r>
              <w:rPr>
                <w:b/>
                <w:sz w:val="16"/>
              </w:rPr>
              <w:t>Assessment</w:t>
            </w:r>
          </w:p>
        </w:tc>
      </w:tr>
      <w:tr>
        <w:tc>
          <w:tcPr>
            <w:tcW w:type="dxa" w:w="2240"/>
            <w:vAlign w:val="center"/>
            <w:tcMar>
              <w:top w:w="80" w:type="dxa"/>
              <w:start w:w="120" w:type="dxa"/>
              <w:bottom w:w="80" w:type="dxa"/>
              <w:end w:w="120" w:type="dxa"/>
            </w:tcMar>
          </w:tcPr>
          <w:p>
            <w:r>
              <w:rPr>
                <w:sz w:val="16"/>
              </w:rPr>
              <w:t>Scope</w:t>
            </w:r>
          </w:p>
        </w:tc>
        <w:tc>
          <w:tcPr>
            <w:tcW w:type="dxa" w:w="7120"/>
            <w:vAlign w:val="center"/>
            <w:tcMar>
              <w:top w:w="80" w:type="dxa"/>
              <w:start w:w="120" w:type="dxa"/>
              <w:bottom w:w="80" w:type="dxa"/>
              <w:end w:w="120" w:type="dxa"/>
            </w:tcMar>
          </w:tcPr>
          <w:p>
            <w:r>
              <w:rPr>
                <w:sz w:val="16"/>
              </w:rPr>
              <w:t>Workspace Trust, filesystem and process boundary</w:t>
            </w:r>
          </w:p>
        </w:tc>
      </w:tr>
      <w:tr>
        <w:tc>
          <w:tcPr>
            <w:tcW w:type="dxa" w:w="2240"/>
            <w:vAlign w:val="center"/>
            <w:tcMar>
              <w:top w:w="80" w:type="dxa"/>
              <w:start w:w="120" w:type="dxa"/>
              <w:bottom w:w="80" w:type="dxa"/>
              <w:end w:w="120" w:type="dxa"/>
            </w:tcMar>
          </w:tcPr>
          <w:p>
            <w:r>
              <w:rPr>
                <w:sz w:val="16"/>
              </w:rPr>
              <w:t>Scenario</w:t>
            </w:r>
          </w:p>
        </w:tc>
        <w:tc>
          <w:tcPr>
            <w:tcW w:type="dxa" w:w="7120"/>
            <w:vAlign w:val="center"/>
            <w:tcMar>
              <w:top w:w="80" w:type="dxa"/>
              <w:start w:w="120" w:type="dxa"/>
              <w:bottom w:w="80" w:type="dxa"/>
              <w:end w:w="120" w:type="dxa"/>
            </w:tcMar>
          </w:tcPr>
          <w:p>
            <w:r>
              <w:rPr>
                <w:sz w:val="16"/>
              </w:rPr>
              <w:t xml:space="preserve">Remote webview content can request Code Connect parsing. The bundle writes caller-supplied code to temp-code-connect-parse.tsx using ordinary synchronous file creation in the project context and later removes it. No exclusive no-follow creation or file-identity check was observed. A hostile workspace symlink at that predictable path could plausibly redirect or overwrite the write target. Git metadata is also obtained with spawnSync argument arrays. </w:t>
            </w:r>
            <w:hyperlink w:anchor="REF_009">
              <w:r>
                <w:rPr>
                  <w:rStyle w:val="Hyperlink"/>
                </w:rPr>
                <w:t>REF-009</w:t>
              </w:r>
            </w:hyperlink>
            <w:r>
              <w:rPr>
                <w:sz w:val="16"/>
              </w:rPr>
              <w:t xml:space="preserve"> </w:t>
            </w:r>
            <w:hyperlink w:anchor="REF_011">
              <w:r>
                <w:rPr>
                  <w:rStyle w:val="Hyperlink"/>
                </w:rPr>
                <w:t>REF-011</w:t>
              </w:r>
            </w:hyperlink>
          </w:p>
        </w:tc>
      </w:tr>
      <w:tr>
        <w:tc>
          <w:tcPr>
            <w:tcW w:type="dxa" w:w="2240"/>
            <w:vAlign w:val="center"/>
            <w:tcMar>
              <w:top w:w="80" w:type="dxa"/>
              <w:start w:w="120" w:type="dxa"/>
              <w:bottom w:w="80" w:type="dxa"/>
              <w:end w:w="120" w:type="dxa"/>
            </w:tcMar>
          </w:tcPr>
          <w:p>
            <w:r>
              <w:rPr>
                <w:sz w:val="16"/>
              </w:rPr>
              <w:t>Evidence Ids</w:t>
            </w:r>
          </w:p>
        </w:tc>
        <w:tc>
          <w:tcPr>
            <w:tcW w:type="dxa" w:w="7120"/>
            <w:vAlign w:val="center"/>
            <w:tcMar>
              <w:top w:w="80" w:type="dxa"/>
              <w:start w:w="120" w:type="dxa"/>
              <w:bottom w:w="80" w:type="dxa"/>
              <w:end w:w="120" w:type="dxa"/>
            </w:tcMar>
          </w:tcPr>
          <w:p>
            <w:r>
              <w:rPr>
                <w:sz w:val="16"/>
              </w:rPr>
              <w:t>EVD-WORKSPACE-001; EVD-WEBVIEW-001; EVD-RUNTIME-001</w:t>
            </w:r>
          </w:p>
        </w:tc>
      </w:tr>
      <w:tr>
        <w:tc>
          <w:tcPr>
            <w:tcW w:type="dxa" w:w="2240"/>
            <w:vAlign w:val="center"/>
            <w:tcMar>
              <w:top w:w="80" w:type="dxa"/>
              <w:start w:w="120" w:type="dxa"/>
              <w:bottom w:w="80" w:type="dxa"/>
              <w:end w:w="120" w:type="dxa"/>
            </w:tcMar>
          </w:tcPr>
          <w:p>
            <w:r>
              <w:rPr>
                <w:sz w:val="16"/>
              </w:rPr>
              <w:t>Likelihood</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Impact</w:t>
            </w:r>
          </w:p>
        </w:tc>
        <w:tc>
          <w:tcPr>
            <w:tcW w:type="dxa" w:w="7120"/>
            <w:vAlign w:val="center"/>
            <w:tcMar>
              <w:top w:w="80" w:type="dxa"/>
              <w:start w:w="120" w:type="dxa"/>
              <w:bottom w:w="80" w:type="dxa"/>
              <w:end w:w="120" w:type="dxa"/>
            </w:tcMar>
          </w:tcPr>
          <w:p>
            <w:r>
              <w:rPr>
                <w:sz w:val="16"/>
              </w:rPr>
              <w:t>4</w:t>
            </w:r>
          </w:p>
        </w:tc>
      </w:tr>
      <w:tr>
        <w:tc>
          <w:tcPr>
            <w:tcW w:type="dxa" w:w="2240"/>
            <w:vAlign w:val="center"/>
            <w:tcMar>
              <w:top w:w="80" w:type="dxa"/>
              <w:start w:w="120" w:type="dxa"/>
              <w:bottom w:w="80" w:type="dxa"/>
              <w:end w:w="120" w:type="dxa"/>
            </w:tcMar>
          </w:tcPr>
          <w:p>
            <w:r>
              <w:rPr>
                <w:sz w:val="16"/>
              </w:rPr>
              <w:t>Inherent</w:t>
            </w:r>
          </w:p>
        </w:tc>
        <w:tc>
          <w:tcPr>
            <w:tcW w:type="dxa" w:w="7120"/>
            <w:vAlign w:val="center"/>
            <w:tcMar>
              <w:top w:w="80" w:type="dxa"/>
              <w:start w:w="120" w:type="dxa"/>
              <w:bottom w:w="80" w:type="dxa"/>
              <w:end w:w="120" w:type="dxa"/>
            </w:tcMar>
          </w:tcPr>
          <w:p>
            <w:r>
              <w:rPr>
                <w:sz w:val="16"/>
              </w:rPr>
              <w:t>12 High</w:t>
            </w:r>
          </w:p>
        </w:tc>
      </w:tr>
      <w:tr>
        <w:tc>
          <w:tcPr>
            <w:tcW w:type="dxa" w:w="2240"/>
            <w:vAlign w:val="center"/>
            <w:tcMar>
              <w:top w:w="80" w:type="dxa"/>
              <w:start w:w="120" w:type="dxa"/>
              <w:bottom w:w="80" w:type="dxa"/>
              <w:end w:w="120" w:type="dxa"/>
            </w:tcMar>
          </w:tcPr>
          <w:p>
            <w:r>
              <w:rPr>
                <w:sz w:val="16"/>
              </w:rPr>
              <w:t>Controls</w:t>
            </w:r>
          </w:p>
        </w:tc>
        <w:tc>
          <w:tcPr>
            <w:tcW w:type="dxa" w:w="7120"/>
            <w:vAlign w:val="center"/>
            <w:tcMar>
              <w:top w:w="80" w:type="dxa"/>
              <w:start w:w="120" w:type="dxa"/>
              <w:bottom w:w="80" w:type="dxa"/>
              <w:end w:w="120" w:type="dxa"/>
            </w:tcMar>
          </w:tcPr>
          <w:p>
            <w:r>
              <w:rPr>
                <w:sz w:val="16"/>
              </w:rPr>
              <w:t>The observed Git process calls use argument arrays rather than application-level shell interpolation, and the temporary file is removed after normal processing.</w:t>
            </w:r>
          </w:p>
        </w:tc>
      </w:tr>
      <w:tr>
        <w:tc>
          <w:tcPr>
            <w:tcW w:type="dxa" w:w="2240"/>
            <w:vAlign w:val="center"/>
            <w:tcMar>
              <w:top w:w="80" w:type="dxa"/>
              <w:start w:w="120" w:type="dxa"/>
              <w:bottom w:w="80" w:type="dxa"/>
              <w:end w:w="120" w:type="dxa"/>
            </w:tcMar>
          </w:tcPr>
          <w:p>
            <w:r>
              <w:rPr>
                <w:sz w:val="16"/>
              </w:rPr>
              <w:t>Control Strength</w:t>
            </w:r>
          </w:p>
        </w:tc>
        <w:tc>
          <w:tcPr>
            <w:tcW w:type="dxa" w:w="7120"/>
            <w:vAlign w:val="center"/>
            <w:tcMar>
              <w:top w:w="80" w:type="dxa"/>
              <w:start w:w="120" w:type="dxa"/>
              <w:bottom w:w="80" w:type="dxa"/>
              <w:end w:w="120" w:type="dxa"/>
            </w:tcMar>
          </w:tcPr>
          <w:p>
            <w:r>
              <w:rPr>
                <w:sz w:val="16"/>
              </w:rPr>
              <w:t>Partial</w:t>
            </w:r>
          </w:p>
        </w:tc>
      </w:tr>
      <w:tr>
        <w:tc>
          <w:tcPr>
            <w:tcW w:type="dxa" w:w="2240"/>
            <w:vAlign w:val="center"/>
            <w:tcMar>
              <w:top w:w="80" w:type="dxa"/>
              <w:start w:w="120" w:type="dxa"/>
              <w:bottom w:w="80" w:type="dxa"/>
              <w:end w:w="120" w:type="dxa"/>
            </w:tcMar>
          </w:tcPr>
          <w:p>
            <w:r>
              <w:rPr>
                <w:sz w:val="16"/>
              </w:rPr>
              <w:t>Residual Likelihood</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Residual Impact</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Residual</w:t>
            </w:r>
          </w:p>
        </w:tc>
        <w:tc>
          <w:tcPr>
            <w:tcW w:type="dxa" w:w="7120"/>
            <w:vAlign w:val="center"/>
            <w:tcMar>
              <w:top w:w="80" w:type="dxa"/>
              <w:start w:w="120" w:type="dxa"/>
              <w:bottom w:w="80" w:type="dxa"/>
              <w:end w:w="120" w:type="dxa"/>
            </w:tcMar>
          </w:tcPr>
          <w:p>
            <w:r>
              <w:rPr>
                <w:sz w:val="16"/>
              </w:rPr>
              <w:t>9 Moderate</w:t>
            </w:r>
          </w:p>
        </w:tc>
      </w:tr>
      <w:tr>
        <w:tc>
          <w:tcPr>
            <w:tcW w:type="dxa" w:w="2240"/>
            <w:vAlign w:val="center"/>
            <w:tcMar>
              <w:top w:w="80" w:type="dxa"/>
              <w:start w:w="120" w:type="dxa"/>
              <w:bottom w:w="80" w:type="dxa"/>
              <w:end w:w="120" w:type="dxa"/>
            </w:tcMar>
          </w:tcPr>
          <w:p>
            <w:r>
              <w:rPr>
                <w:sz w:val="16"/>
              </w:rPr>
              <w:t>Recommendation</w:t>
            </w:r>
          </w:p>
        </w:tc>
        <w:tc>
          <w:tcPr>
            <w:tcW w:type="dxa" w:w="7120"/>
            <w:vAlign w:val="center"/>
            <w:tcMar>
              <w:top w:w="80" w:type="dxa"/>
              <w:start w:w="120" w:type="dxa"/>
              <w:bottom w:w="80" w:type="dxa"/>
              <w:end w:w="120" w:type="dxa"/>
            </w:tcMar>
          </w:tcPr>
          <w:p>
            <w:r>
              <w:rPr>
                <w:sz w:val="16"/>
              </w:rPr>
              <w:t xml:space="preserve">Require a trusted workspace and explicit user initiation; use a restrictive OS temporary directory with random names, exclusive creation and no-follow semantics; verify identity before write/unlink; bound source/glob size and time; and prevent remote content from directly triggering host parsing. </w:t>
            </w:r>
            <w:hyperlink w:anchor="REF_009">
              <w:r>
                <w:rPr>
                  <w:rStyle w:val="Hyperlink"/>
                </w:rPr>
                <w:t>REF-009</w:t>
              </w:r>
            </w:hyperlink>
            <w:r>
              <w:rPr>
                <w:sz w:val="16"/>
              </w:rPr>
              <w:t xml:space="preserve"> </w:t>
            </w:r>
            <w:hyperlink w:anchor="REF_011">
              <w:r>
                <w:rPr>
                  <w:rStyle w:val="Hyperlink"/>
                </w:rPr>
                <w:t>REF-011</w:t>
              </w:r>
            </w:hyperlink>
          </w:p>
        </w:tc>
      </w:tr>
      <w:tr>
        <w:tc>
          <w:tcPr>
            <w:tcW w:type="dxa" w:w="2240"/>
            <w:vAlign w:val="center"/>
            <w:tcMar>
              <w:top w:w="80" w:type="dxa"/>
              <w:start w:w="120" w:type="dxa"/>
              <w:bottom w:w="80" w:type="dxa"/>
              <w:end w:w="120" w:type="dxa"/>
            </w:tcMar>
          </w:tcPr>
          <w:p>
            <w:r>
              <w:rPr>
                <w:sz w:val="16"/>
              </w:rPr>
              <w:t>Owner</w:t>
            </w:r>
          </w:p>
        </w:tc>
        <w:tc>
          <w:tcPr>
            <w:tcW w:type="dxa" w:w="7120"/>
            <w:vAlign w:val="center"/>
            <w:tcMar>
              <w:top w:w="80" w:type="dxa"/>
              <w:start w:w="120" w:type="dxa"/>
              <w:bottom w:w="80" w:type="dxa"/>
              <w:end w:w="120" w:type="dxa"/>
            </w:tcMar>
          </w:tcPr>
          <w:p>
            <w:r>
              <w:rPr>
                <w:sz w:val="16"/>
              </w:rPr>
              <w:t>Figma Code Connect and extension engineering</w:t>
            </w:r>
          </w:p>
        </w:tc>
      </w:tr>
      <w:tr>
        <w:tc>
          <w:tcPr>
            <w:tcW w:type="dxa" w:w="2240"/>
            <w:vAlign w:val="center"/>
            <w:tcMar>
              <w:top w:w="80" w:type="dxa"/>
              <w:start w:w="120" w:type="dxa"/>
              <w:bottom w:w="80" w:type="dxa"/>
              <w:end w:w="120" w:type="dxa"/>
            </w:tcMar>
          </w:tcPr>
          <w:p>
            <w:r>
              <w:rPr>
                <w:sz w:val="16"/>
              </w:rPr>
              <w:t>Priority</w:t>
            </w:r>
          </w:p>
        </w:tc>
        <w:tc>
          <w:tcPr>
            <w:tcW w:type="dxa" w:w="7120"/>
            <w:vAlign w:val="center"/>
            <w:tcMar>
              <w:top w:w="80" w:type="dxa"/>
              <w:start w:w="120" w:type="dxa"/>
              <w:bottom w:w="80" w:type="dxa"/>
              <w:end w:w="120" w:type="dxa"/>
            </w:tcMar>
          </w:tcPr>
          <w:p>
            <w:r>
              <w:rPr>
                <w:sz w:val="16"/>
              </w:rPr>
              <w:t>P1</w:t>
            </w:r>
          </w:p>
        </w:tc>
      </w:tr>
      <w:tr>
        <w:tc>
          <w:tcPr>
            <w:tcW w:type="dxa" w:w="2240"/>
            <w:vAlign w:val="center"/>
            <w:tcMar>
              <w:top w:w="80" w:type="dxa"/>
              <w:start w:w="120" w:type="dxa"/>
              <w:bottom w:w="80" w:type="dxa"/>
              <w:end w:w="120" w:type="dxa"/>
            </w:tcMar>
          </w:tcPr>
          <w:p>
            <w:r>
              <w:rPr>
                <w:sz w:val="16"/>
              </w:rPr>
              <w:t>Target Date</w:t>
            </w:r>
          </w:p>
        </w:tc>
        <w:tc>
          <w:tcPr>
            <w:tcW w:type="dxa" w:w="7120"/>
            <w:vAlign w:val="center"/>
            <w:tcMar>
              <w:top w:w="80" w:type="dxa"/>
              <w:start w:w="120" w:type="dxa"/>
              <w:bottom w:w="80" w:type="dxa"/>
              <w:end w:w="120" w:type="dxa"/>
            </w:tcMar>
          </w:tcPr>
          <w:p>
            <w:r>
              <w:rPr>
                <w:sz w:val="16"/>
              </w:rPr>
              <w:t>Before enabling Code Connect or plugins</w:t>
            </w:r>
          </w:p>
        </w:tc>
      </w:tr>
      <w:tr>
        <w:tc>
          <w:tcPr>
            <w:tcW w:type="dxa" w:w="2240"/>
            <w:vAlign w:val="center"/>
            <w:tcMar>
              <w:top w:w="80" w:type="dxa"/>
              <w:start w:w="120" w:type="dxa"/>
              <w:bottom w:w="80" w:type="dxa"/>
              <w:end w:w="120" w:type="dxa"/>
            </w:tcMar>
          </w:tcPr>
          <w:p>
            <w:r>
              <w:rPr>
                <w:sz w:val="16"/>
              </w:rPr>
              <w:t>Verification</w:t>
            </w:r>
          </w:p>
        </w:tc>
        <w:tc>
          <w:tcPr>
            <w:tcW w:type="dxa" w:w="7120"/>
            <w:vAlign w:val="center"/>
            <w:tcMar>
              <w:top w:w="80" w:type="dxa"/>
              <w:start w:w="120" w:type="dxa"/>
              <w:bottom w:w="80" w:type="dxa"/>
              <w:end w:w="120" w:type="dxa"/>
            </w:tcMar>
          </w:tcPr>
          <w:p>
            <w:r>
              <w:rPr>
                <w:sz w:val="16"/>
              </w:rPr>
              <w:t>Trusted/untrusted workspace tests prove no write occurs before consent and symlink, hard-link, race, oversized and cancellation cases fail closed without modifying external files.</w:t>
            </w:r>
          </w:p>
        </w:tc>
      </w:tr>
      <w:tr>
        <w:tc>
          <w:tcPr>
            <w:tcW w:type="dxa" w:w="2240"/>
            <w:vAlign w:val="center"/>
            <w:tcMar>
              <w:top w:w="80" w:type="dxa"/>
              <w:start w:w="120" w:type="dxa"/>
              <w:bottom w:w="80" w:type="dxa"/>
              <w:end w:w="120" w:type="dxa"/>
            </w:tcMar>
          </w:tcPr>
          <w:p>
            <w:r>
              <w:rPr>
                <w:sz w:val="16"/>
              </w:rPr>
              <w:t>Mappings</w:t>
            </w:r>
          </w:p>
        </w:tc>
        <w:tc>
          <w:tcPr>
            <w:tcW w:type="dxa" w:w="7120"/>
            <w:vAlign w:val="center"/>
            <w:tcMar>
              <w:top w:w="80" w:type="dxa"/>
              <w:start w:w="120" w:type="dxa"/>
              <w:bottom w:w="80" w:type="dxa"/>
              <w:end w:w="120" w:type="dxa"/>
            </w:tcMar>
          </w:tcPr>
          <w:p>
            <w:r>
              <w:rPr>
                <w:sz w:val="16"/>
              </w:rPr>
              <w:t>CWE-59; CWE-377; CWE-367; CWE-400; OWASP ASVS file and resource controls</w:t>
            </w:r>
          </w:p>
        </w:tc>
      </w:tr>
      <w:tr>
        <w:tc>
          <w:tcPr>
            <w:tcW w:type="dxa" w:w="2240"/>
            <w:vAlign w:val="center"/>
            <w:tcMar>
              <w:top w:w="80" w:type="dxa"/>
              <w:start w:w="120" w:type="dxa"/>
              <w:bottom w:w="80" w:type="dxa"/>
              <w:end w:w="120" w:type="dxa"/>
            </w:tcMar>
          </w:tcPr>
          <w:p>
            <w:r>
              <w:rPr>
                <w:sz w:val="16"/>
              </w:rPr>
              <w:t>Confidence</w:t>
            </w:r>
          </w:p>
        </w:tc>
        <w:tc>
          <w:tcPr>
            <w:tcW w:type="dxa" w:w="7120"/>
            <w:vAlign w:val="center"/>
            <w:tcMar>
              <w:top w:w="80" w:type="dxa"/>
              <w:start w:w="120" w:type="dxa"/>
              <w:bottom w:w="80" w:type="dxa"/>
              <w:end w:w="120" w:type="dxa"/>
            </w:tcMar>
          </w:tcPr>
          <w:p>
            <w:r>
              <w:rPr>
                <w:sz w:val="16"/>
              </w:rPr>
              <w:t>High for the implementation pattern; Medium for exploitable impact</w:t>
            </w:r>
          </w:p>
        </w:tc>
      </w:tr>
    </w:tbl>
    <w:p/>
    <w:p>
      <w:pPr>
        <w:pStyle w:val="Heading2"/>
      </w:pPr>
      <w:r>
        <w:t>F-004 — Direct telemetry is not visibly bound to VS Code telemetry policy</w:t>
      </w:r>
    </w:p>
    <w:p>
      <w:pPr>
        <w:pStyle w:val="Caption"/>
      </w:pPr>
      <w:r>
        <w:rPr>
          <w:b/>
        </w:rPr>
        <w:t>Finding record — F-004</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rPr>
              <w:t>Field</w:t>
            </w:r>
          </w:p>
        </w:tc>
        <w:tc>
          <w:tcPr>
            <w:tcW w:type="dxa" w:w="7120"/>
            <w:shd w:fill="F2F4F7"/>
            <w:vAlign w:val="center"/>
            <w:tcMar>
              <w:top w:w="80" w:type="dxa"/>
              <w:start w:w="120" w:type="dxa"/>
              <w:bottom w:w="80" w:type="dxa"/>
              <w:end w:w="120" w:type="dxa"/>
            </w:tcMar>
          </w:tcPr>
          <w:p>
            <w:r>
              <w:rPr>
                <w:b/>
                <w:sz w:val="16"/>
              </w:rPr>
              <w:t>Assessment</w:t>
            </w:r>
          </w:p>
        </w:tc>
      </w:tr>
      <w:tr>
        <w:tc>
          <w:tcPr>
            <w:tcW w:type="dxa" w:w="2240"/>
            <w:vAlign w:val="center"/>
            <w:tcMar>
              <w:top w:w="80" w:type="dxa"/>
              <w:start w:w="120" w:type="dxa"/>
              <w:bottom w:w="80" w:type="dxa"/>
              <w:end w:w="120" w:type="dxa"/>
            </w:tcMar>
          </w:tcPr>
          <w:p>
            <w:r>
              <w:rPr>
                <w:sz w:val="16"/>
              </w:rPr>
              <w:t>Scope</w:t>
            </w:r>
          </w:p>
        </w:tc>
        <w:tc>
          <w:tcPr>
            <w:tcW w:type="dxa" w:w="7120"/>
            <w:vAlign w:val="center"/>
            <w:tcMar>
              <w:top w:w="80" w:type="dxa"/>
              <w:start w:w="120" w:type="dxa"/>
              <w:bottom w:w="80" w:type="dxa"/>
              <w:end w:w="120" w:type="dxa"/>
            </w:tcMar>
          </w:tcPr>
          <w:p>
            <w:r>
              <w:rPr>
                <w:sz w:val="16"/>
              </w:rPr>
              <w:t>Telemetry, privacy and enterprise policy boundary</w:t>
            </w:r>
          </w:p>
        </w:tc>
      </w:tr>
      <w:tr>
        <w:tc>
          <w:tcPr>
            <w:tcW w:type="dxa" w:w="2240"/>
            <w:vAlign w:val="center"/>
            <w:tcMar>
              <w:top w:w="80" w:type="dxa"/>
              <w:start w:w="120" w:type="dxa"/>
              <w:bottom w:w="80" w:type="dxa"/>
              <w:end w:w="120" w:type="dxa"/>
            </w:tcMar>
          </w:tcPr>
          <w:p>
            <w:r>
              <w:rPr>
                <w:sz w:val="16"/>
              </w:rPr>
              <w:t>Scenario</w:t>
            </w:r>
          </w:p>
        </w:tc>
        <w:tc>
          <w:tcPr>
            <w:tcW w:type="dxa" w:w="7120"/>
            <w:vAlign w:val="center"/>
            <w:tcMar>
              <w:top w:w="80" w:type="dxa"/>
              <w:start w:w="120" w:type="dxa"/>
              <w:bottom w:w="80" w:type="dxa"/>
              <w:end w:w="120" w:type="dxa"/>
            </w:tcMar>
          </w:tcPr>
          <w:p>
            <w:r>
              <w:rPr>
                <w:sz w:val="16"/>
              </w:rPr>
              <w:t xml:space="preserve">The extension sends events containing stable Figma user identity and technical fields such as machineId, sessionId, OS, editor and extension versions to Figma's figment proxy with Datadog forwarding, while Sentry receives errors and breadcrumbs. No use of VS Code isTelemetryEnabled or onDidChangeTelemetryEnabled was found. Startup activation performs network initialisation, making policy enforcement relevant before users deliberately interact. </w:t>
            </w:r>
            <w:hyperlink w:anchor="REF_004">
              <w:r>
                <w:rPr>
                  <w:rStyle w:val="Hyperlink"/>
                </w:rPr>
                <w:t>REF-004</w:t>
              </w:r>
            </w:hyperlink>
            <w:r>
              <w:rPr>
                <w:sz w:val="16"/>
              </w:rPr>
              <w:t xml:space="preserve"> </w:t>
            </w:r>
            <w:hyperlink w:anchor="REF_008">
              <w:r>
                <w:rPr>
                  <w:rStyle w:val="Hyperlink"/>
                </w:rPr>
                <w:t>REF-008</w:t>
              </w:r>
            </w:hyperlink>
          </w:p>
        </w:tc>
      </w:tr>
      <w:tr>
        <w:tc>
          <w:tcPr>
            <w:tcW w:type="dxa" w:w="2240"/>
            <w:vAlign w:val="center"/>
            <w:tcMar>
              <w:top w:w="80" w:type="dxa"/>
              <w:start w:w="120" w:type="dxa"/>
              <w:bottom w:w="80" w:type="dxa"/>
              <w:end w:w="120" w:type="dxa"/>
            </w:tcMar>
          </w:tcPr>
          <w:p>
            <w:r>
              <w:rPr>
                <w:sz w:val="16"/>
              </w:rPr>
              <w:t>Evidence Ids</w:t>
            </w:r>
          </w:p>
        </w:tc>
        <w:tc>
          <w:tcPr>
            <w:tcW w:type="dxa" w:w="7120"/>
            <w:vAlign w:val="center"/>
            <w:tcMar>
              <w:top w:w="80" w:type="dxa"/>
              <w:start w:w="120" w:type="dxa"/>
              <w:bottom w:w="80" w:type="dxa"/>
              <w:end w:w="120" w:type="dxa"/>
            </w:tcMar>
          </w:tcPr>
          <w:p>
            <w:r>
              <w:rPr>
                <w:sz w:val="16"/>
              </w:rPr>
              <w:t>EVD-TELEMETRY-001; EVD-STATIC-001; EVD-PRIVACY-001</w:t>
            </w:r>
          </w:p>
        </w:tc>
      </w:tr>
      <w:tr>
        <w:tc>
          <w:tcPr>
            <w:tcW w:type="dxa" w:w="2240"/>
            <w:vAlign w:val="center"/>
            <w:tcMar>
              <w:top w:w="80" w:type="dxa"/>
              <w:start w:w="120" w:type="dxa"/>
              <w:bottom w:w="80" w:type="dxa"/>
              <w:end w:w="120" w:type="dxa"/>
            </w:tcMar>
          </w:tcPr>
          <w:p>
            <w:r>
              <w:rPr>
                <w:sz w:val="16"/>
              </w:rPr>
              <w:t>Likelihood</w:t>
            </w:r>
          </w:p>
        </w:tc>
        <w:tc>
          <w:tcPr>
            <w:tcW w:type="dxa" w:w="7120"/>
            <w:vAlign w:val="center"/>
            <w:tcMar>
              <w:top w:w="80" w:type="dxa"/>
              <w:start w:w="120" w:type="dxa"/>
              <w:bottom w:w="80" w:type="dxa"/>
              <w:end w:w="120" w:type="dxa"/>
            </w:tcMar>
          </w:tcPr>
          <w:p>
            <w:r>
              <w:rPr>
                <w:sz w:val="16"/>
              </w:rPr>
              <w:t>4</w:t>
            </w:r>
          </w:p>
        </w:tc>
      </w:tr>
      <w:tr>
        <w:tc>
          <w:tcPr>
            <w:tcW w:type="dxa" w:w="2240"/>
            <w:vAlign w:val="center"/>
            <w:tcMar>
              <w:top w:w="80" w:type="dxa"/>
              <w:start w:w="120" w:type="dxa"/>
              <w:bottom w:w="80" w:type="dxa"/>
              <w:end w:w="120" w:type="dxa"/>
            </w:tcMar>
          </w:tcPr>
          <w:p>
            <w:r>
              <w:rPr>
                <w:sz w:val="16"/>
              </w:rPr>
              <w:t>Impact</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Inherent</w:t>
            </w:r>
          </w:p>
        </w:tc>
        <w:tc>
          <w:tcPr>
            <w:tcW w:type="dxa" w:w="7120"/>
            <w:vAlign w:val="center"/>
            <w:tcMar>
              <w:top w:w="80" w:type="dxa"/>
              <w:start w:w="120" w:type="dxa"/>
              <w:bottom w:w="80" w:type="dxa"/>
              <w:end w:w="120" w:type="dxa"/>
            </w:tcMar>
          </w:tcPr>
          <w:p>
            <w:r>
              <w:rPr>
                <w:sz w:val="16"/>
              </w:rPr>
              <w:t>12 High</w:t>
            </w:r>
          </w:p>
        </w:tc>
      </w:tr>
      <w:tr>
        <w:tc>
          <w:tcPr>
            <w:tcW w:type="dxa" w:w="2240"/>
            <w:vAlign w:val="center"/>
            <w:tcMar>
              <w:top w:w="80" w:type="dxa"/>
              <w:start w:w="120" w:type="dxa"/>
              <w:bottom w:w="80" w:type="dxa"/>
              <w:end w:w="120" w:type="dxa"/>
            </w:tcMar>
          </w:tcPr>
          <w:p>
            <w:r>
              <w:rPr>
                <w:sz w:val="16"/>
              </w:rPr>
              <w:t>Controls</w:t>
            </w:r>
          </w:p>
        </w:tc>
        <w:tc>
          <w:tcPr>
            <w:tcW w:type="dxa" w:w="7120"/>
            <w:vAlign w:val="center"/>
            <w:tcMar>
              <w:top w:w="80" w:type="dxa"/>
              <w:start w:w="120" w:type="dxa"/>
              <w:bottom w:w="80" w:type="dxa"/>
              <w:end w:w="120" w:type="dxa"/>
            </w:tcMar>
          </w:tcPr>
          <w:p>
            <w:r>
              <w:rPr>
                <w:sz w:val="16"/>
              </w:rPr>
              <w:t>The public privacy policy describes usage and technical data, Sentry traces are disabled, and beforeSend applies some filtering; field-level extension documentation and a host-policy gate were not established.</w:t>
            </w:r>
          </w:p>
        </w:tc>
      </w:tr>
      <w:tr>
        <w:tc>
          <w:tcPr>
            <w:tcW w:type="dxa" w:w="2240"/>
            <w:vAlign w:val="center"/>
            <w:tcMar>
              <w:top w:w="80" w:type="dxa"/>
              <w:start w:w="120" w:type="dxa"/>
              <w:bottom w:w="80" w:type="dxa"/>
              <w:end w:w="120" w:type="dxa"/>
            </w:tcMar>
          </w:tcPr>
          <w:p>
            <w:r>
              <w:rPr>
                <w:sz w:val="16"/>
              </w:rPr>
              <w:t>Control Strength</w:t>
            </w:r>
          </w:p>
        </w:tc>
        <w:tc>
          <w:tcPr>
            <w:tcW w:type="dxa" w:w="7120"/>
            <w:vAlign w:val="center"/>
            <w:tcMar>
              <w:top w:w="80" w:type="dxa"/>
              <w:start w:w="120" w:type="dxa"/>
              <w:bottom w:w="80" w:type="dxa"/>
              <w:end w:w="120" w:type="dxa"/>
            </w:tcMar>
          </w:tcPr>
          <w:p>
            <w:r>
              <w:rPr>
                <w:sz w:val="16"/>
              </w:rPr>
              <w:t>Partial</w:t>
            </w:r>
          </w:p>
        </w:tc>
      </w:tr>
      <w:tr>
        <w:tc>
          <w:tcPr>
            <w:tcW w:type="dxa" w:w="2240"/>
            <w:vAlign w:val="center"/>
            <w:tcMar>
              <w:top w:w="80" w:type="dxa"/>
              <w:start w:w="120" w:type="dxa"/>
              <w:bottom w:w="80" w:type="dxa"/>
              <w:end w:w="120" w:type="dxa"/>
            </w:tcMar>
          </w:tcPr>
          <w:p>
            <w:r>
              <w:rPr>
                <w:sz w:val="16"/>
              </w:rPr>
              <w:t>Residual Likelihood</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Residual Impact</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Residual</w:t>
            </w:r>
          </w:p>
        </w:tc>
        <w:tc>
          <w:tcPr>
            <w:tcW w:type="dxa" w:w="7120"/>
            <w:vAlign w:val="center"/>
            <w:tcMar>
              <w:top w:w="80" w:type="dxa"/>
              <w:start w:w="120" w:type="dxa"/>
              <w:bottom w:w="80" w:type="dxa"/>
              <w:end w:w="120" w:type="dxa"/>
            </w:tcMar>
          </w:tcPr>
          <w:p>
            <w:r>
              <w:rPr>
                <w:sz w:val="16"/>
              </w:rPr>
              <w:t>9 Moderate</w:t>
            </w:r>
          </w:p>
        </w:tc>
      </w:tr>
      <w:tr>
        <w:tc>
          <w:tcPr>
            <w:tcW w:type="dxa" w:w="2240"/>
            <w:vAlign w:val="center"/>
            <w:tcMar>
              <w:top w:w="80" w:type="dxa"/>
              <w:start w:w="120" w:type="dxa"/>
              <w:bottom w:w="80" w:type="dxa"/>
              <w:end w:w="120" w:type="dxa"/>
            </w:tcMar>
          </w:tcPr>
          <w:p>
            <w:r>
              <w:rPr>
                <w:sz w:val="16"/>
              </w:rPr>
              <w:t>Recommendation</w:t>
            </w:r>
          </w:p>
        </w:tc>
        <w:tc>
          <w:tcPr>
            <w:tcW w:type="dxa" w:w="7120"/>
            <w:vAlign w:val="center"/>
            <w:tcMar>
              <w:top w:w="80" w:type="dxa"/>
              <w:start w:w="120" w:type="dxa"/>
              <w:bottom w:w="80" w:type="dxa"/>
              <w:end w:w="120" w:type="dxa"/>
            </w:tcMar>
          </w:tcPr>
          <w:p>
            <w:r>
              <w:rPr>
                <w:sz w:val="16"/>
              </w:rPr>
              <w:t xml:space="preserve">Use VS Code telemetry APIs or faithfully observe host telemetry state for every event path, stop emissions immediately when disabled, minimise stable identifiers, redact paths and secrets, publish fields/destinations/retention, and provide centrally enforceable enterprise controls. </w:t>
            </w:r>
            <w:hyperlink w:anchor="REF_004">
              <w:r>
                <w:rPr>
                  <w:rStyle w:val="Hyperlink"/>
                </w:rPr>
                <w:t>REF-004</w:t>
              </w:r>
            </w:hyperlink>
            <w:r>
              <w:rPr>
                <w:sz w:val="16"/>
              </w:rPr>
              <w:t xml:space="preserve"> </w:t>
            </w:r>
            <w:hyperlink w:anchor="REF_008">
              <w:r>
                <w:rPr>
                  <w:rStyle w:val="Hyperlink"/>
                </w:rPr>
                <w:t>REF-008</w:t>
              </w:r>
            </w:hyperlink>
          </w:p>
        </w:tc>
      </w:tr>
      <w:tr>
        <w:tc>
          <w:tcPr>
            <w:tcW w:type="dxa" w:w="2240"/>
            <w:vAlign w:val="center"/>
            <w:tcMar>
              <w:top w:w="80" w:type="dxa"/>
              <w:start w:w="120" w:type="dxa"/>
              <w:bottom w:w="80" w:type="dxa"/>
              <w:end w:w="120" w:type="dxa"/>
            </w:tcMar>
          </w:tcPr>
          <w:p>
            <w:r>
              <w:rPr>
                <w:sz w:val="16"/>
              </w:rPr>
              <w:t>Owner</w:t>
            </w:r>
          </w:p>
        </w:tc>
        <w:tc>
          <w:tcPr>
            <w:tcW w:type="dxa" w:w="7120"/>
            <w:vAlign w:val="center"/>
            <w:tcMar>
              <w:top w:w="80" w:type="dxa"/>
              <w:start w:w="120" w:type="dxa"/>
              <w:bottom w:w="80" w:type="dxa"/>
              <w:end w:w="120" w:type="dxa"/>
            </w:tcMar>
          </w:tcPr>
          <w:p>
            <w:r>
              <w:rPr>
                <w:sz w:val="16"/>
              </w:rPr>
              <w:t>Figma privacy, observability and extension engineering</w:t>
            </w:r>
          </w:p>
        </w:tc>
      </w:tr>
      <w:tr>
        <w:tc>
          <w:tcPr>
            <w:tcW w:type="dxa" w:w="2240"/>
            <w:vAlign w:val="center"/>
            <w:tcMar>
              <w:top w:w="80" w:type="dxa"/>
              <w:start w:w="120" w:type="dxa"/>
              <w:bottom w:w="80" w:type="dxa"/>
              <w:end w:w="120" w:type="dxa"/>
            </w:tcMar>
          </w:tcPr>
          <w:p>
            <w:r>
              <w:rPr>
                <w:sz w:val="16"/>
              </w:rPr>
              <w:t>Priority</w:t>
            </w:r>
          </w:p>
        </w:tc>
        <w:tc>
          <w:tcPr>
            <w:tcW w:type="dxa" w:w="7120"/>
            <w:vAlign w:val="center"/>
            <w:tcMar>
              <w:top w:w="80" w:type="dxa"/>
              <w:start w:w="120" w:type="dxa"/>
              <w:bottom w:w="80" w:type="dxa"/>
              <w:end w:w="120" w:type="dxa"/>
            </w:tcMar>
          </w:tcPr>
          <w:p>
            <w:r>
              <w:rPr>
                <w:sz w:val="16"/>
              </w:rPr>
              <w:t>P1</w:t>
            </w:r>
          </w:p>
        </w:tc>
      </w:tr>
      <w:tr>
        <w:tc>
          <w:tcPr>
            <w:tcW w:type="dxa" w:w="2240"/>
            <w:vAlign w:val="center"/>
            <w:tcMar>
              <w:top w:w="80" w:type="dxa"/>
              <w:start w:w="120" w:type="dxa"/>
              <w:bottom w:w="80" w:type="dxa"/>
              <w:end w:w="120" w:type="dxa"/>
            </w:tcMar>
          </w:tcPr>
          <w:p>
            <w:r>
              <w:rPr>
                <w:sz w:val="16"/>
              </w:rPr>
              <w:t>Target Date</w:t>
            </w:r>
          </w:p>
        </w:tc>
        <w:tc>
          <w:tcPr>
            <w:tcW w:type="dxa" w:w="7120"/>
            <w:vAlign w:val="center"/>
            <w:tcMar>
              <w:top w:w="80" w:type="dxa"/>
              <w:start w:w="120" w:type="dxa"/>
              <w:bottom w:w="80" w:type="dxa"/>
              <w:end w:w="120" w:type="dxa"/>
            </w:tcMar>
          </w:tcPr>
          <w:p>
            <w:r>
              <w:rPr>
                <w:sz w:val="16"/>
              </w:rPr>
              <w:t>Before enterprise deployment</w:t>
            </w:r>
          </w:p>
        </w:tc>
      </w:tr>
      <w:tr>
        <w:tc>
          <w:tcPr>
            <w:tcW w:type="dxa" w:w="2240"/>
            <w:vAlign w:val="center"/>
            <w:tcMar>
              <w:top w:w="80" w:type="dxa"/>
              <w:start w:w="120" w:type="dxa"/>
              <w:bottom w:w="80" w:type="dxa"/>
              <w:end w:w="120" w:type="dxa"/>
            </w:tcMar>
          </w:tcPr>
          <w:p>
            <w:r>
              <w:rPr>
                <w:sz w:val="16"/>
              </w:rPr>
              <w:t>Verification</w:t>
            </w:r>
          </w:p>
        </w:tc>
        <w:tc>
          <w:tcPr>
            <w:tcW w:type="dxa" w:w="7120"/>
            <w:vAlign w:val="center"/>
            <w:tcMar>
              <w:top w:w="80" w:type="dxa"/>
              <w:start w:w="120" w:type="dxa"/>
              <w:bottom w:w="80" w:type="dxa"/>
              <w:end w:w="120" w:type="dxa"/>
            </w:tcMar>
          </w:tcPr>
          <w:p>
            <w:r>
              <w:rPr>
                <w:sz w:val="16"/>
              </w:rPr>
              <w:t>Packet capture with telemetry enabled and disabled proves policy-consistent zero emission, live state change, documented fields, bounded retention and absence of secret or workspace content.</w:t>
            </w:r>
          </w:p>
        </w:tc>
      </w:tr>
      <w:tr>
        <w:tc>
          <w:tcPr>
            <w:tcW w:type="dxa" w:w="2240"/>
            <w:vAlign w:val="center"/>
            <w:tcMar>
              <w:top w:w="80" w:type="dxa"/>
              <w:start w:w="120" w:type="dxa"/>
              <w:bottom w:w="80" w:type="dxa"/>
              <w:end w:w="120" w:type="dxa"/>
            </w:tcMar>
          </w:tcPr>
          <w:p>
            <w:r>
              <w:rPr>
                <w:sz w:val="16"/>
              </w:rPr>
              <w:t>Mappings</w:t>
            </w:r>
          </w:p>
        </w:tc>
        <w:tc>
          <w:tcPr>
            <w:tcW w:type="dxa" w:w="7120"/>
            <w:vAlign w:val="center"/>
            <w:tcMar>
              <w:top w:w="80" w:type="dxa"/>
              <w:start w:w="120" w:type="dxa"/>
              <w:bottom w:w="80" w:type="dxa"/>
              <w:end w:w="120" w:type="dxa"/>
            </w:tcMar>
          </w:tcPr>
          <w:p>
            <w:r>
              <w:rPr>
                <w:sz w:val="16"/>
              </w:rPr>
              <w:t>CWE-359; CWE-532; UK GDPR transparency, minimisation and data protection by design</w:t>
            </w:r>
          </w:p>
        </w:tc>
      </w:tr>
      <w:tr>
        <w:tc>
          <w:tcPr>
            <w:tcW w:type="dxa" w:w="2240"/>
            <w:vAlign w:val="center"/>
            <w:tcMar>
              <w:top w:w="80" w:type="dxa"/>
              <w:start w:w="120" w:type="dxa"/>
              <w:bottom w:w="80" w:type="dxa"/>
              <w:end w:w="120" w:type="dxa"/>
            </w:tcMar>
          </w:tcPr>
          <w:p>
            <w:r>
              <w:rPr>
                <w:sz w:val="16"/>
              </w:rPr>
              <w:t>Confidence</w:t>
            </w:r>
          </w:p>
        </w:tc>
        <w:tc>
          <w:tcPr>
            <w:tcW w:type="dxa" w:w="7120"/>
            <w:vAlign w:val="center"/>
            <w:tcMar>
              <w:top w:w="80" w:type="dxa"/>
              <w:start w:w="120" w:type="dxa"/>
              <w:bottom w:w="80" w:type="dxa"/>
              <w:end w:w="120" w:type="dxa"/>
            </w:tcMar>
          </w:tcPr>
          <w:p>
            <w:r>
              <w:rPr>
                <w:sz w:val="16"/>
              </w:rPr>
              <w:t>High for missing visible hooks; Medium for runtime policy behaviour</w:t>
            </w:r>
          </w:p>
        </w:tc>
      </w:tr>
    </w:tbl>
    <w:p/>
    <w:p>
      <w:pPr>
        <w:pStyle w:val="Heading2"/>
      </w:pPr>
      <w:r>
        <w:t>F-005 — Asset export lacks canonical workspace containment and overwrite controls</w:t>
      </w:r>
    </w:p>
    <w:p>
      <w:pPr>
        <w:pStyle w:val="Caption"/>
      </w:pPr>
      <w:r>
        <w:rPr>
          <w:b/>
        </w:rPr>
        <w:t>Finding record — F-005</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rPr>
              <w:t>Field</w:t>
            </w:r>
          </w:p>
        </w:tc>
        <w:tc>
          <w:tcPr>
            <w:tcW w:type="dxa" w:w="7120"/>
            <w:shd w:fill="F2F4F7"/>
            <w:vAlign w:val="center"/>
            <w:tcMar>
              <w:top w:w="80" w:type="dxa"/>
              <w:start w:w="120" w:type="dxa"/>
              <w:bottom w:w="80" w:type="dxa"/>
              <w:end w:w="120" w:type="dxa"/>
            </w:tcMar>
          </w:tcPr>
          <w:p>
            <w:r>
              <w:rPr>
                <w:b/>
                <w:sz w:val="16"/>
              </w:rPr>
              <w:t>Assessment</w:t>
            </w:r>
          </w:p>
        </w:tc>
      </w:tr>
      <w:tr>
        <w:tc>
          <w:tcPr>
            <w:tcW w:type="dxa" w:w="2240"/>
            <w:vAlign w:val="center"/>
            <w:tcMar>
              <w:top w:w="80" w:type="dxa"/>
              <w:start w:w="120" w:type="dxa"/>
              <w:bottom w:w="80" w:type="dxa"/>
              <w:end w:w="120" w:type="dxa"/>
            </w:tcMar>
          </w:tcPr>
          <w:p>
            <w:r>
              <w:rPr>
                <w:sz w:val="16"/>
              </w:rPr>
              <w:t>Scope</w:t>
            </w:r>
          </w:p>
        </w:tc>
        <w:tc>
          <w:tcPr>
            <w:tcW w:type="dxa" w:w="7120"/>
            <w:vAlign w:val="center"/>
            <w:tcMar>
              <w:top w:w="80" w:type="dxa"/>
              <w:start w:w="120" w:type="dxa"/>
              <w:bottom w:w="80" w:type="dxa"/>
              <w:end w:w="120" w:type="dxa"/>
            </w:tcMar>
          </w:tcPr>
          <w:p>
            <w:r>
              <w:rPr>
                <w:sz w:val="16"/>
              </w:rPr>
              <w:t>Remote content to workspace filesystem boundary</w:t>
            </w:r>
          </w:p>
        </w:tc>
      </w:tr>
      <w:tr>
        <w:tc>
          <w:tcPr>
            <w:tcW w:type="dxa" w:w="2240"/>
            <w:vAlign w:val="center"/>
            <w:tcMar>
              <w:top w:w="80" w:type="dxa"/>
              <w:start w:w="120" w:type="dxa"/>
              <w:bottom w:w="80" w:type="dxa"/>
              <w:end w:w="120" w:type="dxa"/>
            </w:tcMar>
          </w:tcPr>
          <w:p>
            <w:r>
              <w:rPr>
                <w:sz w:val="16"/>
              </w:rPr>
              <w:t>Scenario</w:t>
            </w:r>
          </w:p>
        </w:tc>
        <w:tc>
          <w:tcPr>
            <w:tcW w:type="dxa" w:w="7120"/>
            <w:vAlign w:val="center"/>
            <w:tcMar>
              <w:top w:w="80" w:type="dxa"/>
              <w:start w:w="120" w:type="dxa"/>
              <w:bottom w:w="80" w:type="dxa"/>
              <w:end w:w="120" w:type="dxa"/>
            </w:tcMar>
          </w:tcPr>
          <w:p>
            <w:r>
              <w:rPr>
                <w:sz w:val="16"/>
              </w:rPr>
              <w:t xml:space="preserve">Remote iframe data supplies asset name and bytes. After a path prompt, the extension joins user input to the first workspace URI and writes with workspace.fs.writeFile. No canonical containment, traversal, scheme, symlink, size, file-type or existing-target check was traced. The prompt reduces surprise but does not prove the chosen path remains within an approved root. </w:t>
            </w:r>
            <w:hyperlink w:anchor="REF_002">
              <w:r>
                <w:rPr>
                  <w:rStyle w:val="Hyperlink"/>
                </w:rPr>
                <w:t>REF-002</w:t>
              </w:r>
            </w:hyperlink>
            <w:r>
              <w:rPr>
                <w:sz w:val="16"/>
              </w:rPr>
              <w:t xml:space="preserve"> </w:t>
            </w:r>
            <w:hyperlink w:anchor="REF_009">
              <w:r>
                <w:rPr>
                  <w:rStyle w:val="Hyperlink"/>
                </w:rPr>
                <w:t>REF-009</w:t>
              </w:r>
            </w:hyperlink>
          </w:p>
        </w:tc>
      </w:tr>
      <w:tr>
        <w:tc>
          <w:tcPr>
            <w:tcW w:type="dxa" w:w="2240"/>
            <w:vAlign w:val="center"/>
            <w:tcMar>
              <w:top w:w="80" w:type="dxa"/>
              <w:start w:w="120" w:type="dxa"/>
              <w:bottom w:w="80" w:type="dxa"/>
              <w:end w:w="120" w:type="dxa"/>
            </w:tcMar>
          </w:tcPr>
          <w:p>
            <w:r>
              <w:rPr>
                <w:sz w:val="16"/>
              </w:rPr>
              <w:t>Evidence Ids</w:t>
            </w:r>
          </w:p>
        </w:tc>
        <w:tc>
          <w:tcPr>
            <w:tcW w:type="dxa" w:w="7120"/>
            <w:vAlign w:val="center"/>
            <w:tcMar>
              <w:top w:w="80" w:type="dxa"/>
              <w:start w:w="120" w:type="dxa"/>
              <w:bottom w:w="80" w:type="dxa"/>
              <w:end w:w="120" w:type="dxa"/>
            </w:tcMar>
          </w:tcPr>
          <w:p>
            <w:r>
              <w:rPr>
                <w:sz w:val="16"/>
              </w:rPr>
              <w:t>EVD-WORKSPACE-001; EVD-MANIFEST-001; EVD-RUNTIME-001</w:t>
            </w:r>
          </w:p>
        </w:tc>
      </w:tr>
      <w:tr>
        <w:tc>
          <w:tcPr>
            <w:tcW w:type="dxa" w:w="2240"/>
            <w:vAlign w:val="center"/>
            <w:tcMar>
              <w:top w:w="80" w:type="dxa"/>
              <w:start w:w="120" w:type="dxa"/>
              <w:bottom w:w="80" w:type="dxa"/>
              <w:end w:w="120" w:type="dxa"/>
            </w:tcMar>
          </w:tcPr>
          <w:p>
            <w:r>
              <w:rPr>
                <w:sz w:val="16"/>
              </w:rPr>
              <w:t>Likelihood</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Impact</w:t>
            </w:r>
          </w:p>
        </w:tc>
        <w:tc>
          <w:tcPr>
            <w:tcW w:type="dxa" w:w="7120"/>
            <w:vAlign w:val="center"/>
            <w:tcMar>
              <w:top w:w="80" w:type="dxa"/>
              <w:start w:w="120" w:type="dxa"/>
              <w:bottom w:w="80" w:type="dxa"/>
              <w:end w:w="120" w:type="dxa"/>
            </w:tcMar>
          </w:tcPr>
          <w:p>
            <w:r>
              <w:rPr>
                <w:sz w:val="16"/>
              </w:rPr>
              <w:t>4</w:t>
            </w:r>
          </w:p>
        </w:tc>
      </w:tr>
      <w:tr>
        <w:tc>
          <w:tcPr>
            <w:tcW w:type="dxa" w:w="2240"/>
            <w:vAlign w:val="center"/>
            <w:tcMar>
              <w:top w:w="80" w:type="dxa"/>
              <w:start w:w="120" w:type="dxa"/>
              <w:bottom w:w="80" w:type="dxa"/>
              <w:end w:w="120" w:type="dxa"/>
            </w:tcMar>
          </w:tcPr>
          <w:p>
            <w:r>
              <w:rPr>
                <w:sz w:val="16"/>
              </w:rPr>
              <w:t>Inherent</w:t>
            </w:r>
          </w:p>
        </w:tc>
        <w:tc>
          <w:tcPr>
            <w:tcW w:type="dxa" w:w="7120"/>
            <w:vAlign w:val="center"/>
            <w:tcMar>
              <w:top w:w="80" w:type="dxa"/>
              <w:start w:w="120" w:type="dxa"/>
              <w:bottom w:w="80" w:type="dxa"/>
              <w:end w:w="120" w:type="dxa"/>
            </w:tcMar>
          </w:tcPr>
          <w:p>
            <w:r>
              <w:rPr>
                <w:sz w:val="16"/>
              </w:rPr>
              <w:t>12 High</w:t>
            </w:r>
          </w:p>
        </w:tc>
      </w:tr>
      <w:tr>
        <w:tc>
          <w:tcPr>
            <w:tcW w:type="dxa" w:w="2240"/>
            <w:vAlign w:val="center"/>
            <w:tcMar>
              <w:top w:w="80" w:type="dxa"/>
              <w:start w:w="120" w:type="dxa"/>
              <w:bottom w:w="80" w:type="dxa"/>
              <w:end w:w="120" w:type="dxa"/>
            </w:tcMar>
          </w:tcPr>
          <w:p>
            <w:r>
              <w:rPr>
                <w:sz w:val="16"/>
              </w:rPr>
              <w:t>Controls</w:t>
            </w:r>
          </w:p>
        </w:tc>
        <w:tc>
          <w:tcPr>
            <w:tcW w:type="dxa" w:w="7120"/>
            <w:vAlign w:val="center"/>
            <w:tcMar>
              <w:top w:w="80" w:type="dxa"/>
              <w:start w:w="120" w:type="dxa"/>
              <w:bottom w:w="80" w:type="dxa"/>
              <w:end w:w="120" w:type="dxa"/>
            </w:tcMar>
          </w:tcPr>
          <w:p>
            <w:r>
              <w:rPr>
                <w:sz w:val="16"/>
              </w:rPr>
              <w:t>The operation is user-mediated through an input prompt and the extension sanitises the suggested base file name.</w:t>
            </w:r>
          </w:p>
        </w:tc>
      </w:tr>
      <w:tr>
        <w:tc>
          <w:tcPr>
            <w:tcW w:type="dxa" w:w="2240"/>
            <w:vAlign w:val="center"/>
            <w:tcMar>
              <w:top w:w="80" w:type="dxa"/>
              <w:start w:w="120" w:type="dxa"/>
              <w:bottom w:w="80" w:type="dxa"/>
              <w:end w:w="120" w:type="dxa"/>
            </w:tcMar>
          </w:tcPr>
          <w:p>
            <w:r>
              <w:rPr>
                <w:sz w:val="16"/>
              </w:rPr>
              <w:t>Control Strength</w:t>
            </w:r>
          </w:p>
        </w:tc>
        <w:tc>
          <w:tcPr>
            <w:tcW w:type="dxa" w:w="7120"/>
            <w:vAlign w:val="center"/>
            <w:tcMar>
              <w:top w:w="80" w:type="dxa"/>
              <w:start w:w="120" w:type="dxa"/>
              <w:bottom w:w="80" w:type="dxa"/>
              <w:end w:w="120" w:type="dxa"/>
            </w:tcMar>
          </w:tcPr>
          <w:p>
            <w:r>
              <w:rPr>
                <w:sz w:val="16"/>
              </w:rPr>
              <w:t>Partial</w:t>
            </w:r>
          </w:p>
        </w:tc>
      </w:tr>
      <w:tr>
        <w:tc>
          <w:tcPr>
            <w:tcW w:type="dxa" w:w="2240"/>
            <w:vAlign w:val="center"/>
            <w:tcMar>
              <w:top w:w="80" w:type="dxa"/>
              <w:start w:w="120" w:type="dxa"/>
              <w:bottom w:w="80" w:type="dxa"/>
              <w:end w:w="120" w:type="dxa"/>
            </w:tcMar>
          </w:tcPr>
          <w:p>
            <w:r>
              <w:rPr>
                <w:sz w:val="16"/>
              </w:rPr>
              <w:t>Residual Likelihood</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Residual Impact</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Residual</w:t>
            </w:r>
          </w:p>
        </w:tc>
        <w:tc>
          <w:tcPr>
            <w:tcW w:type="dxa" w:w="7120"/>
            <w:vAlign w:val="center"/>
            <w:tcMar>
              <w:top w:w="80" w:type="dxa"/>
              <w:start w:w="120" w:type="dxa"/>
              <w:bottom w:w="80" w:type="dxa"/>
              <w:end w:w="120" w:type="dxa"/>
            </w:tcMar>
          </w:tcPr>
          <w:p>
            <w:r>
              <w:rPr>
                <w:sz w:val="16"/>
              </w:rPr>
              <w:t>9 Moderate</w:t>
            </w:r>
          </w:p>
        </w:tc>
      </w:tr>
      <w:tr>
        <w:tc>
          <w:tcPr>
            <w:tcW w:type="dxa" w:w="2240"/>
            <w:vAlign w:val="center"/>
            <w:tcMar>
              <w:top w:w="80" w:type="dxa"/>
              <w:start w:w="120" w:type="dxa"/>
              <w:bottom w:w="80" w:type="dxa"/>
              <w:end w:w="120" w:type="dxa"/>
            </w:tcMar>
          </w:tcPr>
          <w:p>
            <w:r>
              <w:rPr>
                <w:sz w:val="16"/>
              </w:rPr>
              <w:t>Recommendation</w:t>
            </w:r>
          </w:p>
        </w:tc>
        <w:tc>
          <w:tcPr>
            <w:tcW w:type="dxa" w:w="7120"/>
            <w:vAlign w:val="center"/>
            <w:tcMar>
              <w:top w:w="80" w:type="dxa"/>
              <w:start w:w="120" w:type="dxa"/>
              <w:bottom w:w="80" w:type="dxa"/>
              <w:end w:w="120" w:type="dxa"/>
            </w:tcMar>
          </w:tcPr>
          <w:p>
            <w:r>
              <w:rPr>
                <w:sz w:val="16"/>
              </w:rPr>
              <w:t xml:space="preserve">Resolve and canonicalise the destination, require containment below a centrally approved workspace subdirectory, reject absolute paths, traversal, alternate schemes and symlinks, bound bytes, validate extension/content, use create-new or explicit overwrite confirmation, and retain an audit event. </w:t>
            </w:r>
            <w:hyperlink w:anchor="REF_009">
              <w:r>
                <w:rPr>
                  <w:rStyle w:val="Hyperlink"/>
                </w:rPr>
                <w:t>REF-009</w:t>
              </w:r>
            </w:hyperlink>
            <w:r>
              <w:rPr>
                <w:sz w:val="16"/>
              </w:rPr>
              <w:t xml:space="preserve"> </w:t>
            </w:r>
            <w:hyperlink w:anchor="REF_011">
              <w:r>
                <w:rPr>
                  <w:rStyle w:val="Hyperlink"/>
                </w:rPr>
                <w:t>REF-011</w:t>
              </w:r>
            </w:hyperlink>
          </w:p>
        </w:tc>
      </w:tr>
      <w:tr>
        <w:tc>
          <w:tcPr>
            <w:tcW w:type="dxa" w:w="2240"/>
            <w:vAlign w:val="center"/>
            <w:tcMar>
              <w:top w:w="80" w:type="dxa"/>
              <w:start w:w="120" w:type="dxa"/>
              <w:bottom w:w="80" w:type="dxa"/>
              <w:end w:w="120" w:type="dxa"/>
            </w:tcMar>
          </w:tcPr>
          <w:p>
            <w:r>
              <w:rPr>
                <w:sz w:val="16"/>
              </w:rPr>
              <w:t>Owner</w:t>
            </w:r>
          </w:p>
        </w:tc>
        <w:tc>
          <w:tcPr>
            <w:tcW w:type="dxa" w:w="7120"/>
            <w:vAlign w:val="center"/>
            <w:tcMar>
              <w:top w:w="80" w:type="dxa"/>
              <w:start w:w="120" w:type="dxa"/>
              <w:bottom w:w="80" w:type="dxa"/>
              <w:end w:w="120" w:type="dxa"/>
            </w:tcMar>
          </w:tcPr>
          <w:p>
            <w:r>
              <w:rPr>
                <w:sz w:val="16"/>
              </w:rPr>
              <w:t>Figma extension engineering and enterprise endpoint owner</w:t>
            </w:r>
          </w:p>
        </w:tc>
      </w:tr>
      <w:tr>
        <w:tc>
          <w:tcPr>
            <w:tcW w:type="dxa" w:w="2240"/>
            <w:vAlign w:val="center"/>
            <w:tcMar>
              <w:top w:w="80" w:type="dxa"/>
              <w:start w:w="120" w:type="dxa"/>
              <w:bottom w:w="80" w:type="dxa"/>
              <w:end w:w="120" w:type="dxa"/>
            </w:tcMar>
          </w:tcPr>
          <w:p>
            <w:r>
              <w:rPr>
                <w:sz w:val="16"/>
              </w:rPr>
              <w:t>Priority</w:t>
            </w:r>
          </w:p>
        </w:tc>
        <w:tc>
          <w:tcPr>
            <w:tcW w:type="dxa" w:w="7120"/>
            <w:vAlign w:val="center"/>
            <w:tcMar>
              <w:top w:w="80" w:type="dxa"/>
              <w:start w:w="120" w:type="dxa"/>
              <w:bottom w:w="80" w:type="dxa"/>
              <w:end w:w="120" w:type="dxa"/>
            </w:tcMar>
          </w:tcPr>
          <w:p>
            <w:r>
              <w:rPr>
                <w:sz w:val="16"/>
              </w:rPr>
              <w:t>P1</w:t>
            </w:r>
          </w:p>
        </w:tc>
      </w:tr>
      <w:tr>
        <w:tc>
          <w:tcPr>
            <w:tcW w:type="dxa" w:w="2240"/>
            <w:vAlign w:val="center"/>
            <w:tcMar>
              <w:top w:w="80" w:type="dxa"/>
              <w:start w:w="120" w:type="dxa"/>
              <w:bottom w:w="80" w:type="dxa"/>
              <w:end w:w="120" w:type="dxa"/>
            </w:tcMar>
          </w:tcPr>
          <w:p>
            <w:r>
              <w:rPr>
                <w:sz w:val="16"/>
              </w:rPr>
              <w:t>Target Date</w:t>
            </w:r>
          </w:p>
        </w:tc>
        <w:tc>
          <w:tcPr>
            <w:tcW w:type="dxa" w:w="7120"/>
            <w:vAlign w:val="center"/>
            <w:tcMar>
              <w:top w:w="80" w:type="dxa"/>
              <w:start w:w="120" w:type="dxa"/>
              <w:bottom w:w="80" w:type="dxa"/>
              <w:end w:w="120" w:type="dxa"/>
            </w:tcMar>
          </w:tcPr>
          <w:p>
            <w:r>
              <w:rPr>
                <w:sz w:val="16"/>
              </w:rPr>
              <w:t>Before asset export is allowed</w:t>
            </w:r>
          </w:p>
        </w:tc>
      </w:tr>
      <w:tr>
        <w:tc>
          <w:tcPr>
            <w:tcW w:type="dxa" w:w="2240"/>
            <w:vAlign w:val="center"/>
            <w:tcMar>
              <w:top w:w="80" w:type="dxa"/>
              <w:start w:w="120" w:type="dxa"/>
              <w:bottom w:w="80" w:type="dxa"/>
              <w:end w:w="120" w:type="dxa"/>
            </w:tcMar>
          </w:tcPr>
          <w:p>
            <w:r>
              <w:rPr>
                <w:sz w:val="16"/>
              </w:rPr>
              <w:t>Verification</w:t>
            </w:r>
          </w:p>
        </w:tc>
        <w:tc>
          <w:tcPr>
            <w:tcW w:type="dxa" w:w="7120"/>
            <w:vAlign w:val="center"/>
            <w:tcMar>
              <w:top w:w="80" w:type="dxa"/>
              <w:start w:w="120" w:type="dxa"/>
              <w:bottom w:w="80" w:type="dxa"/>
              <w:end w:w="120" w:type="dxa"/>
            </w:tcMar>
          </w:tcPr>
          <w:p>
            <w:r>
              <w:rPr>
                <w:sz w:val="16"/>
              </w:rPr>
              <w:t>Synthetic traversal, absolute path, symlink, alternate scheme, oversized file, malformed type, existing target and cancelled prompt cases fail closed without external writes.</w:t>
            </w:r>
          </w:p>
        </w:tc>
      </w:tr>
      <w:tr>
        <w:tc>
          <w:tcPr>
            <w:tcW w:type="dxa" w:w="2240"/>
            <w:vAlign w:val="center"/>
            <w:tcMar>
              <w:top w:w="80" w:type="dxa"/>
              <w:start w:w="120" w:type="dxa"/>
              <w:bottom w:w="80" w:type="dxa"/>
              <w:end w:w="120" w:type="dxa"/>
            </w:tcMar>
          </w:tcPr>
          <w:p>
            <w:r>
              <w:rPr>
                <w:sz w:val="16"/>
              </w:rPr>
              <w:t>Mappings</w:t>
            </w:r>
          </w:p>
        </w:tc>
        <w:tc>
          <w:tcPr>
            <w:tcW w:type="dxa" w:w="7120"/>
            <w:vAlign w:val="center"/>
            <w:tcMar>
              <w:top w:w="80" w:type="dxa"/>
              <w:start w:w="120" w:type="dxa"/>
              <w:bottom w:w="80" w:type="dxa"/>
              <w:end w:w="120" w:type="dxa"/>
            </w:tcMar>
          </w:tcPr>
          <w:p>
            <w:r>
              <w:rPr>
                <w:sz w:val="16"/>
              </w:rPr>
              <w:t>CWE-22; CWE-59; CWE-400; CWE-73</w:t>
            </w:r>
          </w:p>
        </w:tc>
      </w:tr>
      <w:tr>
        <w:tc>
          <w:tcPr>
            <w:tcW w:type="dxa" w:w="2240"/>
            <w:vAlign w:val="center"/>
            <w:tcMar>
              <w:top w:w="80" w:type="dxa"/>
              <w:start w:w="120" w:type="dxa"/>
              <w:bottom w:w="80" w:type="dxa"/>
              <w:end w:w="120" w:type="dxa"/>
            </w:tcMar>
          </w:tcPr>
          <w:p>
            <w:r>
              <w:rPr>
                <w:sz w:val="16"/>
              </w:rPr>
              <w:t>Confidence</w:t>
            </w:r>
          </w:p>
        </w:tc>
        <w:tc>
          <w:tcPr>
            <w:tcW w:type="dxa" w:w="7120"/>
            <w:vAlign w:val="center"/>
            <w:tcMar>
              <w:top w:w="80" w:type="dxa"/>
              <w:start w:w="120" w:type="dxa"/>
              <w:bottom w:w="80" w:type="dxa"/>
              <w:end w:w="120" w:type="dxa"/>
            </w:tcMar>
          </w:tcPr>
          <w:p>
            <w:r>
              <w:rPr>
                <w:sz w:val="16"/>
              </w:rPr>
              <w:t>High for missing static checks; Medium for URI implementation edge cases</w:t>
            </w:r>
          </w:p>
        </w:tc>
      </w:tr>
    </w:tbl>
    <w:p/>
    <w:p>
      <w:pPr>
        <w:pStyle w:val="Heading2"/>
      </w:pPr>
      <w:r>
        <w:t>F-006 — Logout and debug export can leave or expose authentication-related state</w:t>
      </w:r>
    </w:p>
    <w:p>
      <w:pPr>
        <w:pStyle w:val="Caption"/>
      </w:pPr>
      <w:r>
        <w:rPr>
          <w:b/>
        </w:rPr>
        <w:t>Finding record — F-006</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rPr>
              <w:t>Field</w:t>
            </w:r>
          </w:p>
        </w:tc>
        <w:tc>
          <w:tcPr>
            <w:tcW w:type="dxa" w:w="7120"/>
            <w:shd w:fill="F2F4F7"/>
            <w:vAlign w:val="center"/>
            <w:tcMar>
              <w:top w:w="80" w:type="dxa"/>
              <w:start w:w="120" w:type="dxa"/>
              <w:bottom w:w="80" w:type="dxa"/>
              <w:end w:w="120" w:type="dxa"/>
            </w:tcMar>
          </w:tcPr>
          <w:p>
            <w:r>
              <w:rPr>
                <w:b/>
                <w:sz w:val="16"/>
              </w:rPr>
              <w:t>Assessment</w:t>
            </w:r>
          </w:p>
        </w:tc>
      </w:tr>
      <w:tr>
        <w:tc>
          <w:tcPr>
            <w:tcW w:type="dxa" w:w="2240"/>
            <w:vAlign w:val="center"/>
            <w:tcMar>
              <w:top w:w="80" w:type="dxa"/>
              <w:start w:w="120" w:type="dxa"/>
              <w:bottom w:w="80" w:type="dxa"/>
              <w:end w:w="120" w:type="dxa"/>
            </w:tcMar>
          </w:tcPr>
          <w:p>
            <w:r>
              <w:rPr>
                <w:sz w:val="16"/>
              </w:rPr>
              <w:t>Scope</w:t>
            </w:r>
          </w:p>
        </w:tc>
        <w:tc>
          <w:tcPr>
            <w:tcW w:type="dxa" w:w="7120"/>
            <w:vAlign w:val="center"/>
            <w:tcMar>
              <w:top w:w="80" w:type="dxa"/>
              <w:start w:w="120" w:type="dxa"/>
              <w:bottom w:w="80" w:type="dxa"/>
              <w:end w:w="120" w:type="dxa"/>
            </w:tcMar>
          </w:tcPr>
          <w:p>
            <w:r>
              <w:rPr>
                <w:sz w:val="16"/>
              </w:rPr>
              <w:t>Session lifecycle, local residue and support boundary</w:t>
            </w:r>
          </w:p>
        </w:tc>
      </w:tr>
      <w:tr>
        <w:tc>
          <w:tcPr>
            <w:tcW w:type="dxa" w:w="2240"/>
            <w:vAlign w:val="center"/>
            <w:tcMar>
              <w:top w:w="80" w:type="dxa"/>
              <w:start w:w="120" w:type="dxa"/>
              <w:bottom w:w="80" w:type="dxa"/>
              <w:end w:w="120" w:type="dxa"/>
            </w:tcMar>
          </w:tcPr>
          <w:p>
            <w:r>
              <w:rPr>
                <w:sz w:val="16"/>
              </w:rPr>
              <w:t>Scenario</w:t>
            </w:r>
          </w:p>
        </w:tc>
        <w:tc>
          <w:tcPr>
            <w:tcW w:type="dxa" w:w="7120"/>
            <w:vAlign w:val="center"/>
            <w:tcMar>
              <w:top w:w="80" w:type="dxa"/>
              <w:start w:w="120" w:type="dxa"/>
              <w:bottom w:w="80" w:type="dxa"/>
              <w:end w:w="120" w:type="dxa"/>
            </w:tcMar>
          </w:tcPr>
          <w:p>
            <w:r>
              <w:rPr>
                <w:sz w:val="16"/>
              </w:rPr>
              <w:t xml:space="preserve">The extension stores an integration cookie, integration MAC, user ID, app-auth cookie and page-load token in SecretStorage. The reviewed logout path explicitly deletes only selected values; independent clearing of every stored value was not traced. The user-generated debug file includes user ID, extension configuration, LiveGraph state, Sentry errors, breadcrumbs, logs and installed extension IDs without a visible redaction or preview step. </w:t>
            </w:r>
            <w:hyperlink w:anchor="REF_002">
              <w:r>
                <w:rPr>
                  <w:rStyle w:val="Hyperlink"/>
                </w:rPr>
                <w:t>REF-002</w:t>
              </w:r>
            </w:hyperlink>
            <w:r>
              <w:rPr>
                <w:sz w:val="16"/>
              </w:rPr>
              <w:t xml:space="preserve"> </w:t>
            </w:r>
            <w:hyperlink w:anchor="REF_004">
              <w:r>
                <w:rPr>
                  <w:rStyle w:val="Hyperlink"/>
                </w:rPr>
                <w:t>REF-004</w:t>
              </w:r>
            </w:hyperlink>
          </w:p>
        </w:tc>
      </w:tr>
      <w:tr>
        <w:tc>
          <w:tcPr>
            <w:tcW w:type="dxa" w:w="2240"/>
            <w:vAlign w:val="center"/>
            <w:tcMar>
              <w:top w:w="80" w:type="dxa"/>
              <w:start w:w="120" w:type="dxa"/>
              <w:bottom w:w="80" w:type="dxa"/>
              <w:end w:w="120" w:type="dxa"/>
            </w:tcMar>
          </w:tcPr>
          <w:p>
            <w:r>
              <w:rPr>
                <w:sz w:val="16"/>
              </w:rPr>
              <w:t>Evidence Ids</w:t>
            </w:r>
          </w:p>
        </w:tc>
        <w:tc>
          <w:tcPr>
            <w:tcW w:type="dxa" w:w="7120"/>
            <w:vAlign w:val="center"/>
            <w:tcMar>
              <w:top w:w="80" w:type="dxa"/>
              <w:start w:w="120" w:type="dxa"/>
              <w:bottom w:w="80" w:type="dxa"/>
              <w:end w:w="120" w:type="dxa"/>
            </w:tcMar>
          </w:tcPr>
          <w:p>
            <w:r>
              <w:rPr>
                <w:sz w:val="16"/>
              </w:rPr>
              <w:t>EVD-AUTH-001; EVD-RUNTIME-001; EVD-PRIVACY-001</w:t>
            </w:r>
          </w:p>
        </w:tc>
      </w:tr>
      <w:tr>
        <w:tc>
          <w:tcPr>
            <w:tcW w:type="dxa" w:w="2240"/>
            <w:vAlign w:val="center"/>
            <w:tcMar>
              <w:top w:w="80" w:type="dxa"/>
              <w:start w:w="120" w:type="dxa"/>
              <w:bottom w:w="80" w:type="dxa"/>
              <w:end w:w="120" w:type="dxa"/>
            </w:tcMar>
          </w:tcPr>
          <w:p>
            <w:r>
              <w:rPr>
                <w:sz w:val="16"/>
              </w:rPr>
              <w:t>Likelihood</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Impact</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Inherent</w:t>
            </w:r>
          </w:p>
        </w:tc>
        <w:tc>
          <w:tcPr>
            <w:tcW w:type="dxa" w:w="7120"/>
            <w:vAlign w:val="center"/>
            <w:tcMar>
              <w:top w:w="80" w:type="dxa"/>
              <w:start w:w="120" w:type="dxa"/>
              <w:bottom w:w="80" w:type="dxa"/>
              <w:end w:w="120" w:type="dxa"/>
            </w:tcMar>
          </w:tcPr>
          <w:p>
            <w:r>
              <w:rPr>
                <w:sz w:val="16"/>
              </w:rPr>
              <w:t>9 Moderate</w:t>
            </w:r>
          </w:p>
        </w:tc>
      </w:tr>
      <w:tr>
        <w:tc>
          <w:tcPr>
            <w:tcW w:type="dxa" w:w="2240"/>
            <w:vAlign w:val="center"/>
            <w:tcMar>
              <w:top w:w="80" w:type="dxa"/>
              <w:start w:w="120" w:type="dxa"/>
              <w:bottom w:w="80" w:type="dxa"/>
              <w:end w:w="120" w:type="dxa"/>
            </w:tcMar>
          </w:tcPr>
          <w:p>
            <w:r>
              <w:rPr>
                <w:sz w:val="16"/>
              </w:rPr>
              <w:t>Controls</w:t>
            </w:r>
          </w:p>
        </w:tc>
        <w:tc>
          <w:tcPr>
            <w:tcW w:type="dxa" w:w="7120"/>
            <w:vAlign w:val="center"/>
            <w:tcMar>
              <w:top w:w="80" w:type="dxa"/>
              <w:start w:w="120" w:type="dxa"/>
              <w:bottom w:w="80" w:type="dxa"/>
              <w:end w:w="120" w:type="dxa"/>
            </w:tcMar>
          </w:tcPr>
          <w:p>
            <w:r>
              <w:rPr>
                <w:sz w:val="16"/>
              </w:rPr>
              <w:t>Authentication values use VS Code SecretStorage and debug export requires user interaction and a chosen save location.</w:t>
            </w:r>
          </w:p>
        </w:tc>
      </w:tr>
      <w:tr>
        <w:tc>
          <w:tcPr>
            <w:tcW w:type="dxa" w:w="2240"/>
            <w:vAlign w:val="center"/>
            <w:tcMar>
              <w:top w:w="80" w:type="dxa"/>
              <w:start w:w="120" w:type="dxa"/>
              <w:bottom w:w="80" w:type="dxa"/>
              <w:end w:w="120" w:type="dxa"/>
            </w:tcMar>
          </w:tcPr>
          <w:p>
            <w:r>
              <w:rPr>
                <w:sz w:val="16"/>
              </w:rPr>
              <w:t>Control Strength</w:t>
            </w:r>
          </w:p>
        </w:tc>
        <w:tc>
          <w:tcPr>
            <w:tcW w:type="dxa" w:w="7120"/>
            <w:vAlign w:val="center"/>
            <w:tcMar>
              <w:top w:w="80" w:type="dxa"/>
              <w:start w:w="120" w:type="dxa"/>
              <w:bottom w:w="80" w:type="dxa"/>
              <w:end w:w="120" w:type="dxa"/>
            </w:tcMar>
          </w:tcPr>
          <w:p>
            <w:r>
              <w:rPr>
                <w:sz w:val="16"/>
              </w:rPr>
              <w:t>Partial</w:t>
            </w:r>
          </w:p>
        </w:tc>
      </w:tr>
      <w:tr>
        <w:tc>
          <w:tcPr>
            <w:tcW w:type="dxa" w:w="2240"/>
            <w:vAlign w:val="center"/>
            <w:tcMar>
              <w:top w:w="80" w:type="dxa"/>
              <w:start w:w="120" w:type="dxa"/>
              <w:bottom w:w="80" w:type="dxa"/>
              <w:end w:w="120" w:type="dxa"/>
            </w:tcMar>
          </w:tcPr>
          <w:p>
            <w:r>
              <w:rPr>
                <w:sz w:val="16"/>
              </w:rPr>
              <w:t>Residual Likelihood</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Residual Impact</w:t>
            </w:r>
          </w:p>
        </w:tc>
        <w:tc>
          <w:tcPr>
            <w:tcW w:type="dxa" w:w="7120"/>
            <w:vAlign w:val="center"/>
            <w:tcMar>
              <w:top w:w="80" w:type="dxa"/>
              <w:start w:w="120" w:type="dxa"/>
              <w:bottom w:w="80" w:type="dxa"/>
              <w:end w:w="120" w:type="dxa"/>
            </w:tcMar>
          </w:tcPr>
          <w:p>
            <w:r>
              <w:rPr>
                <w:sz w:val="16"/>
              </w:rPr>
              <w:t>3</w:t>
            </w:r>
          </w:p>
        </w:tc>
      </w:tr>
      <w:tr>
        <w:tc>
          <w:tcPr>
            <w:tcW w:type="dxa" w:w="2240"/>
            <w:vAlign w:val="center"/>
            <w:tcMar>
              <w:top w:w="80" w:type="dxa"/>
              <w:start w:w="120" w:type="dxa"/>
              <w:bottom w:w="80" w:type="dxa"/>
              <w:end w:w="120" w:type="dxa"/>
            </w:tcMar>
          </w:tcPr>
          <w:p>
            <w:r>
              <w:rPr>
                <w:sz w:val="16"/>
              </w:rPr>
              <w:t>Residual</w:t>
            </w:r>
          </w:p>
        </w:tc>
        <w:tc>
          <w:tcPr>
            <w:tcW w:type="dxa" w:w="7120"/>
            <w:vAlign w:val="center"/>
            <w:tcMar>
              <w:top w:w="80" w:type="dxa"/>
              <w:start w:w="120" w:type="dxa"/>
              <w:bottom w:w="80" w:type="dxa"/>
              <w:end w:w="120" w:type="dxa"/>
            </w:tcMar>
          </w:tcPr>
          <w:p>
            <w:r>
              <w:rPr>
                <w:sz w:val="16"/>
              </w:rPr>
              <w:t>9 Moderate</w:t>
            </w:r>
          </w:p>
        </w:tc>
      </w:tr>
      <w:tr>
        <w:tc>
          <w:tcPr>
            <w:tcW w:type="dxa" w:w="2240"/>
            <w:vAlign w:val="center"/>
            <w:tcMar>
              <w:top w:w="80" w:type="dxa"/>
              <w:start w:w="120" w:type="dxa"/>
              <w:bottom w:w="80" w:type="dxa"/>
              <w:end w:w="120" w:type="dxa"/>
            </w:tcMar>
          </w:tcPr>
          <w:p>
            <w:r>
              <w:rPr>
                <w:sz w:val="16"/>
              </w:rPr>
              <w:t>Recommendation</w:t>
            </w:r>
          </w:p>
        </w:tc>
        <w:tc>
          <w:tcPr>
            <w:tcW w:type="dxa" w:w="7120"/>
            <w:vAlign w:val="center"/>
            <w:tcMar>
              <w:top w:w="80" w:type="dxa"/>
              <w:start w:w="120" w:type="dxa"/>
              <w:bottom w:w="80" w:type="dxa"/>
              <w:end w:w="120" w:type="dxa"/>
            </w:tcMar>
          </w:tcPr>
          <w:p>
            <w:r>
              <w:rPr>
                <w:sz w:val="16"/>
              </w:rPr>
              <w:t xml:space="preserve">Atomically clear every environment-scoped secret, identifier, token, local storage record, cache, watcher and connection on logout/uninstall; revoke server sessions; minimise and redact diagnostics; show a field-level preview and expiry warning; and avoid defaulting to a personal desktop path. </w:t>
            </w:r>
            <w:hyperlink w:anchor="REF_004">
              <w:r>
                <w:rPr>
                  <w:rStyle w:val="Hyperlink"/>
                </w:rPr>
                <w:t>REF-004</w:t>
              </w:r>
            </w:hyperlink>
            <w:r>
              <w:rPr>
                <w:sz w:val="16"/>
              </w:rPr>
              <w:t xml:space="preserve"> </w:t>
            </w:r>
            <w:hyperlink w:anchor="REF_008">
              <w:r>
                <w:rPr>
                  <w:rStyle w:val="Hyperlink"/>
                </w:rPr>
                <w:t>REF-008</w:t>
              </w:r>
            </w:hyperlink>
          </w:p>
        </w:tc>
      </w:tr>
      <w:tr>
        <w:tc>
          <w:tcPr>
            <w:tcW w:type="dxa" w:w="2240"/>
            <w:vAlign w:val="center"/>
            <w:tcMar>
              <w:top w:w="80" w:type="dxa"/>
              <w:start w:w="120" w:type="dxa"/>
              <w:bottom w:w="80" w:type="dxa"/>
              <w:end w:w="120" w:type="dxa"/>
            </w:tcMar>
          </w:tcPr>
          <w:p>
            <w:r>
              <w:rPr>
                <w:sz w:val="16"/>
              </w:rPr>
              <w:t>Owner</w:t>
            </w:r>
          </w:p>
        </w:tc>
        <w:tc>
          <w:tcPr>
            <w:tcW w:type="dxa" w:w="7120"/>
            <w:vAlign w:val="center"/>
            <w:tcMar>
              <w:top w:w="80" w:type="dxa"/>
              <w:start w:w="120" w:type="dxa"/>
              <w:bottom w:w="80" w:type="dxa"/>
              <w:end w:w="120" w:type="dxa"/>
            </w:tcMar>
          </w:tcPr>
          <w:p>
            <w:r>
              <w:rPr>
                <w:sz w:val="16"/>
              </w:rPr>
              <w:t>Figma identity, support and extension engineering</w:t>
            </w:r>
          </w:p>
        </w:tc>
      </w:tr>
      <w:tr>
        <w:tc>
          <w:tcPr>
            <w:tcW w:type="dxa" w:w="2240"/>
            <w:vAlign w:val="center"/>
            <w:tcMar>
              <w:top w:w="80" w:type="dxa"/>
              <w:start w:w="120" w:type="dxa"/>
              <w:bottom w:w="80" w:type="dxa"/>
              <w:end w:w="120" w:type="dxa"/>
            </w:tcMar>
          </w:tcPr>
          <w:p>
            <w:r>
              <w:rPr>
                <w:sz w:val="16"/>
              </w:rPr>
              <w:t>Priority</w:t>
            </w:r>
          </w:p>
        </w:tc>
        <w:tc>
          <w:tcPr>
            <w:tcW w:type="dxa" w:w="7120"/>
            <w:vAlign w:val="center"/>
            <w:tcMar>
              <w:top w:w="80" w:type="dxa"/>
              <w:start w:w="120" w:type="dxa"/>
              <w:bottom w:w="80" w:type="dxa"/>
              <w:end w:w="120" w:type="dxa"/>
            </w:tcMar>
          </w:tcPr>
          <w:p>
            <w:r>
              <w:rPr>
                <w:sz w:val="16"/>
              </w:rPr>
              <w:t>P2</w:t>
            </w:r>
          </w:p>
        </w:tc>
      </w:tr>
      <w:tr>
        <w:tc>
          <w:tcPr>
            <w:tcW w:type="dxa" w:w="2240"/>
            <w:vAlign w:val="center"/>
            <w:tcMar>
              <w:top w:w="80" w:type="dxa"/>
              <w:start w:w="120" w:type="dxa"/>
              <w:bottom w:w="80" w:type="dxa"/>
              <w:end w:w="120" w:type="dxa"/>
            </w:tcMar>
          </w:tcPr>
          <w:p>
            <w:r>
              <w:rPr>
                <w:sz w:val="16"/>
              </w:rPr>
              <w:t>Target Date</w:t>
            </w:r>
          </w:p>
        </w:tc>
        <w:tc>
          <w:tcPr>
            <w:tcW w:type="dxa" w:w="7120"/>
            <w:vAlign w:val="center"/>
            <w:tcMar>
              <w:top w:w="80" w:type="dxa"/>
              <w:start w:w="120" w:type="dxa"/>
              <w:bottom w:w="80" w:type="dxa"/>
              <w:end w:w="120" w:type="dxa"/>
            </w:tcMar>
          </w:tcPr>
          <w:p>
            <w:r>
              <w:rPr>
                <w:sz w:val="16"/>
              </w:rPr>
              <w:t>Before support-export or logout acceptance</w:t>
            </w:r>
          </w:p>
        </w:tc>
      </w:tr>
      <w:tr>
        <w:tc>
          <w:tcPr>
            <w:tcW w:type="dxa" w:w="2240"/>
            <w:vAlign w:val="center"/>
            <w:tcMar>
              <w:top w:w="80" w:type="dxa"/>
              <w:start w:w="120" w:type="dxa"/>
              <w:bottom w:w="80" w:type="dxa"/>
              <w:end w:w="120" w:type="dxa"/>
            </w:tcMar>
          </w:tcPr>
          <w:p>
            <w:r>
              <w:rPr>
                <w:sz w:val="16"/>
              </w:rPr>
              <w:t>Verification</w:t>
            </w:r>
          </w:p>
        </w:tc>
        <w:tc>
          <w:tcPr>
            <w:tcW w:type="dxa" w:w="7120"/>
            <w:vAlign w:val="center"/>
            <w:tcMar>
              <w:top w:w="80" w:type="dxa"/>
              <w:start w:w="120" w:type="dxa"/>
              <w:bottom w:w="80" w:type="dxa"/>
              <w:end w:w="120" w:type="dxa"/>
            </w:tcMar>
          </w:tcPr>
          <w:p>
            <w:r>
              <w:rPr>
                <w:sz w:val="16"/>
              </w:rPr>
              <w:t>Logout/uninstall tests prove no replayable secret or identifier remains locally or server-side, and canary values never appear in a support export after redaction.</w:t>
            </w:r>
          </w:p>
        </w:tc>
      </w:tr>
      <w:tr>
        <w:tc>
          <w:tcPr>
            <w:tcW w:type="dxa" w:w="2240"/>
            <w:vAlign w:val="center"/>
            <w:tcMar>
              <w:top w:w="80" w:type="dxa"/>
              <w:start w:w="120" w:type="dxa"/>
              <w:bottom w:w="80" w:type="dxa"/>
              <w:end w:w="120" w:type="dxa"/>
            </w:tcMar>
          </w:tcPr>
          <w:p>
            <w:r>
              <w:rPr>
                <w:sz w:val="16"/>
              </w:rPr>
              <w:t>Mappings</w:t>
            </w:r>
          </w:p>
        </w:tc>
        <w:tc>
          <w:tcPr>
            <w:tcW w:type="dxa" w:w="7120"/>
            <w:vAlign w:val="center"/>
            <w:tcMar>
              <w:top w:w="80" w:type="dxa"/>
              <w:start w:w="120" w:type="dxa"/>
              <w:bottom w:w="80" w:type="dxa"/>
              <w:end w:w="120" w:type="dxa"/>
            </w:tcMar>
          </w:tcPr>
          <w:p>
            <w:r>
              <w:rPr>
                <w:sz w:val="16"/>
              </w:rPr>
              <w:t>CWE-459; CWE-922; CWE-532; UK GDPR storage limitation and security</w:t>
            </w:r>
          </w:p>
        </w:tc>
      </w:tr>
      <w:tr>
        <w:tc>
          <w:tcPr>
            <w:tcW w:type="dxa" w:w="2240"/>
            <w:vAlign w:val="center"/>
            <w:tcMar>
              <w:top w:w="80" w:type="dxa"/>
              <w:start w:w="120" w:type="dxa"/>
              <w:bottom w:w="80" w:type="dxa"/>
              <w:end w:w="120" w:type="dxa"/>
            </w:tcMar>
          </w:tcPr>
          <w:p>
            <w:r>
              <w:rPr>
                <w:sz w:val="16"/>
              </w:rPr>
              <w:t>Confidence</w:t>
            </w:r>
          </w:p>
        </w:tc>
        <w:tc>
          <w:tcPr>
            <w:tcW w:type="dxa" w:w="7120"/>
            <w:vAlign w:val="center"/>
            <w:tcMar>
              <w:top w:w="80" w:type="dxa"/>
              <w:start w:w="120" w:type="dxa"/>
              <w:bottom w:w="80" w:type="dxa"/>
              <w:end w:w="120" w:type="dxa"/>
            </w:tcMar>
          </w:tcPr>
          <w:p>
            <w:r>
              <w:rPr>
                <w:sz w:val="16"/>
              </w:rPr>
              <w:t>Medium because deletion aliases and server revocation were not runtime observed</w:t>
            </w:r>
          </w:p>
        </w:tc>
      </w:tr>
    </w:tbl>
    <w:p/>
    <w:p>
      <w:pPr>
        <w:pStyle w:val="Heading2"/>
      </w:pPr>
      <w:r>
        <w:t>F-007 — Source, SBOM and representative runtime evidence are incomplete</w:t>
      </w:r>
    </w:p>
    <w:p>
      <w:pPr>
        <w:pStyle w:val="Caption"/>
      </w:pPr>
      <w:r>
        <w:rPr>
          <w:b/>
        </w:rPr>
        <w:t>Finding record — F-007</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rPr>
              <w:t>Field</w:t>
            </w:r>
          </w:p>
        </w:tc>
        <w:tc>
          <w:tcPr>
            <w:tcW w:type="dxa" w:w="7120"/>
            <w:shd w:fill="F2F4F7"/>
            <w:vAlign w:val="center"/>
            <w:tcMar>
              <w:top w:w="80" w:type="dxa"/>
              <w:start w:w="120" w:type="dxa"/>
              <w:bottom w:w="80" w:type="dxa"/>
              <w:end w:w="120" w:type="dxa"/>
            </w:tcMar>
          </w:tcPr>
          <w:p>
            <w:r>
              <w:rPr>
                <w:b/>
                <w:sz w:val="16"/>
              </w:rPr>
              <w:t>Assessment</w:t>
            </w:r>
          </w:p>
        </w:tc>
      </w:tr>
      <w:tr>
        <w:tc>
          <w:tcPr>
            <w:tcW w:type="dxa" w:w="2240"/>
            <w:vAlign w:val="center"/>
            <w:tcMar>
              <w:top w:w="80" w:type="dxa"/>
              <w:start w:w="120" w:type="dxa"/>
              <w:bottom w:w="80" w:type="dxa"/>
              <w:end w:w="120" w:type="dxa"/>
            </w:tcMar>
          </w:tcPr>
          <w:p>
            <w:r>
              <w:rPr>
                <w:sz w:val="16"/>
              </w:rPr>
              <w:t>Scope</w:t>
            </w:r>
          </w:p>
        </w:tc>
        <w:tc>
          <w:tcPr>
            <w:tcW w:type="dxa" w:w="7120"/>
            <w:vAlign w:val="center"/>
            <w:tcMar>
              <w:top w:w="80" w:type="dxa"/>
              <w:start w:w="120" w:type="dxa"/>
              <w:bottom w:w="80" w:type="dxa"/>
              <w:end w:w="120" w:type="dxa"/>
            </w:tcMar>
          </w:tcPr>
          <w:p>
            <w:r>
              <w:rPr>
                <w:sz w:val="16"/>
              </w:rPr>
              <w:t>Supply-chain assurance and enterprise approval evidence</w:t>
            </w:r>
          </w:p>
        </w:tc>
      </w:tr>
      <w:tr>
        <w:tc>
          <w:tcPr>
            <w:tcW w:type="dxa" w:w="2240"/>
            <w:vAlign w:val="center"/>
            <w:tcMar>
              <w:top w:w="80" w:type="dxa"/>
              <w:start w:w="120" w:type="dxa"/>
              <w:bottom w:w="80" w:type="dxa"/>
              <w:end w:w="120" w:type="dxa"/>
            </w:tcMar>
          </w:tcPr>
          <w:p>
            <w:r>
              <w:rPr>
                <w:sz w:val="16"/>
              </w:rPr>
              <w:t>Scenario</w:t>
            </w:r>
          </w:p>
        </w:tc>
        <w:tc>
          <w:tcPr>
            <w:tcW w:type="dxa" w:w="7120"/>
            <w:vAlign w:val="center"/>
            <w:tcMar>
              <w:top w:w="80" w:type="dxa"/>
              <w:start w:w="120" w:type="dxa"/>
              <w:bottom w:w="80" w:type="dxa"/>
              <w:end w:w="120" w:type="dxa"/>
            </w:tcMar>
          </w:tcPr>
          <w:p>
            <w:r>
              <w:rPr>
                <w:sz w:val="16"/>
              </w:rPr>
              <w:t xml:space="preserve">The 15.6 MB minified production bundle references an absent source map. The declared source repository returns not found, and no version-bound source, lockfile, publisher SBOM, build attestation or reproducible-build instructions were established. Syft found zero standard components, leaving transitive licences and vulnerabilities materially incomplete. Representative authentication, plugin, webview, telemetry, update and uninstall behaviour is also Blocked. </w:t>
            </w:r>
            <w:hyperlink w:anchor="REF_011">
              <w:r>
                <w:rPr>
                  <w:rStyle w:val="Hyperlink"/>
                </w:rPr>
                <w:t>REF-011</w:t>
              </w:r>
            </w:hyperlink>
            <w:r>
              <w:rPr>
                <w:sz w:val="16"/>
              </w:rPr>
              <w:t xml:space="preserve"> </w:t>
            </w:r>
            <w:hyperlink w:anchor="REF_019">
              <w:r>
                <w:rPr>
                  <w:rStyle w:val="Hyperlink"/>
                </w:rPr>
                <w:t>REF-019</w:t>
              </w:r>
            </w:hyperlink>
          </w:p>
        </w:tc>
      </w:tr>
      <w:tr>
        <w:tc>
          <w:tcPr>
            <w:tcW w:type="dxa" w:w="2240"/>
            <w:vAlign w:val="center"/>
            <w:tcMar>
              <w:top w:w="80" w:type="dxa"/>
              <w:start w:w="120" w:type="dxa"/>
              <w:bottom w:w="80" w:type="dxa"/>
              <w:end w:w="120" w:type="dxa"/>
            </w:tcMar>
          </w:tcPr>
          <w:p>
            <w:r>
              <w:rPr>
                <w:sz w:val="16"/>
              </w:rPr>
              <w:t>Evidence Ids</w:t>
            </w:r>
          </w:p>
        </w:tc>
        <w:tc>
          <w:tcPr>
            <w:tcW w:type="dxa" w:w="7120"/>
            <w:vAlign w:val="center"/>
            <w:tcMar>
              <w:top w:w="80" w:type="dxa"/>
              <w:start w:w="120" w:type="dxa"/>
              <w:bottom w:w="80" w:type="dxa"/>
              <w:end w:w="120" w:type="dxa"/>
            </w:tcMar>
          </w:tcPr>
          <w:p>
            <w:r>
              <w:rPr>
                <w:sz w:val="16"/>
              </w:rPr>
              <w:t>EVD-SOURCE-001; EVD-SBOM-001; EVD-RUNTIME-001; EVD-VSIX-001</w:t>
            </w:r>
          </w:p>
        </w:tc>
      </w:tr>
      <w:tr>
        <w:tc>
          <w:tcPr>
            <w:tcW w:type="dxa" w:w="2240"/>
            <w:vAlign w:val="center"/>
            <w:tcMar>
              <w:top w:w="80" w:type="dxa"/>
              <w:start w:w="120" w:type="dxa"/>
              <w:bottom w:w="80" w:type="dxa"/>
              <w:end w:w="120" w:type="dxa"/>
            </w:tcMar>
          </w:tcPr>
          <w:p>
            <w:r>
              <w:rPr>
                <w:sz w:val="16"/>
              </w:rPr>
              <w:t>Likelihood</w:t>
            </w:r>
          </w:p>
        </w:tc>
        <w:tc>
          <w:tcPr>
            <w:tcW w:type="dxa" w:w="7120"/>
            <w:vAlign w:val="center"/>
            <w:tcMar>
              <w:top w:w="80" w:type="dxa"/>
              <w:start w:w="120" w:type="dxa"/>
              <w:bottom w:w="80" w:type="dxa"/>
              <w:end w:w="120" w:type="dxa"/>
            </w:tcMar>
          </w:tcPr>
          <w:p>
            <w:r>
              <w:rPr>
                <w:sz w:val="16"/>
              </w:rPr>
              <w:t>4</w:t>
            </w:r>
          </w:p>
        </w:tc>
      </w:tr>
      <w:tr>
        <w:tc>
          <w:tcPr>
            <w:tcW w:type="dxa" w:w="2240"/>
            <w:vAlign w:val="center"/>
            <w:tcMar>
              <w:top w:w="80" w:type="dxa"/>
              <w:start w:w="120" w:type="dxa"/>
              <w:bottom w:w="80" w:type="dxa"/>
              <w:end w:w="120" w:type="dxa"/>
            </w:tcMar>
          </w:tcPr>
          <w:p>
            <w:r>
              <w:rPr>
                <w:sz w:val="16"/>
              </w:rPr>
              <w:t>Impact</w:t>
            </w:r>
          </w:p>
        </w:tc>
        <w:tc>
          <w:tcPr>
            <w:tcW w:type="dxa" w:w="7120"/>
            <w:vAlign w:val="center"/>
            <w:tcMar>
              <w:top w:w="80" w:type="dxa"/>
              <w:start w:w="120" w:type="dxa"/>
              <w:bottom w:w="80" w:type="dxa"/>
              <w:end w:w="120" w:type="dxa"/>
            </w:tcMar>
          </w:tcPr>
          <w:p>
            <w:r>
              <w:rPr>
                <w:sz w:val="16"/>
              </w:rPr>
              <w:t>4</w:t>
            </w:r>
          </w:p>
        </w:tc>
      </w:tr>
      <w:tr>
        <w:tc>
          <w:tcPr>
            <w:tcW w:type="dxa" w:w="2240"/>
            <w:vAlign w:val="center"/>
            <w:tcMar>
              <w:top w:w="80" w:type="dxa"/>
              <w:start w:w="120" w:type="dxa"/>
              <w:bottom w:w="80" w:type="dxa"/>
              <w:end w:w="120" w:type="dxa"/>
            </w:tcMar>
          </w:tcPr>
          <w:p>
            <w:r>
              <w:rPr>
                <w:sz w:val="16"/>
              </w:rPr>
              <w:t>Inherent</w:t>
            </w:r>
          </w:p>
        </w:tc>
        <w:tc>
          <w:tcPr>
            <w:tcW w:type="dxa" w:w="7120"/>
            <w:vAlign w:val="center"/>
            <w:tcMar>
              <w:top w:w="80" w:type="dxa"/>
              <w:start w:w="120" w:type="dxa"/>
              <w:bottom w:w="80" w:type="dxa"/>
              <w:end w:w="120" w:type="dxa"/>
            </w:tcMar>
          </w:tcPr>
          <w:p>
            <w:r>
              <w:rPr>
                <w:sz w:val="16"/>
              </w:rPr>
              <w:t>16 High</w:t>
            </w:r>
          </w:p>
        </w:tc>
      </w:tr>
      <w:tr>
        <w:tc>
          <w:tcPr>
            <w:tcW w:type="dxa" w:w="2240"/>
            <w:vAlign w:val="center"/>
            <w:tcMar>
              <w:top w:w="80" w:type="dxa"/>
              <w:start w:w="120" w:type="dxa"/>
              <w:bottom w:w="80" w:type="dxa"/>
              <w:end w:w="120" w:type="dxa"/>
            </w:tcMar>
          </w:tcPr>
          <w:p>
            <w:r>
              <w:rPr>
                <w:sz w:val="16"/>
              </w:rPr>
              <w:t>Controls</w:t>
            </w:r>
          </w:p>
        </w:tc>
        <w:tc>
          <w:tcPr>
            <w:tcW w:type="dxa" w:w="7120"/>
            <w:vAlign w:val="center"/>
            <w:tcMar>
              <w:top w:w="80" w:type="dxa"/>
              <w:start w:w="120" w:type="dxa"/>
              <w:bottom w:w="80" w:type="dxa"/>
              <w:end w:w="120" w:type="dxa"/>
            </w:tcMar>
          </w:tcPr>
          <w:p>
            <w:r>
              <w:rPr>
                <w:sz w:val="16"/>
              </w:rPr>
              <w:t>Marketplace package/member digests match, the publisher domain is verified, the package contains no native executable, and exact versions observed for three components returned no OSV match at assessment time.</w:t>
            </w:r>
          </w:p>
        </w:tc>
      </w:tr>
      <w:tr>
        <w:tc>
          <w:tcPr>
            <w:tcW w:type="dxa" w:w="2240"/>
            <w:vAlign w:val="center"/>
            <w:tcMar>
              <w:top w:w="80" w:type="dxa"/>
              <w:start w:w="120" w:type="dxa"/>
              <w:bottom w:w="80" w:type="dxa"/>
              <w:end w:w="120" w:type="dxa"/>
            </w:tcMar>
          </w:tcPr>
          <w:p>
            <w:r>
              <w:rPr>
                <w:sz w:val="16"/>
              </w:rPr>
              <w:t>Control Strength</w:t>
            </w:r>
          </w:p>
        </w:tc>
        <w:tc>
          <w:tcPr>
            <w:tcW w:type="dxa" w:w="7120"/>
            <w:vAlign w:val="center"/>
            <w:tcMar>
              <w:top w:w="80" w:type="dxa"/>
              <w:start w:w="120" w:type="dxa"/>
              <w:bottom w:w="80" w:type="dxa"/>
              <w:end w:w="120" w:type="dxa"/>
            </w:tcMar>
          </w:tcPr>
          <w:p>
            <w:r>
              <w:rPr>
                <w:sz w:val="16"/>
              </w:rPr>
              <w:t>Weak to partial</w:t>
            </w:r>
          </w:p>
        </w:tc>
      </w:tr>
      <w:tr>
        <w:tc>
          <w:tcPr>
            <w:tcW w:type="dxa" w:w="2240"/>
            <w:vAlign w:val="center"/>
            <w:tcMar>
              <w:top w:w="80" w:type="dxa"/>
              <w:start w:w="120" w:type="dxa"/>
              <w:bottom w:w="80" w:type="dxa"/>
              <w:end w:w="120" w:type="dxa"/>
            </w:tcMar>
          </w:tcPr>
          <w:p>
            <w:r>
              <w:rPr>
                <w:sz w:val="16"/>
              </w:rPr>
              <w:t>Residual Likelihood</w:t>
            </w:r>
          </w:p>
        </w:tc>
        <w:tc>
          <w:tcPr>
            <w:tcW w:type="dxa" w:w="7120"/>
            <w:vAlign w:val="center"/>
            <w:tcMar>
              <w:top w:w="80" w:type="dxa"/>
              <w:start w:w="120" w:type="dxa"/>
              <w:bottom w:w="80" w:type="dxa"/>
              <w:end w:w="120" w:type="dxa"/>
            </w:tcMar>
          </w:tcPr>
          <w:p>
            <w:r>
              <w:rPr>
                <w:sz w:val="16"/>
              </w:rPr>
              <w:t>4</w:t>
            </w:r>
          </w:p>
        </w:tc>
      </w:tr>
      <w:tr>
        <w:tc>
          <w:tcPr>
            <w:tcW w:type="dxa" w:w="2240"/>
            <w:vAlign w:val="center"/>
            <w:tcMar>
              <w:top w:w="80" w:type="dxa"/>
              <w:start w:w="120" w:type="dxa"/>
              <w:bottom w:w="80" w:type="dxa"/>
              <w:end w:w="120" w:type="dxa"/>
            </w:tcMar>
          </w:tcPr>
          <w:p>
            <w:r>
              <w:rPr>
                <w:sz w:val="16"/>
              </w:rPr>
              <w:t>Residual Impact</w:t>
            </w:r>
          </w:p>
        </w:tc>
        <w:tc>
          <w:tcPr>
            <w:tcW w:type="dxa" w:w="7120"/>
            <w:vAlign w:val="center"/>
            <w:tcMar>
              <w:top w:w="80" w:type="dxa"/>
              <w:start w:w="120" w:type="dxa"/>
              <w:bottom w:w="80" w:type="dxa"/>
              <w:end w:w="120" w:type="dxa"/>
            </w:tcMar>
          </w:tcPr>
          <w:p>
            <w:r>
              <w:rPr>
                <w:sz w:val="16"/>
              </w:rPr>
              <w:t>4</w:t>
            </w:r>
          </w:p>
        </w:tc>
      </w:tr>
      <w:tr>
        <w:tc>
          <w:tcPr>
            <w:tcW w:type="dxa" w:w="2240"/>
            <w:vAlign w:val="center"/>
            <w:tcMar>
              <w:top w:w="80" w:type="dxa"/>
              <w:start w:w="120" w:type="dxa"/>
              <w:bottom w:w="80" w:type="dxa"/>
              <w:end w:w="120" w:type="dxa"/>
            </w:tcMar>
          </w:tcPr>
          <w:p>
            <w:r>
              <w:rPr>
                <w:sz w:val="16"/>
              </w:rPr>
              <w:t>Residual</w:t>
            </w:r>
          </w:p>
        </w:tc>
        <w:tc>
          <w:tcPr>
            <w:tcW w:type="dxa" w:w="7120"/>
            <w:vAlign w:val="center"/>
            <w:tcMar>
              <w:top w:w="80" w:type="dxa"/>
              <w:start w:w="120" w:type="dxa"/>
              <w:bottom w:w="80" w:type="dxa"/>
              <w:end w:w="120" w:type="dxa"/>
            </w:tcMar>
          </w:tcPr>
          <w:p>
            <w:r>
              <w:rPr>
                <w:sz w:val="16"/>
              </w:rPr>
              <w:t>16 High</w:t>
            </w:r>
          </w:p>
        </w:tc>
      </w:tr>
      <w:tr>
        <w:tc>
          <w:tcPr>
            <w:tcW w:type="dxa" w:w="2240"/>
            <w:vAlign w:val="center"/>
            <w:tcMar>
              <w:top w:w="80" w:type="dxa"/>
              <w:start w:w="120" w:type="dxa"/>
              <w:bottom w:w="80" w:type="dxa"/>
              <w:end w:w="120" w:type="dxa"/>
            </w:tcMar>
          </w:tcPr>
          <w:p>
            <w:r>
              <w:rPr>
                <w:sz w:val="16"/>
              </w:rPr>
              <w:t>Recommendation</w:t>
            </w:r>
          </w:p>
        </w:tc>
        <w:tc>
          <w:tcPr>
            <w:tcW w:type="dxa" w:w="7120"/>
            <w:vAlign w:val="center"/>
            <w:tcMar>
              <w:top w:w="80" w:type="dxa"/>
              <w:start w:w="120" w:type="dxa"/>
              <w:bottom w:w="80" w:type="dxa"/>
              <w:end w:w="120" w:type="dxa"/>
            </w:tcMar>
          </w:tcPr>
          <w:p>
            <w:r>
              <w:rPr>
                <w:sz w:val="16"/>
              </w:rPr>
              <w:t xml:space="preserve">Provide version-bound source and release commit, a complete signed CycloneDX or SPDX SBOM, source map, build attestation, third-party notices, vulnerability/reachability disposition and reproducible source-to-VSIX comparison; then complete the controlled runtime matrix. </w:t>
            </w:r>
            <w:hyperlink w:anchor="REF_011">
              <w:r>
                <w:rPr>
                  <w:rStyle w:val="Hyperlink"/>
                </w:rPr>
                <w:t>REF-011</w:t>
              </w:r>
            </w:hyperlink>
            <w:r>
              <w:rPr>
                <w:sz w:val="16"/>
              </w:rPr>
              <w:t xml:space="preserve"> </w:t>
            </w:r>
            <w:hyperlink w:anchor="REF_019">
              <w:r>
                <w:rPr>
                  <w:rStyle w:val="Hyperlink"/>
                </w:rPr>
                <w:t>REF-019</w:t>
              </w:r>
            </w:hyperlink>
          </w:p>
        </w:tc>
      </w:tr>
      <w:tr>
        <w:tc>
          <w:tcPr>
            <w:tcW w:type="dxa" w:w="2240"/>
            <w:vAlign w:val="center"/>
            <w:tcMar>
              <w:top w:w="80" w:type="dxa"/>
              <w:start w:w="120" w:type="dxa"/>
              <w:bottom w:w="80" w:type="dxa"/>
              <w:end w:w="120" w:type="dxa"/>
            </w:tcMar>
          </w:tcPr>
          <w:p>
            <w:r>
              <w:rPr>
                <w:sz w:val="16"/>
              </w:rPr>
              <w:t>Owner</w:t>
            </w:r>
          </w:p>
        </w:tc>
        <w:tc>
          <w:tcPr>
            <w:tcW w:type="dxa" w:w="7120"/>
            <w:vAlign w:val="center"/>
            <w:tcMar>
              <w:top w:w="80" w:type="dxa"/>
              <w:start w:w="120" w:type="dxa"/>
              <w:bottom w:w="80" w:type="dxa"/>
              <w:end w:w="120" w:type="dxa"/>
            </w:tcMar>
          </w:tcPr>
          <w:p>
            <w:r>
              <w:rPr>
                <w:sz w:val="16"/>
              </w:rPr>
              <w:t>Figma release engineering, product security and enterprise procurement</w:t>
            </w:r>
          </w:p>
        </w:tc>
      </w:tr>
      <w:tr>
        <w:tc>
          <w:tcPr>
            <w:tcW w:type="dxa" w:w="2240"/>
            <w:vAlign w:val="center"/>
            <w:tcMar>
              <w:top w:w="80" w:type="dxa"/>
              <w:start w:w="120" w:type="dxa"/>
              <w:bottom w:w="80" w:type="dxa"/>
              <w:end w:w="120" w:type="dxa"/>
            </w:tcMar>
          </w:tcPr>
          <w:p>
            <w:r>
              <w:rPr>
                <w:sz w:val="16"/>
              </w:rPr>
              <w:t>Priority</w:t>
            </w:r>
          </w:p>
        </w:tc>
        <w:tc>
          <w:tcPr>
            <w:tcW w:type="dxa" w:w="7120"/>
            <w:vAlign w:val="center"/>
            <w:tcMar>
              <w:top w:w="80" w:type="dxa"/>
              <w:start w:w="120" w:type="dxa"/>
              <w:bottom w:w="80" w:type="dxa"/>
              <w:end w:w="120" w:type="dxa"/>
            </w:tcMar>
          </w:tcPr>
          <w:p>
            <w:r>
              <w:rPr>
                <w:sz w:val="16"/>
              </w:rPr>
              <w:t>P1</w:t>
            </w:r>
          </w:p>
        </w:tc>
      </w:tr>
      <w:tr>
        <w:tc>
          <w:tcPr>
            <w:tcW w:type="dxa" w:w="2240"/>
            <w:vAlign w:val="center"/>
            <w:tcMar>
              <w:top w:w="80" w:type="dxa"/>
              <w:start w:w="120" w:type="dxa"/>
              <w:bottom w:w="80" w:type="dxa"/>
              <w:end w:w="120" w:type="dxa"/>
            </w:tcMar>
          </w:tcPr>
          <w:p>
            <w:r>
              <w:rPr>
                <w:sz w:val="16"/>
              </w:rPr>
              <w:t>Target Date</w:t>
            </w:r>
          </w:p>
        </w:tc>
        <w:tc>
          <w:tcPr>
            <w:tcW w:type="dxa" w:w="7120"/>
            <w:vAlign w:val="center"/>
            <w:tcMar>
              <w:top w:w="80" w:type="dxa"/>
              <w:start w:w="120" w:type="dxa"/>
              <w:bottom w:w="80" w:type="dxa"/>
              <w:end w:w="120" w:type="dxa"/>
            </w:tcMar>
          </w:tcPr>
          <w:p>
            <w:r>
              <w:rPr>
                <w:sz w:val="16"/>
              </w:rPr>
              <w:t>Before approval decision is reconsidered</w:t>
            </w:r>
          </w:p>
        </w:tc>
      </w:tr>
      <w:tr>
        <w:tc>
          <w:tcPr>
            <w:tcW w:type="dxa" w:w="2240"/>
            <w:vAlign w:val="center"/>
            <w:tcMar>
              <w:top w:w="80" w:type="dxa"/>
              <w:start w:w="120" w:type="dxa"/>
              <w:bottom w:w="80" w:type="dxa"/>
              <w:end w:w="120" w:type="dxa"/>
            </w:tcMar>
          </w:tcPr>
          <w:p>
            <w:r>
              <w:rPr>
                <w:sz w:val="16"/>
              </w:rPr>
              <w:t>Verification</w:t>
            </w:r>
          </w:p>
        </w:tc>
        <w:tc>
          <w:tcPr>
            <w:tcW w:type="dxa" w:w="7120"/>
            <w:vAlign w:val="center"/>
            <w:tcMar>
              <w:top w:w="80" w:type="dxa"/>
              <w:start w:w="120" w:type="dxa"/>
              <w:bottom w:w="80" w:type="dxa"/>
              <w:end w:w="120" w:type="dxa"/>
            </w:tcMar>
          </w:tcPr>
          <w:p>
            <w:r>
              <w:rPr>
                <w:sz w:val="16"/>
              </w:rPr>
              <w:t>Independent build and byte-accounting reconcile the released VSIX, SBOM covers all bundled code, advisories and licences are dispositioned, and the full runtime plan passes in a restricted synthetic environment.</w:t>
            </w:r>
          </w:p>
        </w:tc>
      </w:tr>
      <w:tr>
        <w:tc>
          <w:tcPr>
            <w:tcW w:type="dxa" w:w="2240"/>
            <w:vAlign w:val="center"/>
            <w:tcMar>
              <w:top w:w="80" w:type="dxa"/>
              <w:start w:w="120" w:type="dxa"/>
              <w:bottom w:w="80" w:type="dxa"/>
              <w:end w:w="120" w:type="dxa"/>
            </w:tcMar>
          </w:tcPr>
          <w:p>
            <w:r>
              <w:rPr>
                <w:sz w:val="16"/>
              </w:rPr>
              <w:t>Mappings</w:t>
            </w:r>
          </w:p>
        </w:tc>
        <w:tc>
          <w:tcPr>
            <w:tcW w:type="dxa" w:w="7120"/>
            <w:vAlign w:val="center"/>
            <w:tcMar>
              <w:top w:w="80" w:type="dxa"/>
              <w:start w:w="120" w:type="dxa"/>
              <w:bottom w:w="80" w:type="dxa"/>
              <w:end w:w="120" w:type="dxa"/>
            </w:tcMar>
          </w:tcPr>
          <w:p>
            <w:r>
              <w:rPr>
                <w:sz w:val="16"/>
              </w:rPr>
              <w:t>CWE-1104; OWASP software supply-chain verification; ISO/IEC 27001 supplier and vulnerability management</w:t>
            </w:r>
          </w:p>
        </w:tc>
      </w:tr>
      <w:tr>
        <w:tc>
          <w:tcPr>
            <w:tcW w:type="dxa" w:w="2240"/>
            <w:vAlign w:val="center"/>
            <w:tcMar>
              <w:top w:w="80" w:type="dxa"/>
              <w:start w:w="120" w:type="dxa"/>
              <w:bottom w:w="80" w:type="dxa"/>
              <w:end w:w="120" w:type="dxa"/>
            </w:tcMar>
          </w:tcPr>
          <w:p>
            <w:r>
              <w:rPr>
                <w:sz w:val="16"/>
              </w:rPr>
              <w:t>Confidence</w:t>
            </w:r>
          </w:p>
        </w:tc>
        <w:tc>
          <w:tcPr>
            <w:tcW w:type="dxa" w:w="7120"/>
            <w:vAlign w:val="center"/>
            <w:tcMar>
              <w:top w:w="80" w:type="dxa"/>
              <w:start w:w="120" w:type="dxa"/>
              <w:bottom w:w="80" w:type="dxa"/>
              <w:end w:w="120" w:type="dxa"/>
            </w:tcMar>
          </w:tcPr>
          <w:p>
            <w:r>
              <w:rPr>
                <w:sz w:val="16"/>
              </w:rPr>
              <w:t>High for missing evidence; Unknown for undiscovered component risk</w:t>
            </w:r>
          </w:p>
        </w:tc>
      </w:tr>
    </w:tbl>
    <w:p/>
    <w:p>
      <w:pPr>
        <w:pStyle w:val="Heading1"/>
      </w:pPr>
      <w:r>
        <w:t>Consolidated Risk Register</w:t>
      </w:r>
    </w:p>
    <w:p>
      <w:r>
        <w:t>Legend: ID is the finding identifier; L and I are inherent likelihood and impact scored 1–5; Inherent is L × I; rL and rI are residual likelihood and impact after verified controls; Residual is rL × rI; rating bands are 1–4 Low, 5–9 Moderate, 10–16 High, and 17–25 Critical. Treatment is the required action and Owner is accountable for verification.</w:t>
      </w:r>
    </w:p>
    <w:p>
      <w:pPr>
        <w:pStyle w:val="Caption"/>
      </w:pPr>
      <w:r>
        <w:rPr>
          <w:b/>
        </w:rPr>
        <w:t>Consolidated risk register</w:t>
      </w:r>
    </w:p>
    <w:tbl>
      <w:tblPr>
        <w:tblStyle w:val="TableGrid"/>
        <w:tblW w:type="dxa" w:w="9360"/>
        <w:tblLayout w:type="fixed"/>
        <w:tblLook w:firstColumn="1" w:firstRow="1" w:lastColumn="0" w:lastRow="0" w:noHBand="0" w:noVBand="1" w:val="04A0"/>
        <w:tblInd w:w="120" w:type="dxa"/>
      </w:tblPr>
      <w:tblGrid>
        <w:gridCol w:w="791"/>
        <w:gridCol w:w="1380"/>
        <w:gridCol w:w="1210"/>
        <w:gridCol w:w="791"/>
        <w:gridCol w:w="809"/>
        <w:gridCol w:w="791"/>
        <w:gridCol w:w="809"/>
        <w:gridCol w:w="1433"/>
        <w:gridCol w:w="1346"/>
      </w:tblGrid>
      <w:tr>
        <w:trPr>
          <w:tblHeader w:val="true"/>
        </w:trPr>
        <w:tc>
          <w:tcPr>
            <w:tcW w:type="dxa" w:w="791"/>
            <w:shd w:fill="F2F4F7"/>
            <w:vAlign w:val="center"/>
            <w:tcMar>
              <w:top w:w="80" w:type="dxa"/>
              <w:start w:w="120" w:type="dxa"/>
              <w:bottom w:w="80" w:type="dxa"/>
              <w:end w:w="120" w:type="dxa"/>
            </w:tcMar>
          </w:tcPr>
          <w:p>
            <w:r>
              <w:rPr>
                <w:b/>
                <w:sz w:val="16"/>
              </w:rPr>
              <w:t>ID</w:t>
            </w:r>
          </w:p>
        </w:tc>
        <w:tc>
          <w:tcPr>
            <w:tcW w:type="dxa" w:w="1380"/>
            <w:shd w:fill="F2F4F7"/>
            <w:vAlign w:val="center"/>
            <w:tcMar>
              <w:top w:w="80" w:type="dxa"/>
              <w:start w:w="120" w:type="dxa"/>
              <w:bottom w:w="80" w:type="dxa"/>
              <w:end w:w="120" w:type="dxa"/>
            </w:tcMar>
          </w:tcPr>
          <w:p>
            <w:r>
              <w:rPr>
                <w:b/>
                <w:sz w:val="16"/>
              </w:rPr>
              <w:t>Risk</w:t>
            </w:r>
          </w:p>
        </w:tc>
        <w:tc>
          <w:tcPr>
            <w:tcW w:type="dxa" w:w="1210"/>
            <w:shd w:fill="F2F4F7"/>
            <w:vAlign w:val="center"/>
            <w:tcMar>
              <w:top w:w="80" w:type="dxa"/>
              <w:start w:w="120" w:type="dxa"/>
              <w:bottom w:w="80" w:type="dxa"/>
              <w:end w:w="120" w:type="dxa"/>
            </w:tcMar>
          </w:tcPr>
          <w:p>
            <w:r>
              <w:rPr>
                <w:b/>
                <w:sz w:val="16"/>
              </w:rPr>
              <w:t>Scope</w:t>
            </w:r>
          </w:p>
        </w:tc>
        <w:tc>
          <w:tcPr>
            <w:tcW w:type="dxa" w:w="791"/>
            <w:shd w:fill="F2F4F7"/>
            <w:vAlign w:val="center"/>
            <w:tcMar>
              <w:top w:w="80" w:type="dxa"/>
              <w:start w:w="120" w:type="dxa"/>
              <w:bottom w:w="80" w:type="dxa"/>
              <w:end w:w="120" w:type="dxa"/>
            </w:tcMar>
          </w:tcPr>
          <w:p>
            <w:r>
              <w:rPr>
                <w:b/>
                <w:sz w:val="16"/>
              </w:rPr>
              <w:t>L/I</w:t>
            </w:r>
          </w:p>
        </w:tc>
        <w:tc>
          <w:tcPr>
            <w:tcW w:type="dxa" w:w="809"/>
            <w:shd w:fill="F2F4F7"/>
            <w:vAlign w:val="center"/>
            <w:tcMar>
              <w:top w:w="80" w:type="dxa"/>
              <w:start w:w="120" w:type="dxa"/>
              <w:bottom w:w="80" w:type="dxa"/>
              <w:end w:w="120" w:type="dxa"/>
            </w:tcMar>
          </w:tcPr>
          <w:p>
            <w:r>
              <w:rPr>
                <w:b/>
                <w:sz w:val="16"/>
              </w:rPr>
              <w:t>Inherent</w:t>
            </w:r>
          </w:p>
        </w:tc>
        <w:tc>
          <w:tcPr>
            <w:tcW w:type="dxa" w:w="791"/>
            <w:shd w:fill="F2F4F7"/>
            <w:vAlign w:val="center"/>
            <w:tcMar>
              <w:top w:w="80" w:type="dxa"/>
              <w:start w:w="120" w:type="dxa"/>
              <w:bottom w:w="80" w:type="dxa"/>
              <w:end w:w="120" w:type="dxa"/>
            </w:tcMar>
          </w:tcPr>
          <w:p>
            <w:r>
              <w:rPr>
                <w:b/>
                <w:sz w:val="16"/>
              </w:rPr>
              <w:t>rL/rI</w:t>
            </w:r>
          </w:p>
        </w:tc>
        <w:tc>
          <w:tcPr>
            <w:tcW w:type="dxa" w:w="809"/>
            <w:shd w:fill="F2F4F7"/>
            <w:vAlign w:val="center"/>
            <w:tcMar>
              <w:top w:w="80" w:type="dxa"/>
              <w:start w:w="120" w:type="dxa"/>
              <w:bottom w:w="80" w:type="dxa"/>
              <w:end w:w="120" w:type="dxa"/>
            </w:tcMar>
          </w:tcPr>
          <w:p>
            <w:r>
              <w:rPr>
                <w:b/>
                <w:sz w:val="16"/>
              </w:rPr>
              <w:t>Residual</w:t>
            </w:r>
          </w:p>
        </w:tc>
        <w:tc>
          <w:tcPr>
            <w:tcW w:type="dxa" w:w="1433"/>
            <w:shd w:fill="F2F4F7"/>
            <w:vAlign w:val="center"/>
            <w:tcMar>
              <w:top w:w="80" w:type="dxa"/>
              <w:start w:w="120" w:type="dxa"/>
              <w:bottom w:w="80" w:type="dxa"/>
              <w:end w:w="120" w:type="dxa"/>
            </w:tcMar>
          </w:tcPr>
          <w:p>
            <w:r>
              <w:rPr>
                <w:b/>
                <w:sz w:val="16"/>
              </w:rPr>
              <w:t>Treatment</w:t>
            </w:r>
          </w:p>
        </w:tc>
        <w:tc>
          <w:tcPr>
            <w:tcW w:type="dxa" w:w="1346"/>
            <w:shd w:fill="F2F4F7"/>
            <w:vAlign w:val="center"/>
            <w:tcMar>
              <w:top w:w="80" w:type="dxa"/>
              <w:start w:w="120" w:type="dxa"/>
              <w:bottom w:w="80" w:type="dxa"/>
              <w:end w:w="120" w:type="dxa"/>
            </w:tcMar>
          </w:tcPr>
          <w:p>
            <w:r>
              <w:rPr>
                <w:b/>
                <w:sz w:val="16"/>
              </w:rPr>
              <w:t>Owner</w:t>
            </w:r>
          </w:p>
        </w:tc>
      </w:tr>
      <w:tr>
        <w:tc>
          <w:tcPr>
            <w:tcW w:type="dxa" w:w="791"/>
            <w:vAlign w:val="center"/>
            <w:tcMar>
              <w:top w:w="80" w:type="dxa"/>
              <w:start w:w="120" w:type="dxa"/>
              <w:bottom w:w="80" w:type="dxa"/>
              <w:end w:w="120" w:type="dxa"/>
            </w:tcMar>
          </w:tcPr>
          <w:p>
            <w:r>
              <w:rPr>
                <w:sz w:val="16"/>
              </w:rPr>
              <w:t>F-001</w:t>
            </w:r>
          </w:p>
        </w:tc>
        <w:tc>
          <w:tcPr>
            <w:tcW w:type="dxa" w:w="1380"/>
            <w:vAlign w:val="center"/>
            <w:tcMar>
              <w:top w:w="80" w:type="dxa"/>
              <w:start w:w="120" w:type="dxa"/>
              <w:bottom w:w="80" w:type="dxa"/>
              <w:end w:w="120" w:type="dxa"/>
            </w:tcMar>
          </w:tcPr>
          <w:p>
            <w:r>
              <w:rPr>
                <w:sz w:val="16"/>
              </w:rPr>
              <w:t>Remote webview bridge lacks origin, source and schema enforcement</w:t>
            </w:r>
          </w:p>
        </w:tc>
        <w:tc>
          <w:tcPr>
            <w:tcW w:type="dxa" w:w="1210"/>
            <w:vAlign w:val="center"/>
            <w:tcMar>
              <w:top w:w="80" w:type="dxa"/>
              <w:start w:w="120" w:type="dxa"/>
              <w:bottom w:w="80" w:type="dxa"/>
              <w:end w:w="120" w:type="dxa"/>
            </w:tcMar>
          </w:tcPr>
          <w:p>
            <w:r>
              <w:rPr>
                <w:sz w:val="16"/>
              </w:rPr>
              <w:t>VS Code webview-to-extension-host trust boundary</w:t>
            </w:r>
          </w:p>
        </w:tc>
        <w:tc>
          <w:tcPr>
            <w:tcW w:type="dxa" w:w="791"/>
            <w:vAlign w:val="center"/>
            <w:tcMar>
              <w:top w:w="80" w:type="dxa"/>
              <w:start w:w="120" w:type="dxa"/>
              <w:bottom w:w="80" w:type="dxa"/>
              <w:end w:w="120" w:type="dxa"/>
            </w:tcMar>
          </w:tcPr>
          <w:p>
            <w:r>
              <w:rPr>
                <w:sz w:val="16"/>
              </w:rPr>
              <w:t>3/5</w:t>
            </w:r>
          </w:p>
        </w:tc>
        <w:tc>
          <w:tcPr>
            <w:tcW w:type="dxa" w:w="809"/>
            <w:vAlign w:val="center"/>
            <w:tcMar>
              <w:top w:w="80" w:type="dxa"/>
              <w:start w:w="120" w:type="dxa"/>
              <w:bottom w:w="80" w:type="dxa"/>
              <w:end w:w="120" w:type="dxa"/>
            </w:tcMar>
          </w:tcPr>
          <w:p>
            <w:r>
              <w:rPr>
                <w:sz w:val="16"/>
              </w:rPr>
              <w:t>15 High</w:t>
            </w:r>
          </w:p>
        </w:tc>
        <w:tc>
          <w:tcPr>
            <w:tcW w:type="dxa" w:w="791"/>
            <w:vAlign w:val="center"/>
            <w:tcMar>
              <w:top w:w="80" w:type="dxa"/>
              <w:start w:w="120" w:type="dxa"/>
              <w:bottom w:w="80" w:type="dxa"/>
              <w:end w:w="120" w:type="dxa"/>
            </w:tcMar>
          </w:tcPr>
          <w:p>
            <w:r>
              <w:rPr>
                <w:sz w:val="16"/>
              </w:rPr>
              <w:t>3/4</w:t>
            </w:r>
          </w:p>
        </w:tc>
        <w:tc>
          <w:tcPr>
            <w:tcW w:type="dxa" w:w="809"/>
            <w:vAlign w:val="center"/>
            <w:tcMar>
              <w:top w:w="80" w:type="dxa"/>
              <w:start w:w="120" w:type="dxa"/>
              <w:bottom w:w="80" w:type="dxa"/>
              <w:end w:w="120" w:type="dxa"/>
            </w:tcMar>
          </w:tcPr>
          <w:p>
            <w:r>
              <w:rPr>
                <w:sz w:val="16"/>
              </w:rPr>
              <w:t>12 High</w:t>
            </w:r>
          </w:p>
        </w:tc>
        <w:tc>
          <w:tcPr>
            <w:tcW w:type="dxa" w:w="1433"/>
            <w:vAlign w:val="center"/>
            <w:tcMar>
              <w:top w:w="80" w:type="dxa"/>
              <w:start w:w="120" w:type="dxa"/>
              <w:bottom w:w="80" w:type="dxa"/>
              <w:end w:w="120" w:type="dxa"/>
            </w:tcMar>
          </w:tcPr>
          <w:p>
            <w:r>
              <w:rPr>
                <w:sz w:val="16"/>
              </w:rPr>
              <w:t xml:space="preserve">Require message.source to equal the retained iframe window, require an exact allowlisted HTTPS origin, use that origin as targetOrigin, validate discriminated schemas and sizes, bind authentication state, separate capabilities and require immediate user approval for every host mutation. Add a restrictive CSP and iframe sandbox where compatible. </w:t>
            </w:r>
            <w:hyperlink w:anchor="REF_007">
              <w:r>
                <w:rPr>
                  <w:rStyle w:val="Hyperlink"/>
                </w:rPr>
                <w:t>REF-007</w:t>
              </w:r>
            </w:hyperlink>
            <w:r>
              <w:rPr>
                <w:sz w:val="16"/>
              </w:rPr>
              <w:t xml:space="preserve"> </w:t>
            </w:r>
            <w:hyperlink w:anchor="REF_011">
              <w:r>
                <w:rPr>
                  <w:rStyle w:val="Hyperlink"/>
                </w:rPr>
                <w:t>REF-011</w:t>
              </w:r>
            </w:hyperlink>
          </w:p>
        </w:tc>
        <w:tc>
          <w:tcPr>
            <w:tcW w:type="dxa" w:w="1346"/>
            <w:vAlign w:val="center"/>
            <w:tcMar>
              <w:top w:w="80" w:type="dxa"/>
              <w:start w:w="120" w:type="dxa"/>
              <w:bottom w:w="80" w:type="dxa"/>
              <w:end w:w="120" w:type="dxa"/>
            </w:tcMar>
          </w:tcPr>
          <w:p>
            <w:r>
              <w:rPr>
                <w:sz w:val="16"/>
              </w:rPr>
              <w:t>Figma extension engineering and product security</w:t>
            </w:r>
          </w:p>
        </w:tc>
      </w:tr>
      <w:tr>
        <w:tc>
          <w:tcPr>
            <w:tcW w:type="dxa" w:w="791"/>
            <w:vAlign w:val="center"/>
            <w:tcMar>
              <w:top w:w="80" w:type="dxa"/>
              <w:start w:w="120" w:type="dxa"/>
              <w:bottom w:w="80" w:type="dxa"/>
              <w:end w:w="120" w:type="dxa"/>
            </w:tcMar>
          </w:tcPr>
          <w:p>
            <w:r>
              <w:rPr>
                <w:sz w:val="16"/>
              </w:rPr>
              <w:t>F-002</w:t>
            </w:r>
          </w:p>
        </w:tc>
        <w:tc>
          <w:tcPr>
            <w:tcW w:type="dxa" w:w="1380"/>
            <w:vAlign w:val="center"/>
            <w:tcMar>
              <w:top w:w="80" w:type="dxa"/>
              <w:start w:w="120" w:type="dxa"/>
              <w:bottom w:w="80" w:type="dxa"/>
              <w:end w:w="120" w:type="dxa"/>
            </w:tcMar>
          </w:tcPr>
          <w:p>
            <w:r>
              <w:rPr>
                <w:sz w:val="16"/>
              </w:rPr>
              <w:t>Authentication redemption URI can enter Sentry and support breadcrumbs</w:t>
            </w:r>
          </w:p>
        </w:tc>
        <w:tc>
          <w:tcPr>
            <w:tcW w:type="dxa" w:w="1210"/>
            <w:vAlign w:val="center"/>
            <w:tcMar>
              <w:top w:w="80" w:type="dxa"/>
              <w:start w:w="120" w:type="dxa"/>
              <w:bottom w:w="80" w:type="dxa"/>
              <w:end w:w="120" w:type="dxa"/>
            </w:tcMar>
          </w:tcPr>
          <w:p>
            <w:r>
              <w:rPr>
                <w:sz w:val="16"/>
              </w:rPr>
              <w:t>Authentication, telemetry and diagnostic-data boundary</w:t>
            </w:r>
          </w:p>
        </w:tc>
        <w:tc>
          <w:tcPr>
            <w:tcW w:type="dxa" w:w="791"/>
            <w:vAlign w:val="center"/>
            <w:tcMar>
              <w:top w:w="80" w:type="dxa"/>
              <w:start w:w="120" w:type="dxa"/>
              <w:bottom w:w="80" w:type="dxa"/>
              <w:end w:w="120" w:type="dxa"/>
            </w:tcMar>
          </w:tcPr>
          <w:p>
            <w:r>
              <w:rPr>
                <w:sz w:val="16"/>
              </w:rPr>
              <w:t>3/4</w:t>
            </w:r>
          </w:p>
        </w:tc>
        <w:tc>
          <w:tcPr>
            <w:tcW w:type="dxa" w:w="809"/>
            <w:vAlign w:val="center"/>
            <w:tcMar>
              <w:top w:w="80" w:type="dxa"/>
              <w:start w:w="120" w:type="dxa"/>
              <w:bottom w:w="80" w:type="dxa"/>
              <w:end w:w="120" w:type="dxa"/>
            </w:tcMar>
          </w:tcPr>
          <w:p>
            <w:r>
              <w:rPr>
                <w:sz w:val="16"/>
              </w:rPr>
              <w:t>12 High</w:t>
            </w:r>
          </w:p>
        </w:tc>
        <w:tc>
          <w:tcPr>
            <w:tcW w:type="dxa" w:w="791"/>
            <w:vAlign w:val="center"/>
            <w:tcMar>
              <w:top w:w="80" w:type="dxa"/>
              <w:start w:w="120" w:type="dxa"/>
              <w:bottom w:w="80" w:type="dxa"/>
              <w:end w:w="120" w:type="dxa"/>
            </w:tcMar>
          </w:tcPr>
          <w:p>
            <w:r>
              <w:rPr>
                <w:sz w:val="16"/>
              </w:rPr>
              <w:t>3/3</w:t>
            </w:r>
          </w:p>
        </w:tc>
        <w:tc>
          <w:tcPr>
            <w:tcW w:type="dxa" w:w="809"/>
            <w:vAlign w:val="center"/>
            <w:tcMar>
              <w:top w:w="80" w:type="dxa"/>
              <w:start w:w="120" w:type="dxa"/>
              <w:bottom w:w="80" w:type="dxa"/>
              <w:end w:w="120" w:type="dxa"/>
            </w:tcMar>
          </w:tcPr>
          <w:p>
            <w:r>
              <w:rPr>
                <w:sz w:val="16"/>
              </w:rPr>
              <w:t>9 Moderate</w:t>
            </w:r>
          </w:p>
        </w:tc>
        <w:tc>
          <w:tcPr>
            <w:tcW w:type="dxa" w:w="1433"/>
            <w:vAlign w:val="center"/>
            <w:tcMar>
              <w:top w:w="80" w:type="dxa"/>
              <w:start w:w="120" w:type="dxa"/>
              <w:bottom w:w="80" w:type="dxa"/>
              <w:end w:w="120" w:type="dxa"/>
            </w:tcMar>
          </w:tcPr>
          <w:p>
            <w:r>
              <w:rPr>
                <w:sz w:val="16"/>
              </w:rPr>
              <w:t xml:space="preserve">Parse expected query names and cardinality with structured URL APIs, require state/nonce binding, log only a constant route name, centrally redact all query, fragment, cookie, token, path and identifier data in beforeBreadcrumb, beforeSend and support exports, and rotate exposed values. </w:t>
            </w:r>
            <w:hyperlink w:anchor="REF_008">
              <w:r>
                <w:rPr>
                  <w:rStyle w:val="Hyperlink"/>
                </w:rPr>
                <w:t>REF-008</w:t>
              </w:r>
            </w:hyperlink>
            <w:r>
              <w:rPr>
                <w:sz w:val="16"/>
              </w:rPr>
              <w:t xml:space="preserve"> </w:t>
            </w:r>
            <w:hyperlink w:anchor="REF_011">
              <w:r>
                <w:rPr>
                  <w:rStyle w:val="Hyperlink"/>
                </w:rPr>
                <w:t>REF-011</w:t>
              </w:r>
            </w:hyperlink>
          </w:p>
        </w:tc>
        <w:tc>
          <w:tcPr>
            <w:tcW w:type="dxa" w:w="1346"/>
            <w:vAlign w:val="center"/>
            <w:tcMar>
              <w:top w:w="80" w:type="dxa"/>
              <w:start w:w="120" w:type="dxa"/>
              <w:bottom w:w="80" w:type="dxa"/>
              <w:end w:w="120" w:type="dxa"/>
            </w:tcMar>
          </w:tcPr>
          <w:p>
            <w:r>
              <w:rPr>
                <w:sz w:val="16"/>
              </w:rPr>
              <w:t>Figma identity and observability engineering</w:t>
            </w:r>
          </w:p>
        </w:tc>
      </w:tr>
      <w:tr>
        <w:tc>
          <w:tcPr>
            <w:tcW w:type="dxa" w:w="791"/>
            <w:vAlign w:val="center"/>
            <w:tcMar>
              <w:top w:w="80" w:type="dxa"/>
              <w:start w:w="120" w:type="dxa"/>
              <w:bottom w:w="80" w:type="dxa"/>
              <w:end w:w="120" w:type="dxa"/>
            </w:tcMar>
          </w:tcPr>
          <w:p>
            <w:r>
              <w:rPr>
                <w:sz w:val="16"/>
              </w:rPr>
              <w:t>F-003</w:t>
            </w:r>
          </w:p>
        </w:tc>
        <w:tc>
          <w:tcPr>
            <w:tcW w:type="dxa" w:w="1380"/>
            <w:vAlign w:val="center"/>
            <w:tcMar>
              <w:top w:w="80" w:type="dxa"/>
              <w:start w:w="120" w:type="dxa"/>
              <w:bottom w:w="80" w:type="dxa"/>
              <w:end w:w="120" w:type="dxa"/>
            </w:tcMar>
          </w:tcPr>
          <w:p>
            <w:r>
              <w:rPr>
                <w:sz w:val="16"/>
              </w:rPr>
              <w:t>Code Connect uses a predictable symlink-following workspace temporary file</w:t>
            </w:r>
          </w:p>
        </w:tc>
        <w:tc>
          <w:tcPr>
            <w:tcW w:type="dxa" w:w="1210"/>
            <w:vAlign w:val="center"/>
            <w:tcMar>
              <w:top w:w="80" w:type="dxa"/>
              <w:start w:w="120" w:type="dxa"/>
              <w:bottom w:w="80" w:type="dxa"/>
              <w:end w:w="120" w:type="dxa"/>
            </w:tcMar>
          </w:tcPr>
          <w:p>
            <w:r>
              <w:rPr>
                <w:sz w:val="16"/>
              </w:rPr>
              <w:t>Workspace Trust, filesystem and process boundary</w:t>
            </w:r>
          </w:p>
        </w:tc>
        <w:tc>
          <w:tcPr>
            <w:tcW w:type="dxa" w:w="791"/>
            <w:vAlign w:val="center"/>
            <w:tcMar>
              <w:top w:w="80" w:type="dxa"/>
              <w:start w:w="120" w:type="dxa"/>
              <w:bottom w:w="80" w:type="dxa"/>
              <w:end w:w="120" w:type="dxa"/>
            </w:tcMar>
          </w:tcPr>
          <w:p>
            <w:r>
              <w:rPr>
                <w:sz w:val="16"/>
              </w:rPr>
              <w:t>3/4</w:t>
            </w:r>
          </w:p>
        </w:tc>
        <w:tc>
          <w:tcPr>
            <w:tcW w:type="dxa" w:w="809"/>
            <w:vAlign w:val="center"/>
            <w:tcMar>
              <w:top w:w="80" w:type="dxa"/>
              <w:start w:w="120" w:type="dxa"/>
              <w:bottom w:w="80" w:type="dxa"/>
              <w:end w:w="120" w:type="dxa"/>
            </w:tcMar>
          </w:tcPr>
          <w:p>
            <w:r>
              <w:rPr>
                <w:sz w:val="16"/>
              </w:rPr>
              <w:t>12 High</w:t>
            </w:r>
          </w:p>
        </w:tc>
        <w:tc>
          <w:tcPr>
            <w:tcW w:type="dxa" w:w="791"/>
            <w:vAlign w:val="center"/>
            <w:tcMar>
              <w:top w:w="80" w:type="dxa"/>
              <w:start w:w="120" w:type="dxa"/>
              <w:bottom w:w="80" w:type="dxa"/>
              <w:end w:w="120" w:type="dxa"/>
            </w:tcMar>
          </w:tcPr>
          <w:p>
            <w:r>
              <w:rPr>
                <w:sz w:val="16"/>
              </w:rPr>
              <w:t>3/3</w:t>
            </w:r>
          </w:p>
        </w:tc>
        <w:tc>
          <w:tcPr>
            <w:tcW w:type="dxa" w:w="809"/>
            <w:vAlign w:val="center"/>
            <w:tcMar>
              <w:top w:w="80" w:type="dxa"/>
              <w:start w:w="120" w:type="dxa"/>
              <w:bottom w:w="80" w:type="dxa"/>
              <w:end w:w="120" w:type="dxa"/>
            </w:tcMar>
          </w:tcPr>
          <w:p>
            <w:r>
              <w:rPr>
                <w:sz w:val="16"/>
              </w:rPr>
              <w:t>9 Moderate</w:t>
            </w:r>
          </w:p>
        </w:tc>
        <w:tc>
          <w:tcPr>
            <w:tcW w:type="dxa" w:w="1433"/>
            <w:vAlign w:val="center"/>
            <w:tcMar>
              <w:top w:w="80" w:type="dxa"/>
              <w:start w:w="120" w:type="dxa"/>
              <w:bottom w:w="80" w:type="dxa"/>
              <w:end w:w="120" w:type="dxa"/>
            </w:tcMar>
          </w:tcPr>
          <w:p>
            <w:r>
              <w:rPr>
                <w:sz w:val="16"/>
              </w:rPr>
              <w:t xml:space="preserve">Require a trusted workspace and explicit user initiation; use a restrictive OS temporary directory with random names, exclusive creation and no-follow semantics; verify identity before write/unlink; bound source/glob size and time; and prevent remote content from directly triggering host parsing. </w:t>
            </w:r>
            <w:hyperlink w:anchor="REF_009">
              <w:r>
                <w:rPr>
                  <w:rStyle w:val="Hyperlink"/>
                </w:rPr>
                <w:t>REF-009</w:t>
              </w:r>
            </w:hyperlink>
            <w:r>
              <w:rPr>
                <w:sz w:val="16"/>
              </w:rPr>
              <w:t xml:space="preserve"> </w:t>
            </w:r>
            <w:hyperlink w:anchor="REF_011">
              <w:r>
                <w:rPr>
                  <w:rStyle w:val="Hyperlink"/>
                </w:rPr>
                <w:t>REF-011</w:t>
              </w:r>
            </w:hyperlink>
          </w:p>
        </w:tc>
        <w:tc>
          <w:tcPr>
            <w:tcW w:type="dxa" w:w="1346"/>
            <w:vAlign w:val="center"/>
            <w:tcMar>
              <w:top w:w="80" w:type="dxa"/>
              <w:start w:w="120" w:type="dxa"/>
              <w:bottom w:w="80" w:type="dxa"/>
              <w:end w:w="120" w:type="dxa"/>
            </w:tcMar>
          </w:tcPr>
          <w:p>
            <w:r>
              <w:rPr>
                <w:sz w:val="16"/>
              </w:rPr>
              <w:t>Figma Code Connect and extension engineering</w:t>
            </w:r>
          </w:p>
        </w:tc>
      </w:tr>
      <w:tr>
        <w:tc>
          <w:tcPr>
            <w:tcW w:type="dxa" w:w="791"/>
            <w:vAlign w:val="center"/>
            <w:tcMar>
              <w:top w:w="80" w:type="dxa"/>
              <w:start w:w="120" w:type="dxa"/>
              <w:bottom w:w="80" w:type="dxa"/>
              <w:end w:w="120" w:type="dxa"/>
            </w:tcMar>
          </w:tcPr>
          <w:p>
            <w:r>
              <w:rPr>
                <w:sz w:val="16"/>
              </w:rPr>
              <w:t>F-004</w:t>
            </w:r>
          </w:p>
        </w:tc>
        <w:tc>
          <w:tcPr>
            <w:tcW w:type="dxa" w:w="1380"/>
            <w:vAlign w:val="center"/>
            <w:tcMar>
              <w:top w:w="80" w:type="dxa"/>
              <w:start w:w="120" w:type="dxa"/>
              <w:bottom w:w="80" w:type="dxa"/>
              <w:end w:w="120" w:type="dxa"/>
            </w:tcMar>
          </w:tcPr>
          <w:p>
            <w:r>
              <w:rPr>
                <w:sz w:val="16"/>
              </w:rPr>
              <w:t>Direct telemetry is not visibly bound to VS Code telemetry policy</w:t>
            </w:r>
          </w:p>
        </w:tc>
        <w:tc>
          <w:tcPr>
            <w:tcW w:type="dxa" w:w="1210"/>
            <w:vAlign w:val="center"/>
            <w:tcMar>
              <w:top w:w="80" w:type="dxa"/>
              <w:start w:w="120" w:type="dxa"/>
              <w:bottom w:w="80" w:type="dxa"/>
              <w:end w:w="120" w:type="dxa"/>
            </w:tcMar>
          </w:tcPr>
          <w:p>
            <w:r>
              <w:rPr>
                <w:sz w:val="16"/>
              </w:rPr>
              <w:t>Telemetry, privacy and enterprise policy boundary</w:t>
            </w:r>
          </w:p>
        </w:tc>
        <w:tc>
          <w:tcPr>
            <w:tcW w:type="dxa" w:w="791"/>
            <w:vAlign w:val="center"/>
            <w:tcMar>
              <w:top w:w="80" w:type="dxa"/>
              <w:start w:w="120" w:type="dxa"/>
              <w:bottom w:w="80" w:type="dxa"/>
              <w:end w:w="120" w:type="dxa"/>
            </w:tcMar>
          </w:tcPr>
          <w:p>
            <w:r>
              <w:rPr>
                <w:sz w:val="16"/>
              </w:rPr>
              <w:t>4/3</w:t>
            </w:r>
          </w:p>
        </w:tc>
        <w:tc>
          <w:tcPr>
            <w:tcW w:type="dxa" w:w="809"/>
            <w:vAlign w:val="center"/>
            <w:tcMar>
              <w:top w:w="80" w:type="dxa"/>
              <w:start w:w="120" w:type="dxa"/>
              <w:bottom w:w="80" w:type="dxa"/>
              <w:end w:w="120" w:type="dxa"/>
            </w:tcMar>
          </w:tcPr>
          <w:p>
            <w:r>
              <w:rPr>
                <w:sz w:val="16"/>
              </w:rPr>
              <w:t>12 High</w:t>
            </w:r>
          </w:p>
        </w:tc>
        <w:tc>
          <w:tcPr>
            <w:tcW w:type="dxa" w:w="791"/>
            <w:vAlign w:val="center"/>
            <w:tcMar>
              <w:top w:w="80" w:type="dxa"/>
              <w:start w:w="120" w:type="dxa"/>
              <w:bottom w:w="80" w:type="dxa"/>
              <w:end w:w="120" w:type="dxa"/>
            </w:tcMar>
          </w:tcPr>
          <w:p>
            <w:r>
              <w:rPr>
                <w:sz w:val="16"/>
              </w:rPr>
              <w:t>3/3</w:t>
            </w:r>
          </w:p>
        </w:tc>
        <w:tc>
          <w:tcPr>
            <w:tcW w:type="dxa" w:w="809"/>
            <w:vAlign w:val="center"/>
            <w:tcMar>
              <w:top w:w="80" w:type="dxa"/>
              <w:start w:w="120" w:type="dxa"/>
              <w:bottom w:w="80" w:type="dxa"/>
              <w:end w:w="120" w:type="dxa"/>
            </w:tcMar>
          </w:tcPr>
          <w:p>
            <w:r>
              <w:rPr>
                <w:sz w:val="16"/>
              </w:rPr>
              <w:t>9 Moderate</w:t>
            </w:r>
          </w:p>
        </w:tc>
        <w:tc>
          <w:tcPr>
            <w:tcW w:type="dxa" w:w="1433"/>
            <w:vAlign w:val="center"/>
            <w:tcMar>
              <w:top w:w="80" w:type="dxa"/>
              <w:start w:w="120" w:type="dxa"/>
              <w:bottom w:w="80" w:type="dxa"/>
              <w:end w:w="120" w:type="dxa"/>
            </w:tcMar>
          </w:tcPr>
          <w:p>
            <w:r>
              <w:rPr>
                <w:sz w:val="16"/>
              </w:rPr>
              <w:t xml:space="preserve">Use VS Code telemetry APIs or faithfully observe host telemetry state for every event path, stop emissions immediately when disabled, minimise stable identifiers, redact paths and secrets, publish fields/destinations/retention, and provide centrally enforceable enterprise controls. </w:t>
            </w:r>
            <w:hyperlink w:anchor="REF_004">
              <w:r>
                <w:rPr>
                  <w:rStyle w:val="Hyperlink"/>
                </w:rPr>
                <w:t>REF-004</w:t>
              </w:r>
            </w:hyperlink>
            <w:r>
              <w:rPr>
                <w:sz w:val="16"/>
              </w:rPr>
              <w:t xml:space="preserve"> </w:t>
            </w:r>
            <w:hyperlink w:anchor="REF_008">
              <w:r>
                <w:rPr>
                  <w:rStyle w:val="Hyperlink"/>
                </w:rPr>
                <w:t>REF-008</w:t>
              </w:r>
            </w:hyperlink>
          </w:p>
        </w:tc>
        <w:tc>
          <w:tcPr>
            <w:tcW w:type="dxa" w:w="1346"/>
            <w:vAlign w:val="center"/>
            <w:tcMar>
              <w:top w:w="80" w:type="dxa"/>
              <w:start w:w="120" w:type="dxa"/>
              <w:bottom w:w="80" w:type="dxa"/>
              <w:end w:w="120" w:type="dxa"/>
            </w:tcMar>
          </w:tcPr>
          <w:p>
            <w:r>
              <w:rPr>
                <w:sz w:val="16"/>
              </w:rPr>
              <w:t>Figma privacy, observability and extension engineering</w:t>
            </w:r>
          </w:p>
        </w:tc>
      </w:tr>
      <w:tr>
        <w:tc>
          <w:tcPr>
            <w:tcW w:type="dxa" w:w="791"/>
            <w:vAlign w:val="center"/>
            <w:tcMar>
              <w:top w:w="80" w:type="dxa"/>
              <w:start w:w="120" w:type="dxa"/>
              <w:bottom w:w="80" w:type="dxa"/>
              <w:end w:w="120" w:type="dxa"/>
            </w:tcMar>
          </w:tcPr>
          <w:p>
            <w:r>
              <w:rPr>
                <w:sz w:val="16"/>
              </w:rPr>
              <w:t>F-005</w:t>
            </w:r>
          </w:p>
        </w:tc>
        <w:tc>
          <w:tcPr>
            <w:tcW w:type="dxa" w:w="1380"/>
            <w:vAlign w:val="center"/>
            <w:tcMar>
              <w:top w:w="80" w:type="dxa"/>
              <w:start w:w="120" w:type="dxa"/>
              <w:bottom w:w="80" w:type="dxa"/>
              <w:end w:w="120" w:type="dxa"/>
            </w:tcMar>
          </w:tcPr>
          <w:p>
            <w:r>
              <w:rPr>
                <w:sz w:val="16"/>
              </w:rPr>
              <w:t>Asset export lacks canonical workspace containment and overwrite controls</w:t>
            </w:r>
          </w:p>
        </w:tc>
        <w:tc>
          <w:tcPr>
            <w:tcW w:type="dxa" w:w="1210"/>
            <w:vAlign w:val="center"/>
            <w:tcMar>
              <w:top w:w="80" w:type="dxa"/>
              <w:start w:w="120" w:type="dxa"/>
              <w:bottom w:w="80" w:type="dxa"/>
              <w:end w:w="120" w:type="dxa"/>
            </w:tcMar>
          </w:tcPr>
          <w:p>
            <w:r>
              <w:rPr>
                <w:sz w:val="16"/>
              </w:rPr>
              <w:t>Remote content to workspace filesystem boundary</w:t>
            </w:r>
          </w:p>
        </w:tc>
        <w:tc>
          <w:tcPr>
            <w:tcW w:type="dxa" w:w="791"/>
            <w:vAlign w:val="center"/>
            <w:tcMar>
              <w:top w:w="80" w:type="dxa"/>
              <w:start w:w="120" w:type="dxa"/>
              <w:bottom w:w="80" w:type="dxa"/>
              <w:end w:w="120" w:type="dxa"/>
            </w:tcMar>
          </w:tcPr>
          <w:p>
            <w:r>
              <w:rPr>
                <w:sz w:val="16"/>
              </w:rPr>
              <w:t>3/4</w:t>
            </w:r>
          </w:p>
        </w:tc>
        <w:tc>
          <w:tcPr>
            <w:tcW w:type="dxa" w:w="809"/>
            <w:vAlign w:val="center"/>
            <w:tcMar>
              <w:top w:w="80" w:type="dxa"/>
              <w:start w:w="120" w:type="dxa"/>
              <w:bottom w:w="80" w:type="dxa"/>
              <w:end w:w="120" w:type="dxa"/>
            </w:tcMar>
          </w:tcPr>
          <w:p>
            <w:r>
              <w:rPr>
                <w:sz w:val="16"/>
              </w:rPr>
              <w:t>12 High</w:t>
            </w:r>
          </w:p>
        </w:tc>
        <w:tc>
          <w:tcPr>
            <w:tcW w:type="dxa" w:w="791"/>
            <w:vAlign w:val="center"/>
            <w:tcMar>
              <w:top w:w="80" w:type="dxa"/>
              <w:start w:w="120" w:type="dxa"/>
              <w:bottom w:w="80" w:type="dxa"/>
              <w:end w:w="120" w:type="dxa"/>
            </w:tcMar>
          </w:tcPr>
          <w:p>
            <w:r>
              <w:rPr>
                <w:sz w:val="16"/>
              </w:rPr>
              <w:t>3/3</w:t>
            </w:r>
          </w:p>
        </w:tc>
        <w:tc>
          <w:tcPr>
            <w:tcW w:type="dxa" w:w="809"/>
            <w:vAlign w:val="center"/>
            <w:tcMar>
              <w:top w:w="80" w:type="dxa"/>
              <w:start w:w="120" w:type="dxa"/>
              <w:bottom w:w="80" w:type="dxa"/>
              <w:end w:w="120" w:type="dxa"/>
            </w:tcMar>
          </w:tcPr>
          <w:p>
            <w:r>
              <w:rPr>
                <w:sz w:val="16"/>
              </w:rPr>
              <w:t>9 Moderate</w:t>
            </w:r>
          </w:p>
        </w:tc>
        <w:tc>
          <w:tcPr>
            <w:tcW w:type="dxa" w:w="1433"/>
            <w:vAlign w:val="center"/>
            <w:tcMar>
              <w:top w:w="80" w:type="dxa"/>
              <w:start w:w="120" w:type="dxa"/>
              <w:bottom w:w="80" w:type="dxa"/>
              <w:end w:w="120" w:type="dxa"/>
            </w:tcMar>
          </w:tcPr>
          <w:p>
            <w:r>
              <w:rPr>
                <w:sz w:val="16"/>
              </w:rPr>
              <w:t xml:space="preserve">Resolve and canonicalise the destination, require containment below a centrally approved workspace subdirectory, reject absolute paths, traversal, alternate schemes and symlinks, bound bytes, validate extension/content, use create-new or explicit overwrite confirmation, and retain an audit event. </w:t>
            </w:r>
            <w:hyperlink w:anchor="REF_009">
              <w:r>
                <w:rPr>
                  <w:rStyle w:val="Hyperlink"/>
                </w:rPr>
                <w:t>REF-009</w:t>
              </w:r>
            </w:hyperlink>
            <w:r>
              <w:rPr>
                <w:sz w:val="16"/>
              </w:rPr>
              <w:t xml:space="preserve"> </w:t>
            </w:r>
            <w:hyperlink w:anchor="REF_011">
              <w:r>
                <w:rPr>
                  <w:rStyle w:val="Hyperlink"/>
                </w:rPr>
                <w:t>REF-011</w:t>
              </w:r>
            </w:hyperlink>
          </w:p>
        </w:tc>
        <w:tc>
          <w:tcPr>
            <w:tcW w:type="dxa" w:w="1346"/>
            <w:vAlign w:val="center"/>
            <w:tcMar>
              <w:top w:w="80" w:type="dxa"/>
              <w:start w:w="120" w:type="dxa"/>
              <w:bottom w:w="80" w:type="dxa"/>
              <w:end w:w="120" w:type="dxa"/>
            </w:tcMar>
          </w:tcPr>
          <w:p>
            <w:r>
              <w:rPr>
                <w:sz w:val="16"/>
              </w:rPr>
              <w:t>Figma extension engineering and enterprise endpoint owner</w:t>
            </w:r>
          </w:p>
        </w:tc>
      </w:tr>
      <w:tr>
        <w:tc>
          <w:tcPr>
            <w:tcW w:type="dxa" w:w="791"/>
            <w:vAlign w:val="center"/>
            <w:tcMar>
              <w:top w:w="80" w:type="dxa"/>
              <w:start w:w="120" w:type="dxa"/>
              <w:bottom w:w="80" w:type="dxa"/>
              <w:end w:w="120" w:type="dxa"/>
            </w:tcMar>
          </w:tcPr>
          <w:p>
            <w:r>
              <w:rPr>
                <w:sz w:val="16"/>
              </w:rPr>
              <w:t>F-006</w:t>
            </w:r>
          </w:p>
        </w:tc>
        <w:tc>
          <w:tcPr>
            <w:tcW w:type="dxa" w:w="1380"/>
            <w:vAlign w:val="center"/>
            <w:tcMar>
              <w:top w:w="80" w:type="dxa"/>
              <w:start w:w="120" w:type="dxa"/>
              <w:bottom w:w="80" w:type="dxa"/>
              <w:end w:w="120" w:type="dxa"/>
            </w:tcMar>
          </w:tcPr>
          <w:p>
            <w:r>
              <w:rPr>
                <w:sz w:val="16"/>
              </w:rPr>
              <w:t>Logout and debug export can leave or expose authentication-related state</w:t>
            </w:r>
          </w:p>
        </w:tc>
        <w:tc>
          <w:tcPr>
            <w:tcW w:type="dxa" w:w="1210"/>
            <w:vAlign w:val="center"/>
            <w:tcMar>
              <w:top w:w="80" w:type="dxa"/>
              <w:start w:w="120" w:type="dxa"/>
              <w:bottom w:w="80" w:type="dxa"/>
              <w:end w:w="120" w:type="dxa"/>
            </w:tcMar>
          </w:tcPr>
          <w:p>
            <w:r>
              <w:rPr>
                <w:sz w:val="16"/>
              </w:rPr>
              <w:t>Session lifecycle, local residue and support boundary</w:t>
            </w:r>
          </w:p>
        </w:tc>
        <w:tc>
          <w:tcPr>
            <w:tcW w:type="dxa" w:w="791"/>
            <w:vAlign w:val="center"/>
            <w:tcMar>
              <w:top w:w="80" w:type="dxa"/>
              <w:start w:w="120" w:type="dxa"/>
              <w:bottom w:w="80" w:type="dxa"/>
              <w:end w:w="120" w:type="dxa"/>
            </w:tcMar>
          </w:tcPr>
          <w:p>
            <w:r>
              <w:rPr>
                <w:sz w:val="16"/>
              </w:rPr>
              <w:t>3/3</w:t>
            </w:r>
          </w:p>
        </w:tc>
        <w:tc>
          <w:tcPr>
            <w:tcW w:type="dxa" w:w="809"/>
            <w:vAlign w:val="center"/>
            <w:tcMar>
              <w:top w:w="80" w:type="dxa"/>
              <w:start w:w="120" w:type="dxa"/>
              <w:bottom w:w="80" w:type="dxa"/>
              <w:end w:w="120" w:type="dxa"/>
            </w:tcMar>
          </w:tcPr>
          <w:p>
            <w:r>
              <w:rPr>
                <w:sz w:val="16"/>
              </w:rPr>
              <w:t>9 Moderate</w:t>
            </w:r>
          </w:p>
        </w:tc>
        <w:tc>
          <w:tcPr>
            <w:tcW w:type="dxa" w:w="791"/>
            <w:vAlign w:val="center"/>
            <w:tcMar>
              <w:top w:w="80" w:type="dxa"/>
              <w:start w:w="120" w:type="dxa"/>
              <w:bottom w:w="80" w:type="dxa"/>
              <w:end w:w="120" w:type="dxa"/>
            </w:tcMar>
          </w:tcPr>
          <w:p>
            <w:r>
              <w:rPr>
                <w:sz w:val="16"/>
              </w:rPr>
              <w:t>3/3</w:t>
            </w:r>
          </w:p>
        </w:tc>
        <w:tc>
          <w:tcPr>
            <w:tcW w:type="dxa" w:w="809"/>
            <w:vAlign w:val="center"/>
            <w:tcMar>
              <w:top w:w="80" w:type="dxa"/>
              <w:start w:w="120" w:type="dxa"/>
              <w:bottom w:w="80" w:type="dxa"/>
              <w:end w:w="120" w:type="dxa"/>
            </w:tcMar>
          </w:tcPr>
          <w:p>
            <w:r>
              <w:rPr>
                <w:sz w:val="16"/>
              </w:rPr>
              <w:t>9 Moderate</w:t>
            </w:r>
          </w:p>
        </w:tc>
        <w:tc>
          <w:tcPr>
            <w:tcW w:type="dxa" w:w="1433"/>
            <w:vAlign w:val="center"/>
            <w:tcMar>
              <w:top w:w="80" w:type="dxa"/>
              <w:start w:w="120" w:type="dxa"/>
              <w:bottom w:w="80" w:type="dxa"/>
              <w:end w:w="120" w:type="dxa"/>
            </w:tcMar>
          </w:tcPr>
          <w:p>
            <w:r>
              <w:rPr>
                <w:sz w:val="16"/>
              </w:rPr>
              <w:t xml:space="preserve">Atomically clear every environment-scoped secret, identifier, token, local storage record, cache, watcher and connection on logout/uninstall; revoke server sessions; minimise and redact diagnostics; show a field-level preview and expiry warning; and avoid defaulting to a personal desktop path. </w:t>
            </w:r>
            <w:hyperlink w:anchor="REF_004">
              <w:r>
                <w:rPr>
                  <w:rStyle w:val="Hyperlink"/>
                </w:rPr>
                <w:t>REF-004</w:t>
              </w:r>
            </w:hyperlink>
            <w:r>
              <w:rPr>
                <w:sz w:val="16"/>
              </w:rPr>
              <w:t xml:space="preserve"> </w:t>
            </w:r>
            <w:hyperlink w:anchor="REF_008">
              <w:r>
                <w:rPr>
                  <w:rStyle w:val="Hyperlink"/>
                </w:rPr>
                <w:t>REF-008</w:t>
              </w:r>
            </w:hyperlink>
          </w:p>
        </w:tc>
        <w:tc>
          <w:tcPr>
            <w:tcW w:type="dxa" w:w="1346"/>
            <w:vAlign w:val="center"/>
            <w:tcMar>
              <w:top w:w="80" w:type="dxa"/>
              <w:start w:w="120" w:type="dxa"/>
              <w:bottom w:w="80" w:type="dxa"/>
              <w:end w:w="120" w:type="dxa"/>
            </w:tcMar>
          </w:tcPr>
          <w:p>
            <w:r>
              <w:rPr>
                <w:sz w:val="16"/>
              </w:rPr>
              <w:t>Figma identity, support and extension engineering</w:t>
            </w:r>
          </w:p>
        </w:tc>
      </w:tr>
      <w:tr>
        <w:tc>
          <w:tcPr>
            <w:tcW w:type="dxa" w:w="791"/>
            <w:vAlign w:val="center"/>
            <w:tcMar>
              <w:top w:w="80" w:type="dxa"/>
              <w:start w:w="120" w:type="dxa"/>
              <w:bottom w:w="80" w:type="dxa"/>
              <w:end w:w="120" w:type="dxa"/>
            </w:tcMar>
          </w:tcPr>
          <w:p>
            <w:r>
              <w:rPr>
                <w:sz w:val="16"/>
              </w:rPr>
              <w:t>F-007</w:t>
            </w:r>
          </w:p>
        </w:tc>
        <w:tc>
          <w:tcPr>
            <w:tcW w:type="dxa" w:w="1380"/>
            <w:vAlign w:val="center"/>
            <w:tcMar>
              <w:top w:w="80" w:type="dxa"/>
              <w:start w:w="120" w:type="dxa"/>
              <w:bottom w:w="80" w:type="dxa"/>
              <w:end w:w="120" w:type="dxa"/>
            </w:tcMar>
          </w:tcPr>
          <w:p>
            <w:r>
              <w:rPr>
                <w:sz w:val="16"/>
              </w:rPr>
              <w:t>Source, SBOM and representative runtime evidence are incomplete</w:t>
            </w:r>
          </w:p>
        </w:tc>
        <w:tc>
          <w:tcPr>
            <w:tcW w:type="dxa" w:w="1210"/>
            <w:vAlign w:val="center"/>
            <w:tcMar>
              <w:top w:w="80" w:type="dxa"/>
              <w:start w:w="120" w:type="dxa"/>
              <w:bottom w:w="80" w:type="dxa"/>
              <w:end w:w="120" w:type="dxa"/>
            </w:tcMar>
          </w:tcPr>
          <w:p>
            <w:r>
              <w:rPr>
                <w:sz w:val="16"/>
              </w:rPr>
              <w:t>Supply-chain assurance and enterprise approval evidence</w:t>
            </w:r>
          </w:p>
        </w:tc>
        <w:tc>
          <w:tcPr>
            <w:tcW w:type="dxa" w:w="791"/>
            <w:vAlign w:val="center"/>
            <w:tcMar>
              <w:top w:w="80" w:type="dxa"/>
              <w:start w:w="120" w:type="dxa"/>
              <w:bottom w:w="80" w:type="dxa"/>
              <w:end w:w="120" w:type="dxa"/>
            </w:tcMar>
          </w:tcPr>
          <w:p>
            <w:r>
              <w:rPr>
                <w:sz w:val="16"/>
              </w:rPr>
              <w:t>4/4</w:t>
            </w:r>
          </w:p>
        </w:tc>
        <w:tc>
          <w:tcPr>
            <w:tcW w:type="dxa" w:w="809"/>
            <w:vAlign w:val="center"/>
            <w:tcMar>
              <w:top w:w="80" w:type="dxa"/>
              <w:start w:w="120" w:type="dxa"/>
              <w:bottom w:w="80" w:type="dxa"/>
              <w:end w:w="120" w:type="dxa"/>
            </w:tcMar>
          </w:tcPr>
          <w:p>
            <w:r>
              <w:rPr>
                <w:sz w:val="16"/>
              </w:rPr>
              <w:t>16 High</w:t>
            </w:r>
          </w:p>
        </w:tc>
        <w:tc>
          <w:tcPr>
            <w:tcW w:type="dxa" w:w="791"/>
            <w:vAlign w:val="center"/>
            <w:tcMar>
              <w:top w:w="80" w:type="dxa"/>
              <w:start w:w="120" w:type="dxa"/>
              <w:bottom w:w="80" w:type="dxa"/>
              <w:end w:w="120" w:type="dxa"/>
            </w:tcMar>
          </w:tcPr>
          <w:p>
            <w:r>
              <w:rPr>
                <w:sz w:val="16"/>
              </w:rPr>
              <w:t>4/4</w:t>
            </w:r>
          </w:p>
        </w:tc>
        <w:tc>
          <w:tcPr>
            <w:tcW w:type="dxa" w:w="809"/>
            <w:vAlign w:val="center"/>
            <w:tcMar>
              <w:top w:w="80" w:type="dxa"/>
              <w:start w:w="120" w:type="dxa"/>
              <w:bottom w:w="80" w:type="dxa"/>
              <w:end w:w="120" w:type="dxa"/>
            </w:tcMar>
          </w:tcPr>
          <w:p>
            <w:r>
              <w:rPr>
                <w:sz w:val="16"/>
              </w:rPr>
              <w:t>16 High</w:t>
            </w:r>
          </w:p>
        </w:tc>
        <w:tc>
          <w:tcPr>
            <w:tcW w:type="dxa" w:w="1433"/>
            <w:vAlign w:val="center"/>
            <w:tcMar>
              <w:top w:w="80" w:type="dxa"/>
              <w:start w:w="120" w:type="dxa"/>
              <w:bottom w:w="80" w:type="dxa"/>
              <w:end w:w="120" w:type="dxa"/>
            </w:tcMar>
          </w:tcPr>
          <w:p>
            <w:r>
              <w:rPr>
                <w:sz w:val="16"/>
              </w:rPr>
              <w:t xml:space="preserve">Provide version-bound source and release commit, a complete signed CycloneDX or SPDX SBOM, source map, build attestation, third-party notices, vulnerability/reachability disposition and reproducible source-to-VSIX comparison; then complete the controlled runtime matrix. </w:t>
            </w:r>
            <w:hyperlink w:anchor="REF_011">
              <w:r>
                <w:rPr>
                  <w:rStyle w:val="Hyperlink"/>
                </w:rPr>
                <w:t>REF-011</w:t>
              </w:r>
            </w:hyperlink>
            <w:r>
              <w:rPr>
                <w:sz w:val="16"/>
              </w:rPr>
              <w:t xml:space="preserve"> </w:t>
            </w:r>
            <w:hyperlink w:anchor="REF_019">
              <w:r>
                <w:rPr>
                  <w:rStyle w:val="Hyperlink"/>
                </w:rPr>
                <w:t>REF-019</w:t>
              </w:r>
            </w:hyperlink>
          </w:p>
        </w:tc>
        <w:tc>
          <w:tcPr>
            <w:tcW w:type="dxa" w:w="1346"/>
            <w:vAlign w:val="center"/>
            <w:tcMar>
              <w:top w:w="80" w:type="dxa"/>
              <w:start w:w="120" w:type="dxa"/>
              <w:bottom w:w="80" w:type="dxa"/>
              <w:end w:w="120" w:type="dxa"/>
            </w:tcMar>
          </w:tcPr>
          <w:p>
            <w:r>
              <w:rPr>
                <w:sz w:val="16"/>
              </w:rPr>
              <w:t>Figma release engineering, product security and enterprise procurement</w:t>
            </w:r>
          </w:p>
        </w:tc>
      </w:tr>
    </w:tbl>
    <w:p/>
    <w:p>
      <w:pPr>
        <w:pStyle w:val="Heading1"/>
      </w:pPr>
      <w:r>
        <w:t>Evidence Register</w:t>
      </w:r>
    </w:p>
    <w:p>
      <w:pPr>
        <w:pStyle w:val="Caption"/>
      </w:pPr>
      <w:r>
        <w:rPr>
          <w:b/>
        </w:rPr>
        <w:t>Evidence register</w:t>
      </w:r>
    </w:p>
    <w:tbl>
      <w:tblPr>
        <w:tblStyle w:val="TableGrid"/>
        <w:tblW w:type="dxa" w:w="9360"/>
        <w:tblLayout w:type="fixed"/>
        <w:tblLook w:firstColumn="1" w:firstRow="1" w:lastColumn="0" w:lastRow="0" w:noHBand="0" w:noVBand="1" w:val="04A0"/>
        <w:tblInd w:w="120" w:type="dxa"/>
      </w:tblPr>
      <w:tblGrid>
        <w:gridCol w:w="988"/>
        <w:gridCol w:w="1580"/>
        <w:gridCol w:w="1848"/>
        <w:gridCol w:w="1848"/>
        <w:gridCol w:w="1249"/>
        <w:gridCol w:w="1847"/>
      </w:tblGrid>
      <w:tr>
        <w:trPr>
          <w:tblHeader w:val="true"/>
        </w:trPr>
        <w:tc>
          <w:tcPr>
            <w:tcW w:type="dxa" w:w="988"/>
            <w:shd w:fill="F2F4F7"/>
            <w:vAlign w:val="center"/>
            <w:tcMar>
              <w:top w:w="80" w:type="dxa"/>
              <w:start w:w="120" w:type="dxa"/>
              <w:bottom w:w="80" w:type="dxa"/>
              <w:end w:w="120" w:type="dxa"/>
            </w:tcMar>
          </w:tcPr>
          <w:p>
            <w:r>
              <w:rPr>
                <w:b/>
                <w:sz w:val="16"/>
              </w:rPr>
              <w:t>ID</w:t>
            </w:r>
          </w:p>
        </w:tc>
        <w:tc>
          <w:tcPr>
            <w:tcW w:type="dxa" w:w="1580"/>
            <w:shd w:fill="F2F4F7"/>
            <w:vAlign w:val="center"/>
            <w:tcMar>
              <w:top w:w="80" w:type="dxa"/>
              <w:start w:w="120" w:type="dxa"/>
              <w:bottom w:w="80" w:type="dxa"/>
              <w:end w:w="120" w:type="dxa"/>
            </w:tcMar>
          </w:tcPr>
          <w:p>
            <w:r>
              <w:rPr>
                <w:b/>
                <w:sz w:val="16"/>
              </w:rPr>
              <w:t>Evidence</w:t>
            </w:r>
          </w:p>
        </w:tc>
        <w:tc>
          <w:tcPr>
            <w:tcW w:type="dxa" w:w="1848"/>
            <w:shd w:fill="F2F4F7"/>
            <w:vAlign w:val="center"/>
            <w:tcMar>
              <w:top w:w="80" w:type="dxa"/>
              <w:start w:w="120" w:type="dxa"/>
              <w:bottom w:w="80" w:type="dxa"/>
              <w:end w:w="120" w:type="dxa"/>
            </w:tcMar>
          </w:tcPr>
          <w:p>
            <w:r>
              <w:rPr>
                <w:b/>
                <w:sz w:val="16"/>
              </w:rPr>
              <w:t>Source</w:t>
            </w:r>
          </w:p>
        </w:tc>
        <w:tc>
          <w:tcPr>
            <w:tcW w:type="dxa" w:w="1848"/>
            <w:shd w:fill="F2F4F7"/>
            <w:vAlign w:val="center"/>
            <w:tcMar>
              <w:top w:w="80" w:type="dxa"/>
              <w:start w:w="120" w:type="dxa"/>
              <w:bottom w:w="80" w:type="dxa"/>
              <w:end w:w="120" w:type="dxa"/>
            </w:tcMar>
          </w:tcPr>
          <w:p>
            <w:r>
              <w:rPr>
                <w:b/>
                <w:sz w:val="16"/>
              </w:rPr>
              <w:t>Method</w:t>
            </w:r>
          </w:p>
        </w:tc>
        <w:tc>
          <w:tcPr>
            <w:tcW w:type="dxa" w:w="1249"/>
            <w:shd w:fill="F2F4F7"/>
            <w:vAlign w:val="center"/>
            <w:tcMar>
              <w:top w:w="80" w:type="dxa"/>
              <w:start w:w="120" w:type="dxa"/>
              <w:bottom w:w="80" w:type="dxa"/>
              <w:end w:w="120" w:type="dxa"/>
            </w:tcMar>
            <w:noWrap/>
          </w:tcPr>
          <w:p>
            <w:r>
              <w:rPr>
                <w:b/>
                <w:sz w:val="16"/>
              </w:rPr>
              <w:t>State</w:t>
            </w:r>
          </w:p>
        </w:tc>
        <w:tc>
          <w:tcPr>
            <w:tcW w:type="dxa" w:w="1847"/>
            <w:shd w:fill="F2F4F7"/>
            <w:vAlign w:val="center"/>
            <w:tcMar>
              <w:top w:w="80" w:type="dxa"/>
              <w:start w:w="120" w:type="dxa"/>
              <w:bottom w:w="80" w:type="dxa"/>
              <w:end w:w="120" w:type="dxa"/>
            </w:tcMar>
          </w:tcPr>
          <w:p>
            <w:r>
              <w:rPr>
                <w:b/>
                <w:sz w:val="16"/>
              </w:rPr>
              <w:t>Limitation</w:t>
            </w:r>
          </w:p>
        </w:tc>
      </w:tr>
      <w:tr>
        <w:tc>
          <w:tcPr>
            <w:tcW w:type="dxa" w:w="988"/>
            <w:vAlign w:val="center"/>
            <w:tcMar>
              <w:top w:w="80" w:type="dxa"/>
              <w:start w:w="120" w:type="dxa"/>
              <w:bottom w:w="80" w:type="dxa"/>
              <w:end w:w="120" w:type="dxa"/>
            </w:tcMar>
          </w:tcPr>
          <w:p>
            <w:r>
              <w:rPr>
                <w:sz w:val="16"/>
              </w:rPr>
              <w:t>EVD-MARKETPLACE-001</w:t>
            </w:r>
          </w:p>
        </w:tc>
        <w:tc>
          <w:tcPr>
            <w:tcW w:type="dxa" w:w="1580"/>
            <w:vAlign w:val="center"/>
            <w:tcMar>
              <w:top w:w="80" w:type="dxa"/>
              <w:start w:w="120" w:type="dxa"/>
              <w:bottom w:w="80" w:type="dxa"/>
              <w:end w:w="120" w:type="dxa"/>
            </w:tcMar>
          </w:tcPr>
          <w:p>
            <w:r>
              <w:rPr>
                <w:sz w:val="16"/>
              </w:rPr>
              <w:t>Visual Studio Marketplace identity and release metadata</w:t>
            </w:r>
          </w:p>
        </w:tc>
        <w:tc>
          <w:tcPr>
            <w:tcW w:type="dxa" w:w="1848"/>
            <w:vAlign w:val="center"/>
            <w:tcMar>
              <w:top w:w="80" w:type="dxa"/>
              <w:start w:w="120" w:type="dxa"/>
              <w:bottom w:w="80" w:type="dxa"/>
              <w:end w:w="120" w:type="dxa"/>
            </w:tcMar>
          </w:tcPr>
          <w:p>
            <w:r>
              <w:rPr>
                <w:sz w:val="16"/>
              </w:rPr>
              <w:t>Marketplace gallery response, package metadata, details and changelog retained on 2026-08-03</w:t>
            </w:r>
          </w:p>
        </w:tc>
        <w:tc>
          <w:tcPr>
            <w:tcW w:type="dxa" w:w="1848"/>
            <w:vAlign w:val="center"/>
            <w:tcMar>
              <w:top w:w="80" w:type="dxa"/>
              <w:start w:w="120" w:type="dxa"/>
              <w:bottom w:w="80" w:type="dxa"/>
              <w:end w:w="120" w:type="dxa"/>
            </w:tcMar>
          </w:tcPr>
          <w:p>
            <w:r>
              <w:rPr>
                <w:sz w:val="16"/>
              </w:rPr>
              <w:t>HTTPS acquisition and exact publisher, identifier, verified-domain, version and stable-channel cross-check</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Publisher verification and Marketplace availability do not establish secure design or source correspondence.</w:t>
            </w:r>
          </w:p>
        </w:tc>
      </w:tr>
      <w:tr>
        <w:tc>
          <w:tcPr>
            <w:tcW w:type="dxa" w:w="988"/>
            <w:vAlign w:val="center"/>
            <w:tcMar>
              <w:top w:w="80" w:type="dxa"/>
              <w:start w:w="120" w:type="dxa"/>
              <w:bottom w:w="80" w:type="dxa"/>
              <w:end w:w="120" w:type="dxa"/>
            </w:tcMar>
          </w:tcPr>
          <w:p>
            <w:r>
              <w:rPr>
                <w:sz w:val="16"/>
              </w:rPr>
              <w:t>EVD-VSIX-001</w:t>
            </w:r>
          </w:p>
        </w:tc>
        <w:tc>
          <w:tcPr>
            <w:tcW w:type="dxa" w:w="1580"/>
            <w:vAlign w:val="center"/>
            <w:tcMar>
              <w:top w:w="80" w:type="dxa"/>
              <w:start w:w="120" w:type="dxa"/>
              <w:bottom w:w="80" w:type="dxa"/>
              <w:end w:w="120" w:type="dxa"/>
            </w:tcMar>
          </w:tcPr>
          <w:p>
            <w:r>
              <w:rPr>
                <w:sz w:val="16"/>
              </w:rPr>
              <w:t>Retained Figma for VS Code 0.4.5 VSIX</w:t>
            </w:r>
          </w:p>
        </w:tc>
        <w:tc>
          <w:tcPr>
            <w:tcW w:type="dxa" w:w="1848"/>
            <w:vAlign w:val="center"/>
            <w:tcMar>
              <w:top w:w="80" w:type="dxa"/>
              <w:start w:w="120" w:type="dxa"/>
              <w:bottom w:w="80" w:type="dxa"/>
              <w:end w:w="120" w:type="dxa"/>
            </w:tcMar>
          </w:tcPr>
          <w:p>
            <w:r>
              <w:rPr>
                <w:sz w:val="16"/>
              </w:rPr>
              <w:t>Microsoft Visual Studio Marketplace package endpoint</w:t>
            </w:r>
          </w:p>
        </w:tc>
        <w:tc>
          <w:tcPr>
            <w:tcW w:type="dxa" w:w="1848"/>
            <w:vAlign w:val="center"/>
            <w:tcMar>
              <w:top w:w="80" w:type="dxa"/>
              <w:start w:w="120" w:type="dxa"/>
              <w:bottom w:w="80" w:type="dxa"/>
              <w:end w:w="120" w:type="dxa"/>
            </w:tcMar>
          </w:tcPr>
          <w:p>
            <w:r>
              <w:rPr>
                <w:sz w:val="16"/>
              </w:rPr>
              <w:t>Bounded immutable acquisition and SHA-256 hashing</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The exact released bytes were assessed; a vendor build was not reproduced.</w:t>
            </w:r>
          </w:p>
        </w:tc>
      </w:tr>
      <w:tr>
        <w:tc>
          <w:tcPr>
            <w:tcW w:type="dxa" w:w="988"/>
            <w:vAlign w:val="center"/>
            <w:tcMar>
              <w:top w:w="80" w:type="dxa"/>
              <w:start w:w="120" w:type="dxa"/>
              <w:bottom w:w="80" w:type="dxa"/>
              <w:end w:w="120" w:type="dxa"/>
            </w:tcMar>
          </w:tcPr>
          <w:p>
            <w:r>
              <w:rPr>
                <w:sz w:val="16"/>
              </w:rPr>
              <w:t>EVD-MANIFEST-001</w:t>
            </w:r>
          </w:p>
        </w:tc>
        <w:tc>
          <w:tcPr>
            <w:tcW w:type="dxa" w:w="1580"/>
            <w:vAlign w:val="center"/>
            <w:tcMar>
              <w:top w:w="80" w:type="dxa"/>
              <w:start w:w="120" w:type="dxa"/>
              <w:bottom w:w="80" w:type="dxa"/>
              <w:end w:w="120" w:type="dxa"/>
            </w:tcMar>
          </w:tcPr>
          <w:p>
            <w:r>
              <w:rPr>
                <w:sz w:val="16"/>
              </w:rPr>
              <w:t>Extension package manifest and contribution surface</w:t>
            </w:r>
          </w:p>
        </w:tc>
        <w:tc>
          <w:tcPr>
            <w:tcW w:type="dxa" w:w="1848"/>
            <w:vAlign w:val="center"/>
            <w:tcMar>
              <w:top w:w="80" w:type="dxa"/>
              <w:start w:w="120" w:type="dxa"/>
              <w:bottom w:w="80" w:type="dxa"/>
              <w:end w:w="120" w:type="dxa"/>
            </w:tcMar>
          </w:tcPr>
          <w:p>
            <w:r>
              <w:rPr>
                <w:sz w:val="16"/>
              </w:rPr>
              <w:t>extension/package.json and extension.vsixmanifest in the retained package</w:t>
            </w:r>
          </w:p>
        </w:tc>
        <w:tc>
          <w:tcPr>
            <w:tcW w:type="dxa" w:w="1848"/>
            <w:vAlign w:val="center"/>
            <w:tcMar>
              <w:top w:w="80" w:type="dxa"/>
              <w:start w:w="120" w:type="dxa"/>
              <w:bottom w:w="80" w:type="dxa"/>
              <w:end w:w="120" w:type="dxa"/>
            </w:tcMar>
          </w:tcPr>
          <w:p>
            <w:r>
              <w:rPr>
                <w:sz w:val="16"/>
              </w:rPr>
              <w:t>Structured parsing and manual capability review</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Manifest declarations do not prove runtime enforcement or service-side behaviour.</w:t>
            </w:r>
          </w:p>
        </w:tc>
      </w:tr>
      <w:tr>
        <w:tc>
          <w:tcPr>
            <w:tcW w:type="dxa" w:w="988"/>
            <w:vAlign w:val="center"/>
            <w:tcMar>
              <w:top w:w="80" w:type="dxa"/>
              <w:start w:w="120" w:type="dxa"/>
              <w:bottom w:w="80" w:type="dxa"/>
              <w:end w:w="120" w:type="dxa"/>
            </w:tcMar>
          </w:tcPr>
          <w:p>
            <w:r>
              <w:rPr>
                <w:sz w:val="16"/>
              </w:rPr>
              <w:t>EVD-INVENTORY-001</w:t>
            </w:r>
          </w:p>
        </w:tc>
        <w:tc>
          <w:tcPr>
            <w:tcW w:type="dxa" w:w="1580"/>
            <w:vAlign w:val="center"/>
            <w:tcMar>
              <w:top w:w="80" w:type="dxa"/>
              <w:start w:w="120" w:type="dxa"/>
              <w:bottom w:w="80" w:type="dxa"/>
              <w:end w:w="120" w:type="dxa"/>
            </w:tcMar>
          </w:tcPr>
          <w:p>
            <w:r>
              <w:rPr>
                <w:sz w:val="16"/>
              </w:rPr>
              <w:t>Bounded VSIX archive inventory</w:t>
            </w:r>
          </w:p>
        </w:tc>
        <w:tc>
          <w:tcPr>
            <w:tcW w:type="dxa" w:w="1848"/>
            <w:vAlign w:val="center"/>
            <w:tcMar>
              <w:top w:w="80" w:type="dxa"/>
              <w:start w:w="120" w:type="dxa"/>
              <w:bottom w:w="80" w:type="dxa"/>
              <w:end w:w="120" w:type="dxa"/>
            </w:tcMar>
          </w:tcPr>
          <w:p>
            <w:r>
              <w:rPr>
                <w:sz w:val="16"/>
              </w:rPr>
              <w:t>vsix-inventory.json generated from the retained VSIX</w:t>
            </w:r>
          </w:p>
        </w:tc>
        <w:tc>
          <w:tcPr>
            <w:tcW w:type="dxa" w:w="1848"/>
            <w:vAlign w:val="center"/>
            <w:tcMar>
              <w:top w:w="80" w:type="dxa"/>
              <w:start w:w="120" w:type="dxa"/>
              <w:bottom w:w="80" w:type="dxa"/>
              <w:end w:w="120" w:type="dxa"/>
            </w:tcMar>
          </w:tcPr>
          <w:p>
            <w:r>
              <w:rPr>
                <w:sz w:val="16"/>
              </w:rPr>
              <w:t>Released inspect_vsix.py helper with path, entry, expansion and content bounds</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Archive shape does not establish semantic safety of the 15.6 MB minified JavaScript bundle.</w:t>
            </w:r>
          </w:p>
        </w:tc>
      </w:tr>
      <w:tr>
        <w:tc>
          <w:tcPr>
            <w:tcW w:type="dxa" w:w="988"/>
            <w:vAlign w:val="center"/>
            <w:tcMar>
              <w:top w:w="80" w:type="dxa"/>
              <w:start w:w="120" w:type="dxa"/>
              <w:bottom w:w="80" w:type="dxa"/>
              <w:end w:w="120" w:type="dxa"/>
            </w:tcMar>
          </w:tcPr>
          <w:p>
            <w:r>
              <w:rPr>
                <w:sz w:val="16"/>
              </w:rPr>
              <w:t>EVD-SIGNATURE-001</w:t>
            </w:r>
          </w:p>
        </w:tc>
        <w:tc>
          <w:tcPr>
            <w:tcW w:type="dxa" w:w="1580"/>
            <w:vAlign w:val="center"/>
            <w:tcMar>
              <w:top w:w="80" w:type="dxa"/>
              <w:start w:w="120" w:type="dxa"/>
              <w:bottom w:w="80" w:type="dxa"/>
              <w:end w:w="120" w:type="dxa"/>
            </w:tcMar>
          </w:tcPr>
          <w:p>
            <w:r>
              <w:rPr>
                <w:sz w:val="16"/>
              </w:rPr>
              <w:t>Marketplace signature package and member digest bindings</w:t>
            </w:r>
          </w:p>
        </w:tc>
        <w:tc>
          <w:tcPr>
            <w:tcW w:type="dxa" w:w="1848"/>
            <w:vAlign w:val="center"/>
            <w:tcMar>
              <w:top w:w="80" w:type="dxa"/>
              <w:start w:w="120" w:type="dxa"/>
              <w:bottom w:w="80" w:type="dxa"/>
              <w:end w:w="120" w:type="dxa"/>
            </w:tcMar>
          </w:tcPr>
          <w:p>
            <w:r>
              <w:rPr>
                <w:sz w:val="16"/>
              </w:rPr>
              <w:t>Marketplace signature archive and signed manifest</w:t>
            </w:r>
          </w:p>
        </w:tc>
        <w:tc>
          <w:tcPr>
            <w:tcW w:type="dxa" w:w="1848"/>
            <w:vAlign w:val="center"/>
            <w:tcMar>
              <w:top w:w="80" w:type="dxa"/>
              <w:start w:w="120" w:type="dxa"/>
              <w:bottom w:w="80" w:type="dxa"/>
              <w:end w:w="120" w:type="dxa"/>
            </w:tcMar>
          </w:tcPr>
          <w:p>
            <w:r>
              <w:rPr>
                <w:sz w:val="16"/>
              </w:rPr>
              <w:t>Package and all 27 member digests reconciled; signer and issuer inspected; generic CMS verification attempted</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Digest bindings match, but platform trust remains Unknown because generic OpenSSL CMS verification did not validate the Marketplace-specific signature representation.</w:t>
            </w:r>
          </w:p>
        </w:tc>
      </w:tr>
      <w:tr>
        <w:tc>
          <w:tcPr>
            <w:tcW w:type="dxa" w:w="988"/>
            <w:vAlign w:val="center"/>
            <w:tcMar>
              <w:top w:w="80" w:type="dxa"/>
              <w:start w:w="120" w:type="dxa"/>
              <w:bottom w:w="80" w:type="dxa"/>
              <w:end w:w="120" w:type="dxa"/>
            </w:tcMar>
          </w:tcPr>
          <w:p>
            <w:r>
              <w:rPr>
                <w:sz w:val="16"/>
              </w:rPr>
              <w:t>EVD-INSTALL-001</w:t>
            </w:r>
          </w:p>
        </w:tc>
        <w:tc>
          <w:tcPr>
            <w:tcW w:type="dxa" w:w="1580"/>
            <w:vAlign w:val="center"/>
            <w:tcMar>
              <w:top w:w="80" w:type="dxa"/>
              <w:start w:w="120" w:type="dxa"/>
              <w:bottom w:w="80" w:type="dxa"/>
              <w:end w:w="120" w:type="dxa"/>
            </w:tcMar>
          </w:tcPr>
          <w:p>
            <w:r>
              <w:rPr>
                <w:sz w:val="16"/>
              </w:rPr>
              <w:t>Isolated VS Code installation manifest</w:t>
            </w:r>
          </w:p>
        </w:tc>
        <w:tc>
          <w:tcPr>
            <w:tcW w:type="dxa" w:w="1848"/>
            <w:vAlign w:val="center"/>
            <w:tcMar>
              <w:top w:w="80" w:type="dxa"/>
              <w:start w:w="120" w:type="dxa"/>
              <w:bottom w:w="80" w:type="dxa"/>
              <w:end w:w="120" w:type="dxa"/>
            </w:tcMar>
          </w:tcPr>
          <w:p>
            <w:r>
              <w:rPr>
                <w:sz w:val="16"/>
              </w:rPr>
              <w:t>VS Code CLI 1.131.0 arm64 with temporary user-data and extension directories</w:t>
            </w:r>
          </w:p>
        </w:tc>
        <w:tc>
          <w:tcPr>
            <w:tcW w:type="dxa" w:w="1848"/>
            <w:vAlign w:val="center"/>
            <w:tcMar>
              <w:top w:w="80" w:type="dxa"/>
              <w:start w:w="120" w:type="dxa"/>
              <w:bottom w:w="80" w:type="dxa"/>
              <w:end w:w="120" w:type="dxa"/>
            </w:tcMar>
          </w:tcPr>
          <w:p>
            <w:r>
              <w:rPr>
                <w:sz w:val="16"/>
              </w:rPr>
              <w:t>Local VSIX installation with telemetry disabled, followed by exact extension/version listing and automatic temporary cleanup</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Installation identity only; the extension was not activated or authenticated and no representative network or prompt evidence was captured.</w:t>
            </w:r>
          </w:p>
        </w:tc>
      </w:tr>
      <w:tr>
        <w:tc>
          <w:tcPr>
            <w:tcW w:type="dxa" w:w="988"/>
            <w:vAlign w:val="center"/>
            <w:tcMar>
              <w:top w:w="80" w:type="dxa"/>
              <w:start w:w="120" w:type="dxa"/>
              <w:bottom w:w="80" w:type="dxa"/>
              <w:end w:w="120" w:type="dxa"/>
            </w:tcMar>
          </w:tcPr>
          <w:p>
            <w:r>
              <w:rPr>
                <w:sz w:val="16"/>
              </w:rPr>
              <w:t>EVD-STATIC-001</w:t>
            </w:r>
          </w:p>
        </w:tc>
        <w:tc>
          <w:tcPr>
            <w:tcW w:type="dxa" w:w="1580"/>
            <w:vAlign w:val="center"/>
            <w:tcMar>
              <w:top w:w="80" w:type="dxa"/>
              <w:start w:w="120" w:type="dxa"/>
              <w:bottom w:w="80" w:type="dxa"/>
              <w:end w:w="120" w:type="dxa"/>
            </w:tcMar>
          </w:tcPr>
          <w:p>
            <w:r>
              <w:rPr>
                <w:sz w:val="16"/>
              </w:rPr>
              <w:t>Static manifest and bundled-code capability inspection</w:t>
            </w:r>
          </w:p>
        </w:tc>
        <w:tc>
          <w:tcPr>
            <w:tcW w:type="dxa" w:w="1848"/>
            <w:vAlign w:val="center"/>
            <w:tcMar>
              <w:top w:w="80" w:type="dxa"/>
              <w:start w:w="120" w:type="dxa"/>
              <w:bottom w:w="80" w:type="dxa"/>
              <w:end w:w="120" w:type="dxa"/>
            </w:tcMar>
          </w:tcPr>
          <w:p>
            <w:r>
              <w:rPr>
                <w:sz w:val="16"/>
              </w:rPr>
              <w:t>static-manifest-analysis.json and bounded direct inspection of out/figma-for-vs-code.js</w:t>
            </w:r>
          </w:p>
        </w:tc>
        <w:tc>
          <w:tcPr>
            <w:tcW w:type="dxa" w:w="1848"/>
            <w:vAlign w:val="center"/>
            <w:tcMar>
              <w:top w:w="80" w:type="dxa"/>
              <w:start w:w="120" w:type="dxa"/>
              <w:bottom w:w="80" w:type="dxa"/>
              <w:end w:w="120" w:type="dxa"/>
            </w:tcMar>
          </w:tcPr>
          <w:p>
            <w:r>
              <w:rPr>
                <w:sz w:val="16"/>
              </w:rPr>
              <w:t>Structured manifest parsing, literal capability tracing and independent analyst review</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Production minification and the absent referenced source map materially reduce semantic and data-flow confidence.</w:t>
            </w:r>
          </w:p>
        </w:tc>
      </w:tr>
      <w:tr>
        <w:tc>
          <w:tcPr>
            <w:tcW w:type="dxa" w:w="988"/>
            <w:vAlign w:val="center"/>
            <w:tcMar>
              <w:top w:w="80" w:type="dxa"/>
              <w:start w:w="120" w:type="dxa"/>
              <w:bottom w:w="80" w:type="dxa"/>
              <w:end w:w="120" w:type="dxa"/>
            </w:tcMar>
          </w:tcPr>
          <w:p>
            <w:r>
              <w:rPr>
                <w:sz w:val="16"/>
              </w:rPr>
              <w:t>EVD-WEBVIEW-001</w:t>
            </w:r>
          </w:p>
        </w:tc>
        <w:tc>
          <w:tcPr>
            <w:tcW w:type="dxa" w:w="1580"/>
            <w:vAlign w:val="center"/>
            <w:tcMar>
              <w:top w:w="80" w:type="dxa"/>
              <w:start w:w="120" w:type="dxa"/>
              <w:bottom w:w="80" w:type="dxa"/>
              <w:end w:w="120" w:type="dxa"/>
            </w:tcMar>
          </w:tcPr>
          <w:p>
            <w:r>
              <w:rPr>
                <w:sz w:val="16"/>
              </w:rPr>
              <w:t>Remote webview bridge trust-boundary review</w:t>
            </w:r>
          </w:p>
        </w:tc>
        <w:tc>
          <w:tcPr>
            <w:tcW w:type="dxa" w:w="1848"/>
            <w:vAlign w:val="center"/>
            <w:tcMar>
              <w:top w:w="80" w:type="dxa"/>
              <w:start w:w="120" w:type="dxa"/>
              <w:bottom w:w="80" w:type="dxa"/>
              <w:end w:w="120" w:type="dxa"/>
            </w:tcMar>
          </w:tcPr>
          <w:p>
            <w:r>
              <w:rPr>
                <w:sz w:val="16"/>
              </w:rPr>
              <w:t>resources/webview.js and the extension-side message handler in the retained bundle</w:t>
            </w:r>
          </w:p>
        </w:tc>
        <w:tc>
          <w:tcPr>
            <w:tcW w:type="dxa" w:w="1848"/>
            <w:vAlign w:val="center"/>
            <w:tcMar>
              <w:top w:w="80" w:type="dxa"/>
              <w:start w:w="120" w:type="dxa"/>
              <w:bottom w:w="80" w:type="dxa"/>
              <w:end w:w="120" w:type="dxa"/>
            </w:tcMar>
          </w:tcPr>
          <w:p>
            <w:r>
              <w:rPr>
                <w:sz w:val="16"/>
              </w:rPr>
              <w:t>Two-direction postMessage, origin, source, schema and privileged-action tracing, independently corroborated</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The unsafe design pattern is directly observed; end-to-end exploitability requires a nested, navigated or compromised remote frame and remains runtime-unverified.</w:t>
            </w:r>
          </w:p>
        </w:tc>
      </w:tr>
      <w:tr>
        <w:tc>
          <w:tcPr>
            <w:tcW w:type="dxa" w:w="988"/>
            <w:vAlign w:val="center"/>
            <w:tcMar>
              <w:top w:w="80" w:type="dxa"/>
              <w:start w:w="120" w:type="dxa"/>
              <w:bottom w:w="80" w:type="dxa"/>
              <w:end w:w="120" w:type="dxa"/>
            </w:tcMar>
          </w:tcPr>
          <w:p>
            <w:r>
              <w:rPr>
                <w:sz w:val="16"/>
              </w:rPr>
              <w:t>EVD-AUTH-001</w:t>
            </w:r>
          </w:p>
        </w:tc>
        <w:tc>
          <w:tcPr>
            <w:tcW w:type="dxa" w:w="1580"/>
            <w:vAlign w:val="center"/>
            <w:tcMar>
              <w:top w:w="80" w:type="dxa"/>
              <w:start w:w="120" w:type="dxa"/>
              <w:bottom w:w="80" w:type="dxa"/>
              <w:end w:w="120" w:type="dxa"/>
            </w:tcMar>
          </w:tcPr>
          <w:p>
            <w:r>
              <w:rPr>
                <w:sz w:val="16"/>
              </w:rPr>
              <w:t>Authentication, logout and diagnostic-data review</w:t>
            </w:r>
          </w:p>
        </w:tc>
        <w:tc>
          <w:tcPr>
            <w:tcW w:type="dxa" w:w="1848"/>
            <w:vAlign w:val="center"/>
            <w:tcMar>
              <w:top w:w="80" w:type="dxa"/>
              <w:start w:w="120" w:type="dxa"/>
              <w:bottom w:w="80" w:type="dxa"/>
              <w:end w:w="120" w:type="dxa"/>
            </w:tcMar>
          </w:tcPr>
          <w:p>
            <w:r>
              <w:rPr>
                <w:sz w:val="16"/>
              </w:rPr>
              <w:t>URI handler, VS Code SecretStorage calls, Sentry breadcrumbs, logout routine and debug export in the retained bundle</w:t>
            </w:r>
          </w:p>
        </w:tc>
        <w:tc>
          <w:tcPr>
            <w:tcW w:type="dxa" w:w="1848"/>
            <w:vAlign w:val="center"/>
            <w:tcMar>
              <w:top w:w="80" w:type="dxa"/>
              <w:start w:w="120" w:type="dxa"/>
              <w:bottom w:w="80" w:type="dxa"/>
              <w:end w:w="120" w:type="dxa"/>
            </w:tcMar>
          </w:tcPr>
          <w:p>
            <w:r>
              <w:rPr>
                <w:sz w:val="16"/>
              </w:rPr>
              <w:t>Source-to-sink tracing of redemption URI, stored values, breadcrumb handling, deletion calls and support bundle fields</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No real secret was used; replay value, server revocation and retained values after logout were not observed.</w:t>
            </w:r>
          </w:p>
        </w:tc>
      </w:tr>
      <w:tr>
        <w:tc>
          <w:tcPr>
            <w:tcW w:type="dxa" w:w="988"/>
            <w:vAlign w:val="center"/>
            <w:tcMar>
              <w:top w:w="80" w:type="dxa"/>
              <w:start w:w="120" w:type="dxa"/>
              <w:bottom w:w="80" w:type="dxa"/>
              <w:end w:w="120" w:type="dxa"/>
            </w:tcMar>
          </w:tcPr>
          <w:p>
            <w:r>
              <w:rPr>
                <w:sz w:val="16"/>
              </w:rPr>
              <w:t>EVD-TELEMETRY-001</w:t>
            </w:r>
          </w:p>
        </w:tc>
        <w:tc>
          <w:tcPr>
            <w:tcW w:type="dxa" w:w="1580"/>
            <w:vAlign w:val="center"/>
            <w:tcMar>
              <w:top w:w="80" w:type="dxa"/>
              <w:start w:w="120" w:type="dxa"/>
              <w:bottom w:w="80" w:type="dxa"/>
              <w:end w:w="120" w:type="dxa"/>
            </w:tcMar>
          </w:tcPr>
          <w:p>
            <w:r>
              <w:rPr>
                <w:sz w:val="16"/>
              </w:rPr>
              <w:t>Direct Figma, Datadog-bound and Sentry telemetry review</w:t>
            </w:r>
          </w:p>
        </w:tc>
        <w:tc>
          <w:tcPr>
            <w:tcW w:type="dxa" w:w="1848"/>
            <w:vAlign w:val="center"/>
            <w:tcMar>
              <w:top w:w="80" w:type="dxa"/>
              <w:start w:w="120" w:type="dxa"/>
              <w:bottom w:w="80" w:type="dxa"/>
              <w:end w:w="120" w:type="dxa"/>
            </w:tcMar>
          </w:tcPr>
          <w:p>
            <w:r>
              <w:rPr>
                <w:sz w:val="16"/>
              </w:rPr>
              <w:t>Telemetry initialisation and event dispatch in the retained bundle</w:t>
            </w:r>
          </w:p>
        </w:tc>
        <w:tc>
          <w:tcPr>
            <w:tcW w:type="dxa" w:w="1848"/>
            <w:vAlign w:val="center"/>
            <w:tcMar>
              <w:top w:w="80" w:type="dxa"/>
              <w:start w:w="120" w:type="dxa"/>
              <w:bottom w:w="80" w:type="dxa"/>
              <w:end w:w="120" w:type="dxa"/>
            </w:tcMar>
          </w:tcPr>
          <w:p>
            <w:r>
              <w:rPr>
                <w:sz w:val="16"/>
              </w:rPr>
              <w:t>Static tracing of destinations, identifiers, event fields and VS Code telemetry-policy hooks</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Static absence of host telemetry hooks is strong design evidence; actual emissions, payloads, retention and policy response remain unobserved.</w:t>
            </w:r>
          </w:p>
        </w:tc>
      </w:tr>
      <w:tr>
        <w:tc>
          <w:tcPr>
            <w:tcW w:type="dxa" w:w="988"/>
            <w:vAlign w:val="center"/>
            <w:tcMar>
              <w:top w:w="80" w:type="dxa"/>
              <w:start w:w="120" w:type="dxa"/>
              <w:bottom w:w="80" w:type="dxa"/>
              <w:end w:w="120" w:type="dxa"/>
            </w:tcMar>
          </w:tcPr>
          <w:p>
            <w:r>
              <w:rPr>
                <w:sz w:val="16"/>
              </w:rPr>
              <w:t>EVD-WORKSPACE-001</w:t>
            </w:r>
          </w:p>
        </w:tc>
        <w:tc>
          <w:tcPr>
            <w:tcW w:type="dxa" w:w="1580"/>
            <w:vAlign w:val="center"/>
            <w:tcMar>
              <w:top w:w="80" w:type="dxa"/>
              <w:start w:w="120" w:type="dxa"/>
              <w:bottom w:w="80" w:type="dxa"/>
              <w:end w:w="120" w:type="dxa"/>
            </w:tcMar>
          </w:tcPr>
          <w:p>
            <w:r>
              <w:rPr>
                <w:sz w:val="16"/>
              </w:rPr>
              <w:t>Workspace write, Code Connect process and URL handling review</w:t>
            </w:r>
          </w:p>
        </w:tc>
        <w:tc>
          <w:tcPr>
            <w:tcW w:type="dxa" w:w="1848"/>
            <w:vAlign w:val="center"/>
            <w:tcMar>
              <w:top w:w="80" w:type="dxa"/>
              <w:start w:w="120" w:type="dxa"/>
              <w:bottom w:w="80" w:type="dxa"/>
              <w:end w:w="120" w:type="dxa"/>
            </w:tcMar>
          </w:tcPr>
          <w:p>
            <w:r>
              <w:rPr>
                <w:sz w:val="16"/>
              </w:rPr>
              <w:t>Asset export, Code Connect parser, Git metadata and openExternal paths in the retained bundle</w:t>
            </w:r>
          </w:p>
        </w:tc>
        <w:tc>
          <w:tcPr>
            <w:tcW w:type="dxa" w:w="1848"/>
            <w:vAlign w:val="center"/>
            <w:tcMar>
              <w:top w:w="80" w:type="dxa"/>
              <w:start w:w="120" w:type="dxa"/>
              <w:bottom w:w="80" w:type="dxa"/>
              <w:end w:w="120" w:type="dxa"/>
            </w:tcMar>
          </w:tcPr>
          <w:p>
            <w:r>
              <w:rPr>
                <w:sz w:val="16"/>
              </w:rPr>
              <w:t>Trust-boundary tracing of remote inputs to filesystem, child-process and browser sinks</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Traversal, symlink, oversized-input, untrusted-workspace and denial paths were not executed.</w:t>
            </w:r>
          </w:p>
        </w:tc>
      </w:tr>
      <w:tr>
        <w:tc>
          <w:tcPr>
            <w:tcW w:type="dxa" w:w="988"/>
            <w:vAlign w:val="center"/>
            <w:tcMar>
              <w:top w:w="80" w:type="dxa"/>
              <w:start w:w="120" w:type="dxa"/>
              <w:bottom w:w="80" w:type="dxa"/>
              <w:end w:w="120" w:type="dxa"/>
            </w:tcMar>
          </w:tcPr>
          <w:p>
            <w:r>
              <w:rPr>
                <w:sz w:val="16"/>
              </w:rPr>
              <w:t>EVD-MALWARE-001</w:t>
            </w:r>
          </w:p>
        </w:tc>
        <w:tc>
          <w:tcPr>
            <w:tcW w:type="dxa" w:w="1580"/>
            <w:vAlign w:val="center"/>
            <w:tcMar>
              <w:top w:w="80" w:type="dxa"/>
              <w:start w:w="120" w:type="dxa"/>
              <w:bottom w:w="80" w:type="dxa"/>
              <w:end w:w="120" w:type="dxa"/>
            </w:tcMar>
          </w:tcPr>
          <w:p>
            <w:r>
              <w:rPr>
                <w:sz w:val="16"/>
              </w:rPr>
              <w:t>Static malware and secret review</w:t>
            </w:r>
          </w:p>
        </w:tc>
        <w:tc>
          <w:tcPr>
            <w:tcW w:type="dxa" w:w="1848"/>
            <w:vAlign w:val="center"/>
            <w:tcMar>
              <w:top w:w="80" w:type="dxa"/>
              <w:start w:w="120" w:type="dxa"/>
              <w:bottom w:w="80" w:type="dxa"/>
              <w:end w:w="120" w:type="dxa"/>
            </w:tcMar>
          </w:tcPr>
          <w:p>
            <w:r>
              <w:rPr>
                <w:sz w:val="16"/>
              </w:rPr>
              <w:t>ClamAV log, assessment-specific YARA result, Trivy secret scan and Gitleaks output</w:t>
            </w:r>
          </w:p>
        </w:tc>
        <w:tc>
          <w:tcPr>
            <w:tcW w:type="dxa" w:w="1848"/>
            <w:vAlign w:val="center"/>
            <w:tcMar>
              <w:top w:w="80" w:type="dxa"/>
              <w:start w:w="120" w:type="dxa"/>
              <w:bottom w:w="80" w:type="dxa"/>
              <w:end w:w="120" w:type="dxa"/>
            </w:tcMar>
          </w:tcPr>
          <w:p>
            <w:r>
              <w:rPr>
                <w:sz w:val="16"/>
              </w:rPr>
              <w:t>ClamAV 1.5.3 database 28071, YARA 4.5.8, Trivy 0.72.0 and Gitleaks 8.30.1 over the verified extraction</w:t>
            </w:r>
          </w:p>
        </w:tc>
        <w:tc>
          <w:tcPr>
            <w:tcW w:type="dxa" w:w="1249"/>
            <w:vAlign w:val="center"/>
            <w:tcMar>
              <w:top w:w="80" w:type="dxa"/>
              <w:start w:w="120" w:type="dxa"/>
              <w:bottom w:w="80" w:type="dxa"/>
              <w:end w:w="120" w:type="dxa"/>
            </w:tcMar>
          </w:tcPr>
          <w:p>
            <w:r>
              <w:rPr>
                <w:sz w:val="16"/>
              </w:rPr>
              <w:t>Not observed</w:t>
            </w:r>
          </w:p>
        </w:tc>
        <w:tc>
          <w:tcPr>
            <w:tcW w:type="dxa" w:w="1847"/>
            <w:vAlign w:val="center"/>
            <w:tcMar>
              <w:top w:w="80" w:type="dxa"/>
              <w:start w:w="120" w:type="dxa"/>
              <w:bottom w:w="80" w:type="dxa"/>
              <w:end w:w="120" w:type="dxa"/>
            </w:tcMar>
          </w:tcPr>
          <w:p>
            <w:r>
              <w:rPr>
                <w:sz w:val="16"/>
              </w:rPr>
              <w:t>No detection is not proof of absence; the ClamAV database warned that it was older than seven days and no code was detonated.</w:t>
            </w:r>
          </w:p>
        </w:tc>
      </w:tr>
      <w:tr>
        <w:tc>
          <w:tcPr>
            <w:tcW w:type="dxa" w:w="988"/>
            <w:vAlign w:val="center"/>
            <w:tcMar>
              <w:top w:w="80" w:type="dxa"/>
              <w:start w:w="120" w:type="dxa"/>
              <w:bottom w:w="80" w:type="dxa"/>
              <w:end w:w="120" w:type="dxa"/>
            </w:tcMar>
          </w:tcPr>
          <w:p>
            <w:r>
              <w:rPr>
                <w:sz w:val="16"/>
              </w:rPr>
              <w:t>EVD-SEMGREP-001</w:t>
            </w:r>
          </w:p>
        </w:tc>
        <w:tc>
          <w:tcPr>
            <w:tcW w:type="dxa" w:w="1580"/>
            <w:vAlign w:val="center"/>
            <w:tcMar>
              <w:top w:w="80" w:type="dxa"/>
              <w:start w:w="120" w:type="dxa"/>
              <w:bottom w:w="80" w:type="dxa"/>
              <w:end w:w="120" w:type="dxa"/>
            </w:tcMar>
          </w:tcPr>
          <w:p>
            <w:r>
              <w:rPr>
                <w:sz w:val="16"/>
              </w:rPr>
              <w:t>Targeted Semgrep webview checks</w:t>
            </w:r>
          </w:p>
        </w:tc>
        <w:tc>
          <w:tcPr>
            <w:tcW w:type="dxa" w:w="1848"/>
            <w:vAlign w:val="center"/>
            <w:tcMar>
              <w:top w:w="80" w:type="dxa"/>
              <w:start w:w="120" w:type="dxa"/>
              <w:bottom w:w="80" w:type="dxa"/>
              <w:end w:w="120" w:type="dxa"/>
            </w:tcMar>
          </w:tcPr>
          <w:p>
            <w:r>
              <w:rPr>
                <w:sz w:val="16"/>
              </w:rPr>
              <w:t>semgrep.json</w:t>
            </w:r>
          </w:p>
        </w:tc>
        <w:tc>
          <w:tcPr>
            <w:tcW w:type="dxa" w:w="1848"/>
            <w:vAlign w:val="center"/>
            <w:tcMar>
              <w:top w:w="80" w:type="dxa"/>
              <w:start w:w="120" w:type="dxa"/>
              <w:bottom w:w="80" w:type="dxa"/>
              <w:end w:w="120" w:type="dxa"/>
            </w:tcMar>
          </w:tcPr>
          <w:p>
            <w:r>
              <w:rPr>
                <w:sz w:val="16"/>
              </w:rPr>
              <w:t>Semgrep 1.172.0 with three assessment-specific rules over resources/webview.js</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Two design signals corroborate manual review; the 15.6 MB bundle exceeded practical whole-file analysis and was reviewed with bounded manual and literal methods instead.</w:t>
            </w:r>
          </w:p>
        </w:tc>
      </w:tr>
      <w:tr>
        <w:tc>
          <w:tcPr>
            <w:tcW w:type="dxa" w:w="988"/>
            <w:vAlign w:val="center"/>
            <w:tcMar>
              <w:top w:w="80" w:type="dxa"/>
              <w:start w:w="120" w:type="dxa"/>
              <w:bottom w:w="80" w:type="dxa"/>
              <w:end w:w="120" w:type="dxa"/>
            </w:tcMar>
          </w:tcPr>
          <w:p>
            <w:r>
              <w:rPr>
                <w:sz w:val="16"/>
              </w:rPr>
              <w:t>EVD-SBOM-001</w:t>
            </w:r>
          </w:p>
        </w:tc>
        <w:tc>
          <w:tcPr>
            <w:tcW w:type="dxa" w:w="1580"/>
            <w:vAlign w:val="center"/>
            <w:tcMar>
              <w:top w:w="80" w:type="dxa"/>
              <w:start w:w="120" w:type="dxa"/>
              <w:bottom w:w="80" w:type="dxa"/>
              <w:end w:w="120" w:type="dxa"/>
            </w:tcMar>
          </w:tcPr>
          <w:p>
            <w:r>
              <w:rPr>
                <w:sz w:val="16"/>
              </w:rPr>
              <w:t>Component inventory and vulnerability triage</w:t>
            </w:r>
          </w:p>
        </w:tc>
        <w:tc>
          <w:tcPr>
            <w:tcW w:type="dxa" w:w="1848"/>
            <w:vAlign w:val="center"/>
            <w:tcMar>
              <w:top w:w="80" w:type="dxa"/>
              <w:start w:w="120" w:type="dxa"/>
              <w:bottom w:w="80" w:type="dxa"/>
              <w:end w:w="120" w:type="dxa"/>
            </w:tcMar>
          </w:tcPr>
          <w:p>
            <w:r>
              <w:rPr>
                <w:sz w:val="16"/>
              </w:rPr>
              <w:t>Syft, Grype, Trivy, OSV and sbom-style-inventory.json</w:t>
            </w:r>
          </w:p>
        </w:tc>
        <w:tc>
          <w:tcPr>
            <w:tcW w:type="dxa" w:w="1848"/>
            <w:vAlign w:val="center"/>
            <w:tcMar>
              <w:top w:w="80" w:type="dxa"/>
              <w:start w:w="120" w:type="dxa"/>
              <w:bottom w:w="80" w:type="dxa"/>
              <w:end w:w="120" w:type="dxa"/>
            </w:tcMar>
          </w:tcPr>
          <w:p>
            <w:r>
              <w:rPr>
                <w:sz w:val="16"/>
              </w:rPr>
              <w:t>Static discovery and exact-version OSV queries without executing package code</w:t>
            </w:r>
          </w:p>
        </w:tc>
        <w:tc>
          <w:tcPr>
            <w:tcW w:type="dxa" w:w="1249"/>
            <w:vAlign w:val="center"/>
            <w:tcMar>
              <w:top w:w="80" w:type="dxa"/>
              <w:start w:w="120" w:type="dxa"/>
              <w:bottom w:w="80" w:type="dxa"/>
              <w:end w:w="120" w:type="dxa"/>
            </w:tcMar>
          </w:tcPr>
          <w:p>
            <w:r>
              <w:rPr>
                <w:sz w:val="16"/>
              </w:rPr>
              <w:t>Unknown</w:t>
            </w:r>
          </w:p>
        </w:tc>
        <w:tc>
          <w:tcPr>
            <w:tcW w:type="dxa" w:w="1847"/>
            <w:vAlign w:val="center"/>
            <w:tcMar>
              <w:top w:w="80" w:type="dxa"/>
              <w:start w:w="120" w:type="dxa"/>
              <w:bottom w:w="80" w:type="dxa"/>
              <w:end w:w="120" w:type="dxa"/>
            </w:tcMar>
          </w:tcPr>
          <w:p>
            <w:r>
              <w:rPr>
                <w:sz w:val="16"/>
              </w:rPr>
              <w:t>Syft found zero standard components; only Sentry 7.94.1, localForage 1.10.0 and React 18.3.1 were version-bound from the bundle, and no complete transitive inventory exists.</w:t>
            </w:r>
          </w:p>
        </w:tc>
      </w:tr>
      <w:tr>
        <w:tc>
          <w:tcPr>
            <w:tcW w:type="dxa" w:w="988"/>
            <w:vAlign w:val="center"/>
            <w:tcMar>
              <w:top w:w="80" w:type="dxa"/>
              <w:start w:w="120" w:type="dxa"/>
              <w:bottom w:w="80" w:type="dxa"/>
              <w:end w:w="120" w:type="dxa"/>
            </w:tcMar>
          </w:tcPr>
          <w:p>
            <w:r>
              <w:rPr>
                <w:sz w:val="16"/>
              </w:rPr>
              <w:t>EVD-SOURCE-001</w:t>
            </w:r>
          </w:p>
        </w:tc>
        <w:tc>
          <w:tcPr>
            <w:tcW w:type="dxa" w:w="1580"/>
            <w:vAlign w:val="center"/>
            <w:tcMar>
              <w:top w:w="80" w:type="dxa"/>
              <w:start w:w="120" w:type="dxa"/>
              <w:bottom w:w="80" w:type="dxa"/>
              <w:end w:w="120" w:type="dxa"/>
            </w:tcMar>
          </w:tcPr>
          <w:p>
            <w:r>
              <w:rPr>
                <w:sz w:val="16"/>
              </w:rPr>
              <w:t>Version-bound source availability and reproducibility</w:t>
            </w:r>
          </w:p>
        </w:tc>
        <w:tc>
          <w:tcPr>
            <w:tcW w:type="dxa" w:w="1848"/>
            <w:vAlign w:val="center"/>
            <w:tcMar>
              <w:top w:w="80" w:type="dxa"/>
              <w:start w:w="120" w:type="dxa"/>
              <w:bottom w:w="80" w:type="dxa"/>
              <w:end w:w="120" w:type="dxa"/>
            </w:tcMar>
          </w:tcPr>
          <w:p>
            <w:r>
              <w:rPr>
                <w:sz w:val="16"/>
              </w:rPr>
              <w:t>Marketplace/package source URL and official figma/figma repository resolution attempts</w:t>
            </w:r>
          </w:p>
        </w:tc>
        <w:tc>
          <w:tcPr>
            <w:tcW w:type="dxa" w:w="1848"/>
            <w:vAlign w:val="center"/>
            <w:tcMar>
              <w:top w:w="80" w:type="dxa"/>
              <w:start w:w="120" w:type="dxa"/>
              <w:bottom w:w="80" w:type="dxa"/>
              <w:end w:w="120" w:type="dxa"/>
            </w:tcMar>
          </w:tcPr>
          <w:p>
            <w:r>
              <w:rPr>
                <w:sz w:val="16"/>
              </w:rPr>
              <w:t>Primary-source metadata review, GitHub API resolution and remote Git reference lookup</w:t>
            </w:r>
          </w:p>
        </w:tc>
        <w:tc>
          <w:tcPr>
            <w:tcW w:type="dxa" w:w="1249"/>
            <w:vAlign w:val="center"/>
            <w:tcMar>
              <w:top w:w="80" w:type="dxa"/>
              <w:start w:w="120" w:type="dxa"/>
              <w:bottom w:w="80" w:type="dxa"/>
              <w:end w:w="120" w:type="dxa"/>
            </w:tcMar>
          </w:tcPr>
          <w:p>
            <w:r>
              <w:rPr>
                <w:sz w:val="16"/>
              </w:rPr>
              <w:t>Unknown</w:t>
            </w:r>
          </w:p>
        </w:tc>
        <w:tc>
          <w:tcPr>
            <w:tcW w:type="dxa" w:w="1847"/>
            <w:vAlign w:val="center"/>
            <w:tcMar>
              <w:top w:w="80" w:type="dxa"/>
              <w:start w:w="120" w:type="dxa"/>
              <w:bottom w:w="80" w:type="dxa"/>
              <w:end w:w="120" w:type="dxa"/>
            </w:tcMar>
          </w:tcPr>
          <w:p>
            <w:r>
              <w:rPr>
                <w:sz w:val="16"/>
              </w:rPr>
              <w:t>The declared public source URL returned not found; no release commit, lockfile, source map or reproducible build provenance was established.</w:t>
            </w:r>
          </w:p>
        </w:tc>
      </w:tr>
      <w:tr>
        <w:tc>
          <w:tcPr>
            <w:tcW w:type="dxa" w:w="988"/>
            <w:vAlign w:val="center"/>
            <w:tcMar>
              <w:top w:w="80" w:type="dxa"/>
              <w:start w:w="120" w:type="dxa"/>
              <w:bottom w:w="80" w:type="dxa"/>
              <w:end w:w="120" w:type="dxa"/>
            </w:tcMar>
          </w:tcPr>
          <w:p>
            <w:r>
              <w:rPr>
                <w:sz w:val="16"/>
              </w:rPr>
              <w:t>EVD-DOCS-001</w:t>
            </w:r>
          </w:p>
        </w:tc>
        <w:tc>
          <w:tcPr>
            <w:tcW w:type="dxa" w:w="1580"/>
            <w:vAlign w:val="center"/>
            <w:tcMar>
              <w:top w:w="80" w:type="dxa"/>
              <w:start w:w="120" w:type="dxa"/>
              <w:bottom w:w="80" w:type="dxa"/>
              <w:end w:w="120" w:type="dxa"/>
            </w:tcMar>
          </w:tcPr>
          <w:p>
            <w:r>
              <w:rPr>
                <w:sz w:val="16"/>
              </w:rPr>
              <w:t>Official product, help and network documentation</w:t>
            </w:r>
          </w:p>
        </w:tc>
        <w:tc>
          <w:tcPr>
            <w:tcW w:type="dxa" w:w="1848"/>
            <w:vAlign w:val="center"/>
            <w:tcMar>
              <w:top w:w="80" w:type="dxa"/>
              <w:start w:w="120" w:type="dxa"/>
              <w:bottom w:w="80" w:type="dxa"/>
              <w:end w:w="120" w:type="dxa"/>
            </w:tcMar>
          </w:tcPr>
          <w:p>
            <w:r>
              <w:rPr>
                <w:sz w:val="16"/>
              </w:rPr>
              <w:t>Figma Marketplace, Help Center and network guidance accessed 2026-08-03</w:t>
            </w:r>
          </w:p>
        </w:tc>
        <w:tc>
          <w:tcPr>
            <w:tcW w:type="dxa" w:w="1848"/>
            <w:vAlign w:val="center"/>
            <w:tcMar>
              <w:top w:w="80" w:type="dxa"/>
              <w:start w:w="120" w:type="dxa"/>
              <w:bottom w:w="80" w:type="dxa"/>
              <w:end w:w="120" w:type="dxa"/>
            </w:tcMar>
          </w:tcPr>
          <w:p>
            <w:r>
              <w:rPr>
                <w:sz w:val="16"/>
              </w:rPr>
              <w:t>Primary-source review and comparison with retained package capabilities</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Current service documentation is not a version-pinned runtime contract for extension 0.4.5.</w:t>
            </w:r>
          </w:p>
        </w:tc>
      </w:tr>
      <w:tr>
        <w:tc>
          <w:tcPr>
            <w:tcW w:type="dxa" w:w="988"/>
            <w:vAlign w:val="center"/>
            <w:tcMar>
              <w:top w:w="80" w:type="dxa"/>
              <w:start w:w="120" w:type="dxa"/>
              <w:bottom w:w="80" w:type="dxa"/>
              <w:end w:w="120" w:type="dxa"/>
            </w:tcMar>
          </w:tcPr>
          <w:p>
            <w:r>
              <w:rPr>
                <w:sz w:val="16"/>
              </w:rPr>
              <w:t>EVD-PRIVACY-001</w:t>
            </w:r>
          </w:p>
        </w:tc>
        <w:tc>
          <w:tcPr>
            <w:tcW w:type="dxa" w:w="1580"/>
            <w:vAlign w:val="center"/>
            <w:tcMar>
              <w:top w:w="80" w:type="dxa"/>
              <w:start w:w="120" w:type="dxa"/>
              <w:bottom w:w="80" w:type="dxa"/>
              <w:end w:w="120" w:type="dxa"/>
            </w:tcMar>
          </w:tcPr>
          <w:p>
            <w:r>
              <w:rPr>
                <w:sz w:val="16"/>
              </w:rPr>
              <w:t>Figma privacy, DPA and public security statements</w:t>
            </w:r>
          </w:p>
        </w:tc>
        <w:tc>
          <w:tcPr>
            <w:tcW w:type="dxa" w:w="1848"/>
            <w:vAlign w:val="center"/>
            <w:tcMar>
              <w:top w:w="80" w:type="dxa"/>
              <w:start w:w="120" w:type="dxa"/>
              <w:bottom w:w="80" w:type="dxa"/>
              <w:end w:w="120" w:type="dxa"/>
            </w:tcMar>
          </w:tcPr>
          <w:p>
            <w:r>
              <w:rPr>
                <w:sz w:val="16"/>
              </w:rPr>
              <w:t>Figma Privacy Policy effective 2026-06-02, public DPA and security materials</w:t>
            </w:r>
          </w:p>
        </w:tc>
        <w:tc>
          <w:tcPr>
            <w:tcW w:type="dxa" w:w="1848"/>
            <w:vAlign w:val="center"/>
            <w:tcMar>
              <w:top w:w="80" w:type="dxa"/>
              <w:start w:w="120" w:type="dxa"/>
              <w:bottom w:w="80" w:type="dxa"/>
              <w:end w:w="120" w:type="dxa"/>
            </w:tcMar>
          </w:tcPr>
          <w:p>
            <w:r>
              <w:rPr>
                <w:sz w:val="16"/>
              </w:rPr>
              <w:t>Purpose, data-category, telemetry, transfer, subprocessor, rights, incident and assurance review</w:t>
            </w:r>
          </w:p>
        </w:tc>
        <w:tc>
          <w:tcPr>
            <w:tcW w:type="dxa" w:w="1249"/>
            <w:vAlign w:val="center"/>
            <w:tcMar>
              <w:top w:w="80" w:type="dxa"/>
              <w:start w:w="120" w:type="dxa"/>
              <w:bottom w:w="80" w:type="dxa"/>
              <w:end w:w="120" w:type="dxa"/>
            </w:tcMar>
          </w:tcPr>
          <w:p>
            <w:r>
              <w:rPr>
                <w:sz w:val="16"/>
              </w:rPr>
              <w:t>Verified</w:t>
            </w:r>
          </w:p>
        </w:tc>
        <w:tc>
          <w:tcPr>
            <w:tcW w:type="dxa" w:w="1847"/>
            <w:vAlign w:val="center"/>
            <w:tcMar>
              <w:top w:w="80" w:type="dxa"/>
              <w:start w:w="120" w:type="dxa"/>
              <w:bottom w:w="80" w:type="dxa"/>
              <w:end w:w="120" w:type="dxa"/>
            </w:tcMar>
          </w:tcPr>
          <w:p>
            <w:r>
              <w:rPr>
                <w:sz w:val="16"/>
              </w:rPr>
              <w:t>Public terms are not an executed enterprise schedule, DPIA, transfer assessment, deletion certificate or service-side log sample.</w:t>
            </w:r>
          </w:p>
        </w:tc>
      </w:tr>
      <w:tr>
        <w:tc>
          <w:tcPr>
            <w:tcW w:type="dxa" w:w="988"/>
            <w:vAlign w:val="center"/>
            <w:tcMar>
              <w:top w:w="80" w:type="dxa"/>
              <w:start w:w="120" w:type="dxa"/>
              <w:bottom w:w="80" w:type="dxa"/>
              <w:end w:w="120" w:type="dxa"/>
            </w:tcMar>
          </w:tcPr>
          <w:p>
            <w:r>
              <w:rPr>
                <w:sz w:val="16"/>
              </w:rPr>
              <w:t>EVD-RUNTIME-001</w:t>
            </w:r>
          </w:p>
        </w:tc>
        <w:tc>
          <w:tcPr>
            <w:tcW w:type="dxa" w:w="1580"/>
            <w:vAlign w:val="center"/>
            <w:tcMar>
              <w:top w:w="80" w:type="dxa"/>
              <w:start w:w="120" w:type="dxa"/>
              <w:bottom w:w="80" w:type="dxa"/>
              <w:end w:w="120" w:type="dxa"/>
            </w:tcMar>
          </w:tcPr>
          <w:p>
            <w:r>
              <w:rPr>
                <w:sz w:val="16"/>
              </w:rPr>
              <w:t>Representative behavioural runtime evidence</w:t>
            </w:r>
          </w:p>
        </w:tc>
        <w:tc>
          <w:tcPr>
            <w:tcW w:type="dxa" w:w="1848"/>
            <w:vAlign w:val="center"/>
            <w:tcMar>
              <w:top w:w="80" w:type="dxa"/>
              <w:start w:w="120" w:type="dxa"/>
              <w:bottom w:w="80" w:type="dxa"/>
              <w:end w:w="120" w:type="dxa"/>
            </w:tcMar>
          </w:tcPr>
          <w:p>
            <w:r>
              <w:rPr>
                <w:sz w:val="16"/>
              </w:rPr>
              <w:t>runtime-test-plan.json and assessment readiness review</w:t>
            </w:r>
          </w:p>
        </w:tc>
        <w:tc>
          <w:tcPr>
            <w:tcW w:type="dxa" w:w="1848"/>
            <w:vAlign w:val="center"/>
            <w:tcMar>
              <w:top w:w="80" w:type="dxa"/>
              <w:start w:w="120" w:type="dxa"/>
              <w:bottom w:w="80" w:type="dxa"/>
              <w:end w:w="120" w:type="dxa"/>
            </w:tcMar>
          </w:tcPr>
          <w:p>
            <w:r>
              <w:rPr>
                <w:sz w:val="16"/>
              </w:rPr>
              <w:t>Readiness gate for a disposable host, restricted/observable egress, synthetic Figma tenancy, safe plugin fixture and no production credentials</w:t>
            </w:r>
          </w:p>
        </w:tc>
        <w:tc>
          <w:tcPr>
            <w:tcW w:type="dxa" w:w="1249"/>
            <w:vAlign w:val="center"/>
            <w:tcMar>
              <w:top w:w="80" w:type="dxa"/>
              <w:start w:w="120" w:type="dxa"/>
              <w:bottom w:w="80" w:type="dxa"/>
              <w:end w:w="120" w:type="dxa"/>
            </w:tcMar>
          </w:tcPr>
          <w:p>
            <w:r>
              <w:rPr>
                <w:sz w:val="16"/>
              </w:rPr>
              <w:t>Blocked</w:t>
            </w:r>
          </w:p>
        </w:tc>
        <w:tc>
          <w:tcPr>
            <w:tcW w:type="dxa" w:w="1847"/>
            <w:vAlign w:val="center"/>
            <w:tcMar>
              <w:top w:w="80" w:type="dxa"/>
              <w:start w:w="120" w:type="dxa"/>
              <w:bottom w:w="80" w:type="dxa"/>
              <w:end w:w="120" w:type="dxa"/>
            </w:tcMar>
          </w:tcPr>
          <w:p>
            <w:r>
              <w:rPr>
                <w:sz w:val="16"/>
              </w:rPr>
              <w:t>Activation, authentication, iframe forgery, prompts, denial, network, telemetry, update, logout, uninstall and residue were not observed.</w:t>
            </w:r>
          </w:p>
        </w:tc>
      </w:tr>
    </w:tbl>
    <w:p/>
    <w:p>
      <w:pPr>
        <w:pStyle w:val="Heading1"/>
      </w:pPr>
      <w:r>
        <w:t>References</w:t>
      </w:r>
    </w:p>
    <w:tbl>
      <w:tblPr>
        <w:tblStyle w:val="TableGrid"/>
        <w:tblW w:type="dxa" w:w="9360"/>
        <w:tblLayout w:type="fixed"/>
        <w:tblLook w:firstColumn="1" w:firstRow="1" w:lastColumn="0" w:lastRow="0" w:noHBand="0" w:noVBand="1" w:val="04A0"/>
        <w:tblInd w:w="120" w:type="dxa"/>
      </w:tblPr>
      <w:tblGrid>
        <w:gridCol w:w="851"/>
        <w:gridCol w:w="1505"/>
        <w:gridCol w:w="1522"/>
        <w:gridCol w:w="2029"/>
        <w:gridCol w:w="1424"/>
        <w:gridCol w:w="2029"/>
      </w:tblGrid>
      <w:tr>
        <w:trPr>
          <w:tblHeader w:val="true"/>
        </w:trPr>
        <w:tc>
          <w:tcPr>
            <w:tcW w:type="dxa" w:w="851"/>
            <w:shd w:fill="F2F4F7"/>
            <w:tcMar>
              <w:top w:w="80" w:type="dxa"/>
              <w:start w:w="120" w:type="dxa"/>
              <w:bottom w:w="80" w:type="dxa"/>
              <w:end w:w="120" w:type="dxa"/>
            </w:tcMar>
          </w:tcPr>
          <w:p>
            <w:r>
              <w:t>ID</w:t>
            </w:r>
          </w:p>
        </w:tc>
        <w:tc>
          <w:tcPr>
            <w:tcW w:type="dxa" w:w="1505"/>
            <w:shd w:fill="F2F4F7"/>
            <w:tcMar>
              <w:top w:w="80" w:type="dxa"/>
              <w:start w:w="120" w:type="dxa"/>
              <w:bottom w:w="80" w:type="dxa"/>
              <w:end w:w="120" w:type="dxa"/>
            </w:tcMar>
          </w:tcPr>
          <w:p>
            <w:r>
              <w:t>Title</w:t>
            </w:r>
          </w:p>
        </w:tc>
        <w:tc>
          <w:tcPr>
            <w:tcW w:type="dxa" w:w="1522"/>
            <w:shd w:fill="F2F4F7"/>
            <w:tcMar>
              <w:top w:w="80" w:type="dxa"/>
              <w:start w:w="120" w:type="dxa"/>
              <w:bottom w:w="80" w:type="dxa"/>
              <w:end w:w="120" w:type="dxa"/>
            </w:tcMar>
          </w:tcPr>
          <w:p>
            <w:r>
              <w:t>Publisher</w:t>
            </w:r>
          </w:p>
        </w:tc>
        <w:tc>
          <w:tcPr>
            <w:tcW w:type="dxa" w:w="2029"/>
            <w:shd w:fill="F2F4F7"/>
            <w:tcMar>
              <w:top w:w="80" w:type="dxa"/>
              <w:start w:w="120" w:type="dxa"/>
              <w:bottom w:w="80" w:type="dxa"/>
              <w:end w:w="120" w:type="dxa"/>
            </w:tcMar>
          </w:tcPr>
          <w:p>
            <w:r>
              <w:t>Source</w:t>
            </w:r>
          </w:p>
        </w:tc>
        <w:tc>
          <w:tcPr>
            <w:tcW w:type="dxa" w:w="1424"/>
            <w:shd w:fill="F2F4F7"/>
            <w:tcMar>
              <w:top w:w="80" w:type="dxa"/>
              <w:start w:w="120" w:type="dxa"/>
              <w:bottom w:w="80" w:type="dxa"/>
              <w:end w:w="120" w:type="dxa"/>
            </w:tcMar>
            <w:noWrap/>
          </w:tcPr>
          <w:p>
            <w:r>
              <w:t>Accessed</w:t>
            </w:r>
          </w:p>
        </w:tc>
        <w:tc>
          <w:tcPr>
            <w:tcW w:type="dxa" w:w="2029"/>
            <w:shd w:fill="F2F4F7"/>
            <w:tcMar>
              <w:top w:w="80" w:type="dxa"/>
              <w:start w:w="120" w:type="dxa"/>
              <w:bottom w:w="80" w:type="dxa"/>
              <w:end w:w="120" w:type="dxa"/>
            </w:tcMar>
          </w:tcPr>
          <w:p>
            <w:r>
              <w:t>Applicability</w:t>
            </w:r>
          </w:p>
        </w:tc>
      </w:tr>
      <w:tr>
        <w:tc>
          <w:tcPr>
            <w:tcW w:type="dxa" w:w="851"/>
            <w:vAlign w:val="center"/>
            <w:tcMar>
              <w:top w:w="80" w:type="dxa"/>
              <w:start w:w="120" w:type="dxa"/>
              <w:bottom w:w="80" w:type="dxa"/>
              <w:end w:w="120" w:type="dxa"/>
            </w:tcMar>
          </w:tcPr>
          <w:p>
            <w:bookmarkStart w:id="1000" w:name="REF_001"/>
            <w:r>
              <w:rPr>
                <w:b/>
                <w:sz w:val="16"/>
              </w:rPr>
              <w:t>REF-001</w:t>
            </w:r>
            <w:bookmarkEnd w:id="1000"/>
          </w:p>
        </w:tc>
        <w:tc>
          <w:tcPr>
            <w:tcW w:type="dxa" w:w="1505"/>
            <w:vAlign w:val="center"/>
            <w:tcMar>
              <w:top w:w="80" w:type="dxa"/>
              <w:start w:w="120" w:type="dxa"/>
              <w:bottom w:w="80" w:type="dxa"/>
              <w:end w:w="120" w:type="dxa"/>
            </w:tcMar>
          </w:tcPr>
          <w:p>
            <w:r>
              <w:rPr>
                <w:sz w:val="16"/>
              </w:rPr>
              <w:t>Figma for VS Code</w:t>
            </w:r>
          </w:p>
        </w:tc>
        <w:tc>
          <w:tcPr>
            <w:tcW w:type="dxa" w:w="1522"/>
            <w:vAlign w:val="center"/>
            <w:tcMar>
              <w:top w:w="80" w:type="dxa"/>
              <w:start w:w="120" w:type="dxa"/>
              <w:bottom w:w="80" w:type="dxa"/>
              <w:end w:w="120" w:type="dxa"/>
            </w:tcMar>
          </w:tcPr>
          <w:p>
            <w:r>
              <w:rPr>
                <w:sz w:val="16"/>
              </w:rPr>
              <w:t>Microsoft Visual Studio Marketplace</w:t>
            </w:r>
          </w:p>
        </w:tc>
        <w:tc>
          <w:tcPr>
            <w:tcW w:type="dxa" w:w="2029"/>
            <w:vAlign w:val="center"/>
            <w:tcMar>
              <w:top w:w="80" w:type="dxa"/>
              <w:start w:w="120" w:type="dxa"/>
              <w:bottom w:w="80" w:type="dxa"/>
              <w:end w:w="120" w:type="dxa"/>
            </w:tcMar>
          </w:tcPr>
          <w:p>
            <w:hyperlink r:id="rId12">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Exact product identity, functions, seat requirement and Marketplace terms.</w:t>
            </w:r>
          </w:p>
        </w:tc>
      </w:tr>
      <w:tr>
        <w:tc>
          <w:tcPr>
            <w:tcW w:type="dxa" w:w="851"/>
            <w:vAlign w:val="center"/>
            <w:tcMar>
              <w:top w:w="80" w:type="dxa"/>
              <w:start w:w="120" w:type="dxa"/>
              <w:bottom w:w="80" w:type="dxa"/>
              <w:end w:w="120" w:type="dxa"/>
            </w:tcMar>
          </w:tcPr>
          <w:p>
            <w:bookmarkStart w:id="1001" w:name="REF_002"/>
            <w:r>
              <w:rPr>
                <w:b/>
                <w:sz w:val="16"/>
              </w:rPr>
              <w:t>REF-002</w:t>
            </w:r>
            <w:bookmarkEnd w:id="1001"/>
          </w:p>
        </w:tc>
        <w:tc>
          <w:tcPr>
            <w:tcW w:type="dxa" w:w="1505"/>
            <w:vAlign w:val="center"/>
            <w:tcMar>
              <w:top w:w="80" w:type="dxa"/>
              <w:start w:w="120" w:type="dxa"/>
              <w:bottom w:w="80" w:type="dxa"/>
              <w:end w:w="120" w:type="dxa"/>
            </w:tcMar>
          </w:tcPr>
          <w:p>
            <w:r>
              <w:rPr>
                <w:sz w:val="16"/>
              </w:rPr>
              <w:t>Figma for VS Code</w:t>
            </w:r>
          </w:p>
        </w:tc>
        <w:tc>
          <w:tcPr>
            <w:tcW w:type="dxa" w:w="1522"/>
            <w:vAlign w:val="center"/>
            <w:tcMar>
              <w:top w:w="80" w:type="dxa"/>
              <w:start w:w="120" w:type="dxa"/>
              <w:bottom w:w="80" w:type="dxa"/>
              <w:end w:w="120" w:type="dxa"/>
            </w:tcMar>
          </w:tcPr>
          <w:p>
            <w:r>
              <w:rPr>
                <w:sz w:val="16"/>
              </w:rPr>
              <w:t>Figma Help Center</w:t>
            </w:r>
          </w:p>
        </w:tc>
        <w:tc>
          <w:tcPr>
            <w:tcW w:type="dxa" w:w="2029"/>
            <w:vAlign w:val="center"/>
            <w:tcMar>
              <w:top w:w="80" w:type="dxa"/>
              <w:start w:w="120" w:type="dxa"/>
              <w:bottom w:w="80" w:type="dxa"/>
              <w:end w:w="120" w:type="dxa"/>
            </w:tcMar>
          </w:tcPr>
          <w:p>
            <w:hyperlink r:id="rId13">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Official use, sign-in, design inspection, asset export, plugins and logout guidance.</w:t>
            </w:r>
          </w:p>
        </w:tc>
      </w:tr>
      <w:tr>
        <w:tc>
          <w:tcPr>
            <w:tcW w:type="dxa" w:w="851"/>
            <w:vAlign w:val="center"/>
            <w:tcMar>
              <w:top w:w="80" w:type="dxa"/>
              <w:start w:w="120" w:type="dxa"/>
              <w:bottom w:w="80" w:type="dxa"/>
              <w:end w:w="120" w:type="dxa"/>
            </w:tcMar>
          </w:tcPr>
          <w:p>
            <w:bookmarkStart w:id="1002" w:name="REF_003"/>
            <w:r>
              <w:rPr>
                <w:b/>
                <w:sz w:val="16"/>
              </w:rPr>
              <w:t>REF-003</w:t>
            </w:r>
            <w:bookmarkEnd w:id="1002"/>
          </w:p>
        </w:tc>
        <w:tc>
          <w:tcPr>
            <w:tcW w:type="dxa" w:w="1505"/>
            <w:vAlign w:val="center"/>
            <w:tcMar>
              <w:top w:w="80" w:type="dxa"/>
              <w:start w:w="120" w:type="dxa"/>
              <w:bottom w:w="80" w:type="dxa"/>
              <w:end w:w="120" w:type="dxa"/>
            </w:tcMar>
          </w:tcPr>
          <w:p>
            <w:r>
              <w:rPr>
                <w:sz w:val="16"/>
              </w:rPr>
              <w:t>Adjust your network settings</w:t>
            </w:r>
          </w:p>
        </w:tc>
        <w:tc>
          <w:tcPr>
            <w:tcW w:type="dxa" w:w="1522"/>
            <w:vAlign w:val="center"/>
            <w:tcMar>
              <w:top w:w="80" w:type="dxa"/>
              <w:start w:w="120" w:type="dxa"/>
              <w:bottom w:w="80" w:type="dxa"/>
              <w:end w:w="120" w:type="dxa"/>
            </w:tcMar>
          </w:tcPr>
          <w:p>
            <w:r>
              <w:rPr>
                <w:sz w:val="16"/>
              </w:rPr>
              <w:t>Figma Help Center</w:t>
            </w:r>
          </w:p>
        </w:tc>
        <w:tc>
          <w:tcPr>
            <w:tcW w:type="dxa" w:w="2029"/>
            <w:vAlign w:val="center"/>
            <w:tcMar>
              <w:top w:w="80" w:type="dxa"/>
              <w:start w:w="120" w:type="dxa"/>
              <w:bottom w:w="80" w:type="dxa"/>
              <w:end w:w="120" w:type="dxa"/>
            </w:tcMar>
          </w:tcPr>
          <w:p>
            <w:hyperlink r:id="rId14">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Official enterprise network and WebSocket context.</w:t>
            </w:r>
          </w:p>
        </w:tc>
      </w:tr>
      <w:tr>
        <w:tc>
          <w:tcPr>
            <w:tcW w:type="dxa" w:w="851"/>
            <w:vAlign w:val="center"/>
            <w:tcMar>
              <w:top w:w="80" w:type="dxa"/>
              <w:start w:w="120" w:type="dxa"/>
              <w:bottom w:w="80" w:type="dxa"/>
              <w:end w:w="120" w:type="dxa"/>
            </w:tcMar>
          </w:tcPr>
          <w:p>
            <w:bookmarkStart w:id="1003" w:name="REF_004"/>
            <w:r>
              <w:rPr>
                <w:b/>
                <w:sz w:val="16"/>
              </w:rPr>
              <w:t>REF-004</w:t>
            </w:r>
            <w:bookmarkEnd w:id="1003"/>
          </w:p>
        </w:tc>
        <w:tc>
          <w:tcPr>
            <w:tcW w:type="dxa" w:w="1505"/>
            <w:vAlign w:val="center"/>
            <w:tcMar>
              <w:top w:w="80" w:type="dxa"/>
              <w:start w:w="120" w:type="dxa"/>
              <w:bottom w:w="80" w:type="dxa"/>
              <w:end w:w="120" w:type="dxa"/>
            </w:tcMar>
          </w:tcPr>
          <w:p>
            <w:r>
              <w:rPr>
                <w:sz w:val="16"/>
              </w:rPr>
              <w:t>Privacy Policy</w:t>
            </w:r>
          </w:p>
        </w:tc>
        <w:tc>
          <w:tcPr>
            <w:tcW w:type="dxa" w:w="1522"/>
            <w:vAlign w:val="center"/>
            <w:tcMar>
              <w:top w:w="80" w:type="dxa"/>
              <w:start w:w="120" w:type="dxa"/>
              <w:bottom w:w="80" w:type="dxa"/>
              <w:end w:w="120" w:type="dxa"/>
            </w:tcMar>
          </w:tcPr>
          <w:p>
            <w:r>
              <w:rPr>
                <w:sz w:val="16"/>
              </w:rPr>
              <w:t>Figma</w:t>
            </w:r>
          </w:p>
        </w:tc>
        <w:tc>
          <w:tcPr>
            <w:tcW w:type="dxa" w:w="2029"/>
            <w:vAlign w:val="center"/>
            <w:tcMar>
              <w:top w:w="80" w:type="dxa"/>
              <w:start w:w="120" w:type="dxa"/>
              <w:bottom w:w="80" w:type="dxa"/>
              <w:end w:w="120" w:type="dxa"/>
            </w:tcMar>
          </w:tcPr>
          <w:p>
            <w:hyperlink r:id="rId15">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Usage data, technical data, purposes, rights and current effective date.</w:t>
            </w:r>
          </w:p>
        </w:tc>
      </w:tr>
      <w:tr>
        <w:tc>
          <w:tcPr>
            <w:tcW w:type="dxa" w:w="851"/>
            <w:vAlign w:val="center"/>
            <w:tcMar>
              <w:top w:w="80" w:type="dxa"/>
              <w:start w:w="120" w:type="dxa"/>
              <w:bottom w:w="80" w:type="dxa"/>
              <w:end w:w="120" w:type="dxa"/>
            </w:tcMar>
          </w:tcPr>
          <w:p>
            <w:bookmarkStart w:id="1004" w:name="REF_005"/>
            <w:r>
              <w:rPr>
                <w:b/>
                <w:sz w:val="16"/>
              </w:rPr>
              <w:t>REF-005</w:t>
            </w:r>
            <w:bookmarkEnd w:id="1004"/>
          </w:p>
        </w:tc>
        <w:tc>
          <w:tcPr>
            <w:tcW w:type="dxa" w:w="1505"/>
            <w:vAlign w:val="center"/>
            <w:tcMar>
              <w:top w:w="80" w:type="dxa"/>
              <w:start w:w="120" w:type="dxa"/>
              <w:bottom w:w="80" w:type="dxa"/>
              <w:end w:w="120" w:type="dxa"/>
            </w:tcMar>
          </w:tcPr>
          <w:p>
            <w:r>
              <w:rPr>
                <w:sz w:val="16"/>
              </w:rPr>
              <w:t>Data Processing Addendum</w:t>
            </w:r>
          </w:p>
        </w:tc>
        <w:tc>
          <w:tcPr>
            <w:tcW w:type="dxa" w:w="1522"/>
            <w:vAlign w:val="center"/>
            <w:tcMar>
              <w:top w:w="80" w:type="dxa"/>
              <w:start w:w="120" w:type="dxa"/>
              <w:bottom w:w="80" w:type="dxa"/>
              <w:end w:w="120" w:type="dxa"/>
            </w:tcMar>
          </w:tcPr>
          <w:p>
            <w:r>
              <w:rPr>
                <w:sz w:val="16"/>
              </w:rPr>
              <w:t>Figma</w:t>
            </w:r>
          </w:p>
        </w:tc>
        <w:tc>
          <w:tcPr>
            <w:tcW w:type="dxa" w:w="2029"/>
            <w:vAlign w:val="center"/>
            <w:tcMar>
              <w:top w:w="80" w:type="dxa"/>
              <w:start w:w="120" w:type="dxa"/>
              <w:bottom w:w="80" w:type="dxa"/>
              <w:end w:w="120" w:type="dxa"/>
            </w:tcMar>
          </w:tcPr>
          <w:p>
            <w:hyperlink r:id="rId16">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Public processor terms, safeguards, subprocessors and transfer context.</w:t>
            </w:r>
          </w:p>
        </w:tc>
      </w:tr>
      <w:tr>
        <w:tc>
          <w:tcPr>
            <w:tcW w:type="dxa" w:w="851"/>
            <w:vAlign w:val="center"/>
            <w:tcMar>
              <w:top w:w="80" w:type="dxa"/>
              <w:start w:w="120" w:type="dxa"/>
              <w:bottom w:w="80" w:type="dxa"/>
              <w:end w:w="120" w:type="dxa"/>
            </w:tcMar>
          </w:tcPr>
          <w:p>
            <w:bookmarkStart w:id="1005" w:name="REF_006"/>
            <w:r>
              <w:rPr>
                <w:b/>
                <w:sz w:val="16"/>
              </w:rPr>
              <w:t>REF-006</w:t>
            </w:r>
            <w:bookmarkEnd w:id="1005"/>
          </w:p>
        </w:tc>
        <w:tc>
          <w:tcPr>
            <w:tcW w:type="dxa" w:w="1505"/>
            <w:vAlign w:val="center"/>
            <w:tcMar>
              <w:top w:w="80" w:type="dxa"/>
              <w:start w:w="120" w:type="dxa"/>
              <w:bottom w:w="80" w:type="dxa"/>
              <w:end w:w="120" w:type="dxa"/>
            </w:tcMar>
          </w:tcPr>
          <w:p>
            <w:r>
              <w:rPr>
                <w:sz w:val="16"/>
              </w:rPr>
              <w:t>Security</w:t>
            </w:r>
          </w:p>
        </w:tc>
        <w:tc>
          <w:tcPr>
            <w:tcW w:type="dxa" w:w="1522"/>
            <w:vAlign w:val="center"/>
            <w:tcMar>
              <w:top w:w="80" w:type="dxa"/>
              <w:start w:w="120" w:type="dxa"/>
              <w:bottom w:w="80" w:type="dxa"/>
              <w:end w:w="120" w:type="dxa"/>
            </w:tcMar>
          </w:tcPr>
          <w:p>
            <w:r>
              <w:rPr>
                <w:sz w:val="16"/>
              </w:rPr>
              <w:t>Figma</w:t>
            </w:r>
          </w:p>
        </w:tc>
        <w:tc>
          <w:tcPr>
            <w:tcW w:type="dxa" w:w="2029"/>
            <w:vAlign w:val="center"/>
            <w:tcMar>
              <w:top w:w="80" w:type="dxa"/>
              <w:start w:w="120" w:type="dxa"/>
              <w:bottom w:w="80" w:type="dxa"/>
              <w:end w:w="120" w:type="dxa"/>
            </w:tcMar>
          </w:tcPr>
          <w:p>
            <w:hyperlink r:id="rId17">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Publisher security programme and assurance context.</w:t>
            </w:r>
          </w:p>
        </w:tc>
      </w:tr>
      <w:tr>
        <w:tc>
          <w:tcPr>
            <w:tcW w:type="dxa" w:w="851"/>
            <w:vAlign w:val="center"/>
            <w:tcMar>
              <w:top w:w="80" w:type="dxa"/>
              <w:start w:w="120" w:type="dxa"/>
              <w:bottom w:w="80" w:type="dxa"/>
              <w:end w:w="120" w:type="dxa"/>
            </w:tcMar>
          </w:tcPr>
          <w:p>
            <w:bookmarkStart w:id="1006" w:name="REF_007"/>
            <w:r>
              <w:rPr>
                <w:b/>
                <w:sz w:val="16"/>
              </w:rPr>
              <w:t>REF-007</w:t>
            </w:r>
            <w:bookmarkEnd w:id="1006"/>
          </w:p>
        </w:tc>
        <w:tc>
          <w:tcPr>
            <w:tcW w:type="dxa" w:w="1505"/>
            <w:vAlign w:val="center"/>
            <w:tcMar>
              <w:top w:w="80" w:type="dxa"/>
              <w:start w:w="120" w:type="dxa"/>
              <w:bottom w:w="80" w:type="dxa"/>
              <w:end w:w="120" w:type="dxa"/>
            </w:tcMar>
          </w:tcPr>
          <w:p>
            <w:r>
              <w:rPr>
                <w:sz w:val="16"/>
              </w:rPr>
              <w:t>Webview API</w:t>
            </w:r>
          </w:p>
        </w:tc>
        <w:tc>
          <w:tcPr>
            <w:tcW w:type="dxa" w:w="1522"/>
            <w:vAlign w:val="center"/>
            <w:tcMar>
              <w:top w:w="80" w:type="dxa"/>
              <w:start w:w="120" w:type="dxa"/>
              <w:bottom w:w="80" w:type="dxa"/>
              <w:end w:w="120" w:type="dxa"/>
            </w:tcMar>
          </w:tcPr>
          <w:p>
            <w:r>
              <w:rPr>
                <w:sz w:val="16"/>
              </w:rPr>
              <w:t>Microsoft Visual Studio Code</w:t>
            </w:r>
          </w:p>
        </w:tc>
        <w:tc>
          <w:tcPr>
            <w:tcW w:type="dxa" w:w="2029"/>
            <w:vAlign w:val="center"/>
            <w:tcMar>
              <w:top w:w="80" w:type="dxa"/>
              <w:start w:w="120" w:type="dxa"/>
              <w:bottom w:w="80" w:type="dxa"/>
              <w:end w:w="120" w:type="dxa"/>
            </w:tcMar>
          </w:tcPr>
          <w:p>
            <w:hyperlink r:id="rId18">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Webview power, message passing, least privilege and CSP guidance.</w:t>
            </w:r>
          </w:p>
        </w:tc>
      </w:tr>
      <w:tr>
        <w:tc>
          <w:tcPr>
            <w:tcW w:type="dxa" w:w="851"/>
            <w:vAlign w:val="center"/>
            <w:tcMar>
              <w:top w:w="80" w:type="dxa"/>
              <w:start w:w="120" w:type="dxa"/>
              <w:bottom w:w="80" w:type="dxa"/>
              <w:end w:w="120" w:type="dxa"/>
            </w:tcMar>
          </w:tcPr>
          <w:p>
            <w:bookmarkStart w:id="1007" w:name="REF_008"/>
            <w:r>
              <w:rPr>
                <w:b/>
                <w:sz w:val="16"/>
              </w:rPr>
              <w:t>REF-008</w:t>
            </w:r>
            <w:bookmarkEnd w:id="1007"/>
          </w:p>
        </w:tc>
        <w:tc>
          <w:tcPr>
            <w:tcW w:type="dxa" w:w="1505"/>
            <w:vAlign w:val="center"/>
            <w:tcMar>
              <w:top w:w="80" w:type="dxa"/>
              <w:start w:w="120" w:type="dxa"/>
              <w:bottom w:w="80" w:type="dxa"/>
              <w:end w:w="120" w:type="dxa"/>
            </w:tcMar>
          </w:tcPr>
          <w:p>
            <w:r>
              <w:rPr>
                <w:sz w:val="16"/>
              </w:rPr>
              <w:t>Telemetry extension authors guide</w:t>
            </w:r>
          </w:p>
        </w:tc>
        <w:tc>
          <w:tcPr>
            <w:tcW w:type="dxa" w:w="1522"/>
            <w:vAlign w:val="center"/>
            <w:tcMar>
              <w:top w:w="80" w:type="dxa"/>
              <w:start w:w="120" w:type="dxa"/>
              <w:bottom w:w="80" w:type="dxa"/>
              <w:end w:w="120" w:type="dxa"/>
            </w:tcMar>
          </w:tcPr>
          <w:p>
            <w:r>
              <w:rPr>
                <w:sz w:val="16"/>
              </w:rPr>
              <w:t>Microsoft Visual Studio Code</w:t>
            </w:r>
          </w:p>
        </w:tc>
        <w:tc>
          <w:tcPr>
            <w:tcW w:type="dxa" w:w="2029"/>
            <w:vAlign w:val="center"/>
            <w:tcMar>
              <w:top w:w="80" w:type="dxa"/>
              <w:start w:w="120" w:type="dxa"/>
              <w:bottom w:w="80" w:type="dxa"/>
              <w:end w:w="120" w:type="dxa"/>
            </w:tcMar>
          </w:tcPr>
          <w:p>
            <w:hyperlink r:id="rId19">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Host telemetry controls, data minimisation and extension-author expectations.</w:t>
            </w:r>
          </w:p>
        </w:tc>
      </w:tr>
      <w:tr>
        <w:tc>
          <w:tcPr>
            <w:tcW w:type="dxa" w:w="851"/>
            <w:vAlign w:val="center"/>
            <w:tcMar>
              <w:top w:w="80" w:type="dxa"/>
              <w:start w:w="120" w:type="dxa"/>
              <w:bottom w:w="80" w:type="dxa"/>
              <w:end w:w="120" w:type="dxa"/>
            </w:tcMar>
          </w:tcPr>
          <w:p>
            <w:bookmarkStart w:id="1008" w:name="REF_009"/>
            <w:r>
              <w:rPr>
                <w:b/>
                <w:sz w:val="16"/>
              </w:rPr>
              <w:t>REF-009</w:t>
            </w:r>
            <w:bookmarkEnd w:id="1008"/>
          </w:p>
        </w:tc>
        <w:tc>
          <w:tcPr>
            <w:tcW w:type="dxa" w:w="1505"/>
            <w:vAlign w:val="center"/>
            <w:tcMar>
              <w:top w:w="80" w:type="dxa"/>
              <w:start w:w="120" w:type="dxa"/>
              <w:bottom w:w="80" w:type="dxa"/>
              <w:end w:w="120" w:type="dxa"/>
            </w:tcMar>
          </w:tcPr>
          <w:p>
            <w:r>
              <w:rPr>
                <w:sz w:val="16"/>
              </w:rPr>
              <w:t>Workspace Trust Extension Guide</w:t>
            </w:r>
          </w:p>
        </w:tc>
        <w:tc>
          <w:tcPr>
            <w:tcW w:type="dxa" w:w="1522"/>
            <w:vAlign w:val="center"/>
            <w:tcMar>
              <w:top w:w="80" w:type="dxa"/>
              <w:start w:w="120" w:type="dxa"/>
              <w:bottom w:w="80" w:type="dxa"/>
              <w:end w:w="120" w:type="dxa"/>
            </w:tcMar>
          </w:tcPr>
          <w:p>
            <w:r>
              <w:rPr>
                <w:sz w:val="16"/>
              </w:rPr>
              <w:t>Microsoft Visual Studio Code</w:t>
            </w:r>
          </w:p>
        </w:tc>
        <w:tc>
          <w:tcPr>
            <w:tcW w:type="dxa" w:w="2029"/>
            <w:vAlign w:val="center"/>
            <w:tcMar>
              <w:top w:w="80" w:type="dxa"/>
              <w:start w:w="120" w:type="dxa"/>
              <w:bottom w:w="80" w:type="dxa"/>
              <w:end w:w="120" w:type="dxa"/>
            </w:tcMar>
          </w:tcPr>
          <w:p>
            <w:hyperlink r:id="rId20">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Restricted Mode declarations and runtime trust enforcement.</w:t>
            </w:r>
          </w:p>
        </w:tc>
      </w:tr>
      <w:tr>
        <w:tc>
          <w:tcPr>
            <w:tcW w:type="dxa" w:w="851"/>
            <w:vAlign w:val="center"/>
            <w:tcMar>
              <w:top w:w="80" w:type="dxa"/>
              <w:start w:w="120" w:type="dxa"/>
              <w:bottom w:w="80" w:type="dxa"/>
              <w:end w:w="120" w:type="dxa"/>
            </w:tcMar>
          </w:tcPr>
          <w:p>
            <w:bookmarkStart w:id="1009" w:name="REF_010"/>
            <w:r>
              <w:rPr>
                <w:b/>
                <w:sz w:val="16"/>
              </w:rPr>
              <w:t>REF-010</w:t>
            </w:r>
            <w:bookmarkEnd w:id="1009"/>
          </w:p>
        </w:tc>
        <w:tc>
          <w:tcPr>
            <w:tcW w:type="dxa" w:w="1505"/>
            <w:vAlign w:val="center"/>
            <w:tcMar>
              <w:top w:w="80" w:type="dxa"/>
              <w:start w:w="120" w:type="dxa"/>
              <w:bottom w:w="80" w:type="dxa"/>
              <w:end w:w="120" w:type="dxa"/>
            </w:tcMar>
          </w:tcPr>
          <w:p>
            <w:r>
              <w:rPr>
                <w:sz w:val="16"/>
              </w:rPr>
              <w:t>Extension Host</w:t>
            </w:r>
          </w:p>
        </w:tc>
        <w:tc>
          <w:tcPr>
            <w:tcW w:type="dxa" w:w="1522"/>
            <w:vAlign w:val="center"/>
            <w:tcMar>
              <w:top w:w="80" w:type="dxa"/>
              <w:start w:w="120" w:type="dxa"/>
              <w:bottom w:w="80" w:type="dxa"/>
              <w:end w:w="120" w:type="dxa"/>
            </w:tcMar>
          </w:tcPr>
          <w:p>
            <w:r>
              <w:rPr>
                <w:sz w:val="16"/>
              </w:rPr>
              <w:t>Microsoft Visual Studio Code</w:t>
            </w:r>
          </w:p>
        </w:tc>
        <w:tc>
          <w:tcPr>
            <w:tcW w:type="dxa" w:w="2029"/>
            <w:vAlign w:val="center"/>
            <w:tcMar>
              <w:top w:w="80" w:type="dxa"/>
              <w:start w:w="120" w:type="dxa"/>
              <w:bottom w:w="80" w:type="dxa"/>
              <w:end w:w="120" w:type="dxa"/>
            </w:tcMar>
          </w:tcPr>
          <w:p>
            <w:hyperlink r:id="rId21">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Extension execution location and workspace-extension trust context.</w:t>
            </w:r>
          </w:p>
        </w:tc>
      </w:tr>
      <w:tr>
        <w:tc>
          <w:tcPr>
            <w:tcW w:type="dxa" w:w="851"/>
            <w:vAlign w:val="center"/>
            <w:tcMar>
              <w:top w:w="80" w:type="dxa"/>
              <w:start w:w="120" w:type="dxa"/>
              <w:bottom w:w="80" w:type="dxa"/>
              <w:end w:w="120" w:type="dxa"/>
            </w:tcMar>
          </w:tcPr>
          <w:p>
            <w:bookmarkStart w:id="1010" w:name="REF_011"/>
            <w:r>
              <w:rPr>
                <w:b/>
                <w:sz w:val="16"/>
              </w:rPr>
              <w:t>REF-011</w:t>
            </w:r>
            <w:bookmarkEnd w:id="1010"/>
          </w:p>
        </w:tc>
        <w:tc>
          <w:tcPr>
            <w:tcW w:type="dxa" w:w="1505"/>
            <w:vAlign w:val="center"/>
            <w:tcMar>
              <w:top w:w="80" w:type="dxa"/>
              <w:start w:w="120" w:type="dxa"/>
              <w:bottom w:w="80" w:type="dxa"/>
              <w:end w:w="120" w:type="dxa"/>
            </w:tcMar>
          </w:tcPr>
          <w:p>
            <w:r>
              <w:rPr>
                <w:sz w:val="16"/>
              </w:rPr>
              <w:t>Application Security Verification Standard 5.0.0</w:t>
            </w:r>
          </w:p>
        </w:tc>
        <w:tc>
          <w:tcPr>
            <w:tcW w:type="dxa" w:w="1522"/>
            <w:vAlign w:val="center"/>
            <w:tcMar>
              <w:top w:w="80" w:type="dxa"/>
              <w:start w:w="120" w:type="dxa"/>
              <w:bottom w:w="80" w:type="dxa"/>
              <w:end w:w="120" w:type="dxa"/>
            </w:tcMar>
          </w:tcPr>
          <w:p>
            <w:r>
              <w:rPr>
                <w:sz w:val="16"/>
              </w:rPr>
              <w:t>OWASP Foundation</w:t>
            </w:r>
          </w:p>
        </w:tc>
        <w:tc>
          <w:tcPr>
            <w:tcW w:type="dxa" w:w="2029"/>
            <w:vAlign w:val="center"/>
            <w:tcMar>
              <w:top w:w="80" w:type="dxa"/>
              <w:start w:w="120" w:type="dxa"/>
              <w:bottom w:w="80" w:type="dxa"/>
              <w:end w:w="120" w:type="dxa"/>
            </w:tcMar>
          </w:tcPr>
          <w:p>
            <w:hyperlink r:id="rId22">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Security-control verification basis for input, browser, file, process, logging and privacy boundaries.</w:t>
            </w:r>
          </w:p>
        </w:tc>
      </w:tr>
      <w:tr>
        <w:tc>
          <w:tcPr>
            <w:tcW w:type="dxa" w:w="851"/>
            <w:vAlign w:val="center"/>
            <w:tcMar>
              <w:top w:w="80" w:type="dxa"/>
              <w:start w:w="120" w:type="dxa"/>
              <w:bottom w:w="80" w:type="dxa"/>
              <w:end w:w="120" w:type="dxa"/>
            </w:tcMar>
          </w:tcPr>
          <w:p>
            <w:bookmarkStart w:id="1011" w:name="REF_012"/>
            <w:r>
              <w:rPr>
                <w:b/>
                <w:sz w:val="16"/>
              </w:rPr>
              <w:t>REF-012</w:t>
            </w:r>
            <w:bookmarkEnd w:id="1011"/>
          </w:p>
        </w:tc>
        <w:tc>
          <w:tcPr>
            <w:tcW w:type="dxa" w:w="1505"/>
            <w:vAlign w:val="center"/>
            <w:tcMar>
              <w:top w:w="80" w:type="dxa"/>
              <w:start w:w="120" w:type="dxa"/>
              <w:bottom w:w="80" w:type="dxa"/>
              <w:end w:w="120" w:type="dxa"/>
            </w:tcMar>
          </w:tcPr>
          <w:p>
            <w:r>
              <w:rPr>
                <w:sz w:val="16"/>
              </w:rPr>
              <w:t>AI Risk Management Framework</w:t>
            </w:r>
          </w:p>
        </w:tc>
        <w:tc>
          <w:tcPr>
            <w:tcW w:type="dxa" w:w="1522"/>
            <w:vAlign w:val="center"/>
            <w:tcMar>
              <w:top w:w="80" w:type="dxa"/>
              <w:start w:w="120" w:type="dxa"/>
              <w:bottom w:w="80" w:type="dxa"/>
              <w:end w:w="120" w:type="dxa"/>
            </w:tcMar>
          </w:tcPr>
          <w:p>
            <w:r>
              <w:rPr>
                <w:sz w:val="16"/>
              </w:rPr>
              <w:t>NIST</w:t>
            </w:r>
          </w:p>
        </w:tc>
        <w:tc>
          <w:tcPr>
            <w:tcW w:type="dxa" w:w="2029"/>
            <w:vAlign w:val="center"/>
            <w:tcMar>
              <w:top w:w="80" w:type="dxa"/>
              <w:start w:w="120" w:type="dxa"/>
              <w:bottom w:w="80" w:type="dxa"/>
              <w:end w:w="120" w:type="dxa"/>
            </w:tcMar>
          </w:tcPr>
          <w:p>
            <w:hyperlink r:id="rId23">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Conditional lifecycle governance context; AI-specific applicability is not established for this extension.</w:t>
            </w:r>
          </w:p>
        </w:tc>
      </w:tr>
      <w:tr>
        <w:tc>
          <w:tcPr>
            <w:tcW w:type="dxa" w:w="851"/>
            <w:vAlign w:val="center"/>
            <w:tcMar>
              <w:top w:w="80" w:type="dxa"/>
              <w:start w:w="120" w:type="dxa"/>
              <w:bottom w:w="80" w:type="dxa"/>
              <w:end w:w="120" w:type="dxa"/>
            </w:tcMar>
          </w:tcPr>
          <w:p>
            <w:bookmarkStart w:id="1012" w:name="REF_013"/>
            <w:r>
              <w:rPr>
                <w:b/>
                <w:sz w:val="16"/>
              </w:rPr>
              <w:t>REF-013</w:t>
            </w:r>
            <w:bookmarkEnd w:id="1012"/>
          </w:p>
        </w:tc>
        <w:tc>
          <w:tcPr>
            <w:tcW w:type="dxa" w:w="1505"/>
            <w:vAlign w:val="center"/>
            <w:tcMar>
              <w:top w:w="80" w:type="dxa"/>
              <w:start w:w="120" w:type="dxa"/>
              <w:bottom w:w="80" w:type="dxa"/>
              <w:end w:w="120" w:type="dxa"/>
            </w:tcMar>
          </w:tcPr>
          <w:p>
            <w:r>
              <w:rPr>
                <w:sz w:val="16"/>
              </w:rPr>
              <w:t>MITRE ATLAS</w:t>
            </w:r>
          </w:p>
        </w:tc>
        <w:tc>
          <w:tcPr>
            <w:tcW w:type="dxa" w:w="1522"/>
            <w:vAlign w:val="center"/>
            <w:tcMar>
              <w:top w:w="80" w:type="dxa"/>
              <w:start w:w="120" w:type="dxa"/>
              <w:bottom w:w="80" w:type="dxa"/>
              <w:end w:w="120" w:type="dxa"/>
            </w:tcMar>
          </w:tcPr>
          <w:p>
            <w:r>
              <w:rPr>
                <w:sz w:val="16"/>
              </w:rPr>
              <w:t>MITRE</w:t>
            </w:r>
          </w:p>
        </w:tc>
        <w:tc>
          <w:tcPr>
            <w:tcW w:type="dxa" w:w="2029"/>
            <w:vAlign w:val="center"/>
            <w:tcMar>
              <w:top w:w="80" w:type="dxa"/>
              <w:start w:w="120" w:type="dxa"/>
              <w:bottom w:w="80" w:type="dxa"/>
              <w:end w:w="120" w:type="dxa"/>
            </w:tcMar>
          </w:tcPr>
          <w:p>
            <w:hyperlink r:id="rId24">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Conditional AI threat knowledge base; no target-specific AI-agent behaviour was evidenced.</w:t>
            </w:r>
          </w:p>
        </w:tc>
      </w:tr>
      <w:tr>
        <w:tc>
          <w:tcPr>
            <w:tcW w:type="dxa" w:w="851"/>
            <w:vAlign w:val="center"/>
            <w:tcMar>
              <w:top w:w="80" w:type="dxa"/>
              <w:start w:w="120" w:type="dxa"/>
              <w:bottom w:w="80" w:type="dxa"/>
              <w:end w:w="120" w:type="dxa"/>
            </w:tcMar>
          </w:tcPr>
          <w:p>
            <w:bookmarkStart w:id="1013" w:name="REF_014"/>
            <w:r>
              <w:rPr>
                <w:b/>
                <w:sz w:val="16"/>
              </w:rPr>
              <w:t>REF-014</w:t>
            </w:r>
            <w:bookmarkEnd w:id="1013"/>
          </w:p>
        </w:tc>
        <w:tc>
          <w:tcPr>
            <w:tcW w:type="dxa" w:w="1505"/>
            <w:vAlign w:val="center"/>
            <w:tcMar>
              <w:top w:w="80" w:type="dxa"/>
              <w:start w:w="120" w:type="dxa"/>
              <w:bottom w:w="80" w:type="dxa"/>
              <w:end w:w="120" w:type="dxa"/>
            </w:tcMar>
          </w:tcPr>
          <w:p>
            <w:r>
              <w:rPr>
                <w:sz w:val="16"/>
              </w:rPr>
              <w:t>Guidelines for secure AI system development</w:t>
            </w:r>
          </w:p>
        </w:tc>
        <w:tc>
          <w:tcPr>
            <w:tcW w:type="dxa" w:w="1522"/>
            <w:vAlign w:val="center"/>
            <w:tcMar>
              <w:top w:w="80" w:type="dxa"/>
              <w:start w:w="120" w:type="dxa"/>
              <w:bottom w:w="80" w:type="dxa"/>
              <w:end w:w="120" w:type="dxa"/>
            </w:tcMar>
          </w:tcPr>
          <w:p>
            <w:r>
              <w:rPr>
                <w:sz w:val="16"/>
              </w:rPr>
              <w:t>UK National Cyber Security Centre</w:t>
            </w:r>
          </w:p>
        </w:tc>
        <w:tc>
          <w:tcPr>
            <w:tcW w:type="dxa" w:w="2029"/>
            <w:vAlign w:val="center"/>
            <w:tcMar>
              <w:top w:w="80" w:type="dxa"/>
              <w:start w:w="120" w:type="dxa"/>
              <w:bottom w:w="80" w:type="dxa"/>
              <w:end w:w="120" w:type="dxa"/>
            </w:tcMar>
          </w:tcPr>
          <w:p>
            <w:hyperlink r:id="rId25">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Conditional secure-lifecycle context for future AI-enabled plugin use.</w:t>
            </w:r>
          </w:p>
        </w:tc>
      </w:tr>
      <w:tr>
        <w:tc>
          <w:tcPr>
            <w:tcW w:type="dxa" w:w="851"/>
            <w:vAlign w:val="center"/>
            <w:tcMar>
              <w:top w:w="80" w:type="dxa"/>
              <w:start w:w="120" w:type="dxa"/>
              <w:bottom w:w="80" w:type="dxa"/>
              <w:end w:w="120" w:type="dxa"/>
            </w:tcMar>
          </w:tcPr>
          <w:p>
            <w:bookmarkStart w:id="1014" w:name="REF_015"/>
            <w:r>
              <w:rPr>
                <w:b/>
                <w:sz w:val="16"/>
              </w:rPr>
              <w:t>REF-015</w:t>
            </w:r>
            <w:bookmarkEnd w:id="1014"/>
          </w:p>
        </w:tc>
        <w:tc>
          <w:tcPr>
            <w:tcW w:type="dxa" w:w="1505"/>
            <w:vAlign w:val="center"/>
            <w:tcMar>
              <w:top w:w="80" w:type="dxa"/>
              <w:start w:w="120" w:type="dxa"/>
              <w:bottom w:w="80" w:type="dxa"/>
              <w:end w:w="120" w:type="dxa"/>
            </w:tcMar>
          </w:tcPr>
          <w:p>
            <w:r>
              <w:rPr>
                <w:sz w:val="16"/>
              </w:rPr>
              <w:t>UK GDPR guidance and resources</w:t>
            </w:r>
          </w:p>
        </w:tc>
        <w:tc>
          <w:tcPr>
            <w:tcW w:type="dxa" w:w="1522"/>
            <w:vAlign w:val="center"/>
            <w:tcMar>
              <w:top w:w="80" w:type="dxa"/>
              <w:start w:w="120" w:type="dxa"/>
              <w:bottom w:w="80" w:type="dxa"/>
              <w:end w:w="120" w:type="dxa"/>
            </w:tcMar>
          </w:tcPr>
          <w:p>
            <w:r>
              <w:rPr>
                <w:sz w:val="16"/>
              </w:rPr>
              <w:t>Information Commissioner's Office</w:t>
            </w:r>
          </w:p>
        </w:tc>
        <w:tc>
          <w:tcPr>
            <w:tcW w:type="dxa" w:w="2029"/>
            <w:vAlign w:val="center"/>
            <w:tcMar>
              <w:top w:w="80" w:type="dxa"/>
              <w:start w:w="120" w:type="dxa"/>
              <w:bottom w:w="80" w:type="dxa"/>
              <w:end w:w="120" w:type="dxa"/>
            </w:tcMar>
          </w:tcPr>
          <w:p>
            <w:hyperlink r:id="rId26">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UK accountability, minimisation, transparency, rights and security context.</w:t>
            </w:r>
          </w:p>
        </w:tc>
      </w:tr>
      <w:tr>
        <w:tc>
          <w:tcPr>
            <w:tcW w:type="dxa" w:w="851"/>
            <w:vAlign w:val="center"/>
            <w:tcMar>
              <w:top w:w="80" w:type="dxa"/>
              <w:start w:w="120" w:type="dxa"/>
              <w:bottom w:w="80" w:type="dxa"/>
              <w:end w:w="120" w:type="dxa"/>
            </w:tcMar>
          </w:tcPr>
          <w:p>
            <w:bookmarkStart w:id="1015" w:name="REF_016"/>
            <w:r>
              <w:rPr>
                <w:b/>
                <w:sz w:val="16"/>
              </w:rPr>
              <w:t>REF-016</w:t>
            </w:r>
            <w:bookmarkEnd w:id="1015"/>
          </w:p>
        </w:tc>
        <w:tc>
          <w:tcPr>
            <w:tcW w:type="dxa" w:w="1505"/>
            <w:vAlign w:val="center"/>
            <w:tcMar>
              <w:top w:w="80" w:type="dxa"/>
              <w:start w:w="120" w:type="dxa"/>
              <w:bottom w:w="80" w:type="dxa"/>
              <w:end w:w="120" w:type="dxa"/>
            </w:tcMar>
          </w:tcPr>
          <w:p>
            <w:r>
              <w:rPr>
                <w:sz w:val="16"/>
              </w:rPr>
              <w:t>Operational resilience</w:t>
            </w:r>
          </w:p>
        </w:tc>
        <w:tc>
          <w:tcPr>
            <w:tcW w:type="dxa" w:w="1522"/>
            <w:vAlign w:val="center"/>
            <w:tcMar>
              <w:top w:w="80" w:type="dxa"/>
              <w:start w:w="120" w:type="dxa"/>
              <w:bottom w:w="80" w:type="dxa"/>
              <w:end w:w="120" w:type="dxa"/>
            </w:tcMar>
          </w:tcPr>
          <w:p>
            <w:r>
              <w:rPr>
                <w:sz w:val="16"/>
              </w:rPr>
              <w:t>Financial Conduct Authority</w:t>
            </w:r>
          </w:p>
        </w:tc>
        <w:tc>
          <w:tcPr>
            <w:tcW w:type="dxa" w:w="2029"/>
            <w:vAlign w:val="center"/>
            <w:tcMar>
              <w:top w:w="80" w:type="dxa"/>
              <w:start w:w="120" w:type="dxa"/>
              <w:bottom w:w="80" w:type="dxa"/>
              <w:end w:w="120" w:type="dxa"/>
            </w:tcMar>
          </w:tcPr>
          <w:p>
            <w:hyperlink r:id="rId27">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Current insurer operational-resilience and third-party accountability context.</w:t>
            </w:r>
          </w:p>
        </w:tc>
      </w:tr>
      <w:tr>
        <w:tc>
          <w:tcPr>
            <w:tcW w:type="dxa" w:w="851"/>
            <w:vAlign w:val="center"/>
            <w:tcMar>
              <w:top w:w="80" w:type="dxa"/>
              <w:start w:w="120" w:type="dxa"/>
              <w:bottom w:w="80" w:type="dxa"/>
              <w:end w:w="120" w:type="dxa"/>
            </w:tcMar>
          </w:tcPr>
          <w:p>
            <w:bookmarkStart w:id="1016" w:name="REF_017"/>
            <w:r>
              <w:rPr>
                <w:b/>
                <w:sz w:val="16"/>
              </w:rPr>
              <w:t>REF-017</w:t>
            </w:r>
            <w:bookmarkEnd w:id="1016"/>
          </w:p>
        </w:tc>
        <w:tc>
          <w:tcPr>
            <w:tcW w:type="dxa" w:w="1505"/>
            <w:vAlign w:val="center"/>
            <w:tcMar>
              <w:top w:w="80" w:type="dxa"/>
              <w:start w:w="120" w:type="dxa"/>
              <w:bottom w:w="80" w:type="dxa"/>
              <w:end w:w="120" w:type="dxa"/>
            </w:tcMar>
          </w:tcPr>
          <w:p>
            <w:r>
              <w:rPr>
                <w:sz w:val="16"/>
              </w:rPr>
              <w:t>SS1/21 Operational resilience</w:t>
            </w:r>
          </w:p>
        </w:tc>
        <w:tc>
          <w:tcPr>
            <w:tcW w:type="dxa" w:w="1522"/>
            <w:vAlign w:val="center"/>
            <w:tcMar>
              <w:top w:w="80" w:type="dxa"/>
              <w:start w:w="120" w:type="dxa"/>
              <w:bottom w:w="80" w:type="dxa"/>
              <w:end w:w="120" w:type="dxa"/>
            </w:tcMar>
          </w:tcPr>
          <w:p>
            <w:r>
              <w:rPr>
                <w:sz w:val="16"/>
              </w:rPr>
              <w:t>Bank of England / Prudential Regulation Authority</w:t>
            </w:r>
          </w:p>
        </w:tc>
        <w:tc>
          <w:tcPr>
            <w:tcW w:type="dxa" w:w="2029"/>
            <w:vAlign w:val="center"/>
            <w:tcMar>
              <w:top w:w="80" w:type="dxa"/>
              <w:start w:w="120" w:type="dxa"/>
              <w:bottom w:w="80" w:type="dxa"/>
              <w:end w:w="120" w:type="dxa"/>
            </w:tcMar>
          </w:tcPr>
          <w:p>
            <w:hyperlink r:id="rId28">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PRA impact-tolerance context where the firm and service are in scope.</w:t>
            </w:r>
          </w:p>
        </w:tc>
      </w:tr>
      <w:tr>
        <w:tc>
          <w:tcPr>
            <w:tcW w:type="dxa" w:w="851"/>
            <w:vAlign w:val="center"/>
            <w:tcMar>
              <w:top w:w="80" w:type="dxa"/>
              <w:start w:w="120" w:type="dxa"/>
              <w:bottom w:w="80" w:type="dxa"/>
              <w:end w:w="120" w:type="dxa"/>
            </w:tcMar>
          </w:tcPr>
          <w:p>
            <w:bookmarkStart w:id="1017" w:name="REF_018"/>
            <w:r>
              <w:rPr>
                <w:b/>
                <w:sz w:val="16"/>
              </w:rPr>
              <w:t>REF-018</w:t>
            </w:r>
            <w:bookmarkEnd w:id="1017"/>
          </w:p>
        </w:tc>
        <w:tc>
          <w:tcPr>
            <w:tcW w:type="dxa" w:w="1505"/>
            <w:vAlign w:val="center"/>
            <w:tcMar>
              <w:top w:w="80" w:type="dxa"/>
              <w:start w:w="120" w:type="dxa"/>
              <w:bottom w:w="80" w:type="dxa"/>
              <w:end w:w="120" w:type="dxa"/>
            </w:tcMar>
          </w:tcPr>
          <w:p>
            <w:r>
              <w:rPr>
                <w:sz w:val="16"/>
              </w:rPr>
              <w:t>ISO/IEC 27001:2022</w:t>
            </w:r>
          </w:p>
        </w:tc>
        <w:tc>
          <w:tcPr>
            <w:tcW w:type="dxa" w:w="1522"/>
            <w:vAlign w:val="center"/>
            <w:tcMar>
              <w:top w:w="80" w:type="dxa"/>
              <w:start w:w="120" w:type="dxa"/>
              <w:bottom w:w="80" w:type="dxa"/>
              <w:end w:w="120" w:type="dxa"/>
            </w:tcMar>
          </w:tcPr>
          <w:p>
            <w:r>
              <w:rPr>
                <w:sz w:val="16"/>
              </w:rPr>
              <w:t>International Organization for Standardization</w:t>
            </w:r>
          </w:p>
        </w:tc>
        <w:tc>
          <w:tcPr>
            <w:tcW w:type="dxa" w:w="2029"/>
            <w:vAlign w:val="center"/>
            <w:tcMar>
              <w:top w:w="80" w:type="dxa"/>
              <w:start w:w="120" w:type="dxa"/>
              <w:bottom w:w="80" w:type="dxa"/>
              <w:end w:w="120" w:type="dxa"/>
            </w:tcMar>
          </w:tcPr>
          <w:p>
            <w:hyperlink r:id="rId29">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Information-security risk management and supplier-control context.</w:t>
            </w:r>
          </w:p>
        </w:tc>
      </w:tr>
      <w:tr>
        <w:tc>
          <w:tcPr>
            <w:tcW w:type="dxa" w:w="851"/>
            <w:vAlign w:val="center"/>
            <w:tcMar>
              <w:top w:w="80" w:type="dxa"/>
              <w:start w:w="120" w:type="dxa"/>
              <w:bottom w:w="80" w:type="dxa"/>
              <w:end w:w="120" w:type="dxa"/>
            </w:tcMar>
          </w:tcPr>
          <w:p>
            <w:bookmarkStart w:id="1018" w:name="REF_019"/>
            <w:r>
              <w:rPr>
                <w:b/>
                <w:sz w:val="16"/>
              </w:rPr>
              <w:t>REF-019</w:t>
            </w:r>
            <w:bookmarkEnd w:id="1018"/>
          </w:p>
        </w:tc>
        <w:tc>
          <w:tcPr>
            <w:tcW w:type="dxa" w:w="1505"/>
            <w:vAlign w:val="center"/>
            <w:tcMar>
              <w:top w:w="80" w:type="dxa"/>
              <w:start w:w="120" w:type="dxa"/>
              <w:bottom w:w="80" w:type="dxa"/>
              <w:end w:w="120" w:type="dxa"/>
            </w:tcMar>
          </w:tcPr>
          <w:p>
            <w:r>
              <w:rPr>
                <w:sz w:val="16"/>
              </w:rPr>
              <w:t>OSV API</w:t>
            </w:r>
          </w:p>
        </w:tc>
        <w:tc>
          <w:tcPr>
            <w:tcW w:type="dxa" w:w="1522"/>
            <w:vAlign w:val="center"/>
            <w:tcMar>
              <w:top w:w="80" w:type="dxa"/>
              <w:start w:w="120" w:type="dxa"/>
              <w:bottom w:w="80" w:type="dxa"/>
              <w:end w:w="120" w:type="dxa"/>
            </w:tcMar>
          </w:tcPr>
          <w:p>
            <w:r>
              <w:rPr>
                <w:sz w:val="16"/>
              </w:rPr>
              <w:t>Open Source Vulnerabilities</w:t>
            </w:r>
          </w:p>
        </w:tc>
        <w:tc>
          <w:tcPr>
            <w:tcW w:type="dxa" w:w="2029"/>
            <w:vAlign w:val="center"/>
            <w:tcMar>
              <w:top w:w="80" w:type="dxa"/>
              <w:start w:w="120" w:type="dxa"/>
              <w:bottom w:w="80" w:type="dxa"/>
              <w:end w:w="120" w:type="dxa"/>
            </w:tcMar>
          </w:tcPr>
          <w:p>
            <w:hyperlink r:id="rId30">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Primary advisory query method for exact component-version clues.</w:t>
            </w:r>
          </w:p>
        </w:tc>
      </w:tr>
      <w:tr>
        <w:tc>
          <w:tcPr>
            <w:tcW w:type="dxa" w:w="851"/>
            <w:vAlign w:val="center"/>
            <w:tcMar>
              <w:top w:w="80" w:type="dxa"/>
              <w:start w:w="120" w:type="dxa"/>
              <w:bottom w:w="80" w:type="dxa"/>
              <w:end w:w="120" w:type="dxa"/>
            </w:tcMar>
          </w:tcPr>
          <w:p>
            <w:bookmarkStart w:id="1019" w:name="REF_020"/>
            <w:r>
              <w:rPr>
                <w:b/>
                <w:sz w:val="16"/>
              </w:rPr>
              <w:t>REF-020</w:t>
            </w:r>
            <w:bookmarkEnd w:id="1019"/>
          </w:p>
        </w:tc>
        <w:tc>
          <w:tcPr>
            <w:tcW w:type="dxa" w:w="1505"/>
            <w:vAlign w:val="center"/>
            <w:tcMar>
              <w:top w:w="80" w:type="dxa"/>
              <w:start w:w="120" w:type="dxa"/>
              <w:bottom w:w="80" w:type="dxa"/>
              <w:end w:w="120" w:type="dxa"/>
            </w:tcMar>
          </w:tcPr>
          <w:p>
            <w:r>
              <w:rPr>
                <w:sz w:val="16"/>
              </w:rPr>
              <w:t>Visual Studio Marketplace protections</w:t>
            </w:r>
          </w:p>
        </w:tc>
        <w:tc>
          <w:tcPr>
            <w:tcW w:type="dxa" w:w="1522"/>
            <w:vAlign w:val="center"/>
            <w:tcMar>
              <w:top w:w="80" w:type="dxa"/>
              <w:start w:w="120" w:type="dxa"/>
              <w:bottom w:w="80" w:type="dxa"/>
              <w:end w:w="120" w:type="dxa"/>
            </w:tcMar>
          </w:tcPr>
          <w:p>
            <w:r>
              <w:rPr>
                <w:sz w:val="16"/>
              </w:rPr>
              <w:t>Microsoft</w:t>
            </w:r>
          </w:p>
        </w:tc>
        <w:tc>
          <w:tcPr>
            <w:tcW w:type="dxa" w:w="2029"/>
            <w:vAlign w:val="center"/>
            <w:tcMar>
              <w:top w:w="80" w:type="dxa"/>
              <w:start w:w="120" w:type="dxa"/>
              <w:bottom w:w="80" w:type="dxa"/>
              <w:end w:w="120" w:type="dxa"/>
            </w:tcMar>
          </w:tcPr>
          <w:p>
            <w:hyperlink r:id="rId31">
              <w:r>
                <w:rPr>
                  <w:rStyle w:val="Hyperlink"/>
                </w:rPr>
                <w:t>Open source</w:t>
              </w:r>
            </w:hyperlink>
          </w:p>
        </w:tc>
        <w:tc>
          <w:tcPr>
            <w:tcW w:type="dxa" w:w="1424"/>
            <w:vAlign w:val="center"/>
            <w:tcMar>
              <w:top w:w="80" w:type="dxa"/>
              <w:start w:w="120" w:type="dxa"/>
              <w:bottom w:w="80" w:type="dxa"/>
              <w:end w:w="120" w:type="dxa"/>
            </w:tcMar>
            <w:noWrap/>
          </w:tcPr>
          <w:p>
            <w:r>
              <w:rPr>
                <w:sz w:val="16"/>
              </w:rPr>
              <w:t>2026-08-03</w:t>
            </w:r>
          </w:p>
        </w:tc>
        <w:tc>
          <w:tcPr>
            <w:tcW w:type="dxa" w:w="2029"/>
            <w:vAlign w:val="center"/>
            <w:tcMar>
              <w:top w:w="80" w:type="dxa"/>
              <w:start w:w="120" w:type="dxa"/>
              <w:bottom w:w="80" w:type="dxa"/>
              <w:end w:w="120" w:type="dxa"/>
            </w:tcMar>
          </w:tcPr>
          <w:p>
            <w:r>
              <w:rPr>
                <w:sz w:val="16"/>
              </w:rPr>
              <w:t>Marketplace governance context; not a substitute for package security assessment.</w:t>
            </w:r>
          </w:p>
        </w:tc>
      </w:tr>
    </w:tbl>
    <w:p>
      <w:pPr>
        <w:pStyle w:val="Heading1"/>
      </w:pPr>
      <w:r>
        <w:t>Appendices</w:t>
      </w:r>
    </w:p>
    <w:p>
      <w:pPr>
        <w:pStyle w:val="Heading2"/>
      </w:pPr>
      <w:r>
        <w:t>Appendix A — Analysis Selections and Results</w:t>
      </w:r>
    </w:p>
    <w:p>
      <w:r>
        <w:t>Static analysis: selected and completed within the recorded package scope. Static malware review: selected and completed within the available scanner scope. Runtime analysis: selected; any unavailable representative host is recorded as Blocked rather than silently treated as No. Privacy review: selected and completed from package, policy, documentation, and observed evidence. Evidence dispositions used by this report are Verified, Inferred, Not observed, Not applicable, Unknown, and Blocked. Native Microsoft Word closeout remains a separate final gate.</w:t>
      </w:r>
    </w:p>
    <w:p>
      <w:pPr>
        <w:pStyle w:val="Heading2"/>
      </w:pPr>
      <w:r>
        <w:t>Appendix B — Build and Quality-Assurance Contract</w:t>
      </w:r>
    </w:p>
    <w:p>
      <w:r>
        <w:t>The candidate report was compiled from all fifteen hash-bound validated stage outputs and a hash-bound report model. Deterministic validation, publication-safety inspection, accessibility review, privacy and metadata review, citation and bookmark audit, scoring reconciliation, secure review, native Microsoft Word rendering, page count, and every-page inspection are shipping gates. A passed candidate build alone is not an authoritative determination.</w:t>
      </w:r>
    </w:p>
    <w:p>
      <w:pPr>
        <w:pStyle w:val="Heading1"/>
      </w:pPr>
      <w:r>
        <w:t>Glossary</w:t>
      </w:r>
    </w:p>
    <w:p>
      <w:pPr>
        <w:pStyle w:val="Caption"/>
      </w:pPr>
      <w:r>
        <w:rPr>
          <w:b/>
        </w:rPr>
        <w:t>Glossary</w:t>
      </w:r>
    </w:p>
    <w:tbl>
      <w:tblPr>
        <w:tblStyle w:val="TableGrid"/>
        <w:tblW w:type="dxa" w:w="9360"/>
        <w:tblLayout w:type="fixed"/>
        <w:tblLook w:firstColumn="1" w:firstRow="1" w:lastColumn="0" w:lastRow="0" w:noHBand="0" w:noVBand="1" w:val="04A0"/>
        <w:tblInd w:w="120" w:type="dxa"/>
      </w:tblPr>
      <w:tblGrid>
        <w:gridCol w:w="1971"/>
        <w:gridCol w:w="7389"/>
      </w:tblGrid>
      <w:tr>
        <w:trPr>
          <w:tblHeader w:val="true"/>
        </w:trPr>
        <w:tc>
          <w:tcPr>
            <w:tcW w:type="dxa" w:w="1971"/>
            <w:shd w:fill="F2F4F7"/>
            <w:vAlign w:val="center"/>
            <w:tcMar>
              <w:top w:w="35" w:type="dxa"/>
              <w:start w:w="120" w:type="dxa"/>
              <w:bottom w:w="35" w:type="dxa"/>
              <w:end w:w="120" w:type="dxa"/>
            </w:tcMar>
          </w:tcPr>
          <w:p>
            <w:pPr>
              <w:spacing w:before="0" w:after="0"/>
            </w:pPr>
            <w:r>
              <w:rPr>
                <w:b/>
                <w:sz w:val="16"/>
              </w:rPr>
              <w:t>Term</w:t>
            </w:r>
          </w:p>
        </w:tc>
        <w:tc>
          <w:tcPr>
            <w:tcW w:type="dxa" w:w="7389"/>
            <w:shd w:fill="F2F4F7"/>
            <w:vAlign w:val="center"/>
            <w:tcMar>
              <w:top w:w="35" w:type="dxa"/>
              <w:start w:w="120" w:type="dxa"/>
              <w:bottom w:w="35" w:type="dxa"/>
              <w:end w:w="120" w:type="dxa"/>
            </w:tcMar>
          </w:tcPr>
          <w:p>
            <w:pPr>
              <w:spacing w:before="0" w:after="0"/>
            </w:pPr>
            <w:r>
              <w:rPr>
                <w:b/>
                <w:sz w:val="16"/>
              </w:rPr>
              <w:t>Definition</w:t>
            </w:r>
          </w:p>
        </w:tc>
      </w:tr>
      <w:tr>
        <w:tc>
          <w:tcPr>
            <w:tcW w:type="dxa" w:w="1971"/>
            <w:vAlign w:val="center"/>
            <w:tcMar>
              <w:top w:w="35" w:type="dxa"/>
              <w:start w:w="120" w:type="dxa"/>
              <w:bottom w:w="35" w:type="dxa"/>
              <w:end w:w="120" w:type="dxa"/>
            </w:tcMar>
          </w:tcPr>
          <w:p>
            <w:pPr>
              <w:spacing w:before="0" w:after="0"/>
            </w:pPr>
            <w:r>
              <w:rPr>
                <w:sz w:val="16"/>
              </w:rPr>
              <w:t>Blocked</w:t>
            </w:r>
          </w:p>
        </w:tc>
        <w:tc>
          <w:tcPr>
            <w:tcW w:type="dxa" w:w="7389"/>
            <w:vAlign w:val="center"/>
            <w:tcMar>
              <w:top w:w="35" w:type="dxa"/>
              <w:start w:w="120" w:type="dxa"/>
              <w:bottom w:w="35" w:type="dxa"/>
              <w:end w:w="120" w:type="dxa"/>
            </w:tcMar>
          </w:tcPr>
          <w:p>
            <w:pPr>
              <w:spacing w:before="0" w:after="0"/>
            </w:pPr>
            <w:r>
              <w:rPr>
                <w:sz w:val="16"/>
              </w:rPr>
              <w:t>A selected assessment capability could not be completed safely because a material prerequisite was unavailable.</w:t>
            </w:r>
          </w:p>
        </w:tc>
      </w:tr>
      <w:tr>
        <w:tc>
          <w:tcPr>
            <w:tcW w:type="dxa" w:w="1971"/>
            <w:vAlign w:val="center"/>
            <w:tcMar>
              <w:top w:w="35" w:type="dxa"/>
              <w:start w:w="120" w:type="dxa"/>
              <w:bottom w:w="35" w:type="dxa"/>
              <w:end w:w="120" w:type="dxa"/>
            </w:tcMar>
          </w:tcPr>
          <w:p>
            <w:pPr>
              <w:spacing w:before="0" w:after="0"/>
            </w:pPr>
            <w:r>
              <w:rPr>
                <w:sz w:val="16"/>
              </w:rPr>
              <w:t>Code Connect</w:t>
            </w:r>
          </w:p>
        </w:tc>
        <w:tc>
          <w:tcPr>
            <w:tcW w:type="dxa" w:w="7389"/>
            <w:vAlign w:val="center"/>
            <w:tcMar>
              <w:top w:w="35" w:type="dxa"/>
              <w:start w:w="120" w:type="dxa"/>
              <w:bottom w:w="35" w:type="dxa"/>
              <w:end w:w="120" w:type="dxa"/>
            </w:tcMar>
          </w:tcPr>
          <w:p>
            <w:pPr>
              <w:spacing w:before="0" w:after="0"/>
            </w:pPr>
            <w:r>
              <w:rPr>
                <w:sz w:val="16"/>
              </w:rPr>
              <w:t>Figma capability that links design components to code definitions and parses supported source patterns.</w:t>
            </w:r>
          </w:p>
        </w:tc>
      </w:tr>
      <w:tr>
        <w:tc>
          <w:tcPr>
            <w:tcW w:type="dxa" w:w="1971"/>
            <w:vAlign w:val="center"/>
            <w:tcMar>
              <w:top w:w="35" w:type="dxa"/>
              <w:start w:w="120" w:type="dxa"/>
              <w:bottom w:w="35" w:type="dxa"/>
              <w:end w:w="120" w:type="dxa"/>
            </w:tcMar>
          </w:tcPr>
          <w:p>
            <w:pPr>
              <w:spacing w:before="0" w:after="0"/>
            </w:pPr>
            <w:r>
              <w:rPr>
                <w:sz w:val="16"/>
              </w:rPr>
              <w:t>CSP</w:t>
            </w:r>
          </w:p>
        </w:tc>
        <w:tc>
          <w:tcPr>
            <w:tcW w:type="dxa" w:w="7389"/>
            <w:vAlign w:val="center"/>
            <w:tcMar>
              <w:top w:w="35" w:type="dxa"/>
              <w:start w:w="120" w:type="dxa"/>
              <w:bottom w:w="35" w:type="dxa"/>
              <w:end w:w="120" w:type="dxa"/>
            </w:tcMar>
          </w:tcPr>
          <w:p>
            <w:pPr>
              <w:spacing w:before="0" w:after="0"/>
            </w:pPr>
            <w:r>
              <w:rPr>
                <w:sz w:val="16"/>
              </w:rPr>
              <w:t>Content Security Policy, a browser control restricting resources and script execution in a webview.</w:t>
            </w:r>
          </w:p>
        </w:tc>
      </w:tr>
      <w:tr>
        <w:tc>
          <w:tcPr>
            <w:tcW w:type="dxa" w:w="1971"/>
            <w:vAlign w:val="center"/>
            <w:tcMar>
              <w:top w:w="35" w:type="dxa"/>
              <w:start w:w="120" w:type="dxa"/>
              <w:bottom w:w="35" w:type="dxa"/>
              <w:end w:w="120" w:type="dxa"/>
            </w:tcMar>
          </w:tcPr>
          <w:p>
            <w:pPr>
              <w:spacing w:before="0" w:after="0"/>
            </w:pPr>
            <w:r>
              <w:rPr>
                <w:sz w:val="16"/>
              </w:rPr>
              <w:t>DPA</w:t>
            </w:r>
          </w:p>
        </w:tc>
        <w:tc>
          <w:tcPr>
            <w:tcW w:type="dxa" w:w="7389"/>
            <w:vAlign w:val="center"/>
            <w:tcMar>
              <w:top w:w="35" w:type="dxa"/>
              <w:start w:w="120" w:type="dxa"/>
              <w:bottom w:w="35" w:type="dxa"/>
              <w:end w:w="120" w:type="dxa"/>
            </w:tcMar>
          </w:tcPr>
          <w:p>
            <w:pPr>
              <w:spacing w:before="0" w:after="0"/>
            </w:pPr>
            <w:r>
              <w:rPr>
                <w:sz w:val="16"/>
              </w:rPr>
              <w:t>Data processing addendum defining roles, instructions, safeguards and processor obligations.</w:t>
            </w:r>
          </w:p>
        </w:tc>
      </w:tr>
      <w:tr>
        <w:tc>
          <w:tcPr>
            <w:tcW w:type="dxa" w:w="1971"/>
            <w:vAlign w:val="center"/>
            <w:tcMar>
              <w:top w:w="35" w:type="dxa"/>
              <w:start w:w="120" w:type="dxa"/>
              <w:bottom w:w="35" w:type="dxa"/>
              <w:end w:w="120" w:type="dxa"/>
            </w:tcMar>
          </w:tcPr>
          <w:p>
            <w:pPr>
              <w:spacing w:before="0" w:after="0"/>
            </w:pPr>
            <w:r>
              <w:rPr>
                <w:sz w:val="16"/>
              </w:rPr>
              <w:t>MCP</w:t>
            </w:r>
          </w:p>
        </w:tc>
        <w:tc>
          <w:tcPr>
            <w:tcW w:type="dxa" w:w="7389"/>
            <w:vAlign w:val="center"/>
            <w:tcMar>
              <w:top w:w="35" w:type="dxa"/>
              <w:start w:w="120" w:type="dxa"/>
              <w:bottom w:w="35" w:type="dxa"/>
              <w:end w:w="120" w:type="dxa"/>
            </w:tcMar>
          </w:tcPr>
          <w:p>
            <w:pPr>
              <w:spacing w:before="0" w:after="0"/>
            </w:pPr>
            <w:r>
              <w:rPr>
                <w:sz w:val="16"/>
              </w:rPr>
              <w:t>Model Context Protocol, a protocol for connecting AI hosts to tools, resources and prompts.</w:t>
            </w:r>
          </w:p>
        </w:tc>
      </w:tr>
      <w:tr>
        <w:tc>
          <w:tcPr>
            <w:tcW w:type="dxa" w:w="1971"/>
            <w:vAlign w:val="center"/>
            <w:tcMar>
              <w:top w:w="35" w:type="dxa"/>
              <w:start w:w="120" w:type="dxa"/>
              <w:bottom w:w="35" w:type="dxa"/>
              <w:end w:w="120" w:type="dxa"/>
            </w:tcMar>
          </w:tcPr>
          <w:p>
            <w:pPr>
              <w:spacing w:before="0" w:after="0"/>
            </w:pPr>
            <w:r>
              <w:rPr>
                <w:sz w:val="16"/>
              </w:rPr>
              <w:t>Restricted Mode</w:t>
            </w:r>
          </w:p>
        </w:tc>
        <w:tc>
          <w:tcPr>
            <w:tcW w:type="dxa" w:w="7389"/>
            <w:vAlign w:val="center"/>
            <w:tcMar>
              <w:top w:w="35" w:type="dxa"/>
              <w:start w:w="120" w:type="dxa"/>
              <w:bottom w:w="35" w:type="dxa"/>
              <w:end w:w="120" w:type="dxa"/>
            </w:tcMar>
          </w:tcPr>
          <w:p>
            <w:pPr>
              <w:spacing w:before="0" w:after="0"/>
            </w:pPr>
            <w:r>
              <w:rPr>
                <w:sz w:val="16"/>
              </w:rPr>
              <w:t>VS Code state that limits extension and workspace capabilities until a workspace is trusted.</w:t>
            </w:r>
          </w:p>
        </w:tc>
      </w:tr>
      <w:tr>
        <w:tc>
          <w:tcPr>
            <w:tcW w:type="dxa" w:w="1971"/>
            <w:vAlign w:val="center"/>
            <w:tcMar>
              <w:top w:w="35" w:type="dxa"/>
              <w:start w:w="120" w:type="dxa"/>
              <w:bottom w:w="35" w:type="dxa"/>
              <w:end w:w="120" w:type="dxa"/>
            </w:tcMar>
          </w:tcPr>
          <w:p>
            <w:pPr>
              <w:spacing w:before="0" w:after="0"/>
            </w:pPr>
            <w:r>
              <w:rPr>
                <w:sz w:val="16"/>
              </w:rPr>
              <w:t>SBOM</w:t>
            </w:r>
          </w:p>
        </w:tc>
        <w:tc>
          <w:tcPr>
            <w:tcW w:type="dxa" w:w="7389"/>
            <w:vAlign w:val="center"/>
            <w:tcMar>
              <w:top w:w="35" w:type="dxa"/>
              <w:start w:w="120" w:type="dxa"/>
              <w:bottom w:w="35" w:type="dxa"/>
              <w:end w:w="120" w:type="dxa"/>
            </w:tcMar>
          </w:tcPr>
          <w:p>
            <w:pPr>
              <w:spacing w:before="0" w:after="0"/>
            </w:pPr>
            <w:r>
              <w:rPr>
                <w:sz w:val="16"/>
              </w:rPr>
              <w:t>Software bill of materials identifying components, versions and relationships in a software artifact.</w:t>
            </w:r>
          </w:p>
        </w:tc>
      </w:tr>
      <w:tr>
        <w:tc>
          <w:tcPr>
            <w:tcW w:type="dxa" w:w="1971"/>
            <w:vAlign w:val="center"/>
            <w:tcMar>
              <w:top w:w="35" w:type="dxa"/>
              <w:start w:w="120" w:type="dxa"/>
              <w:bottom w:w="35" w:type="dxa"/>
              <w:end w:w="120" w:type="dxa"/>
            </w:tcMar>
          </w:tcPr>
          <w:p>
            <w:pPr>
              <w:spacing w:before="0" w:after="0"/>
            </w:pPr>
            <w:r>
              <w:rPr>
                <w:sz w:val="16"/>
              </w:rPr>
              <w:t>SecretStorage</w:t>
            </w:r>
          </w:p>
        </w:tc>
        <w:tc>
          <w:tcPr>
            <w:tcW w:type="dxa" w:w="7389"/>
            <w:vAlign w:val="center"/>
            <w:tcMar>
              <w:top w:w="35" w:type="dxa"/>
              <w:start w:w="120" w:type="dxa"/>
              <w:bottom w:w="35" w:type="dxa"/>
              <w:end w:w="120" w:type="dxa"/>
            </w:tcMar>
          </w:tcPr>
          <w:p>
            <w:pPr>
              <w:spacing w:before="0" w:after="0"/>
            </w:pPr>
            <w:r>
              <w:rPr>
                <w:sz w:val="16"/>
              </w:rPr>
              <w:t>VS Code platform-backed storage intended for extension secrets.</w:t>
            </w:r>
          </w:p>
        </w:tc>
      </w:tr>
      <w:tr>
        <w:tc>
          <w:tcPr>
            <w:tcW w:type="dxa" w:w="1971"/>
            <w:vAlign w:val="center"/>
            <w:tcMar>
              <w:top w:w="35" w:type="dxa"/>
              <w:start w:w="120" w:type="dxa"/>
              <w:bottom w:w="35" w:type="dxa"/>
              <w:end w:w="120" w:type="dxa"/>
            </w:tcMar>
          </w:tcPr>
          <w:p>
            <w:pPr>
              <w:spacing w:before="0" w:after="0"/>
            </w:pPr>
            <w:r>
              <w:rPr>
                <w:sz w:val="16"/>
              </w:rPr>
              <w:t>VSIX</w:t>
            </w:r>
          </w:p>
        </w:tc>
        <w:tc>
          <w:tcPr>
            <w:tcW w:type="dxa" w:w="7389"/>
            <w:vAlign w:val="center"/>
            <w:tcMar>
              <w:top w:w="35" w:type="dxa"/>
              <w:start w:w="120" w:type="dxa"/>
              <w:bottom w:w="35" w:type="dxa"/>
              <w:end w:w="120" w:type="dxa"/>
            </w:tcMar>
          </w:tcPr>
          <w:p>
            <w:pPr>
              <w:spacing w:before="0" w:after="0"/>
            </w:pPr>
            <w:r>
              <w:rPr>
                <w:sz w:val="16"/>
              </w:rPr>
              <w:t>Visual Studio extension archive format used by Visual Studio Code Marketplace packages.</w:t>
            </w:r>
          </w:p>
        </w:tc>
      </w:tr>
      <w:tr>
        <w:tc>
          <w:tcPr>
            <w:tcW w:type="dxa" w:w="1971"/>
            <w:vAlign w:val="center"/>
            <w:tcMar>
              <w:top w:w="35" w:type="dxa"/>
              <w:start w:w="120" w:type="dxa"/>
              <w:bottom w:w="35" w:type="dxa"/>
              <w:end w:w="120" w:type="dxa"/>
            </w:tcMar>
          </w:tcPr>
          <w:p>
            <w:pPr>
              <w:spacing w:before="0" w:after="0"/>
            </w:pPr>
            <w:r>
              <w:rPr>
                <w:sz w:val="16"/>
              </w:rPr>
              <w:t>Webview bridge</w:t>
            </w:r>
          </w:p>
        </w:tc>
        <w:tc>
          <w:tcPr>
            <w:tcW w:type="dxa" w:w="7389"/>
            <w:vAlign w:val="center"/>
            <w:tcMar>
              <w:top w:w="35" w:type="dxa"/>
              <w:start w:w="120" w:type="dxa"/>
              <w:bottom w:w="35" w:type="dxa"/>
              <w:end w:w="120" w:type="dxa"/>
            </w:tcMar>
          </w:tcPr>
          <w:p>
            <w:pPr>
              <w:spacing w:before="0" w:after="0"/>
            </w:pPr>
            <w:r>
              <w:rPr>
                <w:sz w:val="16"/>
              </w:rPr>
              <w:t>Local message relay connecting VS Code extension-host code to embedded browser or remote iframe content.</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Figma for VS Code | Security assessment | Classification: 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arketplace.visualstudio.com/items?itemName=figma.figma-vscode-extension" TargetMode="External"/><Relationship Id="rId13" Type="http://schemas.openxmlformats.org/officeDocument/2006/relationships/hyperlink" Target="https://help.figma.com/hc/en-us/articles/15023121296151-Figma-for-VS-Code" TargetMode="External"/><Relationship Id="rId14" Type="http://schemas.openxmlformats.org/officeDocument/2006/relationships/hyperlink" Target="https://help.figma.com/hc/en-us/articles/19424714305943-Adjust-your-network-settings" TargetMode="External"/><Relationship Id="rId15" Type="http://schemas.openxmlformats.org/officeDocument/2006/relationships/hyperlink" Target="https://www.figma.com/legal/privacy/" TargetMode="External"/><Relationship Id="rId16" Type="http://schemas.openxmlformats.org/officeDocument/2006/relationships/hyperlink" Target="https://www.figma.com/legal/dpa/" TargetMode="External"/><Relationship Id="rId17" Type="http://schemas.openxmlformats.org/officeDocument/2006/relationships/hyperlink" Target="https://www.figma.com/security/" TargetMode="External"/><Relationship Id="rId18" Type="http://schemas.openxmlformats.org/officeDocument/2006/relationships/hyperlink" Target="https://code.visualstudio.com/api/extension-guides/webview" TargetMode="External"/><Relationship Id="rId19" Type="http://schemas.openxmlformats.org/officeDocument/2006/relationships/hyperlink" Target="https://code.visualstudio.com/api/extension-guides/telemetry" TargetMode="External"/><Relationship Id="rId20" Type="http://schemas.openxmlformats.org/officeDocument/2006/relationships/hyperlink" Target="https://code.visualstudio.com/api/extension-guides/workspace-trust" TargetMode="External"/><Relationship Id="rId21" Type="http://schemas.openxmlformats.org/officeDocument/2006/relationships/hyperlink" Target="https://code.visualstudio.com/api/advanced-topics/extension-host" TargetMode="External"/><Relationship Id="rId22" Type="http://schemas.openxmlformats.org/officeDocument/2006/relationships/hyperlink" Target="https://owasp.org/www-project-application-security-verification-standard/" TargetMode="External"/><Relationship Id="rId23" Type="http://schemas.openxmlformats.org/officeDocument/2006/relationships/hyperlink" Target="https://www.nist.gov/itl/ai-risk-management-framework" TargetMode="External"/><Relationship Id="rId24" Type="http://schemas.openxmlformats.org/officeDocument/2006/relationships/hyperlink" Target="https://atlas.mitre.org/" TargetMode="External"/><Relationship Id="rId25" Type="http://schemas.openxmlformats.org/officeDocument/2006/relationships/hyperlink" Target="https://www.ncsc.gov.uk/collection/guidelines-secure-ai-system-development" TargetMode="External"/><Relationship Id="rId26" Type="http://schemas.openxmlformats.org/officeDocument/2006/relationships/hyperlink" Target="https://ico.org.uk/for-organisations/uk-gdpr-guidance-and-resources/" TargetMode="External"/><Relationship Id="rId27" Type="http://schemas.openxmlformats.org/officeDocument/2006/relationships/hyperlink" Target="https://www.fca.org.uk/firms/operational-resilience" TargetMode="External"/><Relationship Id="rId28" Type="http://schemas.openxmlformats.org/officeDocument/2006/relationships/hyperlink" Target="https://www.bankofengland.co.uk/prudential-regulation/publication/2021/march/operational-resilience-impact-tolerances-for-important-business-services-ss" TargetMode="External"/><Relationship Id="rId29" Type="http://schemas.openxmlformats.org/officeDocument/2006/relationships/hyperlink" Target="https://www.iso.org/standard/27001" TargetMode="External"/><Relationship Id="rId30" Type="http://schemas.openxmlformats.org/officeDocument/2006/relationships/hyperlink" Target="https://google.github.io/osv.dev/api/" TargetMode="External"/><Relationship Id="rId31" Type="http://schemas.openxmlformats.org/officeDocument/2006/relationships/hyperlink" Target="https://learn.microsoft.com/en-us/azure/devops/marketplace/overview?view=azure-dev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Figma for VS Code (figma.figma-vscode-extension) security assessment</dc:title>
  <dc:subject>Evidence-led Microsoft IDE extension security assessment</dc:subject>
  <dc:creator>Security Assessment Automation</dc:creator>
  <cp:keywords>security assessment, VS Code, AI, OWASP, privacy</cp:keywords>
  <dc:description>Generated from hash-bound validated stage outputs.</dc:description>
  <cp:lastModifiedBy>Security Assessment Automation</cp:lastModifiedBy>
  <cp:revision>1</cp:revision>
  <dcterms:created xsi:type="dcterms:W3CDTF">2013-12-23T23:15:00Z</dcterms:created>
  <dcterms:modified xsi:type="dcterms:W3CDTF">2013-12-23T23:15:00Z</dcterms:modified>
  <cp:category/>
</cp:coreProperties>
</file>