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A66A00"/>
          <w:sz w:val="22"/>
        </w:rPr>
        <w:t>SECURITY ASSESSMENT</w:t>
      </w:r>
    </w:p>
    <w:p>
      <w:pPr>
        <w:pStyle w:val="Title"/>
        <w:jc w:val="center"/>
      </w:pPr>
      <w:r>
        <w:t>Claude Code for VS Code</w:t>
      </w:r>
    </w:p>
    <w:p>
      <w:pPr>
        <w:pStyle w:val="Subtitle"/>
        <w:jc w:val="center"/>
      </w:pPr>
      <w:r>
        <w:t>Anthropic | anthropic.claude-code | Version 2.1.220</w:t>
      </w:r>
    </w:p>
    <w:p>
      <w:pPr>
        <w:jc w:val="center"/>
      </w:pPr>
      <w:r>
        <w:rPr>
          <w:b/>
          <w:color w:val="A61B1B"/>
          <w:sz w:val="28"/>
        </w:rPr>
        <w:t>DECISION: DEFER PENDING EVIDENCE</w:t>
      </w:r>
    </w:p>
    <w:tbl>
      <w:tblPr>
        <w:tblStyle w:val="TableGrid"/>
        <w:tblW w:type="auto" w:w="0"/>
        <w:jc w:val="center"/>
        <w:tblLayout w:type="fixed"/>
        <w:tblLook w:firstColumn="1" w:firstRow="1" w:lastColumn="0" w:lastRow="0" w:noHBand="0" w:noVBand="1" w:val="04A0"/>
      </w:tblPr>
      <w:tblGrid>
        <w:gridCol w:w="2592"/>
        <w:gridCol w:w="6768"/>
      </w:tblGrid>
      <w:tr>
        <w:trPr>
          <w:tblHeader/>
        </w:trPr>
        <w:tc>
          <w:tcPr>
            <w:tcW w:type="dxa" w:w="2592"/>
            <w:shd w:fill="17365D"/>
            <w:tcMar>
              <w:top w:w="80" w:type="dxa"/>
              <w:start w:w="120" w:type="dxa"/>
              <w:bottom w:w="80" w:type="dxa"/>
              <w:end w:w="120" w:type="dxa"/>
            </w:tcMar>
            <w:vAlign w:val="center"/>
          </w:tcPr>
          <w:p>
            <w:r>
              <w:rPr>
                <w:b/>
                <w:color w:val="FFFFFF"/>
                <w:sz w:val="18"/>
              </w:rPr>
              <w:t>Document control</w:t>
            </w:r>
          </w:p>
        </w:tc>
        <w:tc>
          <w:tcPr>
            <w:tcW w:type="dxa" w:w="6768"/>
            <w:shd w:fill="17365D"/>
            <w:tcMar>
              <w:top w:w="80" w:type="dxa"/>
              <w:start w:w="120" w:type="dxa"/>
              <w:bottom w:w="80" w:type="dxa"/>
              <w:end w:w="120" w:type="dxa"/>
            </w:tcMar>
            <w:vAlign w:val="center"/>
          </w:tcPr>
          <w:p>
            <w:r>
              <w:rPr>
                <w:b/>
                <w:color w:val="FFFFFF"/>
                <w:sz w:val="18"/>
              </w:rPr>
              <w:t>Value</w:t>
            </w:r>
          </w:p>
        </w:tc>
      </w:tr>
      <w:tr>
        <w:trPr>
          <w:cantSplit/>
        </w:trPr>
        <w:tc>
          <w:tcPr>
            <w:tcW w:type="dxa" w:w="2592"/>
            <w:tcMar>
              <w:top w:w="80" w:type="dxa"/>
              <w:start w:w="120" w:type="dxa"/>
              <w:bottom w:w="80" w:type="dxa"/>
              <w:end w:w="120" w:type="dxa"/>
            </w:tcMar>
            <w:vAlign w:val="center"/>
          </w:tcPr>
          <w:p>
            <w:pPr>
              <w:spacing w:after="30"/>
            </w:pPr>
            <w:r>
              <w:rPr>
                <w:sz w:val="18"/>
              </w:rPr>
              <w:t>Assessment date</w:t>
            </w:r>
          </w:p>
        </w:tc>
        <w:tc>
          <w:tcPr>
            <w:tcW w:type="dxa" w:w="6768"/>
            <w:tcMar>
              <w:top w:w="80" w:type="dxa"/>
              <w:start w:w="120" w:type="dxa"/>
              <w:bottom w:w="80" w:type="dxa"/>
              <w:end w:w="120" w:type="dxa"/>
            </w:tcMar>
            <w:vAlign w:val="center"/>
          </w:tcPr>
          <w:p>
            <w:pPr>
              <w:spacing w:after="30"/>
            </w:pPr>
            <w:r>
              <w:rPr>
                <w:sz w:val="18"/>
              </w:rPr>
              <w:t>26 July 2026</w:t>
            </w:r>
          </w:p>
        </w:tc>
      </w:tr>
      <w:tr>
        <w:trPr>
          <w:cantSplit/>
        </w:trPr>
        <w:tc>
          <w:tcPr>
            <w:tcW w:type="dxa" w:w="2592"/>
            <w:tcMar>
              <w:top w:w="80" w:type="dxa"/>
              <w:start w:w="120" w:type="dxa"/>
              <w:bottom w:w="80" w:type="dxa"/>
              <w:end w:w="120" w:type="dxa"/>
            </w:tcMar>
            <w:vAlign w:val="center"/>
            <w:shd w:fill="F3F6F8"/>
          </w:tcPr>
          <w:p>
            <w:pPr>
              <w:spacing w:after="30"/>
            </w:pPr>
            <w:r>
              <w:rPr>
                <w:sz w:val="18"/>
              </w:rPr>
              <w:t>Report version</w:t>
            </w:r>
          </w:p>
        </w:tc>
        <w:tc>
          <w:tcPr>
            <w:tcW w:type="dxa" w:w="6768"/>
            <w:tcMar>
              <w:top w:w="80" w:type="dxa"/>
              <w:start w:w="120" w:type="dxa"/>
              <w:bottom w:w="80" w:type="dxa"/>
              <w:end w:w="120" w:type="dxa"/>
            </w:tcMar>
            <w:vAlign w:val="center"/>
            <w:shd w:fill="F3F6F8"/>
          </w:tcPr>
          <w:p>
            <w:pPr>
              <w:spacing w:after="30"/>
            </w:pPr>
            <w:r>
              <w:rPr>
                <w:sz w:val="18"/>
              </w:rPr>
              <w:t>v1.0</w:t>
            </w:r>
          </w:p>
        </w:tc>
      </w:tr>
      <w:tr>
        <w:trPr>
          <w:cantSplit/>
        </w:trPr>
        <w:tc>
          <w:tcPr>
            <w:tcW w:type="dxa" w:w="2592"/>
            <w:tcMar>
              <w:top w:w="80" w:type="dxa"/>
              <w:start w:w="120" w:type="dxa"/>
              <w:bottom w:w="80" w:type="dxa"/>
              <w:end w:w="120" w:type="dxa"/>
            </w:tcMar>
            <w:vAlign w:val="center"/>
          </w:tcPr>
          <w:p>
            <w:pPr>
              <w:spacing w:after="30"/>
            </w:pPr>
            <w:r>
              <w:rPr>
                <w:sz w:val="18"/>
              </w:rPr>
              <w:t>Run key</w:t>
            </w:r>
          </w:p>
        </w:tc>
        <w:tc>
          <w:tcPr>
            <w:tcW w:type="dxa" w:w="6768"/>
            <w:tcMar>
              <w:top w:w="80" w:type="dxa"/>
              <w:start w:w="120" w:type="dxa"/>
              <w:bottom w:w="80" w:type="dxa"/>
              <w:end w:w="120" w:type="dxa"/>
            </w:tcMar>
            <w:vAlign w:val="center"/>
          </w:tcPr>
          <w:p>
            <w:pPr>
              <w:spacing w:after="30"/>
            </w:pPr>
            <w:r>
              <w:rPr>
                <w:sz w:val="18"/>
              </w:rPr>
              <w:t>2026-07-26-v1.0</w:t>
            </w:r>
          </w:p>
        </w:tc>
      </w:tr>
      <w:tr>
        <w:trPr>
          <w:cantSplit/>
        </w:trPr>
        <w:tc>
          <w:tcPr>
            <w:tcW w:type="dxa" w:w="2592"/>
            <w:tcMar>
              <w:top w:w="80" w:type="dxa"/>
              <w:start w:w="120" w:type="dxa"/>
              <w:bottom w:w="80" w:type="dxa"/>
              <w:end w:w="120" w:type="dxa"/>
            </w:tcMar>
            <w:vAlign w:val="center"/>
            <w:shd w:fill="F3F6F8"/>
          </w:tcPr>
          <w:p>
            <w:pPr>
              <w:spacing w:after="30"/>
            </w:pPr>
            <w:r>
              <w:rPr>
                <w:sz w:val="18"/>
              </w:rPr>
              <w:t>IDE scope</w:t>
            </w:r>
          </w:p>
        </w:tc>
        <w:tc>
          <w:tcPr>
            <w:tcW w:type="dxa" w:w="6768"/>
            <w:tcMar>
              <w:top w:w="80" w:type="dxa"/>
              <w:start w:w="120" w:type="dxa"/>
              <w:bottom w:w="80" w:type="dxa"/>
              <w:end w:w="120" w:type="dxa"/>
            </w:tcMar>
            <w:vAlign w:val="center"/>
            <w:shd w:fill="F3F6F8"/>
          </w:tcPr>
          <w:p>
            <w:pPr>
              <w:spacing w:after="30"/>
            </w:pPr>
            <w:r>
              <w:rPr>
                <w:sz w:val="18"/>
              </w:rPr>
              <w:t>VS Code; Microsoft Visual Studio not applicable</w:t>
            </w:r>
          </w:p>
        </w:tc>
      </w:tr>
      <w:tr>
        <w:trPr>
          <w:cantSplit/>
        </w:trPr>
        <w:tc>
          <w:tcPr>
            <w:tcW w:type="dxa" w:w="2592"/>
            <w:tcMar>
              <w:top w:w="80" w:type="dxa"/>
              <w:start w:w="120" w:type="dxa"/>
              <w:bottom w:w="80" w:type="dxa"/>
              <w:end w:w="120" w:type="dxa"/>
            </w:tcMar>
            <w:vAlign w:val="center"/>
          </w:tcPr>
          <w:p>
            <w:pPr>
              <w:spacing w:after="30"/>
            </w:pPr>
            <w:r>
              <w:rPr>
                <w:sz w:val="18"/>
              </w:rPr>
              <w:t>Enterprise context</w:t>
            </w:r>
          </w:p>
        </w:tc>
        <w:tc>
          <w:tcPr>
            <w:tcW w:type="dxa" w:w="6768"/>
            <w:tcMar>
              <w:top w:w="80" w:type="dxa"/>
              <w:start w:w="120" w:type="dxa"/>
              <w:bottom w:w="80" w:type="dxa"/>
              <w:end w:w="120" w:type="dxa"/>
            </w:tcMar>
            <w:vAlign w:val="center"/>
          </w:tcPr>
          <w:p>
            <w:pPr>
              <w:spacing w:after="30"/>
            </w:pPr>
            <w:r>
              <w:rPr>
                <w:sz w:val="18"/>
              </w:rPr>
              <w:t>Large UK Insurance business</w:t>
            </w:r>
          </w:p>
        </w:tc>
      </w:tr>
      <w:tr>
        <w:trPr>
          <w:cantSplit/>
        </w:trPr>
        <w:tc>
          <w:tcPr>
            <w:tcW w:type="dxa" w:w="2592"/>
            <w:tcMar>
              <w:top w:w="80" w:type="dxa"/>
              <w:start w:w="120" w:type="dxa"/>
              <w:bottom w:w="80" w:type="dxa"/>
              <w:end w:w="120" w:type="dxa"/>
            </w:tcMar>
            <w:vAlign w:val="center"/>
            <w:shd w:fill="F3F6F8"/>
          </w:tcPr>
          <w:p>
            <w:pPr>
              <w:spacing w:after="30"/>
            </w:pPr>
            <w:r>
              <w:rPr>
                <w:sz w:val="18"/>
              </w:rPr>
              <w:t>Classification</w:t>
            </w:r>
          </w:p>
        </w:tc>
        <w:tc>
          <w:tcPr>
            <w:tcW w:type="dxa" w:w="6768"/>
            <w:tcMar>
              <w:top w:w="80" w:type="dxa"/>
              <w:start w:w="120" w:type="dxa"/>
              <w:bottom w:w="80" w:type="dxa"/>
              <w:end w:w="120" w:type="dxa"/>
            </w:tcMar>
            <w:vAlign w:val="center"/>
            <w:shd w:fill="F3F6F8"/>
          </w:tcPr>
          <w:p>
            <w:pPr>
              <w:spacing w:after="30"/>
            </w:pPr>
            <w:r>
              <w:rPr>
                <w:sz w:val="18"/>
              </w:rPr>
              <w:t>PUBLIC</w:t>
            </w:r>
          </w:p>
        </w:tc>
      </w:tr>
    </w:tbl>
    <w:p>
      <w:pPr>
        <w:spacing w:after="4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448"/>
        <w:gridCol w:w="6912"/>
      </w:tblGrid>
      <w:tr>
        <w:trPr>
          <w:tblHeader/>
        </w:trPr>
        <w:tc>
          <w:tcPr>
            <w:tcW w:type="dxa" w:w="2448"/>
            <w:shd w:fill="17365D"/>
            <w:tcMar>
              <w:top w:w="80" w:type="dxa"/>
              <w:start w:w="120" w:type="dxa"/>
              <w:bottom w:w="80" w:type="dxa"/>
              <w:end w:w="120" w:type="dxa"/>
            </w:tcMar>
            <w:vAlign w:val="center"/>
          </w:tcPr>
          <w:p>
            <w:r>
              <w:rPr>
                <w:b/>
                <w:color w:val="FFFFFF"/>
                <w:sz w:val="14"/>
              </w:rPr>
              <w:t>Field</w:t>
            </w:r>
          </w:p>
        </w:tc>
        <w:tc>
          <w:tcPr>
            <w:tcW w:type="dxa" w:w="6912"/>
            <w:shd w:fill="17365D"/>
            <w:tcMar>
              <w:top w:w="80" w:type="dxa"/>
              <w:start w:w="120" w:type="dxa"/>
              <w:bottom w:w="80" w:type="dxa"/>
              <w:end w:w="120" w:type="dxa"/>
            </w:tcMar>
            <w:vAlign w:val="center"/>
          </w:tcPr>
          <w:p>
            <w:r>
              <w:rPr>
                <w:b/>
                <w:color w:val="FFFFFF"/>
                <w:sz w:val="14"/>
              </w:rPr>
              <w:t>Value</w:t>
            </w:r>
          </w:p>
        </w:tc>
      </w:tr>
      <w:tr>
        <w:trPr>
          <w:cantSplit/>
        </w:trPr>
        <w:tc>
          <w:tcPr>
            <w:tcW w:type="dxa" w:w="2448"/>
            <w:tcMar>
              <w:top w:w="80" w:type="dxa"/>
              <w:start w:w="120" w:type="dxa"/>
              <w:bottom w:w="80" w:type="dxa"/>
              <w:end w:w="120" w:type="dxa"/>
            </w:tcMar>
            <w:vAlign w:val="center"/>
          </w:tcPr>
          <w:p>
            <w:pPr>
              <w:spacing w:after="30"/>
            </w:pPr>
            <w:r>
              <w:rPr>
                <w:sz w:val="14"/>
              </w:rPr>
              <w:t>Title</w:t>
            </w:r>
          </w:p>
        </w:tc>
        <w:tc>
          <w:tcPr>
            <w:tcW w:type="dxa" w:w="6912"/>
            <w:tcMar>
              <w:top w:w="80" w:type="dxa"/>
              <w:start w:w="120" w:type="dxa"/>
              <w:bottom w:w="80" w:type="dxa"/>
              <w:end w:w="120" w:type="dxa"/>
            </w:tcMar>
            <w:vAlign w:val="center"/>
          </w:tcPr>
          <w:p>
            <w:pPr>
              <w:spacing w:after="30"/>
            </w:pPr>
            <w:r>
              <w:rPr>
                <w:sz w:val="14"/>
              </w:rPr>
              <w:t>Anthropic Claude Code for VS Code 2.1.220 Security Assessment</w:t>
            </w:r>
          </w:p>
        </w:tc>
      </w:tr>
      <w:tr>
        <w:trPr>
          <w:cantSplit/>
        </w:trPr>
        <w:tc>
          <w:tcPr>
            <w:tcW w:type="dxa" w:w="2448"/>
            <w:tcMar>
              <w:top w:w="80" w:type="dxa"/>
              <w:start w:w="120" w:type="dxa"/>
              <w:bottom w:w="80" w:type="dxa"/>
              <w:end w:w="120" w:type="dxa"/>
            </w:tcMar>
            <w:vAlign w:val="center"/>
            <w:shd w:fill="F3F6F8"/>
          </w:tcPr>
          <w:p>
            <w:pPr>
              <w:spacing w:after="30"/>
            </w:pPr>
            <w:r>
              <w:rPr>
                <w:sz w:val="14"/>
              </w:rPr>
              <w:t>Authoritative format</w:t>
            </w:r>
          </w:p>
        </w:tc>
        <w:tc>
          <w:tcPr>
            <w:tcW w:type="dxa" w:w="6912"/>
            <w:tcMar>
              <w:top w:w="80" w:type="dxa"/>
              <w:start w:w="120" w:type="dxa"/>
              <w:bottom w:w="80" w:type="dxa"/>
              <w:end w:w="120" w:type="dxa"/>
            </w:tcMar>
            <w:vAlign w:val="center"/>
            <w:shd w:fill="F3F6F8"/>
          </w:tcPr>
          <w:p>
            <w:pPr>
              <w:spacing w:after="30"/>
            </w:pPr>
            <w:r>
              <w:rPr>
                <w:sz w:val="14"/>
              </w:rPr>
              <w:t>Microsoft Word DOCX</w:t>
            </w:r>
          </w:p>
        </w:tc>
      </w:tr>
      <w:tr>
        <w:trPr>
          <w:cantSplit/>
        </w:trPr>
        <w:tc>
          <w:tcPr>
            <w:tcW w:type="dxa" w:w="2448"/>
            <w:tcMar>
              <w:top w:w="80" w:type="dxa"/>
              <w:start w:w="120" w:type="dxa"/>
              <w:bottom w:w="80" w:type="dxa"/>
              <w:end w:w="120" w:type="dxa"/>
            </w:tcMar>
            <w:vAlign w:val="center"/>
          </w:tcPr>
          <w:p>
            <w:pPr>
              <w:spacing w:after="30"/>
            </w:pPr>
            <w:r>
              <w:rPr>
                <w:sz w:val="14"/>
              </w:rPr>
              <w:t>Decision</w:t>
            </w:r>
          </w:p>
        </w:tc>
        <w:tc>
          <w:tcPr>
            <w:tcW w:type="dxa" w:w="6912"/>
            <w:tcMar>
              <w:top w:w="80" w:type="dxa"/>
              <w:start w:w="120" w:type="dxa"/>
              <w:bottom w:w="80" w:type="dxa"/>
              <w:end w:w="120" w:type="dxa"/>
            </w:tcMar>
            <w:vAlign w:val="center"/>
          </w:tcPr>
          <w:p>
            <w:pPr>
              <w:spacing w:after="30"/>
            </w:pPr>
            <w:r>
              <w:rPr>
                <w:sz w:val="14"/>
              </w:rPr>
              <w:t>Defer pending evidence</w:t>
            </w:r>
          </w:p>
        </w:tc>
      </w:tr>
      <w:tr>
        <w:trPr>
          <w:cantSplit/>
        </w:trPr>
        <w:tc>
          <w:tcPr>
            <w:tcW w:type="dxa" w:w="2448"/>
            <w:tcMar>
              <w:top w:w="80" w:type="dxa"/>
              <w:start w:w="120" w:type="dxa"/>
              <w:bottom w:w="80" w:type="dxa"/>
              <w:end w:w="120" w:type="dxa"/>
            </w:tcMar>
            <w:vAlign w:val="center"/>
            <w:shd w:fill="F3F6F8"/>
          </w:tcPr>
          <w:p>
            <w:pPr>
              <w:spacing w:after="30"/>
            </w:pPr>
            <w:r>
              <w:rPr>
                <w:sz w:val="14"/>
              </w:rPr>
              <w:t>Overall residual risk</w:t>
            </w:r>
          </w:p>
        </w:tc>
        <w:tc>
          <w:tcPr>
            <w:tcW w:type="dxa" w:w="6912"/>
            <w:tcMar>
              <w:top w:w="80" w:type="dxa"/>
              <w:start w:w="120" w:type="dxa"/>
              <w:bottom w:w="80" w:type="dxa"/>
              <w:end w:w="120" w:type="dxa"/>
            </w:tcMar>
            <w:vAlign w:val="center"/>
            <w:shd w:fill="F3F6F8"/>
          </w:tcPr>
          <w:p>
            <w:pPr>
              <w:spacing w:after="30"/>
            </w:pPr>
            <w:r>
              <w:rPr>
                <w:sz w:val="14"/>
              </w:rPr>
              <w:t>High</w:t>
            </w:r>
          </w:p>
        </w:tc>
      </w:tr>
      <w:tr>
        <w:trPr>
          <w:cantSplit/>
        </w:trPr>
        <w:tc>
          <w:tcPr>
            <w:tcW w:type="dxa" w:w="2448"/>
            <w:tcMar>
              <w:top w:w="80" w:type="dxa"/>
              <w:start w:w="120" w:type="dxa"/>
              <w:bottom w:w="80" w:type="dxa"/>
              <w:end w:w="120" w:type="dxa"/>
            </w:tcMar>
            <w:vAlign w:val="center"/>
          </w:tcPr>
          <w:p>
            <w:pPr>
              <w:spacing w:after="30"/>
            </w:pPr>
            <w:r>
              <w:rPr>
                <w:sz w:val="14"/>
              </w:rPr>
              <w:t>Expiry/review</w:t>
            </w:r>
          </w:p>
        </w:tc>
        <w:tc>
          <w:tcPr>
            <w:tcW w:type="dxa" w:w="6912"/>
            <w:tcMar>
              <w:top w:w="80" w:type="dxa"/>
              <w:start w:w="120" w:type="dxa"/>
              <w:bottom w:w="80" w:type="dxa"/>
              <w:end w:w="120" w:type="dxa"/>
            </w:tcMar>
            <w:vAlign w:val="center"/>
          </w:tcPr>
          <w:p>
            <w:pPr>
              <w:spacing w:after="30"/>
            </w:pPr>
            <w:r>
              <w:rPr>
                <w:sz w:val="14"/>
              </w:rPr>
              <w:t>90 days, version change, material policy change, new advisory or runtime evidence</w:t>
            </w:r>
          </w:p>
        </w:tc>
      </w:tr>
      <w:tr>
        <w:trPr>
          <w:cantSplit/>
        </w:trPr>
        <w:tc>
          <w:tcPr>
            <w:tcW w:type="dxa" w:w="2448"/>
            <w:tcMar>
              <w:top w:w="80" w:type="dxa"/>
              <w:start w:w="120" w:type="dxa"/>
              <w:bottom w:w="80" w:type="dxa"/>
              <w:end w:w="120" w:type="dxa"/>
            </w:tcMar>
            <w:vAlign w:val="center"/>
            <w:shd w:fill="F3F6F8"/>
          </w:tcPr>
          <w:p>
            <w:pPr>
              <w:spacing w:after="30"/>
            </w:pPr>
            <w:r>
              <w:rPr>
                <w:sz w:val="14"/>
              </w:rPr>
              <w:t>Accountable owner</w:t>
            </w:r>
          </w:p>
        </w:tc>
        <w:tc>
          <w:tcPr>
            <w:tcW w:type="dxa" w:w="6912"/>
            <w:tcMar>
              <w:top w:w="80" w:type="dxa"/>
              <w:start w:w="120" w:type="dxa"/>
              <w:bottom w:w="80" w:type="dxa"/>
              <w:end w:w="120" w:type="dxa"/>
            </w:tcMar>
            <w:vAlign w:val="center"/>
            <w:shd w:fill="F3F6F8"/>
          </w:tcPr>
          <w:p>
            <w:pPr>
              <w:spacing w:after="30"/>
            </w:pPr>
            <w:r>
              <w:rPr>
                <w:sz w:val="14"/>
              </w:rPr>
              <w:t>Enterprise Developer Platform; approval shared with Security, Privacy and Third-Party Risk</w:t>
            </w:r>
          </w:p>
        </w:tc>
      </w:tr>
    </w:tbl>
    <w:p>
      <w:pPr>
        <w:spacing w:after="4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1152"/>
        <w:gridCol w:w="1728"/>
        <w:gridCol w:w="2160"/>
        <w:gridCol w:w="4320"/>
      </w:tblGrid>
      <w:tr>
        <w:trPr>
          <w:tblHeader/>
        </w:trPr>
        <w:tc>
          <w:tcPr>
            <w:tcW w:type="dxa" w:w="1152"/>
            <w:shd w:fill="17365D"/>
            <w:tcMar>
              <w:top w:w="80" w:type="dxa"/>
              <w:start w:w="120" w:type="dxa"/>
              <w:bottom w:w="80" w:type="dxa"/>
              <w:end w:w="120" w:type="dxa"/>
            </w:tcMar>
            <w:vAlign w:val="center"/>
          </w:tcPr>
          <w:p>
            <w:r>
              <w:rPr>
                <w:b/>
                <w:color w:val="FFFFFF"/>
                <w:sz w:val="14"/>
              </w:rPr>
              <w:t>Version</w:t>
            </w:r>
          </w:p>
        </w:tc>
        <w:tc>
          <w:tcPr>
            <w:tcW w:type="dxa" w:w="1728"/>
            <w:shd w:fill="17365D"/>
            <w:tcMar>
              <w:top w:w="80" w:type="dxa"/>
              <w:start w:w="120" w:type="dxa"/>
              <w:bottom w:w="80" w:type="dxa"/>
              <w:end w:w="120" w:type="dxa"/>
            </w:tcMar>
            <w:vAlign w:val="center"/>
          </w:tcPr>
          <w:p>
            <w:r>
              <w:rPr>
                <w:b/>
                <w:color w:val="FFFFFF"/>
                <w:sz w:val="14"/>
              </w:rPr>
              <w:t>Date</w:t>
            </w:r>
          </w:p>
        </w:tc>
        <w:tc>
          <w:tcPr>
            <w:tcW w:type="dxa" w:w="2160"/>
            <w:shd w:fill="17365D"/>
            <w:tcMar>
              <w:top w:w="80" w:type="dxa"/>
              <w:start w:w="120" w:type="dxa"/>
              <w:bottom w:w="80" w:type="dxa"/>
              <w:end w:w="120" w:type="dxa"/>
            </w:tcMar>
            <w:vAlign w:val="center"/>
          </w:tcPr>
          <w:p>
            <w:r>
              <w:rPr>
                <w:b/>
                <w:color w:val="FFFFFF"/>
                <w:sz w:val="14"/>
              </w:rPr>
              <w:t>Status</w:t>
            </w:r>
          </w:p>
        </w:tc>
        <w:tc>
          <w:tcPr>
            <w:tcW w:type="dxa" w:w="4320"/>
            <w:shd w:fill="17365D"/>
            <w:tcMar>
              <w:top w:w="80" w:type="dxa"/>
              <w:start w:w="120" w:type="dxa"/>
              <w:bottom w:w="80" w:type="dxa"/>
              <w:end w:w="120" w:type="dxa"/>
            </w:tcMar>
            <w:vAlign w:val="center"/>
          </w:tcPr>
          <w:p>
            <w:r>
              <w:rPr>
                <w:b/>
                <w:color w:val="FFFFFF"/>
                <w:sz w:val="14"/>
              </w:rPr>
              <w:t>Change</w:t>
            </w:r>
          </w:p>
        </w:tc>
      </w:tr>
      <w:tr>
        <w:trPr>
          <w:cantSplit/>
        </w:trPr>
        <w:tc>
          <w:tcPr>
            <w:tcW w:type="dxa" w:w="1152"/>
            <w:tcMar>
              <w:top w:w="80" w:type="dxa"/>
              <w:start w:w="120" w:type="dxa"/>
              <w:bottom w:w="80" w:type="dxa"/>
              <w:end w:w="120" w:type="dxa"/>
            </w:tcMar>
            <w:vAlign w:val="center"/>
          </w:tcPr>
          <w:p>
            <w:pPr>
              <w:spacing w:after="30"/>
            </w:pPr>
            <w:r>
              <w:rPr>
                <w:sz w:val="14"/>
              </w:rPr>
              <w:t>1.0</w:t>
            </w:r>
          </w:p>
        </w:tc>
        <w:tc>
          <w:tcPr>
            <w:tcW w:type="dxa" w:w="1728"/>
            <w:tcMar>
              <w:top w:w="80" w:type="dxa"/>
              <w:start w:w="120" w:type="dxa"/>
              <w:bottom w:w="80" w:type="dxa"/>
              <w:end w:w="120" w:type="dxa"/>
            </w:tcMar>
            <w:vAlign w:val="center"/>
          </w:tcPr>
          <w:p>
            <w:pPr>
              <w:spacing w:after="30"/>
            </w:pPr>
            <w:r>
              <w:rPr>
                <w:sz w:val="14"/>
              </w:rPr>
              <w:t>26 July 2026</w:t>
            </w:r>
          </w:p>
        </w:tc>
        <w:tc>
          <w:tcPr>
            <w:tcW w:type="dxa" w:w="2160"/>
            <w:tcMar>
              <w:top w:w="80" w:type="dxa"/>
              <w:start w:w="120" w:type="dxa"/>
              <w:bottom w:w="80" w:type="dxa"/>
              <w:end w:w="120" w:type="dxa"/>
            </w:tcMar>
            <w:vAlign w:val="center"/>
          </w:tcPr>
          <w:p>
            <w:pPr>
              <w:spacing w:after="30"/>
            </w:pPr>
            <w:r>
              <w:rPr>
                <w:sz w:val="14"/>
              </w:rPr>
              <w:t>Authoritative</w:t>
            </w:r>
          </w:p>
        </w:tc>
        <w:tc>
          <w:tcPr>
            <w:tcW w:type="dxa" w:w="4320"/>
            <w:tcMar>
              <w:top w:w="80" w:type="dxa"/>
              <w:start w:w="120" w:type="dxa"/>
              <w:bottom w:w="80" w:type="dxa"/>
              <w:end w:w="120" w:type="dxa"/>
            </w:tcMar>
            <w:vAlign w:val="center"/>
          </w:tcPr>
          <w:p>
            <w:pPr>
              <w:spacing w:after="30"/>
            </w:pPr>
            <w:r>
              <w:rPr>
                <w:sz w:val="14"/>
              </w:rPr>
              <w:t>Initial assessment of 2.1.220</w:t>
            </w:r>
          </w:p>
        </w:tc>
      </w:tr>
    </w:tbl>
    <w:p>
      <w:pPr>
        <w:spacing w:after="40"/>
      </w:pPr>
    </w:p>
    <w:p>
      <w:pPr>
        <w:pStyle w:val="Heading1"/>
      </w:pPr>
      <w:r>
        <w:t>Contents</w:t>
      </w:r>
    </w:p>
    <w:p>
      <w:pPr>
        <w:pStyle w:val="ListBullet"/>
      </w:pPr>
      <w:r>
        <w:t>Executive Summary</w:t>
      </w:r>
    </w:p>
    <w:p>
      <w:pPr>
        <w:pStyle w:val="ListBullet"/>
      </w:pPr>
      <w:r>
        <w:t>Part I - VS Code Assessment</w:t>
      </w:r>
    </w:p>
    <w:p>
      <w:pPr>
        <w:pStyle w:val="ListBullet"/>
      </w:pPr>
      <w:r>
        <w:t>Part II - Microsoft Visual Studio Assessment</w:t>
      </w:r>
    </w:p>
    <w:p>
      <w:pPr>
        <w:pStyle w:val="ListBullet"/>
      </w:pPr>
      <w:r>
        <w:t>Shared Analysis, Findings and Remediation</w:t>
      </w:r>
    </w:p>
    <w:p>
      <w:pPr>
        <w:pStyle w:val="ListBullet"/>
      </w:pPr>
      <w:r>
        <w:t>Evidence, References and Appendices</w:t>
      </w:r>
    </w:p>
    <w:p>
      <w:r>
        <w:t>Word heading styles provide the complete navigable document outline.</w:t>
      </w:r>
    </w:p>
    <w:p>
      <w:pPr>
        <w:pStyle w:val="Heading1"/>
      </w:pPr>
      <w:r>
        <w:t>Executive Summary</w:t>
      </w:r>
    </w:p>
    <w:p>
      <w:r>
        <w:t xml:space="preserve">Decision: </w:t>
      </w:r>
      <w:r>
        <w:rPr>
          <w:b/>
        </w:rPr>
        <w:t>Defer pending evidence</w:t>
      </w:r>
      <w:r>
        <w:t xml:space="preserve"> for production, customer-data, regulated-data and autonomous use. Static evidence identifies a genuine Anthropic package and meaningful enterprise controls, but the residual risk remains High because representative runtime behavior, complete component provenance and regulated privacy configuration are not yet proven. </w:t>
      </w:r>
      <w:hyperlink w:anchor="REF_001">
        <w:r>
          <w:rPr>
            <w:color w:val="0563C1"/>
            <w:u w:val="single"/>
          </w:rPr>
          <w:t>[REF-001]</w:t>
        </w:r>
      </w:hyperlink>
      <w:r>
        <w:t xml:space="preserve"> </w:t>
      </w:r>
      <w:hyperlink w:anchor="REF_003">
        <w:r>
          <w:rPr>
            <w:color w:val="0563C1"/>
            <w:u w:val="single"/>
          </w:rPr>
          <w:t>[REF-003]</w:t>
        </w:r>
      </w:hyperlink>
      <w:r>
        <w:t xml:space="preserve"> </w:t>
      </w:r>
      <w:hyperlink w:anchor="REF_006">
        <w:r>
          <w:rPr>
            <w:color w:val="0563C1"/>
            <w:u w:val="single"/>
          </w:rPr>
          <w:t>[REF-006]</w:t>
        </w:r>
      </w:hyperlink>
      <w:r>
        <w:t xml:space="preserve"> </w:t>
      </w:r>
      <w:hyperlink w:anchor="REF_008">
        <w:r>
          <w:rPr>
            <w:color w:val="0563C1"/>
            <w:u w:val="single"/>
          </w:rPr>
          <w:t>[REF-008]</w:t>
        </w:r>
      </w:hyperlink>
    </w:p>
    <w:p>
      <w:pPr>
        <w:pStyle w:val="ListBullet"/>
      </w:pPr>
      <w:r>
        <w:t>The exact official target is verified as Anthropic's domain-verified Marketplace extension `anthropic.claude-code` version 2.1.220; the acquired macOS ARM64 VSIX hash matches Marketplace metadata.</w:t>
      </w:r>
    </w:p>
    <w:p>
      <w:pPr>
        <w:pStyle w:val="ListBullet"/>
      </w:pPr>
      <w:r>
        <w:t>The product can read and write code, run terminal commands, use Git, create worktrees, execute approved notebook cells, install plugins and connect MCP; safe deployment depends on managed deny-first permission and sandbox policy.</w:t>
      </w:r>
    </w:p>
    <w:p>
      <w:pPr>
        <w:pStyle w:val="ListBullet"/>
      </w:pPr>
      <w:r>
        <w:t>The current version is above every published applicable advisory fix threshold observed, but recent trust, sandbox, command and exfiltration advisories justify enforced rapid updates and regression testing.</w:t>
      </w:r>
    </w:p>
    <w:p>
      <w:pPr>
        <w:pStyle w:val="ListBullet"/>
      </w:pPr>
      <w:r>
        <w:t>Privacy requires a managed commercial/Enterprise tenant, approved provider route, DPIA, minimal or disabled plaintext transcript persistence, nonessential-traffic controls and contractual retention/transfer evidence.</w:t>
      </w:r>
    </w:p>
    <w:p>
      <w:pPr>
        <w:pStyle w:val="ListBullet"/>
      </w:pPr>
      <w:r>
        <w:t>Runtime analysis remains selected but blocked: no extension activation occurred because a disposable representative VM/endpoint, synthetic tenant, controlled egress and rollback evidence were unavailable.</w:t>
      </w:r>
    </w:p>
    <w:p>
      <w:r>
        <w:t>Immediate actions: keep the extension out of production and regulated workflows; implement the managed policy baseline; obtain vendor SBOM/provenance and privacy assurance; then execute the isolated runtime plan. A limited synthetic pilot is not approved until those preconditions are demonstrably in place.</w:t>
      </w:r>
    </w:p>
    <w:p>
      <w:pPr>
        <w:pStyle w:val="Heading1"/>
      </w:pPr>
      <w:r>
        <w:t>Purpose &amp; Function Overview</w:t>
      </w:r>
    </w:p>
    <w:p>
      <w:r>
        <w:t xml:space="preserve">Claude Code for VS Code embeds Anthropic's agentic coding experience in VS Code. It combines a native extension/webview with a bundled native Claude executable, editor context, diff workflows, terminal/file/Git capabilities, optional plugins and skills, hooks, MCP, remote control and model-provider connectivity. Anthropic describes file modification and terminal execution as permission-controlled. </w:t>
      </w:r>
      <w:hyperlink w:anchor="REF_003">
        <w:r>
          <w:rPr>
            <w:color w:val="0563C1"/>
            <w:u w:val="single"/>
          </w:rPr>
          <w:t>[REF-003]</w:t>
        </w:r>
      </w:hyperlink>
      <w:r>
        <w:t xml:space="preserve"> </w:t>
      </w:r>
      <w:hyperlink w:anchor="REF_006">
        <w:r>
          <w:rPr>
            <w:color w:val="0563C1"/>
            <w:u w:val="single"/>
          </w:rPr>
          <w:t>[REF-006]</w:t>
        </w:r>
      </w:hyperlink>
      <w:r>
        <w:t xml:space="preserve"> </w:t>
      </w:r>
      <w:hyperlink w:anchor="REF_007">
        <w:r>
          <w:rPr>
            <w:color w:val="0563C1"/>
            <w:u w:val="single"/>
          </w:rPr>
          <w:t>[REF-007]</w:t>
        </w:r>
      </w:hyperlink>
    </w:p>
    <w:p>
      <w:pPr>
        <w:pStyle w:val="Heading1"/>
      </w:pPr>
      <w:r>
        <w:t>Scope, Assumptions, Methodology and Criteria</w:t>
      </w:r>
    </w:p>
    <w:tbl>
      <w:tblPr>
        <w:tblStyle w:val="TableGrid"/>
        <w:tblW w:type="auto" w:w="0"/>
        <w:jc w:val="center"/>
        <w:tblLayout w:type="fixed"/>
        <w:tblLook w:firstColumn="1" w:firstRow="1" w:lastColumn="0" w:lastRow="0" w:noHBand="0" w:noVBand="1" w:val="04A0"/>
      </w:tblPr>
      <w:tblGrid>
        <w:gridCol w:w="2448"/>
        <w:gridCol w:w="1008"/>
        <w:gridCol w:w="1584"/>
        <w:gridCol w:w="4320"/>
      </w:tblGrid>
      <w:tr>
        <w:trPr>
          <w:tblHeader/>
        </w:trPr>
        <w:tc>
          <w:tcPr>
            <w:tcW w:type="dxa" w:w="2448"/>
            <w:shd w:fill="17365D"/>
            <w:tcMar>
              <w:top w:w="80" w:type="dxa"/>
              <w:start w:w="120" w:type="dxa"/>
              <w:bottom w:w="80" w:type="dxa"/>
              <w:end w:w="120" w:type="dxa"/>
            </w:tcMar>
            <w:vAlign w:val="center"/>
          </w:tcPr>
          <w:p>
            <w:r>
              <w:rPr>
                <w:b/>
                <w:color w:val="FFFFFF"/>
                <w:sz w:val="14"/>
              </w:rPr>
              <w:t>Branch</w:t>
            </w:r>
          </w:p>
        </w:tc>
        <w:tc>
          <w:tcPr>
            <w:tcW w:type="dxa" w:w="1008"/>
            <w:shd w:fill="17365D"/>
            <w:tcMar>
              <w:top w:w="80" w:type="dxa"/>
              <w:start w:w="120" w:type="dxa"/>
              <w:bottom w:w="80" w:type="dxa"/>
              <w:end w:w="120" w:type="dxa"/>
            </w:tcMar>
            <w:vAlign w:val="center"/>
          </w:tcPr>
          <w:p>
            <w:r>
              <w:rPr>
                <w:b/>
                <w:color w:val="FFFFFF"/>
                <w:sz w:val="14"/>
              </w:rPr>
              <w:t>Selected</w:t>
            </w:r>
          </w:p>
        </w:tc>
        <w:tc>
          <w:tcPr>
            <w:tcW w:type="dxa" w:w="1584"/>
            <w:shd w:fill="17365D"/>
            <w:tcMar>
              <w:top w:w="80" w:type="dxa"/>
              <w:start w:w="120" w:type="dxa"/>
              <w:bottom w:w="80" w:type="dxa"/>
              <w:end w:w="120" w:type="dxa"/>
            </w:tcMar>
            <w:vAlign w:val="center"/>
          </w:tcPr>
          <w:p>
            <w:r>
              <w:rPr>
                <w:b/>
                <w:color w:val="FFFFFF"/>
                <w:sz w:val="14"/>
              </w:rPr>
              <w:t>Result</w:t>
            </w:r>
          </w:p>
        </w:tc>
        <w:tc>
          <w:tcPr>
            <w:tcW w:type="dxa" w:w="4320"/>
            <w:shd w:fill="17365D"/>
            <w:tcMar>
              <w:top w:w="80" w:type="dxa"/>
              <w:start w:w="120" w:type="dxa"/>
              <w:bottom w:w="80" w:type="dxa"/>
              <w:end w:w="120" w:type="dxa"/>
            </w:tcMar>
            <w:vAlign w:val="center"/>
          </w:tcPr>
          <w:p>
            <w:r>
              <w:rPr>
                <w:b/>
                <w:color w:val="FFFFFF"/>
                <w:sz w:val="14"/>
              </w:rPr>
              <w:t>Material limitation</w:t>
            </w:r>
          </w:p>
        </w:tc>
      </w:tr>
      <w:tr>
        <w:trPr>
          <w:cantSplit/>
        </w:trPr>
        <w:tc>
          <w:tcPr>
            <w:tcW w:type="dxa" w:w="2448"/>
            <w:tcMar>
              <w:top w:w="80" w:type="dxa"/>
              <w:start w:w="120" w:type="dxa"/>
              <w:bottom w:w="80" w:type="dxa"/>
              <w:end w:w="120" w:type="dxa"/>
            </w:tcMar>
            <w:vAlign w:val="center"/>
          </w:tcPr>
          <w:p>
            <w:pPr>
              <w:spacing w:after="30"/>
            </w:pPr>
            <w:r>
              <w:rPr>
                <w:sz w:val="14"/>
              </w:rPr>
              <w:t>Static package/source</w:t>
            </w:r>
          </w:p>
        </w:tc>
        <w:tc>
          <w:tcPr>
            <w:tcW w:type="dxa" w:w="1008"/>
            <w:tcMar>
              <w:top w:w="80" w:type="dxa"/>
              <w:start w:w="120" w:type="dxa"/>
              <w:bottom w:w="80" w:type="dxa"/>
              <w:end w:w="120" w:type="dxa"/>
            </w:tcMar>
            <w:vAlign w:val="center"/>
          </w:tcPr>
          <w:p>
            <w:pPr>
              <w:spacing w:after="30"/>
            </w:pPr>
            <w:r>
              <w:rPr>
                <w:sz w:val="14"/>
              </w:rPr>
              <w:t>Yes</w:t>
            </w:r>
          </w:p>
        </w:tc>
        <w:tc>
          <w:tcPr>
            <w:tcW w:type="dxa" w:w="1584"/>
            <w:tcMar>
              <w:top w:w="80" w:type="dxa"/>
              <w:start w:w="120" w:type="dxa"/>
              <w:bottom w:w="80" w:type="dxa"/>
              <w:end w:w="120" w:type="dxa"/>
            </w:tcMar>
            <w:vAlign w:val="center"/>
          </w:tcPr>
          <w:p>
            <w:pPr>
              <w:spacing w:after="30"/>
            </w:pPr>
            <w:r>
              <w:rPr>
                <w:sz w:val="14"/>
              </w:rPr>
              <w:t>Completed</w:t>
            </w:r>
          </w:p>
        </w:tc>
        <w:tc>
          <w:tcPr>
            <w:tcW w:type="dxa" w:w="4320"/>
            <w:tcMar>
              <w:top w:w="80" w:type="dxa"/>
              <w:start w:w="120" w:type="dxa"/>
              <w:bottom w:w="80" w:type="dxa"/>
              <w:end w:w="120" w:type="dxa"/>
            </w:tcMar>
            <w:vAlign w:val="center"/>
          </w:tcPr>
          <w:p>
            <w:pPr>
              <w:spacing w:after="30"/>
            </w:pPr>
            <w:r>
              <w:rPr>
                <w:sz w:val="14"/>
              </w:rPr>
              <w:t>Large/minified/native artefacts only partly inspectable</w:t>
            </w:r>
          </w:p>
        </w:tc>
      </w:tr>
      <w:tr>
        <w:trPr>
          <w:cantSplit/>
        </w:trPr>
        <w:tc>
          <w:tcPr>
            <w:tcW w:type="dxa" w:w="2448"/>
            <w:tcMar>
              <w:top w:w="80" w:type="dxa"/>
              <w:start w:w="120" w:type="dxa"/>
              <w:bottom w:w="80" w:type="dxa"/>
              <w:end w:w="120" w:type="dxa"/>
            </w:tcMar>
            <w:vAlign w:val="center"/>
            <w:shd w:fill="F3F6F8"/>
          </w:tcPr>
          <w:p>
            <w:pPr>
              <w:spacing w:after="30"/>
            </w:pPr>
            <w:r>
              <w:rPr>
                <w:sz w:val="14"/>
              </w:rPr>
              <w:t>Static malware review</w:t>
            </w:r>
          </w:p>
        </w:tc>
        <w:tc>
          <w:tcPr>
            <w:tcW w:type="dxa" w:w="1008"/>
            <w:tcMar>
              <w:top w:w="80" w:type="dxa"/>
              <w:start w:w="120" w:type="dxa"/>
              <w:bottom w:w="80" w:type="dxa"/>
              <w:end w:w="120" w:type="dxa"/>
            </w:tcMar>
            <w:vAlign w:val="center"/>
            <w:shd w:fill="F3F6F8"/>
          </w:tcPr>
          <w:p>
            <w:pPr>
              <w:spacing w:after="30"/>
            </w:pPr>
            <w:r>
              <w:rPr>
                <w:sz w:val="14"/>
              </w:rPr>
              <w:t>Yes</w:t>
            </w:r>
          </w:p>
        </w:tc>
        <w:tc>
          <w:tcPr>
            <w:tcW w:type="dxa" w:w="1584"/>
            <w:tcMar>
              <w:top w:w="80" w:type="dxa"/>
              <w:start w:w="120" w:type="dxa"/>
              <w:bottom w:w="80" w:type="dxa"/>
              <w:end w:w="120" w:type="dxa"/>
            </w:tcMar>
            <w:vAlign w:val="center"/>
            <w:shd w:fill="F3F6F8"/>
          </w:tcPr>
          <w:p>
            <w:pPr>
              <w:spacing w:after="30"/>
            </w:pPr>
            <w:r>
              <w:rPr>
                <w:sz w:val="14"/>
              </w:rPr>
              <w:t>Completed</w:t>
            </w:r>
          </w:p>
        </w:tc>
        <w:tc>
          <w:tcPr>
            <w:tcW w:type="dxa" w:w="4320"/>
            <w:tcMar>
              <w:top w:w="80" w:type="dxa"/>
              <w:start w:w="120" w:type="dxa"/>
              <w:bottom w:w="80" w:type="dxa"/>
              <w:end w:w="120" w:type="dxa"/>
            </w:tcMar>
            <w:vAlign w:val="center"/>
            <w:shd w:fill="F3F6F8"/>
          </w:tcPr>
          <w:p>
            <w:pPr>
              <w:spacing w:after="30"/>
            </w:pPr>
            <w:r>
              <w:rPr>
                <w:sz w:val="14"/>
              </w:rPr>
              <w:t>No detonation; non-detection is not proof</w:t>
            </w:r>
          </w:p>
        </w:tc>
      </w:tr>
      <w:tr>
        <w:trPr>
          <w:cantSplit/>
        </w:trPr>
        <w:tc>
          <w:tcPr>
            <w:tcW w:type="dxa" w:w="2448"/>
            <w:tcMar>
              <w:top w:w="80" w:type="dxa"/>
              <w:start w:w="120" w:type="dxa"/>
              <w:bottom w:w="80" w:type="dxa"/>
              <w:end w:w="120" w:type="dxa"/>
            </w:tcMar>
            <w:vAlign w:val="center"/>
          </w:tcPr>
          <w:p>
            <w:pPr>
              <w:spacing w:after="30"/>
            </w:pPr>
            <w:r>
              <w:rPr>
                <w:sz w:val="14"/>
              </w:rPr>
              <w:t>Runtime analysis</w:t>
            </w:r>
          </w:p>
        </w:tc>
        <w:tc>
          <w:tcPr>
            <w:tcW w:type="dxa" w:w="1008"/>
            <w:tcMar>
              <w:top w:w="80" w:type="dxa"/>
              <w:start w:w="120" w:type="dxa"/>
              <w:bottom w:w="80" w:type="dxa"/>
              <w:end w:w="120" w:type="dxa"/>
            </w:tcMar>
            <w:vAlign w:val="center"/>
          </w:tcPr>
          <w:p>
            <w:pPr>
              <w:spacing w:after="30"/>
            </w:pPr>
            <w:r>
              <w:rPr>
                <w:sz w:val="14"/>
              </w:rPr>
              <w:t>Yes</w:t>
            </w:r>
          </w:p>
        </w:tc>
        <w:tc>
          <w:tcPr>
            <w:tcW w:type="dxa" w:w="1584"/>
            <w:tcMar>
              <w:top w:w="80" w:type="dxa"/>
              <w:start w:w="120" w:type="dxa"/>
              <w:bottom w:w="80" w:type="dxa"/>
              <w:end w:w="120" w:type="dxa"/>
            </w:tcMar>
            <w:vAlign w:val="center"/>
          </w:tcPr>
          <w:p>
            <w:pPr>
              <w:spacing w:after="30"/>
            </w:pPr>
            <w:r>
              <w:rPr>
                <w:sz w:val="14"/>
              </w:rPr>
              <w:t>Blocked</w:t>
            </w:r>
          </w:p>
        </w:tc>
        <w:tc>
          <w:tcPr>
            <w:tcW w:type="dxa" w:w="4320"/>
            <w:tcMar>
              <w:top w:w="80" w:type="dxa"/>
              <w:start w:w="120" w:type="dxa"/>
              <w:bottom w:w="80" w:type="dxa"/>
              <w:end w:w="120" w:type="dxa"/>
            </w:tcMar>
            <w:vAlign w:val="center"/>
          </w:tcPr>
          <w:p>
            <w:pPr>
              <w:spacing w:after="30"/>
            </w:pPr>
            <w:r>
              <w:rPr>
                <w:sz w:val="14"/>
              </w:rPr>
              <w:t>No disposable representative host/tenant/egress capture</w:t>
            </w:r>
          </w:p>
        </w:tc>
      </w:tr>
      <w:tr>
        <w:trPr>
          <w:cantSplit/>
        </w:trPr>
        <w:tc>
          <w:tcPr>
            <w:tcW w:type="dxa" w:w="2448"/>
            <w:tcMar>
              <w:top w:w="80" w:type="dxa"/>
              <w:start w:w="120" w:type="dxa"/>
              <w:bottom w:w="80" w:type="dxa"/>
              <w:end w:w="120" w:type="dxa"/>
            </w:tcMar>
            <w:vAlign w:val="center"/>
            <w:shd w:fill="F3F6F8"/>
          </w:tcPr>
          <w:p>
            <w:pPr>
              <w:spacing w:after="30"/>
            </w:pPr>
            <w:r>
              <w:rPr>
                <w:sz w:val="14"/>
              </w:rPr>
              <w:t>Privacy assessment</w:t>
            </w:r>
          </w:p>
        </w:tc>
        <w:tc>
          <w:tcPr>
            <w:tcW w:type="dxa" w:w="1008"/>
            <w:tcMar>
              <w:top w:w="80" w:type="dxa"/>
              <w:start w:w="120" w:type="dxa"/>
              <w:bottom w:w="80" w:type="dxa"/>
              <w:end w:w="120" w:type="dxa"/>
            </w:tcMar>
            <w:vAlign w:val="center"/>
            <w:shd w:fill="F3F6F8"/>
          </w:tcPr>
          <w:p>
            <w:pPr>
              <w:spacing w:after="30"/>
            </w:pPr>
            <w:r>
              <w:rPr>
                <w:sz w:val="14"/>
              </w:rPr>
              <w:t>Yes</w:t>
            </w:r>
          </w:p>
        </w:tc>
        <w:tc>
          <w:tcPr>
            <w:tcW w:type="dxa" w:w="1584"/>
            <w:tcMar>
              <w:top w:w="80" w:type="dxa"/>
              <w:start w:w="120" w:type="dxa"/>
              <w:bottom w:w="80" w:type="dxa"/>
              <w:end w:w="120" w:type="dxa"/>
            </w:tcMar>
            <w:vAlign w:val="center"/>
            <w:shd w:fill="F3F6F8"/>
          </w:tcPr>
          <w:p>
            <w:pPr>
              <w:spacing w:after="30"/>
            </w:pPr>
            <w:r>
              <w:rPr>
                <w:sz w:val="14"/>
              </w:rPr>
              <w:t>Completed</w:t>
            </w:r>
          </w:p>
        </w:tc>
        <w:tc>
          <w:tcPr>
            <w:tcW w:type="dxa" w:w="4320"/>
            <w:tcMar>
              <w:top w:w="80" w:type="dxa"/>
              <w:start w:w="120" w:type="dxa"/>
              <w:bottom w:w="80" w:type="dxa"/>
              <w:end w:w="120" w:type="dxa"/>
            </w:tcMar>
            <w:vAlign w:val="center"/>
            <w:shd w:fill="F3F6F8"/>
          </w:tcPr>
          <w:p>
            <w:pPr>
              <w:spacing w:after="30"/>
            </w:pPr>
            <w:r>
              <w:rPr>
                <w:sz w:val="14"/>
              </w:rPr>
              <w:t>Contract and actual deployment configuration still required</w:t>
            </w:r>
          </w:p>
        </w:tc>
      </w:tr>
    </w:tbl>
    <w:p>
      <w:pPr>
        <w:spacing w:after="40"/>
      </w:pPr>
    </w:p>
    <w:p>
      <w:r>
        <w:t>Evidence states are `Verified`, `Inferred`, `Not observed`, `Not applicable` and `Unknown`. Risk uses 1-5 likelihood and impact, with 1-4 Low, 5-9 Moderate, 10-16 High and 17-25 Critical. Scanner signals were manually triaged; absent public evidence is never treated as proof of absence.</w:t>
      </w:r>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2160"/>
        <w:gridCol w:w="5184"/>
        <w:gridCol w:w="2016"/>
      </w:tblGrid>
      <w:tr>
        <w:trPr>
          <w:tblHeader/>
        </w:trPr>
        <w:tc>
          <w:tcPr>
            <w:tcW w:type="dxa" w:w="2160"/>
            <w:shd w:fill="17365D"/>
            <w:tcMar>
              <w:top w:w="80" w:type="dxa"/>
              <w:start w:w="120" w:type="dxa"/>
              <w:bottom w:w="80" w:type="dxa"/>
              <w:end w:w="120" w:type="dxa"/>
            </w:tcMar>
            <w:vAlign w:val="center"/>
          </w:tcPr>
          <w:p>
            <w:r>
              <w:rPr>
                <w:b/>
                <w:color w:val="FFFFFF"/>
                <w:sz w:val="14"/>
              </w:rPr>
              <w:t>Attribute</w:t>
            </w:r>
          </w:p>
        </w:tc>
        <w:tc>
          <w:tcPr>
            <w:tcW w:type="dxa" w:w="5184"/>
            <w:shd w:fill="17365D"/>
            <w:tcMar>
              <w:top w:w="80" w:type="dxa"/>
              <w:start w:w="120" w:type="dxa"/>
              <w:bottom w:w="80" w:type="dxa"/>
              <w:end w:w="120" w:type="dxa"/>
            </w:tcMar>
            <w:vAlign w:val="center"/>
          </w:tcPr>
          <w:p>
            <w:r>
              <w:rPr>
                <w:b/>
                <w:color w:val="FFFFFF"/>
                <w:sz w:val="14"/>
              </w:rPr>
              <w:t>Verified value</w:t>
            </w:r>
          </w:p>
        </w:tc>
        <w:tc>
          <w:tcPr>
            <w:tcW w:type="dxa" w:w="2016"/>
            <w:shd w:fill="17365D"/>
            <w:tcMar>
              <w:top w:w="80" w:type="dxa"/>
              <w:start w:w="120" w:type="dxa"/>
              <w:bottom w:w="80" w:type="dxa"/>
              <w:end w:w="120" w:type="dxa"/>
            </w:tcMar>
            <w:vAlign w:val="center"/>
          </w:tcPr>
          <w:p>
            <w:r>
              <w:rPr>
                <w:b/>
                <w:color w:val="FFFFFF"/>
                <w:sz w:val="14"/>
              </w:rPr>
              <w:t>Evidence state</w:t>
            </w:r>
          </w:p>
        </w:tc>
      </w:tr>
      <w:tr>
        <w:trPr>
          <w:cantSplit/>
        </w:trPr>
        <w:tc>
          <w:tcPr>
            <w:tcW w:type="dxa" w:w="2160"/>
            <w:tcMar>
              <w:top w:w="80" w:type="dxa"/>
              <w:start w:w="120" w:type="dxa"/>
              <w:bottom w:w="80" w:type="dxa"/>
              <w:end w:w="120" w:type="dxa"/>
            </w:tcMar>
            <w:vAlign w:val="center"/>
          </w:tcPr>
          <w:p>
            <w:pPr>
              <w:spacing w:after="30"/>
            </w:pPr>
            <w:r>
              <w:rPr>
                <w:sz w:val="14"/>
              </w:rPr>
              <w:t>Marketplace name</w:t>
            </w:r>
          </w:p>
        </w:tc>
        <w:tc>
          <w:tcPr>
            <w:tcW w:type="dxa" w:w="5184"/>
            <w:tcMar>
              <w:top w:w="80" w:type="dxa"/>
              <w:start w:w="120" w:type="dxa"/>
              <w:bottom w:w="80" w:type="dxa"/>
              <w:end w:w="120" w:type="dxa"/>
            </w:tcMar>
            <w:vAlign w:val="center"/>
          </w:tcPr>
          <w:p>
            <w:pPr>
              <w:spacing w:after="30"/>
            </w:pPr>
            <w:r>
              <w:rPr>
                <w:sz w:val="14"/>
              </w:rPr>
              <w:t>Claude Code for VS Code</w:t>
            </w:r>
          </w:p>
        </w:tc>
        <w:tc>
          <w:tcPr>
            <w:tcW w:type="dxa" w:w="2016"/>
            <w:tcMar>
              <w:top w:w="80" w:type="dxa"/>
              <w:start w:w="120" w:type="dxa"/>
              <w:bottom w:w="80" w:type="dxa"/>
              <w:end w:w="120" w:type="dxa"/>
            </w:tcMar>
            <w:vAlign w:val="center"/>
          </w:tcPr>
          <w:p>
            <w:pPr>
              <w:spacing w:after="30"/>
            </w:pPr>
            <w:r>
              <w:rPr>
                <w:sz w:val="14"/>
              </w:rPr>
              <w:t>Verified</w:t>
            </w:r>
          </w:p>
        </w:tc>
      </w:tr>
      <w:tr>
        <w:trPr>
          <w:cantSplit/>
        </w:trPr>
        <w:tc>
          <w:tcPr>
            <w:tcW w:type="dxa" w:w="2160"/>
            <w:tcMar>
              <w:top w:w="80" w:type="dxa"/>
              <w:start w:w="120" w:type="dxa"/>
              <w:bottom w:w="80" w:type="dxa"/>
              <w:end w:w="120" w:type="dxa"/>
            </w:tcMar>
            <w:vAlign w:val="center"/>
            <w:shd w:fill="F3F6F8"/>
          </w:tcPr>
          <w:p>
            <w:pPr>
              <w:spacing w:after="30"/>
            </w:pPr>
            <w:r>
              <w:rPr>
                <w:sz w:val="14"/>
              </w:rPr>
              <w:t>Publisher / ID</w:t>
            </w:r>
          </w:p>
        </w:tc>
        <w:tc>
          <w:tcPr>
            <w:tcW w:type="dxa" w:w="5184"/>
            <w:tcMar>
              <w:top w:w="80" w:type="dxa"/>
              <w:start w:w="120" w:type="dxa"/>
              <w:bottom w:w="80" w:type="dxa"/>
              <w:end w:w="120" w:type="dxa"/>
            </w:tcMar>
            <w:vAlign w:val="center"/>
            <w:shd w:fill="F3F6F8"/>
          </w:tcPr>
          <w:p>
            <w:pPr>
              <w:spacing w:after="30"/>
            </w:pPr>
            <w:r>
              <w:rPr>
                <w:sz w:val="14"/>
              </w:rPr>
              <w:t>Anthropic / anthropic.claude-code</w:t>
            </w:r>
          </w:p>
        </w:tc>
        <w:tc>
          <w:tcPr>
            <w:tcW w:type="dxa" w:w="2016"/>
            <w:tcMar>
              <w:top w:w="80" w:type="dxa"/>
              <w:start w:w="120" w:type="dxa"/>
              <w:bottom w:w="80" w:type="dxa"/>
              <w:end w:w="120" w:type="dxa"/>
            </w:tcMar>
            <w:vAlign w:val="center"/>
            <w:shd w:fill="F3F6F8"/>
          </w:tcPr>
          <w:p>
            <w:pPr>
              <w:spacing w:after="30"/>
            </w:pPr>
            <w:r>
              <w:rPr>
                <w:sz w:val="14"/>
              </w:rPr>
              <w:t>Verified</w:t>
            </w:r>
          </w:p>
        </w:tc>
      </w:tr>
      <w:tr>
        <w:trPr>
          <w:cantSplit/>
        </w:trPr>
        <w:tc>
          <w:tcPr>
            <w:tcW w:type="dxa" w:w="2160"/>
            <w:tcMar>
              <w:top w:w="80" w:type="dxa"/>
              <w:start w:w="120" w:type="dxa"/>
              <w:bottom w:w="80" w:type="dxa"/>
              <w:end w:w="120" w:type="dxa"/>
            </w:tcMar>
            <w:vAlign w:val="center"/>
          </w:tcPr>
          <w:p>
            <w:pPr>
              <w:spacing w:after="30"/>
            </w:pPr>
            <w:r>
              <w:rPr>
                <w:sz w:val="14"/>
              </w:rPr>
              <w:t>Version / release</w:t>
            </w:r>
          </w:p>
        </w:tc>
        <w:tc>
          <w:tcPr>
            <w:tcW w:type="dxa" w:w="5184"/>
            <w:tcMar>
              <w:top w:w="80" w:type="dxa"/>
              <w:start w:w="120" w:type="dxa"/>
              <w:bottom w:w="80" w:type="dxa"/>
              <w:end w:w="120" w:type="dxa"/>
            </w:tcMar>
            <w:vAlign w:val="center"/>
          </w:tcPr>
          <w:p>
            <w:pPr>
              <w:spacing w:after="30"/>
            </w:pPr>
            <w:r>
              <w:rPr>
                <w:sz w:val="14"/>
              </w:rPr>
              <w:t>2.1.220 / 25 July 2026</w:t>
            </w:r>
          </w:p>
        </w:tc>
        <w:tc>
          <w:tcPr>
            <w:tcW w:type="dxa" w:w="2016"/>
            <w:tcMar>
              <w:top w:w="80" w:type="dxa"/>
              <w:start w:w="120" w:type="dxa"/>
              <w:bottom w:w="80" w:type="dxa"/>
              <w:end w:w="120" w:type="dxa"/>
            </w:tcMar>
            <w:vAlign w:val="center"/>
          </w:tcPr>
          <w:p>
            <w:pPr>
              <w:spacing w:after="30"/>
            </w:pPr>
            <w:r>
              <w:rPr>
                <w:sz w:val="14"/>
              </w:rPr>
              <w:t>Verified</w:t>
            </w:r>
          </w:p>
        </w:tc>
      </w:tr>
      <w:tr>
        <w:trPr>
          <w:cantSplit/>
        </w:trPr>
        <w:tc>
          <w:tcPr>
            <w:tcW w:type="dxa" w:w="2160"/>
            <w:tcMar>
              <w:top w:w="80" w:type="dxa"/>
              <w:start w:w="120" w:type="dxa"/>
              <w:bottom w:w="80" w:type="dxa"/>
              <w:end w:w="120" w:type="dxa"/>
            </w:tcMar>
            <w:vAlign w:val="center"/>
            <w:shd w:fill="F3F6F8"/>
          </w:tcPr>
          <w:p>
            <w:pPr>
              <w:spacing w:after="30"/>
            </w:pPr>
            <w:r>
              <w:rPr>
                <w:sz w:val="14"/>
              </w:rPr>
              <w:t>Acquired target</w:t>
            </w:r>
          </w:p>
        </w:tc>
        <w:tc>
          <w:tcPr>
            <w:tcW w:type="dxa" w:w="5184"/>
            <w:tcMar>
              <w:top w:w="80" w:type="dxa"/>
              <w:start w:w="120" w:type="dxa"/>
              <w:bottom w:w="80" w:type="dxa"/>
              <w:end w:w="120" w:type="dxa"/>
            </w:tcMar>
            <w:vAlign w:val="center"/>
            <w:shd w:fill="F3F6F8"/>
          </w:tcPr>
          <w:p>
            <w:pPr>
              <w:spacing w:after="30"/>
            </w:pPr>
            <w:r>
              <w:rPr>
                <w:sz w:val="14"/>
              </w:rPr>
              <w:t>darwin-arm64 VSIX / e671f210...f8333978</w:t>
            </w:r>
          </w:p>
        </w:tc>
        <w:tc>
          <w:tcPr>
            <w:tcW w:type="dxa" w:w="2016"/>
            <w:tcMar>
              <w:top w:w="80" w:type="dxa"/>
              <w:start w:w="120" w:type="dxa"/>
              <w:bottom w:w="80" w:type="dxa"/>
              <w:end w:w="120" w:type="dxa"/>
            </w:tcMar>
            <w:vAlign w:val="center"/>
            <w:shd w:fill="F3F6F8"/>
          </w:tcPr>
          <w:p>
            <w:pPr>
              <w:spacing w:after="30"/>
            </w:pPr>
            <w:r>
              <w:rPr>
                <w:sz w:val="14"/>
              </w:rPr>
              <w:t>Verified</w:t>
            </w:r>
          </w:p>
        </w:tc>
      </w:tr>
      <w:tr>
        <w:trPr>
          <w:cantSplit/>
        </w:trPr>
        <w:tc>
          <w:tcPr>
            <w:tcW w:type="dxa" w:w="2160"/>
            <w:tcMar>
              <w:top w:w="80" w:type="dxa"/>
              <w:start w:w="120" w:type="dxa"/>
              <w:bottom w:w="80" w:type="dxa"/>
              <w:end w:w="120" w:type="dxa"/>
            </w:tcMar>
            <w:vAlign w:val="center"/>
          </w:tcPr>
          <w:p>
            <w:pPr>
              <w:spacing w:after="30"/>
            </w:pPr>
            <w:r>
              <w:rPr>
                <w:sz w:val="14"/>
              </w:rPr>
              <w:t>Other targets</w:t>
            </w:r>
          </w:p>
        </w:tc>
        <w:tc>
          <w:tcPr>
            <w:tcW w:type="dxa" w:w="5184"/>
            <w:tcMar>
              <w:top w:w="80" w:type="dxa"/>
              <w:start w:w="120" w:type="dxa"/>
              <w:bottom w:w="80" w:type="dxa"/>
              <w:end w:w="120" w:type="dxa"/>
            </w:tcMar>
            <w:vAlign w:val="center"/>
          </w:tcPr>
          <w:p>
            <w:pPr>
              <w:spacing w:after="30"/>
            </w:pPr>
            <w:r>
              <w:rPr>
                <w:sz w:val="14"/>
              </w:rPr>
              <w:t>Windows, macOS, Linux and Alpine; x64/ARM64</w:t>
            </w:r>
          </w:p>
        </w:tc>
        <w:tc>
          <w:tcPr>
            <w:tcW w:type="dxa" w:w="2016"/>
            <w:tcMar>
              <w:top w:w="80" w:type="dxa"/>
              <w:start w:w="120" w:type="dxa"/>
              <w:bottom w:w="80" w:type="dxa"/>
              <w:end w:w="120" w:type="dxa"/>
            </w:tcMar>
            <w:vAlign w:val="center"/>
          </w:tcPr>
          <w:p>
            <w:pPr>
              <w:spacing w:after="30"/>
            </w:pPr>
            <w:r>
              <w:rPr>
                <w:sz w:val="14"/>
              </w:rPr>
              <w:t>Verified metadata; bytes untested</w:t>
            </w:r>
          </w:p>
        </w:tc>
      </w:tr>
      <w:tr>
        <w:trPr>
          <w:cantSplit/>
        </w:trPr>
        <w:tc>
          <w:tcPr>
            <w:tcW w:type="dxa" w:w="2160"/>
            <w:tcMar>
              <w:top w:w="80" w:type="dxa"/>
              <w:start w:w="120" w:type="dxa"/>
              <w:bottom w:w="80" w:type="dxa"/>
              <w:end w:w="120" w:type="dxa"/>
            </w:tcMar>
            <w:vAlign w:val="center"/>
            <w:shd w:fill="F3F6F8"/>
          </w:tcPr>
          <w:p>
            <w:pPr>
              <w:spacing w:after="30"/>
            </w:pPr>
            <w:r>
              <w:rPr>
                <w:sz w:val="14"/>
              </w:rPr>
              <w:t>VS Code minimum</w:t>
            </w:r>
          </w:p>
        </w:tc>
        <w:tc>
          <w:tcPr>
            <w:tcW w:type="dxa" w:w="5184"/>
            <w:tcMar>
              <w:top w:w="80" w:type="dxa"/>
              <w:start w:w="120" w:type="dxa"/>
              <w:bottom w:w="80" w:type="dxa"/>
              <w:end w:w="120" w:type="dxa"/>
            </w:tcMar>
            <w:vAlign w:val="center"/>
            <w:shd w:fill="F3F6F8"/>
          </w:tcPr>
          <w:p>
            <w:pPr>
              <w:spacing w:after="30"/>
            </w:pPr>
            <w:r>
              <w:rPr>
                <w:sz w:val="14"/>
              </w:rPr>
              <w:t>1.98.0 conservative; manifest/docs say 1.94.0</w:t>
            </w:r>
          </w:p>
        </w:tc>
        <w:tc>
          <w:tcPr>
            <w:tcW w:type="dxa" w:w="2016"/>
            <w:tcMar>
              <w:top w:w="80" w:type="dxa"/>
              <w:start w:w="120" w:type="dxa"/>
              <w:bottom w:w="80" w:type="dxa"/>
              <w:end w:w="120" w:type="dxa"/>
            </w:tcMar>
            <w:vAlign w:val="center"/>
            <w:shd w:fill="F3F6F8"/>
          </w:tcPr>
          <w:p>
            <w:pPr>
              <w:spacing w:after="30"/>
            </w:pPr>
            <w:r>
              <w:rPr>
                <w:sz w:val="14"/>
              </w:rPr>
              <w:t>Verified discrepancy</w:t>
            </w:r>
          </w:p>
        </w:tc>
      </w:tr>
      <w:tr>
        <w:trPr>
          <w:cantSplit/>
        </w:trPr>
        <w:tc>
          <w:tcPr>
            <w:tcW w:type="dxa" w:w="2160"/>
            <w:tcMar>
              <w:top w:w="80" w:type="dxa"/>
              <w:start w:w="120" w:type="dxa"/>
              <w:bottom w:w="80" w:type="dxa"/>
              <w:end w:w="120" w:type="dxa"/>
            </w:tcMar>
            <w:vAlign w:val="center"/>
          </w:tcPr>
          <w:p>
            <w:pPr>
              <w:spacing w:after="30"/>
            </w:pPr>
            <w:r>
              <w:rPr>
                <w:sz w:val="14"/>
              </w:rPr>
              <w:t>Microsoft Visual Studio</w:t>
            </w:r>
          </w:p>
        </w:tc>
        <w:tc>
          <w:tcPr>
            <w:tcW w:type="dxa" w:w="5184"/>
            <w:tcMar>
              <w:top w:w="80" w:type="dxa"/>
              <w:start w:w="120" w:type="dxa"/>
              <w:bottom w:w="80" w:type="dxa"/>
              <w:end w:w="120" w:type="dxa"/>
            </w:tcMar>
            <w:vAlign w:val="center"/>
          </w:tcPr>
          <w:p>
            <w:pPr>
              <w:spacing w:after="30"/>
            </w:pPr>
            <w:r>
              <w:rPr>
                <w:sz w:val="14"/>
              </w:rPr>
              <w:t>Unsupported / out of scope</w:t>
            </w:r>
          </w:p>
        </w:tc>
        <w:tc>
          <w:tcPr>
            <w:tcW w:type="dxa" w:w="2016"/>
            <w:tcMar>
              <w:top w:w="80" w:type="dxa"/>
              <w:start w:w="120" w:type="dxa"/>
              <w:bottom w:w="80" w:type="dxa"/>
              <w:end w:w="120" w:type="dxa"/>
            </w:tcMar>
            <w:vAlign w:val="center"/>
          </w:tcPr>
          <w:p>
            <w:pPr>
              <w:spacing w:after="30"/>
            </w:pPr>
            <w:r>
              <w:rPr>
                <w:sz w:val="14"/>
              </w:rPr>
              <w:t>Not applicable</w:t>
            </w:r>
          </w:p>
        </w:tc>
      </w:tr>
      <w:tr>
        <w:trPr>
          <w:cantSplit/>
        </w:trPr>
        <w:tc>
          <w:tcPr>
            <w:tcW w:type="dxa" w:w="2160"/>
            <w:tcMar>
              <w:top w:w="80" w:type="dxa"/>
              <w:start w:w="120" w:type="dxa"/>
              <w:bottom w:w="80" w:type="dxa"/>
              <w:end w:w="120" w:type="dxa"/>
            </w:tcMar>
            <w:vAlign w:val="center"/>
            <w:shd w:fill="F3F6F8"/>
          </w:tcPr>
          <w:p>
            <w:pPr>
              <w:spacing w:after="30"/>
            </w:pPr>
            <w:r>
              <w:rPr>
                <w:sz w:val="14"/>
              </w:rPr>
              <w:t>Licence</w:t>
            </w:r>
          </w:p>
        </w:tc>
        <w:tc>
          <w:tcPr>
            <w:tcW w:type="dxa" w:w="5184"/>
            <w:tcMar>
              <w:top w:w="80" w:type="dxa"/>
              <w:start w:w="120" w:type="dxa"/>
              <w:bottom w:w="80" w:type="dxa"/>
              <w:end w:w="120" w:type="dxa"/>
            </w:tcMar>
            <w:vAlign w:val="center"/>
            <w:shd w:fill="F3F6F8"/>
          </w:tcPr>
          <w:p>
            <w:pPr>
              <w:spacing w:after="30"/>
            </w:pPr>
            <w:r>
              <w:rPr>
                <w:sz w:val="14"/>
              </w:rPr>
              <w:t>Proprietary; applicable Anthropic terms</w:t>
            </w:r>
          </w:p>
        </w:tc>
        <w:tc>
          <w:tcPr>
            <w:tcW w:type="dxa" w:w="2016"/>
            <w:tcMar>
              <w:top w:w="80" w:type="dxa"/>
              <w:start w:w="120" w:type="dxa"/>
              <w:bottom w:w="80" w:type="dxa"/>
              <w:end w:w="120" w:type="dxa"/>
            </w:tcMar>
            <w:vAlign w:val="center"/>
            <w:shd w:fill="F3F6F8"/>
          </w:tcPr>
          <w:p>
            <w:pPr>
              <w:spacing w:after="30"/>
            </w:pPr>
            <w:r>
              <w:rPr>
                <w:sz w:val="14"/>
              </w:rPr>
              <w:t>Verified</w:t>
            </w:r>
          </w:p>
        </w:tc>
      </w:tr>
    </w:tbl>
    <w:p>
      <w:pPr>
        <w:spacing w:after="40"/>
      </w:pPr>
    </w:p>
    <w:p>
      <w:r>
        <w:t xml:space="preserve">Similarly named unofficial VS Code and third-party Microsoft Visual Studio extensions were excluded. The Claude Code CLI/native release is the same product family but is not a substitute for the Marketplace VSIX. </w:t>
      </w:r>
      <w:hyperlink w:anchor="REF_001">
        <w:r>
          <w:rPr>
            <w:color w:val="0563C1"/>
            <w:u w:val="single"/>
          </w:rPr>
          <w:t>[REF-001]</w:t>
        </w:r>
      </w:hyperlink>
      <w:r>
        <w:t xml:space="preserve"> </w:t>
      </w:r>
      <w:hyperlink w:anchor="REF_004">
        <w:r>
          <w:rPr>
            <w:color w:val="0563C1"/>
            <w:u w:val="single"/>
          </w:rPr>
          <w:t>[REF-004]</w:t>
        </w:r>
      </w:hyperlink>
      <w:r>
        <w:t xml:space="preserve"> </w:t>
      </w:r>
      <w:hyperlink w:anchor="REF_005">
        <w:r>
          <w:rPr>
            <w:color w:val="0563C1"/>
            <w:u w:val="single"/>
          </w:rPr>
          <w:t>[REF-005]</w:t>
        </w:r>
      </w:hyperlink>
      <w:r>
        <w:t xml:space="preserve"> </w:t>
      </w:r>
      <w:hyperlink w:anchor="REF_009">
        <w:r>
          <w:rPr>
            <w:color w:val="0563C1"/>
            <w:u w:val="single"/>
          </w:rPr>
          <w:t>[REF-009]</w:t>
        </w:r>
      </w:hyperlink>
    </w:p>
    <w:p>
      <w:pPr>
        <w:pStyle w:val="Heading1"/>
      </w:pPr>
      <w:r>
        <w:t>Part I - VS Code Assessment</w:t>
      </w:r>
    </w:p>
    <w:p>
      <w:pPr>
        <w:pStyle w:val="Heading2"/>
      </w:pPr>
      <w:r>
        <w:t>VS Code Executive Decision</w:t>
      </w:r>
    </w:p>
    <w:p>
      <w:r>
        <w:t xml:space="preserve">Decision: </w:t>
      </w:r>
      <w:r>
        <w:rPr>
          <w:b/>
        </w:rPr>
        <w:t>Defer pending evidence</w:t>
      </w:r>
      <w:r>
        <w:t>. Residual risk is High; identity/static confidence is High, privacy/control confidence is Medium, and runtime confidence is Low. Approval applies to no production or regulated-data use until the closure conditions pass.</w:t>
      </w:r>
    </w:p>
    <w:p>
      <w:pPr>
        <w:pStyle w:val="Heading2"/>
      </w:pPr>
      <w:r>
        <w:t>VS Code Purpose and Supported Version</w:t>
      </w:r>
    </w:p>
    <w:p>
      <w:r>
        <w:t xml:space="preserve">The extension supplies a graphical panel/sidebar and terminal mode, shares Claude Code settings with the CLI, receives current editor context and can propose or perform development actions. The package declares VS Code `^1.94.0`; the Marketplace text states 1.98.0+. Use 1.98.0 or later pending vendor clarification. </w:t>
      </w:r>
      <w:hyperlink w:anchor="REF_001">
        <w:r>
          <w:rPr>
            <w:color w:val="0563C1"/>
            <w:u w:val="single"/>
          </w:rPr>
          <w:t>[REF-001]</w:t>
        </w:r>
      </w:hyperlink>
      <w:r>
        <w:t xml:space="preserve"> </w:t>
      </w:r>
      <w:hyperlink w:anchor="REF_003">
        <w:r>
          <w:rPr>
            <w:color w:val="0563C1"/>
            <w:u w:val="single"/>
          </w:rPr>
          <w:t>[REF-003]</w:t>
        </w:r>
      </w:hyperlink>
    </w:p>
    <w:p>
      <w:pPr>
        <w:pStyle w:val="Heading2"/>
      </w:pPr>
      <w:r>
        <w:t>VS Code Architecture</w:t>
      </w:r>
    </w:p>
    <w:p>
      <w:r>
        <w:drawing>
          <wp:inline xmlns:a="http://schemas.openxmlformats.org/drawingml/2006/main" xmlns:pic="http://schemas.openxmlformats.org/drawingml/2006/picture">
            <wp:extent cx="5943600" cy="3120390"/>
            <wp:docPr id="1" name="Picture 1" descr="Trust-boundary diagram showing user and untrusted repository content flowing through VS Code, the native Claude agent, model provider, local tools, MCP servers, plugins, skills and hooks."/>
            <wp:cNvGraphicFramePr>
              <a:graphicFrameLocks noChangeAspect="1"/>
            </wp:cNvGraphicFramePr>
            <a:graphic>
              <a:graphicData uri="http://schemas.openxmlformats.org/drawingml/2006/picture">
                <pic:pic>
                  <pic:nvPicPr>
                    <pic:cNvPr id="0" name="claude-code-trust-boundaries.png"/>
                    <pic:cNvPicPr/>
                  </pic:nvPicPr>
                  <pic:blipFill>
                    <a:blip r:embed="rId11"/>
                    <a:stretch>
                      <a:fillRect/>
                    </a:stretch>
                  </pic:blipFill>
                  <pic:spPr>
                    <a:xfrm>
                      <a:off x="0" y="0"/>
                      <a:ext cx="5943600" cy="3120390"/>
                    </a:xfrm>
                    <a:prstGeom prst="rect"/>
                  </pic:spPr>
                </pic:pic>
              </a:graphicData>
            </a:graphic>
          </wp:inline>
        </w:drawing>
      </w:r>
    </w:p>
    <w:p>
      <w:pPr>
        <w:jc w:val="center"/>
      </w:pPr>
      <w:r>
        <w:t>Figure 1. Claude Code for VS Code trust boundaries</w:t>
      </w:r>
    </w:p>
    <w:p>
      <w:pPr>
        <w:pStyle w:val="Heading2"/>
      </w:pPr>
      <w:r>
        <w:t>VS Code Trust Boundaries</w:t>
      </w:r>
    </w:p>
    <w:tbl>
      <w:tblPr>
        <w:tblStyle w:val="TableGrid"/>
        <w:tblW w:type="auto" w:w="0"/>
        <w:jc w:val="center"/>
        <w:tblLayout w:type="fixed"/>
        <w:tblLook w:firstColumn="1" w:firstRow="1" w:lastColumn="0" w:lastRow="0" w:noHBand="0" w:noVBand="1" w:val="04A0"/>
      </w:tblPr>
      <w:tblGrid>
        <w:gridCol w:w="2160"/>
        <w:gridCol w:w="3744"/>
        <w:gridCol w:w="3456"/>
      </w:tblGrid>
      <w:tr>
        <w:trPr>
          <w:tblHeader/>
        </w:trPr>
        <w:tc>
          <w:tcPr>
            <w:tcW w:type="dxa" w:w="2160"/>
            <w:shd w:fill="17365D"/>
            <w:tcMar>
              <w:top w:w="80" w:type="dxa"/>
              <w:start w:w="120" w:type="dxa"/>
              <w:bottom w:w="80" w:type="dxa"/>
              <w:end w:w="120" w:type="dxa"/>
            </w:tcMar>
            <w:vAlign w:val="center"/>
          </w:tcPr>
          <w:p>
            <w:r>
              <w:rPr>
                <w:b/>
                <w:color w:val="FFFFFF"/>
                <w:sz w:val="14"/>
              </w:rPr>
              <w:t>Boundary</w:t>
            </w:r>
          </w:p>
        </w:tc>
        <w:tc>
          <w:tcPr>
            <w:tcW w:type="dxa" w:w="3744"/>
            <w:shd w:fill="17365D"/>
            <w:tcMar>
              <w:top w:w="80" w:type="dxa"/>
              <w:start w:w="120" w:type="dxa"/>
              <w:bottom w:w="80" w:type="dxa"/>
              <w:end w:w="120" w:type="dxa"/>
            </w:tcMar>
            <w:vAlign w:val="center"/>
          </w:tcPr>
          <w:p>
            <w:r>
              <w:rPr>
                <w:b/>
                <w:color w:val="FFFFFF"/>
                <w:sz w:val="14"/>
              </w:rPr>
              <w:t>Untrusted input</w:t>
            </w:r>
          </w:p>
        </w:tc>
        <w:tc>
          <w:tcPr>
            <w:tcW w:type="dxa" w:w="3456"/>
            <w:shd w:fill="17365D"/>
            <w:tcMar>
              <w:top w:w="80" w:type="dxa"/>
              <w:start w:w="120" w:type="dxa"/>
              <w:bottom w:w="80" w:type="dxa"/>
              <w:end w:w="120" w:type="dxa"/>
            </w:tcMar>
            <w:vAlign w:val="center"/>
          </w:tcPr>
          <w:p>
            <w:r>
              <w:rPr>
                <w:b/>
                <w:color w:val="FFFFFF"/>
                <w:sz w:val="14"/>
              </w:rPr>
              <w:t>Asset / control objective</w:t>
            </w:r>
          </w:p>
        </w:tc>
      </w:tr>
      <w:tr>
        <w:trPr>
          <w:cantSplit/>
        </w:trPr>
        <w:tc>
          <w:tcPr>
            <w:tcW w:type="dxa" w:w="2160"/>
            <w:tcMar>
              <w:top w:w="80" w:type="dxa"/>
              <w:start w:w="120" w:type="dxa"/>
              <w:bottom w:w="80" w:type="dxa"/>
              <w:end w:w="120" w:type="dxa"/>
            </w:tcMar>
            <w:vAlign w:val="center"/>
          </w:tcPr>
          <w:p>
            <w:pPr>
              <w:spacing w:after="30"/>
            </w:pPr>
            <w:r>
              <w:rPr>
                <w:sz w:val="14"/>
              </w:rPr>
              <w:t>Repository -&gt; extension/model</w:t>
            </w:r>
          </w:p>
        </w:tc>
        <w:tc>
          <w:tcPr>
            <w:tcW w:type="dxa" w:w="3744"/>
            <w:tcMar>
              <w:top w:w="80" w:type="dxa"/>
              <w:start w:w="120" w:type="dxa"/>
              <w:bottom w:w="80" w:type="dxa"/>
              <w:end w:w="120" w:type="dxa"/>
            </w:tcMar>
            <w:vAlign w:val="center"/>
          </w:tcPr>
          <w:p>
            <w:pPr>
              <w:spacing w:after="30"/>
            </w:pPr>
            <w:r>
              <w:rPr>
                <w:sz w:val="14"/>
              </w:rPr>
              <w:t>Files, CLAUDE.md, settings, hooks, skills and tool output</w:t>
            </w:r>
          </w:p>
        </w:tc>
        <w:tc>
          <w:tcPr>
            <w:tcW w:type="dxa" w:w="3456"/>
            <w:tcMar>
              <w:top w:w="80" w:type="dxa"/>
              <w:start w:w="120" w:type="dxa"/>
              <w:bottom w:w="80" w:type="dxa"/>
              <w:end w:w="120" w:type="dxa"/>
            </w:tcMar>
            <w:vAlign w:val="center"/>
          </w:tcPr>
          <w:p>
            <w:pPr>
              <w:spacing w:after="30"/>
            </w:pPr>
            <w:r>
              <w:rPr>
                <w:sz w:val="14"/>
              </w:rPr>
              <w:t>Prevent prompt/config injection and pre-trust execution</w:t>
            </w:r>
          </w:p>
        </w:tc>
      </w:tr>
      <w:tr>
        <w:trPr>
          <w:cantSplit/>
        </w:trPr>
        <w:tc>
          <w:tcPr>
            <w:tcW w:type="dxa" w:w="2160"/>
            <w:tcMar>
              <w:top w:w="80" w:type="dxa"/>
              <w:start w:w="120" w:type="dxa"/>
              <w:bottom w:w="80" w:type="dxa"/>
              <w:end w:w="120" w:type="dxa"/>
            </w:tcMar>
            <w:vAlign w:val="center"/>
            <w:shd w:fill="F3F6F8"/>
          </w:tcPr>
          <w:p>
            <w:pPr>
              <w:spacing w:after="30"/>
            </w:pPr>
            <w:r>
              <w:rPr>
                <w:sz w:val="14"/>
              </w:rPr>
              <w:t>Model -&gt; local tools</w:t>
            </w:r>
          </w:p>
        </w:tc>
        <w:tc>
          <w:tcPr>
            <w:tcW w:type="dxa" w:w="3744"/>
            <w:tcMar>
              <w:top w:w="80" w:type="dxa"/>
              <w:start w:w="120" w:type="dxa"/>
              <w:bottom w:w="80" w:type="dxa"/>
              <w:end w:w="120" w:type="dxa"/>
            </w:tcMar>
            <w:vAlign w:val="center"/>
            <w:shd w:fill="F3F6F8"/>
          </w:tcPr>
          <w:p>
            <w:pPr>
              <w:spacing w:after="30"/>
            </w:pPr>
            <w:r>
              <w:rPr>
                <w:sz w:val="14"/>
              </w:rPr>
              <w:t>Generated commands, paths and edits</w:t>
            </w:r>
          </w:p>
        </w:tc>
        <w:tc>
          <w:tcPr>
            <w:tcW w:type="dxa" w:w="3456"/>
            <w:tcMar>
              <w:top w:w="80" w:type="dxa"/>
              <w:start w:w="120" w:type="dxa"/>
              <w:bottom w:w="80" w:type="dxa"/>
              <w:end w:w="120" w:type="dxa"/>
            </w:tcMar>
            <w:vAlign w:val="center"/>
            <w:shd w:fill="F3F6F8"/>
          </w:tcPr>
          <w:p>
            <w:pPr>
              <w:spacing w:after="30"/>
            </w:pPr>
            <w:r>
              <w:rPr>
                <w:sz w:val="14"/>
              </w:rPr>
              <w:t>Timely consent, deny-first policy and OS sandbox</w:t>
            </w:r>
          </w:p>
        </w:tc>
      </w:tr>
      <w:tr>
        <w:trPr>
          <w:cantSplit/>
        </w:trPr>
        <w:tc>
          <w:tcPr>
            <w:tcW w:type="dxa" w:w="2160"/>
            <w:tcMar>
              <w:top w:w="80" w:type="dxa"/>
              <w:start w:w="120" w:type="dxa"/>
              <w:bottom w:w="80" w:type="dxa"/>
              <w:end w:w="120" w:type="dxa"/>
            </w:tcMar>
            <w:vAlign w:val="center"/>
          </w:tcPr>
          <w:p>
            <w:pPr>
              <w:spacing w:after="30"/>
            </w:pPr>
            <w:r>
              <w:rPr>
                <w:sz w:val="14"/>
              </w:rPr>
              <w:t>Extension -&gt; native process</w:t>
            </w:r>
          </w:p>
        </w:tc>
        <w:tc>
          <w:tcPr>
            <w:tcW w:type="dxa" w:w="3744"/>
            <w:tcMar>
              <w:top w:w="80" w:type="dxa"/>
              <w:start w:w="120" w:type="dxa"/>
              <w:bottom w:w="80" w:type="dxa"/>
              <w:end w:w="120" w:type="dxa"/>
            </w:tcMar>
            <w:vAlign w:val="center"/>
          </w:tcPr>
          <w:p>
            <w:pPr>
              <w:spacing w:after="30"/>
            </w:pPr>
            <w:r>
              <w:rPr>
                <w:sz w:val="14"/>
              </w:rPr>
              <w:t>IPC, environment and executable path</w:t>
            </w:r>
          </w:p>
        </w:tc>
        <w:tc>
          <w:tcPr>
            <w:tcW w:type="dxa" w:w="3456"/>
            <w:tcMar>
              <w:top w:w="80" w:type="dxa"/>
              <w:start w:w="120" w:type="dxa"/>
              <w:bottom w:w="80" w:type="dxa"/>
              <w:end w:w="120" w:type="dxa"/>
            </w:tcMar>
            <w:vAlign w:val="center"/>
          </w:tcPr>
          <w:p>
            <w:pPr>
              <w:spacing w:after="30"/>
            </w:pPr>
            <w:r>
              <w:rPr>
                <w:sz w:val="14"/>
              </w:rPr>
              <w:t>Authentic binary, bounded environment and audit</w:t>
            </w:r>
          </w:p>
        </w:tc>
      </w:tr>
      <w:tr>
        <w:trPr>
          <w:cantSplit/>
        </w:trPr>
        <w:tc>
          <w:tcPr>
            <w:tcW w:type="dxa" w:w="2160"/>
            <w:tcMar>
              <w:top w:w="80" w:type="dxa"/>
              <w:start w:w="120" w:type="dxa"/>
              <w:bottom w:w="80" w:type="dxa"/>
              <w:end w:w="120" w:type="dxa"/>
            </w:tcMar>
            <w:vAlign w:val="center"/>
            <w:shd w:fill="F3F6F8"/>
          </w:tcPr>
          <w:p>
            <w:pPr>
              <w:spacing w:after="30"/>
            </w:pPr>
            <w:r>
              <w:rPr>
                <w:sz w:val="14"/>
              </w:rPr>
              <w:t>Client -&gt; provider</w:t>
            </w:r>
          </w:p>
        </w:tc>
        <w:tc>
          <w:tcPr>
            <w:tcW w:type="dxa" w:w="3744"/>
            <w:tcMar>
              <w:top w:w="80" w:type="dxa"/>
              <w:start w:w="120" w:type="dxa"/>
              <w:bottom w:w="80" w:type="dxa"/>
              <w:end w:w="120" w:type="dxa"/>
            </w:tcMar>
            <w:vAlign w:val="center"/>
            <w:shd w:fill="F3F6F8"/>
          </w:tcPr>
          <w:p>
            <w:pPr>
              <w:spacing w:after="30"/>
            </w:pPr>
            <w:r>
              <w:rPr>
                <w:sz w:val="14"/>
              </w:rPr>
              <w:t>Prompts, code, outputs and credentials</w:t>
            </w:r>
          </w:p>
        </w:tc>
        <w:tc>
          <w:tcPr>
            <w:tcW w:type="dxa" w:w="3456"/>
            <w:tcMar>
              <w:top w:w="80" w:type="dxa"/>
              <w:start w:w="120" w:type="dxa"/>
              <w:bottom w:w="80" w:type="dxa"/>
              <w:end w:w="120" w:type="dxa"/>
            </w:tcMar>
            <w:vAlign w:val="center"/>
            <w:shd w:fill="F3F6F8"/>
          </w:tcPr>
          <w:p>
            <w:pPr>
              <w:spacing w:after="30"/>
            </w:pPr>
            <w:r>
              <w:rPr>
                <w:sz w:val="14"/>
              </w:rPr>
              <w:t>Approved tenant/provider, TLS, minimisation and retention</w:t>
            </w:r>
          </w:p>
        </w:tc>
      </w:tr>
      <w:tr>
        <w:trPr>
          <w:cantSplit/>
        </w:trPr>
        <w:tc>
          <w:tcPr>
            <w:tcW w:type="dxa" w:w="2160"/>
            <w:tcMar>
              <w:top w:w="80" w:type="dxa"/>
              <w:start w:w="120" w:type="dxa"/>
              <w:bottom w:w="80" w:type="dxa"/>
              <w:end w:w="120" w:type="dxa"/>
            </w:tcMar>
            <w:vAlign w:val="center"/>
          </w:tcPr>
          <w:p>
            <w:pPr>
              <w:spacing w:after="30"/>
            </w:pPr>
            <w:r>
              <w:rPr>
                <w:sz w:val="14"/>
              </w:rPr>
              <w:t>Client -&gt; MCP/plugins</w:t>
            </w:r>
          </w:p>
        </w:tc>
        <w:tc>
          <w:tcPr>
            <w:tcW w:type="dxa" w:w="3744"/>
            <w:tcMar>
              <w:top w:w="80" w:type="dxa"/>
              <w:start w:w="120" w:type="dxa"/>
              <w:bottom w:w="80" w:type="dxa"/>
              <w:end w:w="120" w:type="dxa"/>
            </w:tcMar>
            <w:vAlign w:val="center"/>
          </w:tcPr>
          <w:p>
            <w:pPr>
              <w:spacing w:after="30"/>
            </w:pPr>
            <w:r>
              <w:rPr>
                <w:sz w:val="14"/>
              </w:rPr>
              <w:t>Schemas, results, scripts and remote content</w:t>
            </w:r>
          </w:p>
        </w:tc>
        <w:tc>
          <w:tcPr>
            <w:tcW w:type="dxa" w:w="3456"/>
            <w:tcMar>
              <w:top w:w="80" w:type="dxa"/>
              <w:start w:w="120" w:type="dxa"/>
              <w:bottom w:w="80" w:type="dxa"/>
              <w:end w:w="120" w:type="dxa"/>
            </w:tcMar>
            <w:vAlign w:val="center"/>
          </w:tcPr>
          <w:p>
            <w:pPr>
              <w:spacing w:after="30"/>
            </w:pPr>
            <w:r>
              <w:rPr>
                <w:sz w:val="14"/>
              </w:rPr>
              <w:t>Immutable allowlist, least privilege and output validation</w:t>
            </w:r>
          </w:p>
        </w:tc>
      </w:tr>
    </w:tbl>
    <w:p>
      <w:pPr>
        <w:spacing w:after="40"/>
      </w:pPr>
    </w:p>
    <w:p>
      <w:r>
        <w:t xml:space="preserve">Workspace files and remote content must be treated as attacker-controlled. Managed settings, VS Code Restricted Mode, Claude trust verification, tool permission rules and sandboxing are separate defence layers. </w:t>
      </w:r>
      <w:hyperlink w:anchor="REF_006">
        <w:r>
          <w:rPr>
            <w:color w:val="0563C1"/>
            <w:u w:val="single"/>
          </w:rPr>
          <w:t>[REF-006]</w:t>
        </w:r>
      </w:hyperlink>
      <w:r>
        <w:t xml:space="preserve"> </w:t>
      </w:r>
      <w:hyperlink w:anchor="REF_007">
        <w:r>
          <w:rPr>
            <w:color w:val="0563C1"/>
            <w:u w:val="single"/>
          </w:rPr>
          <w:t>[REF-007]</w:t>
        </w:r>
      </w:hyperlink>
    </w:p>
    <w:p>
      <w:pPr>
        <w:pStyle w:val="Heading2"/>
      </w:pPr>
      <w:r>
        <w:t>VS Code Data Flows</w:t>
      </w:r>
    </w:p>
    <w:tbl>
      <w:tblPr>
        <w:tblStyle w:val="TableGrid"/>
        <w:tblW w:type="auto" w:w="0"/>
        <w:jc w:val="center"/>
        <w:tblLayout w:type="fixed"/>
        <w:tblLook w:firstColumn="1" w:firstRow="1" w:lastColumn="0" w:lastRow="0" w:noHBand="0" w:noVBand="1" w:val="04A0"/>
      </w:tblPr>
      <w:tblGrid>
        <w:gridCol w:w="1728"/>
        <w:gridCol w:w="2448"/>
        <w:gridCol w:w="2160"/>
        <w:gridCol w:w="3024"/>
      </w:tblGrid>
      <w:tr>
        <w:trPr>
          <w:tblHeader/>
        </w:trPr>
        <w:tc>
          <w:tcPr>
            <w:tcW w:type="dxa" w:w="1728"/>
            <w:shd w:fill="17365D"/>
            <w:tcMar>
              <w:top w:w="80" w:type="dxa"/>
              <w:start w:w="120" w:type="dxa"/>
              <w:bottom w:w="80" w:type="dxa"/>
              <w:end w:w="120" w:type="dxa"/>
            </w:tcMar>
            <w:vAlign w:val="center"/>
          </w:tcPr>
          <w:p>
            <w:r>
              <w:rPr>
                <w:b/>
                <w:color w:val="FFFFFF"/>
                <w:sz w:val="14"/>
              </w:rPr>
              <w:t>Flow</w:t>
            </w:r>
          </w:p>
        </w:tc>
        <w:tc>
          <w:tcPr>
            <w:tcW w:type="dxa" w:w="2448"/>
            <w:shd w:fill="17365D"/>
            <w:tcMar>
              <w:top w:w="80" w:type="dxa"/>
              <w:start w:w="120" w:type="dxa"/>
              <w:bottom w:w="80" w:type="dxa"/>
              <w:end w:w="120" w:type="dxa"/>
            </w:tcMar>
            <w:vAlign w:val="center"/>
          </w:tcPr>
          <w:p>
            <w:r>
              <w:rPr>
                <w:b/>
                <w:color w:val="FFFFFF"/>
                <w:sz w:val="14"/>
              </w:rPr>
              <w:t>Data classes</w:t>
            </w:r>
          </w:p>
        </w:tc>
        <w:tc>
          <w:tcPr>
            <w:tcW w:type="dxa" w:w="2160"/>
            <w:shd w:fill="17365D"/>
            <w:tcMar>
              <w:top w:w="80" w:type="dxa"/>
              <w:start w:w="120" w:type="dxa"/>
              <w:bottom w:w="80" w:type="dxa"/>
              <w:end w:w="120" w:type="dxa"/>
            </w:tcMar>
            <w:vAlign w:val="center"/>
          </w:tcPr>
          <w:p>
            <w:r>
              <w:rPr>
                <w:b/>
                <w:color w:val="FFFFFF"/>
                <w:sz w:val="14"/>
              </w:rPr>
              <w:t>Destination</w:t>
            </w:r>
          </w:p>
        </w:tc>
        <w:tc>
          <w:tcPr>
            <w:tcW w:type="dxa" w:w="3024"/>
            <w:shd w:fill="17365D"/>
            <w:tcMar>
              <w:top w:w="80" w:type="dxa"/>
              <w:start w:w="120" w:type="dxa"/>
              <w:bottom w:w="80" w:type="dxa"/>
              <w:end w:w="120" w:type="dxa"/>
            </w:tcMar>
            <w:vAlign w:val="center"/>
          </w:tcPr>
          <w:p>
            <w:r>
              <w:rPr>
                <w:b/>
                <w:color w:val="FFFFFF"/>
                <w:sz w:val="14"/>
              </w:rPr>
              <w:t>Required control</w:t>
            </w:r>
          </w:p>
        </w:tc>
      </w:tr>
      <w:tr>
        <w:trPr>
          <w:cantSplit/>
        </w:trPr>
        <w:tc>
          <w:tcPr>
            <w:tcW w:type="dxa" w:w="1728"/>
            <w:tcMar>
              <w:top w:w="80" w:type="dxa"/>
              <w:start w:w="120" w:type="dxa"/>
              <w:bottom w:w="80" w:type="dxa"/>
              <w:end w:w="120" w:type="dxa"/>
            </w:tcMar>
            <w:vAlign w:val="center"/>
          </w:tcPr>
          <w:p>
            <w:pPr>
              <w:spacing w:after="30"/>
            </w:pPr>
            <w:r>
              <w:rPr>
                <w:sz w:val="14"/>
              </w:rPr>
              <w:t>Model request</w:t>
            </w:r>
          </w:p>
        </w:tc>
        <w:tc>
          <w:tcPr>
            <w:tcW w:type="dxa" w:w="2448"/>
            <w:tcMar>
              <w:top w:w="80" w:type="dxa"/>
              <w:start w:w="120" w:type="dxa"/>
              <w:bottom w:w="80" w:type="dxa"/>
              <w:end w:w="120" w:type="dxa"/>
            </w:tcMar>
            <w:vAlign w:val="center"/>
          </w:tcPr>
          <w:p>
            <w:pPr>
              <w:spacing w:after="30"/>
            </w:pPr>
            <w:r>
              <w:rPr>
                <w:sz w:val="14"/>
              </w:rPr>
              <w:t>Prompt, code, selection, tool results</w:t>
            </w:r>
          </w:p>
        </w:tc>
        <w:tc>
          <w:tcPr>
            <w:tcW w:type="dxa" w:w="2160"/>
            <w:tcMar>
              <w:top w:w="80" w:type="dxa"/>
              <w:start w:w="120" w:type="dxa"/>
              <w:bottom w:w="80" w:type="dxa"/>
              <w:end w:w="120" w:type="dxa"/>
            </w:tcMar>
            <w:vAlign w:val="center"/>
          </w:tcPr>
          <w:p>
            <w:pPr>
              <w:spacing w:after="30"/>
            </w:pPr>
            <w:r>
              <w:rPr>
                <w:sz w:val="14"/>
              </w:rPr>
              <w:t>Anthropic or approved provider</w:t>
            </w:r>
          </w:p>
        </w:tc>
        <w:tc>
          <w:tcPr>
            <w:tcW w:type="dxa" w:w="3024"/>
            <w:tcMar>
              <w:top w:w="80" w:type="dxa"/>
              <w:start w:w="120" w:type="dxa"/>
              <w:bottom w:w="80" w:type="dxa"/>
              <w:end w:w="120" w:type="dxa"/>
            </w:tcMar>
            <w:vAlign w:val="center"/>
          </w:tcPr>
          <w:p>
            <w:pPr>
              <w:spacing w:after="30"/>
            </w:pPr>
            <w:r>
              <w:rPr>
                <w:sz w:val="14"/>
              </w:rPr>
              <w:t>Commercial tenant, minimisation, ZDR/retention and TLS</w:t>
            </w:r>
          </w:p>
        </w:tc>
      </w:tr>
      <w:tr>
        <w:trPr>
          <w:cantSplit/>
        </w:trPr>
        <w:tc>
          <w:tcPr>
            <w:tcW w:type="dxa" w:w="1728"/>
            <w:tcMar>
              <w:top w:w="80" w:type="dxa"/>
              <w:start w:w="120" w:type="dxa"/>
              <w:bottom w:w="80" w:type="dxa"/>
              <w:end w:w="120" w:type="dxa"/>
            </w:tcMar>
            <w:vAlign w:val="center"/>
            <w:shd w:fill="F3F6F8"/>
          </w:tcPr>
          <w:p>
            <w:pPr>
              <w:spacing w:after="30"/>
            </w:pPr>
            <w:r>
              <w:rPr>
                <w:sz w:val="14"/>
              </w:rPr>
              <w:t>Local session</w:t>
            </w:r>
          </w:p>
        </w:tc>
        <w:tc>
          <w:tcPr>
            <w:tcW w:type="dxa" w:w="2448"/>
            <w:tcMar>
              <w:top w:w="80" w:type="dxa"/>
              <w:start w:w="120" w:type="dxa"/>
              <w:bottom w:w="80" w:type="dxa"/>
              <w:end w:w="120" w:type="dxa"/>
            </w:tcMar>
            <w:vAlign w:val="center"/>
            <w:shd w:fill="F3F6F8"/>
          </w:tcPr>
          <w:p>
            <w:pPr>
              <w:spacing w:after="30"/>
            </w:pPr>
            <w:r>
              <w:rPr>
                <w:sz w:val="14"/>
              </w:rPr>
              <w:t>Transcript, outputs, metadata</w:t>
            </w:r>
          </w:p>
        </w:tc>
        <w:tc>
          <w:tcPr>
            <w:tcW w:type="dxa" w:w="2160"/>
            <w:tcMar>
              <w:top w:w="80" w:type="dxa"/>
              <w:start w:w="120" w:type="dxa"/>
              <w:bottom w:w="80" w:type="dxa"/>
              <w:end w:w="120" w:type="dxa"/>
            </w:tcMar>
            <w:vAlign w:val="center"/>
            <w:shd w:fill="F3F6F8"/>
          </w:tcPr>
          <w:p>
            <w:pPr>
              <w:spacing w:after="30"/>
            </w:pPr>
            <w:r>
              <w:rPr>
                <w:sz w:val="14"/>
              </w:rPr>
              <w:t>~/.claude/projects/</w:t>
            </w:r>
          </w:p>
        </w:tc>
        <w:tc>
          <w:tcPr>
            <w:tcW w:type="dxa" w:w="3024"/>
            <w:tcMar>
              <w:top w:w="80" w:type="dxa"/>
              <w:start w:w="120" w:type="dxa"/>
              <w:bottom w:w="80" w:type="dxa"/>
              <w:end w:w="120" w:type="dxa"/>
            </w:tcMar>
            <w:vAlign w:val="center"/>
            <w:shd w:fill="F3F6F8"/>
          </w:tcPr>
          <w:p>
            <w:pPr>
              <w:spacing w:after="30"/>
            </w:pPr>
            <w:r>
              <w:rPr>
                <w:sz w:val="14"/>
              </w:rPr>
              <w:t>Disable/minimise persistence, permissions, encryption and deletion</w:t>
            </w:r>
          </w:p>
        </w:tc>
      </w:tr>
      <w:tr>
        <w:trPr>
          <w:cantSplit/>
        </w:trPr>
        <w:tc>
          <w:tcPr>
            <w:tcW w:type="dxa" w:w="1728"/>
            <w:tcMar>
              <w:top w:w="80" w:type="dxa"/>
              <w:start w:w="120" w:type="dxa"/>
              <w:bottom w:w="80" w:type="dxa"/>
              <w:end w:w="120" w:type="dxa"/>
            </w:tcMar>
            <w:vAlign w:val="center"/>
          </w:tcPr>
          <w:p>
            <w:pPr>
              <w:spacing w:after="30"/>
            </w:pPr>
            <w:r>
              <w:rPr>
                <w:sz w:val="14"/>
              </w:rPr>
              <w:t>Telemetry/error</w:t>
            </w:r>
          </w:p>
        </w:tc>
        <w:tc>
          <w:tcPr>
            <w:tcW w:type="dxa" w:w="2448"/>
            <w:tcMar>
              <w:top w:w="80" w:type="dxa"/>
              <w:start w:w="120" w:type="dxa"/>
              <w:bottom w:w="80" w:type="dxa"/>
              <w:end w:w="120" w:type="dxa"/>
            </w:tcMar>
            <w:vAlign w:val="center"/>
          </w:tcPr>
          <w:p>
            <w:pPr>
              <w:spacing w:after="30"/>
            </w:pPr>
            <w:r>
              <w:rPr>
                <w:sz w:val="14"/>
              </w:rPr>
              <w:t>Operational metrics and error context</w:t>
            </w:r>
          </w:p>
        </w:tc>
        <w:tc>
          <w:tcPr>
            <w:tcW w:type="dxa" w:w="2160"/>
            <w:tcMar>
              <w:top w:w="80" w:type="dxa"/>
              <w:start w:w="120" w:type="dxa"/>
              <w:bottom w:w="80" w:type="dxa"/>
              <w:end w:w="120" w:type="dxa"/>
            </w:tcMar>
            <w:vAlign w:val="center"/>
          </w:tcPr>
          <w:p>
            <w:pPr>
              <w:spacing w:after="30"/>
            </w:pPr>
            <w:r>
              <w:rPr>
                <w:sz w:val="14"/>
              </w:rPr>
              <w:t>Anthropic/Sentry</w:t>
            </w:r>
          </w:p>
        </w:tc>
        <w:tc>
          <w:tcPr>
            <w:tcW w:type="dxa" w:w="3024"/>
            <w:tcMar>
              <w:top w:w="80" w:type="dxa"/>
              <w:start w:w="120" w:type="dxa"/>
              <w:bottom w:w="80" w:type="dxa"/>
              <w:end w:w="120" w:type="dxa"/>
            </w:tcMar>
            <w:vAlign w:val="center"/>
          </w:tcPr>
          <w:p>
            <w:pPr>
              <w:spacing w:after="30"/>
            </w:pPr>
            <w:r>
              <w:rPr>
                <w:sz w:val="14"/>
              </w:rPr>
              <w:t>Disable nonessential traffic; verify payload/destination</w:t>
            </w:r>
          </w:p>
        </w:tc>
      </w:tr>
      <w:tr>
        <w:trPr>
          <w:cantSplit/>
        </w:trPr>
        <w:tc>
          <w:tcPr>
            <w:tcW w:type="dxa" w:w="1728"/>
            <w:tcMar>
              <w:top w:w="80" w:type="dxa"/>
              <w:start w:w="120" w:type="dxa"/>
              <w:bottom w:w="80" w:type="dxa"/>
              <w:end w:w="120" w:type="dxa"/>
            </w:tcMar>
            <w:vAlign w:val="center"/>
            <w:shd w:fill="F3F6F8"/>
          </w:tcPr>
          <w:p>
            <w:pPr>
              <w:spacing w:after="30"/>
            </w:pPr>
            <w:r>
              <w:rPr>
                <w:sz w:val="14"/>
              </w:rPr>
              <w:t>Feedback</w:t>
            </w:r>
          </w:p>
        </w:tc>
        <w:tc>
          <w:tcPr>
            <w:tcW w:type="dxa" w:w="2448"/>
            <w:tcMar>
              <w:top w:w="80" w:type="dxa"/>
              <w:start w:w="120" w:type="dxa"/>
              <w:bottom w:w="80" w:type="dxa"/>
              <w:end w:w="120" w:type="dxa"/>
            </w:tcMar>
            <w:vAlign w:val="center"/>
            <w:shd w:fill="F3F6F8"/>
          </w:tcPr>
          <w:p>
            <w:pPr>
              <w:spacing w:after="30"/>
            </w:pPr>
            <w:r>
              <w:rPr>
                <w:sz w:val="14"/>
              </w:rPr>
              <w:t>Selected conversation history and code</w:t>
            </w:r>
          </w:p>
        </w:tc>
        <w:tc>
          <w:tcPr>
            <w:tcW w:type="dxa" w:w="2160"/>
            <w:tcMar>
              <w:top w:w="80" w:type="dxa"/>
              <w:start w:w="120" w:type="dxa"/>
              <w:bottom w:w="80" w:type="dxa"/>
              <w:end w:w="120" w:type="dxa"/>
            </w:tcMar>
            <w:vAlign w:val="center"/>
            <w:shd w:fill="F3F6F8"/>
          </w:tcPr>
          <w:p>
            <w:pPr>
              <w:spacing w:after="30"/>
            </w:pPr>
            <w:r>
              <w:rPr>
                <w:sz w:val="14"/>
              </w:rPr>
              <w:t>Anthropic/support/GitHub</w:t>
            </w:r>
          </w:p>
        </w:tc>
        <w:tc>
          <w:tcPr>
            <w:tcW w:type="dxa" w:w="3024"/>
            <w:tcMar>
              <w:top w:w="80" w:type="dxa"/>
              <w:start w:w="120" w:type="dxa"/>
              <w:bottom w:w="80" w:type="dxa"/>
              <w:end w:w="120" w:type="dxa"/>
            </w:tcMar>
            <w:vAlign w:val="center"/>
            <w:shd w:fill="F3F6F8"/>
          </w:tcPr>
          <w:p>
            <w:pPr>
              <w:spacing w:after="30"/>
            </w:pPr>
            <w:r>
              <w:rPr>
                <w:sz w:val="14"/>
              </w:rPr>
              <w:t>Disable or explicit informed submission</w:t>
            </w:r>
          </w:p>
        </w:tc>
      </w:tr>
      <w:tr>
        <w:trPr>
          <w:cantSplit/>
        </w:trPr>
        <w:tc>
          <w:tcPr>
            <w:tcW w:type="dxa" w:w="1728"/>
            <w:tcMar>
              <w:top w:w="80" w:type="dxa"/>
              <w:start w:w="120" w:type="dxa"/>
              <w:bottom w:w="80" w:type="dxa"/>
              <w:end w:w="120" w:type="dxa"/>
            </w:tcMar>
            <w:vAlign w:val="center"/>
          </w:tcPr>
          <w:p>
            <w:pPr>
              <w:spacing w:after="30"/>
            </w:pPr>
            <w:r>
              <w:rPr>
                <w:sz w:val="14"/>
              </w:rPr>
              <w:t>MCP/tool action</w:t>
            </w:r>
          </w:p>
        </w:tc>
        <w:tc>
          <w:tcPr>
            <w:tcW w:type="dxa" w:w="2448"/>
            <w:tcMar>
              <w:top w:w="80" w:type="dxa"/>
              <w:start w:w="120" w:type="dxa"/>
              <w:bottom w:w="80" w:type="dxa"/>
              <w:end w:w="120" w:type="dxa"/>
            </w:tcMar>
            <w:vAlign w:val="center"/>
          </w:tcPr>
          <w:p>
            <w:pPr>
              <w:spacing w:after="30"/>
            </w:pPr>
            <w:r>
              <w:rPr>
                <w:sz w:val="14"/>
              </w:rPr>
              <w:t>Diagnostics, notebook code, service data</w:t>
            </w:r>
          </w:p>
        </w:tc>
        <w:tc>
          <w:tcPr>
            <w:tcW w:type="dxa" w:w="2160"/>
            <w:tcMar>
              <w:top w:w="80" w:type="dxa"/>
              <w:start w:w="120" w:type="dxa"/>
              <w:bottom w:w="80" w:type="dxa"/>
              <w:end w:w="120" w:type="dxa"/>
            </w:tcMar>
            <w:vAlign w:val="center"/>
          </w:tcPr>
          <w:p>
            <w:pPr>
              <w:spacing w:after="30"/>
            </w:pPr>
            <w:r>
              <w:rPr>
                <w:sz w:val="14"/>
              </w:rPr>
              <w:t>Local/remote server and downstream service</w:t>
            </w:r>
          </w:p>
        </w:tc>
        <w:tc>
          <w:tcPr>
            <w:tcW w:type="dxa" w:w="3024"/>
            <w:tcMar>
              <w:top w:w="80" w:type="dxa"/>
              <w:start w:w="120" w:type="dxa"/>
              <w:bottom w:w="80" w:type="dxa"/>
              <w:end w:w="120" w:type="dxa"/>
            </w:tcMar>
            <w:vAlign w:val="center"/>
          </w:tcPr>
          <w:p>
            <w:pPr>
              <w:spacing w:after="30"/>
            </w:pPr>
            <w:r>
              <w:rPr>
                <w:sz w:val="14"/>
              </w:rPr>
              <w:t>Server/tool/schema allowlist and per-action consent</w:t>
            </w:r>
          </w:p>
        </w:tc>
      </w:tr>
    </w:tbl>
    <w:p>
      <w:pPr>
        <w:spacing w:after="40"/>
      </w:pPr>
    </w:p>
    <w:p>
      <w:pPr>
        <w:pStyle w:val="Heading2"/>
      </w:pPr>
      <w:r>
        <w:t>VS Code Installation Manifest and Uninstall</w:t>
      </w:r>
    </w:p>
    <w:tbl>
      <w:tblPr>
        <w:tblStyle w:val="TableGrid"/>
        <w:tblW w:type="auto" w:w="0"/>
        <w:jc w:val="center"/>
        <w:tblLayout w:type="fixed"/>
        <w:tblLook w:firstColumn="1" w:firstRow="1" w:lastColumn="0" w:lastRow="0" w:noHBand="0" w:noVBand="1" w:val="04A0"/>
      </w:tblPr>
      <w:tblGrid>
        <w:gridCol w:w="1584"/>
        <w:gridCol w:w="2592"/>
        <w:gridCol w:w="2448"/>
        <w:gridCol w:w="2736"/>
      </w:tblGrid>
      <w:tr>
        <w:trPr>
          <w:tblHeader/>
        </w:trPr>
        <w:tc>
          <w:tcPr>
            <w:tcW w:type="dxa" w:w="1584"/>
            <w:shd w:fill="17365D"/>
            <w:tcMar>
              <w:top w:w="80" w:type="dxa"/>
              <w:start w:w="120" w:type="dxa"/>
              <w:bottom w:w="80" w:type="dxa"/>
              <w:end w:w="120" w:type="dxa"/>
            </w:tcMar>
            <w:vAlign w:val="center"/>
          </w:tcPr>
          <w:p>
            <w:r>
              <w:rPr>
                <w:b/>
                <w:color w:val="FFFFFF"/>
                <w:sz w:val="14"/>
              </w:rPr>
              <w:t>Item</w:t>
            </w:r>
          </w:p>
        </w:tc>
        <w:tc>
          <w:tcPr>
            <w:tcW w:type="dxa" w:w="2592"/>
            <w:shd w:fill="17365D"/>
            <w:tcMar>
              <w:top w:w="80" w:type="dxa"/>
              <w:start w:w="120" w:type="dxa"/>
              <w:bottom w:w="80" w:type="dxa"/>
              <w:end w:w="120" w:type="dxa"/>
            </w:tcMar>
            <w:vAlign w:val="center"/>
          </w:tcPr>
          <w:p>
            <w:r>
              <w:rPr>
                <w:b/>
                <w:color w:val="FFFFFF"/>
                <w:sz w:val="14"/>
              </w:rPr>
              <w:t>Path/type</w:t>
            </w:r>
          </w:p>
        </w:tc>
        <w:tc>
          <w:tcPr>
            <w:tcW w:type="dxa" w:w="2448"/>
            <w:shd w:fill="17365D"/>
            <w:tcMar>
              <w:top w:w="80" w:type="dxa"/>
              <w:start w:w="120" w:type="dxa"/>
              <w:bottom w:w="80" w:type="dxa"/>
              <w:end w:w="120" w:type="dxa"/>
            </w:tcMar>
            <w:vAlign w:val="center"/>
          </w:tcPr>
          <w:p>
            <w:r>
              <w:rPr>
                <w:b/>
                <w:color w:val="FFFFFF"/>
                <w:sz w:val="14"/>
              </w:rPr>
              <w:t>Hash/signature</w:t>
            </w:r>
          </w:p>
        </w:tc>
        <w:tc>
          <w:tcPr>
            <w:tcW w:type="dxa" w:w="2736"/>
            <w:shd w:fill="17365D"/>
            <w:tcMar>
              <w:top w:w="80" w:type="dxa"/>
              <w:start w:w="120" w:type="dxa"/>
              <w:bottom w:w="80" w:type="dxa"/>
              <w:end w:w="120" w:type="dxa"/>
            </w:tcMar>
            <w:vAlign w:val="center"/>
          </w:tcPr>
          <w:p>
            <w:r>
              <w:rPr>
                <w:b/>
                <w:color w:val="FFFFFF"/>
                <w:sz w:val="14"/>
              </w:rPr>
              <w:t>Expected lifecycle</w:t>
            </w:r>
          </w:p>
        </w:tc>
      </w:tr>
      <w:tr>
        <w:trPr>
          <w:cantSplit/>
        </w:trPr>
        <w:tc>
          <w:tcPr>
            <w:tcW w:type="dxa" w:w="1584"/>
            <w:tcMar>
              <w:top w:w="80" w:type="dxa"/>
              <w:start w:w="120" w:type="dxa"/>
              <w:bottom w:w="80" w:type="dxa"/>
              <w:end w:w="120" w:type="dxa"/>
            </w:tcMar>
            <w:vAlign w:val="center"/>
          </w:tcPr>
          <w:p>
            <w:pPr>
              <w:spacing w:after="30"/>
            </w:pPr>
            <w:r>
              <w:rPr>
                <w:sz w:val="14"/>
              </w:rPr>
              <w:t>VSIX</w:t>
            </w:r>
          </w:p>
        </w:tc>
        <w:tc>
          <w:tcPr>
            <w:tcW w:type="dxa" w:w="2592"/>
            <w:tcMar>
              <w:top w:w="80" w:type="dxa"/>
              <w:start w:w="120" w:type="dxa"/>
              <w:bottom w:w="80" w:type="dxa"/>
              <w:end w:w="120" w:type="dxa"/>
            </w:tcMar>
            <w:vAlign w:val="center"/>
          </w:tcPr>
          <w:p>
            <w:pPr>
              <w:spacing w:after="30"/>
            </w:pPr>
            <w:r>
              <w:rPr>
                <w:sz w:val="14"/>
              </w:rPr>
              <w:t>Marketplace package; 29 files</w:t>
            </w:r>
          </w:p>
        </w:tc>
        <w:tc>
          <w:tcPr>
            <w:tcW w:type="dxa" w:w="2448"/>
            <w:tcMar>
              <w:top w:w="80" w:type="dxa"/>
              <w:start w:w="120" w:type="dxa"/>
              <w:bottom w:w="80" w:type="dxa"/>
              <w:end w:w="120" w:type="dxa"/>
            </w:tcMar>
            <w:vAlign w:val="center"/>
          </w:tcPr>
          <w:p>
            <w:pPr>
              <w:spacing w:after="30"/>
            </w:pPr>
            <w:r>
              <w:rPr>
                <w:sz w:val="14"/>
              </w:rPr>
              <w:t>e671f210...f8333978; Marketplace match</w:t>
            </w:r>
          </w:p>
        </w:tc>
        <w:tc>
          <w:tcPr>
            <w:tcW w:type="dxa" w:w="2736"/>
            <w:tcMar>
              <w:top w:w="80" w:type="dxa"/>
              <w:start w:w="120" w:type="dxa"/>
              <w:bottom w:w="80" w:type="dxa"/>
              <w:end w:w="120" w:type="dxa"/>
            </w:tcMar>
            <w:vAlign w:val="center"/>
          </w:tcPr>
          <w:p>
            <w:pPr>
              <w:spacing w:after="30"/>
            </w:pPr>
            <w:r>
              <w:rPr>
                <w:sz w:val="14"/>
              </w:rPr>
              <w:t>Installed/updated by VS Code; exact path host-dependent</w:t>
            </w:r>
          </w:p>
        </w:tc>
      </w:tr>
      <w:tr>
        <w:trPr>
          <w:cantSplit/>
        </w:trPr>
        <w:tc>
          <w:tcPr>
            <w:tcW w:type="dxa" w:w="1584"/>
            <w:tcMar>
              <w:top w:w="80" w:type="dxa"/>
              <w:start w:w="120" w:type="dxa"/>
              <w:bottom w:w="80" w:type="dxa"/>
              <w:end w:w="120" w:type="dxa"/>
            </w:tcMar>
            <w:vAlign w:val="center"/>
            <w:shd w:fill="F3F6F8"/>
          </w:tcPr>
          <w:p>
            <w:pPr>
              <w:spacing w:after="30"/>
            </w:pPr>
            <w:r>
              <w:rPr>
                <w:sz w:val="14"/>
              </w:rPr>
              <w:t>Native Claude</w:t>
            </w:r>
          </w:p>
        </w:tc>
        <w:tc>
          <w:tcPr>
            <w:tcW w:type="dxa" w:w="2592"/>
            <w:tcMar>
              <w:top w:w="80" w:type="dxa"/>
              <w:start w:w="120" w:type="dxa"/>
              <w:bottom w:w="80" w:type="dxa"/>
              <w:end w:w="120" w:type="dxa"/>
            </w:tcMar>
            <w:vAlign w:val="center"/>
            <w:shd w:fill="F3F6F8"/>
          </w:tcPr>
          <w:p>
            <w:pPr>
              <w:spacing w:after="30"/>
            </w:pPr>
            <w:r>
              <w:rPr>
                <w:sz w:val="14"/>
              </w:rPr>
              <w:t>resources/native-binary/claude</w:t>
            </w:r>
          </w:p>
        </w:tc>
        <w:tc>
          <w:tcPr>
            <w:tcW w:type="dxa" w:w="2448"/>
            <w:tcMar>
              <w:top w:w="80" w:type="dxa"/>
              <w:start w:w="120" w:type="dxa"/>
              <w:bottom w:w="80" w:type="dxa"/>
              <w:end w:w="120" w:type="dxa"/>
            </w:tcMar>
            <w:vAlign w:val="center"/>
            <w:shd w:fill="F3F6F8"/>
          </w:tcPr>
          <w:p>
            <w:pPr>
              <w:spacing w:after="30"/>
            </w:pPr>
            <w:r>
              <w:rPr>
                <w:sz w:val="14"/>
              </w:rPr>
              <w:t>8addc857...dbbe081; Anthropic Developer ID</w:t>
            </w:r>
          </w:p>
        </w:tc>
        <w:tc>
          <w:tcPr>
            <w:tcW w:type="dxa" w:w="2736"/>
            <w:tcMar>
              <w:top w:w="80" w:type="dxa"/>
              <w:start w:w="120" w:type="dxa"/>
              <w:bottom w:w="80" w:type="dxa"/>
              <w:end w:w="120" w:type="dxa"/>
            </w:tcMar>
            <w:vAlign w:val="center"/>
            <w:shd w:fill="F3F6F8"/>
          </w:tcPr>
          <w:p>
            <w:pPr>
              <w:spacing w:after="30"/>
            </w:pPr>
            <w:r>
              <w:rPr>
                <w:sz w:val="14"/>
              </w:rPr>
              <w:t>Launched by extension; process behavior unobserved</w:t>
            </w:r>
          </w:p>
        </w:tc>
      </w:tr>
      <w:tr>
        <w:trPr>
          <w:cantSplit/>
        </w:trPr>
        <w:tc>
          <w:tcPr>
            <w:tcW w:type="dxa" w:w="1584"/>
            <w:tcMar>
              <w:top w:w="80" w:type="dxa"/>
              <w:start w:w="120" w:type="dxa"/>
              <w:bottom w:w="80" w:type="dxa"/>
              <w:end w:w="120" w:type="dxa"/>
            </w:tcMar>
            <w:vAlign w:val="center"/>
          </w:tcPr>
          <w:p>
            <w:pPr>
              <w:spacing w:after="30"/>
            </w:pPr>
            <w:r>
              <w:rPr>
                <w:sz w:val="14"/>
              </w:rPr>
              <w:t>Audio module</w:t>
            </w:r>
          </w:p>
        </w:tc>
        <w:tc>
          <w:tcPr>
            <w:tcW w:type="dxa" w:w="2592"/>
            <w:tcMar>
              <w:top w:w="80" w:type="dxa"/>
              <w:start w:w="120" w:type="dxa"/>
              <w:bottom w:w="80" w:type="dxa"/>
              <w:end w:w="120" w:type="dxa"/>
            </w:tcMar>
            <w:vAlign w:val="center"/>
          </w:tcPr>
          <w:p>
            <w:pPr>
              <w:spacing w:after="30"/>
            </w:pPr>
            <w:r>
              <w:rPr>
                <w:sz w:val="14"/>
              </w:rPr>
              <w:t>resources/audio-capture/...node</w:t>
            </w:r>
          </w:p>
        </w:tc>
        <w:tc>
          <w:tcPr>
            <w:tcW w:type="dxa" w:w="2448"/>
            <w:tcMar>
              <w:top w:w="80" w:type="dxa"/>
              <w:start w:w="120" w:type="dxa"/>
              <w:bottom w:w="80" w:type="dxa"/>
              <w:end w:w="120" w:type="dxa"/>
            </w:tcMar>
            <w:vAlign w:val="center"/>
          </w:tcPr>
          <w:p>
            <w:pPr>
              <w:spacing w:after="30"/>
            </w:pPr>
            <w:r>
              <w:rPr>
                <w:sz w:val="14"/>
              </w:rPr>
              <w:t>40e2f7d8...f585; ad-hoc signed</w:t>
            </w:r>
          </w:p>
        </w:tc>
        <w:tc>
          <w:tcPr>
            <w:tcW w:type="dxa" w:w="2736"/>
            <w:tcMar>
              <w:top w:w="80" w:type="dxa"/>
              <w:start w:w="120" w:type="dxa"/>
              <w:bottom w:w="80" w:type="dxa"/>
              <w:end w:w="120" w:type="dxa"/>
            </w:tcMar>
            <w:vAlign w:val="center"/>
          </w:tcPr>
          <w:p>
            <w:pPr>
              <w:spacing w:after="30"/>
            </w:pPr>
            <w:r>
              <w:rPr>
                <w:sz w:val="14"/>
              </w:rPr>
              <w:t>Loaded when audio feature used; consent unobserved</w:t>
            </w:r>
          </w:p>
        </w:tc>
      </w:tr>
      <w:tr>
        <w:trPr>
          <w:cantSplit/>
        </w:trPr>
        <w:tc>
          <w:tcPr>
            <w:tcW w:type="dxa" w:w="1584"/>
            <w:tcMar>
              <w:top w:w="80" w:type="dxa"/>
              <w:start w:w="120" w:type="dxa"/>
              <w:bottom w:w="80" w:type="dxa"/>
              <w:end w:w="120" w:type="dxa"/>
            </w:tcMar>
            <w:vAlign w:val="center"/>
            <w:shd w:fill="F3F6F8"/>
          </w:tcPr>
          <w:p>
            <w:pPr>
              <w:spacing w:after="30"/>
            </w:pPr>
            <w:r>
              <w:rPr>
                <w:sz w:val="14"/>
              </w:rPr>
              <w:t>Extension/webview JS</w:t>
            </w:r>
          </w:p>
        </w:tc>
        <w:tc>
          <w:tcPr>
            <w:tcW w:type="dxa" w:w="2592"/>
            <w:tcMar>
              <w:top w:w="80" w:type="dxa"/>
              <w:start w:w="120" w:type="dxa"/>
              <w:bottom w:w="80" w:type="dxa"/>
              <w:end w:w="120" w:type="dxa"/>
            </w:tcMar>
            <w:vAlign w:val="center"/>
            <w:shd w:fill="F3F6F8"/>
          </w:tcPr>
          <w:p>
            <w:pPr>
              <w:spacing w:after="30"/>
            </w:pPr>
            <w:r>
              <w:rPr>
                <w:sz w:val="14"/>
              </w:rPr>
              <w:t>extension.js; webview/index.js</w:t>
            </w:r>
          </w:p>
        </w:tc>
        <w:tc>
          <w:tcPr>
            <w:tcW w:type="dxa" w:w="2448"/>
            <w:tcMar>
              <w:top w:w="80" w:type="dxa"/>
              <w:start w:w="120" w:type="dxa"/>
              <w:bottom w:w="80" w:type="dxa"/>
              <w:end w:w="120" w:type="dxa"/>
            </w:tcMar>
            <w:vAlign w:val="center"/>
            <w:shd w:fill="F3F6F8"/>
          </w:tcPr>
          <w:p>
            <w:pPr>
              <w:spacing w:after="30"/>
            </w:pPr>
            <w:r>
              <w:rPr>
                <w:sz w:val="14"/>
              </w:rPr>
              <w:t>fa21620f...; c06c44d5...</w:t>
            </w:r>
          </w:p>
        </w:tc>
        <w:tc>
          <w:tcPr>
            <w:tcW w:type="dxa" w:w="2736"/>
            <w:tcMar>
              <w:top w:w="80" w:type="dxa"/>
              <w:start w:w="120" w:type="dxa"/>
              <w:bottom w:w="80" w:type="dxa"/>
              <w:end w:w="120" w:type="dxa"/>
            </w:tcMar>
            <w:vAlign w:val="center"/>
            <w:shd w:fill="F3F6F8"/>
          </w:tcPr>
          <w:p>
            <w:pPr>
              <w:spacing w:after="30"/>
            </w:pPr>
            <w:r>
              <w:rPr>
                <w:sz w:val="14"/>
              </w:rPr>
              <w:t>Runs in extension/webview contexts; minified</w:t>
            </w:r>
          </w:p>
        </w:tc>
      </w:tr>
      <w:tr>
        <w:trPr>
          <w:cantSplit/>
        </w:trPr>
        <w:tc>
          <w:tcPr>
            <w:tcW w:type="dxa" w:w="1584"/>
            <w:tcMar>
              <w:top w:w="80" w:type="dxa"/>
              <w:start w:w="120" w:type="dxa"/>
              <w:bottom w:w="80" w:type="dxa"/>
              <w:end w:w="120" w:type="dxa"/>
            </w:tcMar>
            <w:vAlign w:val="center"/>
          </w:tcPr>
          <w:p>
            <w:pPr>
              <w:spacing w:after="30"/>
            </w:pPr>
            <w:r>
              <w:rPr>
                <w:sz w:val="14"/>
              </w:rPr>
              <w:t>User/project state</w:t>
            </w:r>
          </w:p>
        </w:tc>
        <w:tc>
          <w:tcPr>
            <w:tcW w:type="dxa" w:w="2592"/>
            <w:tcMar>
              <w:top w:w="80" w:type="dxa"/>
              <w:start w:w="120" w:type="dxa"/>
              <w:bottom w:w="80" w:type="dxa"/>
              <w:end w:w="120" w:type="dxa"/>
            </w:tcMar>
            <w:vAlign w:val="center"/>
          </w:tcPr>
          <w:p>
            <w:pPr>
              <w:spacing w:after="30"/>
            </w:pPr>
            <w:r>
              <w:rPr>
                <w:sz w:val="14"/>
              </w:rPr>
              <w:t>~/.claude, .claude, .mcp.json, VS Code storage</w:t>
            </w:r>
          </w:p>
        </w:tc>
        <w:tc>
          <w:tcPr>
            <w:tcW w:type="dxa" w:w="2448"/>
            <w:tcMar>
              <w:top w:w="80" w:type="dxa"/>
              <w:start w:w="120" w:type="dxa"/>
              <w:bottom w:w="80" w:type="dxa"/>
              <w:end w:w="120" w:type="dxa"/>
            </w:tcMar>
            <w:vAlign w:val="center"/>
          </w:tcPr>
          <w:p>
            <w:pPr>
              <w:spacing w:after="30"/>
            </w:pPr>
            <w:r>
              <w:rPr>
                <w:sz w:val="14"/>
              </w:rPr>
              <w:t>Runtime-dependent</w:t>
            </w:r>
          </w:p>
        </w:tc>
        <w:tc>
          <w:tcPr>
            <w:tcW w:type="dxa" w:w="2736"/>
            <w:tcMar>
              <w:top w:w="80" w:type="dxa"/>
              <w:start w:w="120" w:type="dxa"/>
              <w:bottom w:w="80" w:type="dxa"/>
              <w:end w:w="120" w:type="dxa"/>
            </w:tcMar>
            <w:vAlign w:val="center"/>
          </w:tcPr>
          <w:p>
            <w:pPr>
              <w:spacing w:after="30"/>
            </w:pPr>
            <w:r>
              <w:rPr>
                <w:sz w:val="14"/>
              </w:rPr>
              <w:t>May survive uninstall; capture and remove under policy</w:t>
            </w:r>
          </w:p>
        </w:tc>
      </w:tr>
    </w:tbl>
    <w:p>
      <w:pPr>
        <w:spacing w:after="40"/>
      </w:pPr>
    </w:p>
    <w:p>
      <w:r>
        <w:t>No service, driver, scheduled task or login item was visible in the VSIX. Exact update, credential-store, process, network and uninstall residue is Unknown pending runtime.</w:t>
      </w:r>
    </w:p>
    <w:p>
      <w:pPr>
        <w:pStyle w:val="Heading2"/>
      </w:pPr>
      <w:r>
        <w:t>VS Code Activation and Runtime Processes</w:t>
      </w:r>
    </w:p>
    <w:p>
      <w:r>
        <w:t>Activation events are `onStartupFinished` and the Claude webview panel. The extension is marked unsupported for untrusted workspaces. The native process, child processes, IPC, ports, environment, CPU/memory boundaries and crash behavior were not observed. Test Restricted Mode, process-wrapper ownership and auto-Python-environment activation before approval.</w:t>
      </w:r>
    </w:p>
    <w:p>
      <w:pPr>
        <w:pStyle w:val="Heading2"/>
      </w:pPr>
      <w:r>
        <w:t>VS Code Network, Authentication, Telemetry and Privacy</w:t>
      </w:r>
    </w:p>
    <w:p>
      <w:r>
        <w:t xml:space="preserve">Authentication supports Anthropic subscription OAuth, API keys and approved third-party providers. Machine-scoped environment configuration and executable helper paths are sensitive. Enterprise identity must be restricted to an approved organization/provider and secure credential path. </w:t>
      </w:r>
      <w:hyperlink w:anchor="REF_008">
        <w:r>
          <w:rPr>
            <w:color w:val="0563C1"/>
            <w:u w:val="single"/>
          </w:rPr>
          <w:t>[REF-008]</w:t>
        </w:r>
      </w:hyperlink>
      <w:r>
        <w:t xml:space="preserve"> </w:t>
      </w:r>
      <w:hyperlink w:anchor="REF_009">
        <w:r>
          <w:rPr>
            <w:color w:val="0563C1"/>
            <w:u w:val="single"/>
          </w:rPr>
          <w:t>[REF-009]</w:t>
        </w:r>
      </w:hyperlink>
    </w:p>
    <w:p>
      <w:r>
        <w:t xml:space="preserve">Commercial users are described as excluded from training unless they opt in; standard retention is 30 days and qualifying Enterprise organizations can request ZDR. Local transcripts are plaintext by default for 30 days. Telemetry, error reporting, feedback and nonessential traffic have opt-out controls; validate actual behavior. </w:t>
      </w:r>
      <w:hyperlink w:anchor="REF_008">
        <w:r>
          <w:rPr>
            <w:color w:val="0563C1"/>
            <w:u w:val="single"/>
          </w:rPr>
          <w:t>[REF-008]</w:t>
        </w:r>
      </w:hyperlink>
      <w:r>
        <w:t xml:space="preserve"> </w:t>
      </w:r>
      <w:hyperlink w:anchor="REF_010">
        <w:r>
          <w:rPr>
            <w:color w:val="0563C1"/>
            <w:u w:val="single"/>
          </w:rPr>
          <w:t>[REF-010]</w:t>
        </w:r>
      </w:hyperlink>
    </w:p>
    <w:p>
      <w:pPr>
        <w:pStyle w:val="Heading2"/>
      </w:pPr>
      <w:r>
        <w:t>VS Code MCP Surface and Agent Skills Summary</w:t>
      </w:r>
    </w:p>
    <w:tbl>
      <w:tblPr>
        <w:tblStyle w:val="TableGrid"/>
        <w:tblW w:type="auto" w:w="0"/>
        <w:jc w:val="center"/>
        <w:tblLayout w:type="fixed"/>
        <w:tblLook w:firstColumn="1" w:firstRow="1" w:lastColumn="0" w:lastRow="0" w:noHBand="0" w:noVBand="1" w:val="04A0"/>
      </w:tblPr>
      <w:tblGrid>
        <w:gridCol w:w="1872"/>
        <w:gridCol w:w="2736"/>
        <w:gridCol w:w="2016"/>
        <w:gridCol w:w="2736"/>
      </w:tblGrid>
      <w:tr>
        <w:trPr>
          <w:tblHeader/>
        </w:trPr>
        <w:tc>
          <w:tcPr>
            <w:tcW w:type="dxa" w:w="1872"/>
            <w:shd w:fill="17365D"/>
            <w:tcMar>
              <w:top w:w="80" w:type="dxa"/>
              <w:start w:w="120" w:type="dxa"/>
              <w:bottom w:w="80" w:type="dxa"/>
              <w:end w:w="120" w:type="dxa"/>
            </w:tcMar>
            <w:vAlign w:val="center"/>
          </w:tcPr>
          <w:p>
            <w:r>
              <w:rPr>
                <w:b/>
                <w:color w:val="FFFFFF"/>
                <w:sz w:val="14"/>
              </w:rPr>
              <w:t>Surface</w:t>
            </w:r>
          </w:p>
        </w:tc>
        <w:tc>
          <w:tcPr>
            <w:tcW w:type="dxa" w:w="2736"/>
            <w:shd w:fill="17365D"/>
            <w:tcMar>
              <w:top w:w="80" w:type="dxa"/>
              <w:start w:w="120" w:type="dxa"/>
              <w:bottom w:w="80" w:type="dxa"/>
              <w:end w:w="120" w:type="dxa"/>
            </w:tcMar>
            <w:vAlign w:val="center"/>
          </w:tcPr>
          <w:p>
            <w:r>
              <w:rPr>
                <w:b/>
                <w:color w:val="FFFFFF"/>
                <w:sz w:val="14"/>
              </w:rPr>
              <w:t>Static state</w:t>
            </w:r>
          </w:p>
        </w:tc>
        <w:tc>
          <w:tcPr>
            <w:tcW w:type="dxa" w:w="2016"/>
            <w:shd w:fill="17365D"/>
            <w:tcMar>
              <w:top w:w="80" w:type="dxa"/>
              <w:start w:w="120" w:type="dxa"/>
              <w:bottom w:w="80" w:type="dxa"/>
              <w:end w:w="120" w:type="dxa"/>
            </w:tcMar>
            <w:vAlign w:val="center"/>
          </w:tcPr>
          <w:p>
            <w:r>
              <w:rPr>
                <w:b/>
                <w:color w:val="FFFFFF"/>
                <w:sz w:val="14"/>
              </w:rPr>
              <w:t>Risk decision</w:t>
            </w:r>
          </w:p>
        </w:tc>
        <w:tc>
          <w:tcPr>
            <w:tcW w:type="dxa" w:w="2736"/>
            <w:shd w:fill="17365D"/>
            <w:tcMar>
              <w:top w:w="80" w:type="dxa"/>
              <w:start w:w="120" w:type="dxa"/>
              <w:bottom w:w="80" w:type="dxa"/>
              <w:end w:w="120" w:type="dxa"/>
            </w:tcMar>
            <w:vAlign w:val="center"/>
          </w:tcPr>
          <w:p>
            <w:r>
              <w:rPr>
                <w:b/>
                <w:color w:val="FFFFFF"/>
                <w:sz w:val="14"/>
              </w:rPr>
              <w:t>Enterprise condition</w:t>
            </w:r>
          </w:p>
        </w:tc>
      </w:tr>
      <w:tr>
        <w:trPr>
          <w:cantSplit/>
        </w:trPr>
        <w:tc>
          <w:tcPr>
            <w:tcW w:type="dxa" w:w="1872"/>
            <w:tcMar>
              <w:top w:w="80" w:type="dxa"/>
              <w:start w:w="120" w:type="dxa"/>
              <w:bottom w:w="80" w:type="dxa"/>
              <w:end w:w="120" w:type="dxa"/>
            </w:tcMar>
            <w:vAlign w:val="center"/>
          </w:tcPr>
          <w:p>
            <w:pPr>
              <w:spacing w:after="30"/>
            </w:pPr>
            <w:r>
              <w:rPr>
                <w:sz w:val="14"/>
              </w:rPr>
              <w:t>Hidden IDE MCP</w:t>
            </w:r>
          </w:p>
        </w:tc>
        <w:tc>
          <w:tcPr>
            <w:tcW w:type="dxa" w:w="2736"/>
            <w:tcMar>
              <w:top w:w="80" w:type="dxa"/>
              <w:start w:w="120" w:type="dxa"/>
              <w:bottom w:w="80" w:type="dxa"/>
              <w:end w:w="120" w:type="dxa"/>
            </w:tcMar>
            <w:vAlign w:val="center"/>
          </w:tcPr>
          <w:p>
            <w:pPr>
              <w:spacing w:after="30"/>
            </w:pPr>
            <w:r>
              <w:rPr>
                <w:sz w:val="14"/>
              </w:rPr>
              <w:t>Diagnostics + notebook execution documented</w:t>
            </w:r>
          </w:p>
        </w:tc>
        <w:tc>
          <w:tcPr>
            <w:tcW w:type="dxa" w:w="2016"/>
            <w:tcMar>
              <w:top w:w="80" w:type="dxa"/>
              <w:start w:w="120" w:type="dxa"/>
              <w:bottom w:w="80" w:type="dxa"/>
              <w:end w:w="120" w:type="dxa"/>
            </w:tcMar>
            <w:vAlign w:val="center"/>
          </w:tcPr>
          <w:p>
            <w:pPr>
              <w:spacing w:after="30"/>
            </w:pPr>
            <w:r>
              <w:rPr>
                <w:sz w:val="14"/>
              </w:rPr>
              <w:t>Moderate; schema/runtime Unknown</w:t>
            </w:r>
          </w:p>
        </w:tc>
        <w:tc>
          <w:tcPr>
            <w:tcW w:type="dxa" w:w="2736"/>
            <w:tcMar>
              <w:top w:w="80" w:type="dxa"/>
              <w:start w:w="120" w:type="dxa"/>
              <w:bottom w:w="80" w:type="dxa"/>
              <w:end w:w="120" w:type="dxa"/>
            </w:tcMar>
            <w:vAlign w:val="center"/>
          </w:tcPr>
          <w:p>
            <w:pPr>
              <w:spacing w:after="30"/>
            </w:pPr>
            <w:r>
              <w:rPr>
                <w:sz w:val="14"/>
              </w:rPr>
              <w:t>Quick Pick proof, tools/schema snapshot and audit</w:t>
            </w:r>
          </w:p>
        </w:tc>
      </w:tr>
      <w:tr>
        <w:trPr>
          <w:cantSplit/>
        </w:trPr>
        <w:tc>
          <w:tcPr>
            <w:tcW w:type="dxa" w:w="1872"/>
            <w:tcMar>
              <w:top w:w="80" w:type="dxa"/>
              <w:start w:w="120" w:type="dxa"/>
              <w:bottom w:w="80" w:type="dxa"/>
              <w:end w:w="120" w:type="dxa"/>
            </w:tcMar>
            <w:vAlign w:val="center"/>
            <w:shd w:fill="F3F6F8"/>
          </w:tcPr>
          <w:p>
            <w:pPr>
              <w:spacing w:after="30"/>
            </w:pPr>
            <w:r>
              <w:rPr>
                <w:sz w:val="14"/>
              </w:rPr>
              <w:t>Project/user MCP</w:t>
            </w:r>
          </w:p>
        </w:tc>
        <w:tc>
          <w:tcPr>
            <w:tcW w:type="dxa" w:w="2736"/>
            <w:tcMar>
              <w:top w:w="80" w:type="dxa"/>
              <w:start w:w="120" w:type="dxa"/>
              <w:bottom w:w="80" w:type="dxa"/>
              <w:end w:w="120" w:type="dxa"/>
            </w:tcMar>
            <w:vAlign w:val="center"/>
            <w:shd w:fill="F3F6F8"/>
          </w:tcPr>
          <w:p>
            <w:pPr>
              <w:spacing w:after="30"/>
            </w:pPr>
            <w:r>
              <w:rPr>
                <w:sz w:val="14"/>
              </w:rPr>
              <w:t>Supported; can be auto-enabled</w:t>
            </w:r>
          </w:p>
        </w:tc>
        <w:tc>
          <w:tcPr>
            <w:tcW w:type="dxa" w:w="2016"/>
            <w:tcMar>
              <w:top w:w="80" w:type="dxa"/>
              <w:start w:w="120" w:type="dxa"/>
              <w:bottom w:w="80" w:type="dxa"/>
              <w:end w:w="120" w:type="dxa"/>
            </w:tcMar>
            <w:vAlign w:val="center"/>
            <w:shd w:fill="F3F6F8"/>
          </w:tcPr>
          <w:p>
            <w:pPr>
              <w:spacing w:after="30"/>
            </w:pPr>
            <w:r>
              <w:rPr>
                <w:sz w:val="14"/>
              </w:rPr>
              <w:t>High unless denied</w:t>
            </w:r>
          </w:p>
        </w:tc>
        <w:tc>
          <w:tcPr>
            <w:tcW w:type="dxa" w:w="2736"/>
            <w:tcMar>
              <w:top w:w="80" w:type="dxa"/>
              <w:start w:w="120" w:type="dxa"/>
              <w:bottom w:w="80" w:type="dxa"/>
              <w:end w:w="120" w:type="dxa"/>
            </w:tcMar>
            <w:vAlign w:val="center"/>
            <w:shd w:fill="F3F6F8"/>
          </w:tcPr>
          <w:p>
            <w:pPr>
              <w:spacing w:after="30"/>
            </w:pPr>
            <w:r>
              <w:rPr>
                <w:sz w:val="14"/>
              </w:rPr>
              <w:t>Managed allowlist; no project auto-approval</w:t>
            </w:r>
          </w:p>
        </w:tc>
      </w:tr>
      <w:tr>
        <w:trPr>
          <w:cantSplit/>
        </w:trPr>
        <w:tc>
          <w:tcPr>
            <w:tcW w:type="dxa" w:w="1872"/>
            <w:tcMar>
              <w:top w:w="80" w:type="dxa"/>
              <w:start w:w="120" w:type="dxa"/>
              <w:bottom w:w="80" w:type="dxa"/>
              <w:end w:w="120" w:type="dxa"/>
            </w:tcMar>
            <w:vAlign w:val="center"/>
          </w:tcPr>
          <w:p>
            <w:pPr>
              <w:spacing w:after="30"/>
            </w:pPr>
            <w:r>
              <w:rPr>
                <w:sz w:val="14"/>
              </w:rPr>
              <w:t>Visible VSIX skills</w:t>
            </w:r>
          </w:p>
        </w:tc>
        <w:tc>
          <w:tcPr>
            <w:tcW w:type="dxa" w:w="2736"/>
            <w:tcMar>
              <w:top w:w="80" w:type="dxa"/>
              <w:start w:w="120" w:type="dxa"/>
              <w:bottom w:w="80" w:type="dxa"/>
              <w:end w:w="120" w:type="dxa"/>
            </w:tcMar>
            <w:vAlign w:val="center"/>
          </w:tcPr>
          <w:p>
            <w:pPr>
              <w:spacing w:after="30"/>
            </w:pPr>
            <w:r>
              <w:rPr>
                <w:sz w:val="14"/>
              </w:rPr>
              <w:t>No SKILL.md in 29 files</w:t>
            </w:r>
          </w:p>
        </w:tc>
        <w:tc>
          <w:tcPr>
            <w:tcW w:type="dxa" w:w="2016"/>
            <w:tcMar>
              <w:top w:w="80" w:type="dxa"/>
              <w:start w:w="120" w:type="dxa"/>
              <w:bottom w:w="80" w:type="dxa"/>
              <w:end w:w="120" w:type="dxa"/>
            </w:tcMar>
            <w:vAlign w:val="center"/>
          </w:tcPr>
          <w:p>
            <w:pPr>
              <w:spacing w:after="30"/>
            </w:pPr>
            <w:r>
              <w:rPr>
                <w:sz w:val="14"/>
              </w:rPr>
              <w:t>Not observed</w:t>
            </w:r>
          </w:p>
        </w:tc>
        <w:tc>
          <w:tcPr>
            <w:tcW w:type="dxa" w:w="2736"/>
            <w:tcMar>
              <w:top w:w="80" w:type="dxa"/>
              <w:start w:w="120" w:type="dxa"/>
              <w:bottom w:w="80" w:type="dxa"/>
              <w:end w:w="120" w:type="dxa"/>
            </w:tcMar>
            <w:vAlign w:val="center"/>
          </w:tcPr>
          <w:p>
            <w:pPr>
              <w:spacing w:after="30"/>
            </w:pPr>
            <w:r>
              <w:rPr>
                <w:sz w:val="14"/>
              </w:rPr>
              <w:t>Do not infer no embedded skills</w:t>
            </w:r>
          </w:p>
        </w:tc>
      </w:tr>
      <w:tr>
        <w:trPr>
          <w:cantSplit/>
        </w:trPr>
        <w:tc>
          <w:tcPr>
            <w:tcW w:type="dxa" w:w="1872"/>
            <w:tcMar>
              <w:top w:w="80" w:type="dxa"/>
              <w:start w:w="120" w:type="dxa"/>
              <w:bottom w:w="80" w:type="dxa"/>
              <w:end w:w="120" w:type="dxa"/>
            </w:tcMar>
            <w:vAlign w:val="center"/>
            <w:shd w:fill="F3F6F8"/>
          </w:tcPr>
          <w:p>
            <w:pPr>
              <w:spacing w:after="30"/>
            </w:pPr>
            <w:r>
              <w:rPr>
                <w:sz w:val="14"/>
              </w:rPr>
              <w:t>Bundled skills/workflows</w:t>
            </w:r>
          </w:p>
        </w:tc>
        <w:tc>
          <w:tcPr>
            <w:tcW w:type="dxa" w:w="2736"/>
            <w:tcMar>
              <w:top w:w="80" w:type="dxa"/>
              <w:start w:w="120" w:type="dxa"/>
              <w:bottom w:w="80" w:type="dxa"/>
              <w:end w:w="120" w:type="dxa"/>
            </w:tcMar>
            <w:vAlign w:val="center"/>
            <w:shd w:fill="F3F6F8"/>
          </w:tcPr>
          <w:p>
            <w:pPr>
              <w:spacing w:after="30"/>
            </w:pPr>
            <w:r>
              <w:rPr>
                <w:sz w:val="14"/>
              </w:rPr>
              <w:t>Schema indicates existence; bytes not enumerated</w:t>
            </w:r>
          </w:p>
        </w:tc>
        <w:tc>
          <w:tcPr>
            <w:tcW w:type="dxa" w:w="2016"/>
            <w:tcMar>
              <w:top w:w="80" w:type="dxa"/>
              <w:start w:w="120" w:type="dxa"/>
              <w:bottom w:w="80" w:type="dxa"/>
              <w:end w:w="120" w:type="dxa"/>
            </w:tcMar>
            <w:vAlign w:val="center"/>
            <w:shd w:fill="F3F6F8"/>
          </w:tcPr>
          <w:p>
            <w:pPr>
              <w:spacing w:after="30"/>
            </w:pPr>
            <w:r>
              <w:rPr>
                <w:sz w:val="14"/>
              </w:rPr>
              <w:t>Unknown</w:t>
            </w:r>
          </w:p>
        </w:tc>
        <w:tc>
          <w:tcPr>
            <w:tcW w:type="dxa" w:w="2736"/>
            <w:tcMar>
              <w:top w:w="80" w:type="dxa"/>
              <w:start w:w="120" w:type="dxa"/>
              <w:bottom w:w="80" w:type="dxa"/>
              <w:end w:w="120" w:type="dxa"/>
            </w:tcMar>
            <w:vAlign w:val="center"/>
            <w:shd w:fill="F3F6F8"/>
          </w:tcPr>
          <w:p>
            <w:pPr>
              <w:spacing w:after="30"/>
            </w:pPr>
            <w:r>
              <w:rPr>
                <w:sz w:val="14"/>
              </w:rPr>
              <w:t>Disable or obtain version-bound inventory</w:t>
            </w:r>
          </w:p>
        </w:tc>
      </w:tr>
      <w:tr>
        <w:trPr>
          <w:cantSplit/>
        </w:trPr>
        <w:tc>
          <w:tcPr>
            <w:tcW w:type="dxa" w:w="1872"/>
            <w:tcMar>
              <w:top w:w="80" w:type="dxa"/>
              <w:start w:w="120" w:type="dxa"/>
              <w:bottom w:w="80" w:type="dxa"/>
              <w:end w:w="120" w:type="dxa"/>
            </w:tcMar>
            <w:vAlign w:val="center"/>
          </w:tcPr>
          <w:p>
            <w:pPr>
              <w:spacing w:after="30"/>
            </w:pPr>
            <w:r>
              <w:rPr>
                <w:sz w:val="14"/>
              </w:rPr>
              <w:t>Optional repository skills</w:t>
            </w:r>
          </w:p>
        </w:tc>
        <w:tc>
          <w:tcPr>
            <w:tcW w:type="dxa" w:w="2736"/>
            <w:tcMar>
              <w:top w:w="80" w:type="dxa"/>
              <w:start w:w="120" w:type="dxa"/>
              <w:bottom w:w="80" w:type="dxa"/>
              <w:end w:w="120" w:type="dxa"/>
            </w:tcMar>
            <w:vAlign w:val="center"/>
          </w:tcPr>
          <w:p>
            <w:pPr>
              <w:spacing w:after="30"/>
            </w:pPr>
            <w:r>
              <w:rPr>
                <w:sz w:val="14"/>
              </w:rPr>
              <w:t>Ten, separately installable</w:t>
            </w:r>
          </w:p>
        </w:tc>
        <w:tc>
          <w:tcPr>
            <w:tcW w:type="dxa" w:w="2016"/>
            <w:tcMar>
              <w:top w:w="80" w:type="dxa"/>
              <w:start w:w="120" w:type="dxa"/>
              <w:bottom w:w="80" w:type="dxa"/>
              <w:end w:w="120" w:type="dxa"/>
            </w:tcMar>
            <w:vAlign w:val="center"/>
          </w:tcPr>
          <w:p>
            <w:pPr>
              <w:spacing w:after="30"/>
            </w:pPr>
            <w:r>
              <w:rPr>
                <w:sz w:val="14"/>
              </w:rPr>
              <w:t>Do not approve by default</w:t>
            </w:r>
          </w:p>
        </w:tc>
        <w:tc>
          <w:tcPr>
            <w:tcW w:type="dxa" w:w="2736"/>
            <w:tcMar>
              <w:top w:w="80" w:type="dxa"/>
              <w:start w:w="120" w:type="dxa"/>
              <w:bottom w:w="80" w:type="dxa"/>
              <w:end w:w="120" w:type="dxa"/>
            </w:tcMar>
            <w:vAlign w:val="center"/>
          </w:tcPr>
          <w:p>
            <w:pPr>
              <w:spacing w:after="30"/>
            </w:pPr>
            <w:r>
              <w:rPr>
                <w:sz w:val="14"/>
              </w:rPr>
              <w:t>Independent transitive assessment and immutable pin</w:t>
            </w:r>
          </w:p>
        </w:tc>
      </w:tr>
    </w:tbl>
    <w:p>
      <w:pPr>
        <w:spacing w:after="40"/>
      </w:pPr>
    </w:p>
    <w:p>
      <w:r>
        <w:t xml:space="preserve">Jupyter execution is documented as requiring a separate native confirmation. That control is valuable but must be observed and does not cover other MCP servers. </w:t>
      </w:r>
      <w:hyperlink w:anchor="REF_003">
        <w:r>
          <w:rPr>
            <w:color w:val="0563C1"/>
            <w:u w:val="single"/>
          </w:rPr>
          <w:t>[REF-003]</w:t>
        </w:r>
      </w:hyperlink>
      <w:r>
        <w:t xml:space="preserve"> </w:t>
      </w:r>
      <w:hyperlink w:anchor="REF_012">
        <w:r>
          <w:rPr>
            <w:color w:val="0563C1"/>
            <w:u w:val="single"/>
          </w:rPr>
          <w:t>[REF-012]</w:t>
        </w:r>
      </w:hyperlink>
      <w:r>
        <w:t xml:space="preserve"> </w:t>
      </w:r>
      <w:hyperlink w:anchor="REF_026">
        <w:r>
          <w:rPr>
            <w:color w:val="0563C1"/>
            <w:u w:val="single"/>
          </w:rPr>
          <w:t>[REF-026]</w:t>
        </w:r>
      </w:hyperlink>
    </w:p>
    <w:p>
      <w:pPr>
        <w:pStyle w:val="Heading2"/>
      </w:pPr>
      <w:r>
        <w:t>VS Code Supply Chain and Dependencies</w:t>
      </w:r>
    </w:p>
    <w:p>
      <w:r>
        <w:t>The exact VSIX hash matches Marketplace metadata and the main native executable is Anthropic Developer-ID signed. The audio module is ad-hoc signed. The repository is official but does not provide complete product source/build correspondence, and no vendor SBOM was observed. The SBOM-style inventory therefore cannot establish full component or CVE coverage.</w:t>
      </w:r>
    </w:p>
    <w:tbl>
      <w:tblPr>
        <w:tblStyle w:val="TableGrid"/>
        <w:tblW w:type="auto" w:w="0"/>
        <w:jc w:val="center"/>
        <w:tblLayout w:type="fixed"/>
        <w:tblLook w:firstColumn="1" w:firstRow="1" w:lastColumn="0" w:lastRow="0" w:noHBand="0" w:noVBand="1" w:val="04A0"/>
      </w:tblPr>
      <w:tblGrid>
        <w:gridCol w:w="2016"/>
        <w:gridCol w:w="3456"/>
        <w:gridCol w:w="3888"/>
      </w:tblGrid>
      <w:tr>
        <w:trPr>
          <w:tblHeader/>
        </w:trPr>
        <w:tc>
          <w:tcPr>
            <w:tcW w:type="dxa" w:w="2016"/>
            <w:shd w:fill="17365D"/>
            <w:tcMar>
              <w:top w:w="80" w:type="dxa"/>
              <w:start w:w="120" w:type="dxa"/>
              <w:bottom w:w="80" w:type="dxa"/>
              <w:end w:w="120" w:type="dxa"/>
            </w:tcMar>
            <w:vAlign w:val="center"/>
          </w:tcPr>
          <w:p>
            <w:r>
              <w:rPr>
                <w:b/>
                <w:color w:val="FFFFFF"/>
                <w:sz w:val="14"/>
              </w:rPr>
              <w:t>Check</w:t>
            </w:r>
          </w:p>
        </w:tc>
        <w:tc>
          <w:tcPr>
            <w:tcW w:type="dxa" w:w="3456"/>
            <w:shd w:fill="17365D"/>
            <w:tcMar>
              <w:top w:w="80" w:type="dxa"/>
              <w:start w:w="120" w:type="dxa"/>
              <w:bottom w:w="80" w:type="dxa"/>
              <w:end w:w="120" w:type="dxa"/>
            </w:tcMar>
            <w:vAlign w:val="center"/>
          </w:tcPr>
          <w:p>
            <w:r>
              <w:rPr>
                <w:b/>
                <w:color w:val="FFFFFF"/>
                <w:sz w:val="14"/>
              </w:rPr>
              <w:t>Result</w:t>
            </w:r>
          </w:p>
        </w:tc>
        <w:tc>
          <w:tcPr>
            <w:tcW w:type="dxa" w:w="3888"/>
            <w:shd w:fill="17365D"/>
            <w:tcMar>
              <w:top w:w="80" w:type="dxa"/>
              <w:start w:w="120" w:type="dxa"/>
              <w:bottom w:w="80" w:type="dxa"/>
              <w:end w:w="120" w:type="dxa"/>
            </w:tcMar>
            <w:vAlign w:val="center"/>
          </w:tcPr>
          <w:p>
            <w:r>
              <w:rPr>
                <w:b/>
                <w:color w:val="FFFFFF"/>
                <w:sz w:val="14"/>
              </w:rPr>
              <w:t>Disposition</w:t>
            </w:r>
          </w:p>
        </w:tc>
      </w:tr>
      <w:tr>
        <w:trPr>
          <w:cantSplit/>
        </w:trPr>
        <w:tc>
          <w:tcPr>
            <w:tcW w:type="dxa" w:w="2016"/>
            <w:tcMar>
              <w:top w:w="80" w:type="dxa"/>
              <w:start w:w="120" w:type="dxa"/>
              <w:bottom w:w="80" w:type="dxa"/>
              <w:end w:w="120" w:type="dxa"/>
            </w:tcMar>
            <w:vAlign w:val="center"/>
          </w:tcPr>
          <w:p>
            <w:pPr>
              <w:spacing w:after="30"/>
            </w:pPr>
            <w:r>
              <w:rPr>
                <w:sz w:val="14"/>
              </w:rPr>
              <w:t>Archive safety</w:t>
            </w:r>
          </w:p>
        </w:tc>
        <w:tc>
          <w:tcPr>
            <w:tcW w:type="dxa" w:w="3456"/>
            <w:tcMar>
              <w:top w:w="80" w:type="dxa"/>
              <w:start w:w="120" w:type="dxa"/>
              <w:bottom w:w="80" w:type="dxa"/>
              <w:end w:w="120" w:type="dxa"/>
            </w:tcMar>
            <w:vAlign w:val="center"/>
          </w:tcPr>
          <w:p>
            <w:pPr>
              <w:spacing w:after="30"/>
            </w:pPr>
            <w:r>
              <w:rPr>
                <w:sz w:val="14"/>
              </w:rPr>
              <w:t>No traversal, absolute paths, links or special members</w:t>
            </w:r>
          </w:p>
        </w:tc>
        <w:tc>
          <w:tcPr>
            <w:tcW w:type="dxa" w:w="3888"/>
            <w:tcMar>
              <w:top w:w="80" w:type="dxa"/>
              <w:start w:w="120" w:type="dxa"/>
              <w:bottom w:w="80" w:type="dxa"/>
              <w:end w:w="120" w:type="dxa"/>
            </w:tcMar>
            <w:vAlign w:val="center"/>
          </w:tcPr>
          <w:p>
            <w:pPr>
              <w:spacing w:after="30"/>
            </w:pPr>
            <w:r>
              <w:rPr>
                <w:sz w:val="14"/>
              </w:rPr>
              <w:t>Verified positive evidence</w:t>
            </w:r>
          </w:p>
        </w:tc>
      </w:tr>
      <w:tr>
        <w:trPr>
          <w:cantSplit/>
        </w:trPr>
        <w:tc>
          <w:tcPr>
            <w:tcW w:type="dxa" w:w="2016"/>
            <w:tcMar>
              <w:top w:w="80" w:type="dxa"/>
              <w:start w:w="120" w:type="dxa"/>
              <w:bottom w:w="80" w:type="dxa"/>
              <w:end w:w="120" w:type="dxa"/>
            </w:tcMar>
            <w:vAlign w:val="center"/>
            <w:shd w:fill="F3F6F8"/>
          </w:tcPr>
          <w:p>
            <w:pPr>
              <w:spacing w:after="30"/>
            </w:pPr>
            <w:r>
              <w:rPr>
                <w:sz w:val="14"/>
              </w:rPr>
              <w:t>ClamAV</w:t>
            </w:r>
          </w:p>
        </w:tc>
        <w:tc>
          <w:tcPr>
            <w:tcW w:type="dxa" w:w="3456"/>
            <w:tcMar>
              <w:top w:w="80" w:type="dxa"/>
              <w:start w:w="120" w:type="dxa"/>
              <w:bottom w:w="80" w:type="dxa"/>
              <w:end w:w="120" w:type="dxa"/>
            </w:tcMar>
            <w:vAlign w:val="center"/>
            <w:shd w:fill="F3F6F8"/>
          </w:tcPr>
          <w:p>
            <w:pPr>
              <w:spacing w:after="30"/>
            </w:pPr>
            <w:r>
              <w:rPr>
                <w:sz w:val="14"/>
              </w:rPr>
              <w:t>0 infections / 256 files</w:t>
            </w:r>
          </w:p>
        </w:tc>
        <w:tc>
          <w:tcPr>
            <w:tcW w:type="dxa" w:w="3888"/>
            <w:tcMar>
              <w:top w:w="80" w:type="dxa"/>
              <w:start w:w="120" w:type="dxa"/>
              <w:bottom w:w="80" w:type="dxa"/>
              <w:end w:w="120" w:type="dxa"/>
            </w:tcMar>
            <w:vAlign w:val="center"/>
            <w:shd w:fill="F3F6F8"/>
          </w:tcPr>
          <w:p>
            <w:pPr>
              <w:spacing w:after="30"/>
            </w:pPr>
            <w:r>
              <w:rPr>
                <w:sz w:val="14"/>
              </w:rPr>
              <w:t>Benign-appearing; not proof</w:t>
            </w:r>
          </w:p>
        </w:tc>
      </w:tr>
      <w:tr>
        <w:trPr>
          <w:cantSplit/>
        </w:trPr>
        <w:tc>
          <w:tcPr>
            <w:tcW w:type="dxa" w:w="2016"/>
            <w:tcMar>
              <w:top w:w="80" w:type="dxa"/>
              <w:start w:w="120" w:type="dxa"/>
              <w:bottom w:w="80" w:type="dxa"/>
              <w:end w:w="120" w:type="dxa"/>
            </w:tcMar>
            <w:vAlign w:val="center"/>
          </w:tcPr>
          <w:p>
            <w:pPr>
              <w:spacing w:after="30"/>
            </w:pPr>
            <w:r>
              <w:rPr>
                <w:sz w:val="14"/>
              </w:rPr>
              <w:t>YARA</w:t>
            </w:r>
          </w:p>
        </w:tc>
        <w:tc>
          <w:tcPr>
            <w:tcW w:type="dxa" w:w="3456"/>
            <w:tcMar>
              <w:top w:w="80" w:type="dxa"/>
              <w:start w:w="120" w:type="dxa"/>
              <w:bottom w:w="80" w:type="dxa"/>
              <w:end w:w="120" w:type="dxa"/>
            </w:tcMar>
            <w:vAlign w:val="center"/>
          </w:tcPr>
          <w:p>
            <w:pPr>
              <w:spacing w:after="30"/>
            </w:pPr>
            <w:r>
              <w:rPr>
                <w:sz w:val="14"/>
              </w:rPr>
              <w:t>Expected agentic vocabulary matches</w:t>
            </w:r>
          </w:p>
        </w:tc>
        <w:tc>
          <w:tcPr>
            <w:tcW w:type="dxa" w:w="3888"/>
            <w:tcMar>
              <w:top w:w="80" w:type="dxa"/>
              <w:start w:w="120" w:type="dxa"/>
              <w:bottom w:w="80" w:type="dxa"/>
              <w:end w:w="120" w:type="dxa"/>
            </w:tcMar>
            <w:vAlign w:val="center"/>
          </w:tcPr>
          <w:p>
            <w:pPr>
              <w:spacing w:after="30"/>
            </w:pPr>
            <w:r>
              <w:rPr>
                <w:sz w:val="14"/>
              </w:rPr>
              <w:t>Manually triaged; no malware verdict</w:t>
            </w:r>
          </w:p>
        </w:tc>
      </w:tr>
      <w:tr>
        <w:trPr>
          <w:cantSplit/>
        </w:trPr>
        <w:tc>
          <w:tcPr>
            <w:tcW w:type="dxa" w:w="2016"/>
            <w:tcMar>
              <w:top w:w="80" w:type="dxa"/>
              <w:start w:w="120" w:type="dxa"/>
              <w:bottom w:w="80" w:type="dxa"/>
              <w:end w:w="120" w:type="dxa"/>
            </w:tcMar>
            <w:vAlign w:val="center"/>
            <w:shd w:fill="F3F6F8"/>
          </w:tcPr>
          <w:p>
            <w:pPr>
              <w:spacing w:after="30"/>
            </w:pPr>
            <w:r>
              <w:rPr>
                <w:sz w:val="14"/>
              </w:rPr>
              <w:t>Semgrep</w:t>
            </w:r>
          </w:p>
        </w:tc>
        <w:tc>
          <w:tcPr>
            <w:tcW w:type="dxa" w:w="3456"/>
            <w:tcMar>
              <w:top w:w="80" w:type="dxa"/>
              <w:start w:w="120" w:type="dxa"/>
              <w:bottom w:w="80" w:type="dxa"/>
              <w:end w:w="120" w:type="dxa"/>
            </w:tcMar>
            <w:vAlign w:val="center"/>
            <w:shd w:fill="F3F6F8"/>
          </w:tcPr>
          <w:p>
            <w:pPr>
              <w:spacing w:after="30"/>
            </w:pPr>
            <w:r>
              <w:rPr>
                <w:sz w:val="14"/>
              </w:rPr>
              <w:t>21 repository/example warnings; four large files skipped</w:t>
            </w:r>
          </w:p>
        </w:tc>
        <w:tc>
          <w:tcPr>
            <w:tcW w:type="dxa" w:w="3888"/>
            <w:tcMar>
              <w:top w:w="80" w:type="dxa"/>
              <w:start w:w="120" w:type="dxa"/>
              <w:bottom w:w="80" w:type="dxa"/>
              <w:end w:w="120" w:type="dxa"/>
            </w:tcMar>
            <w:vAlign w:val="center"/>
            <w:shd w:fill="F3F6F8"/>
          </w:tcPr>
          <w:p>
            <w:pPr>
              <w:spacing w:after="30"/>
            </w:pPr>
            <w:r>
              <w:rPr>
                <w:sz w:val="14"/>
              </w:rPr>
              <w:t>No confirmed shipped-extension flaw; incomplete</w:t>
            </w:r>
          </w:p>
        </w:tc>
      </w:tr>
      <w:tr>
        <w:trPr>
          <w:cantSplit/>
        </w:trPr>
        <w:tc>
          <w:tcPr>
            <w:tcW w:type="dxa" w:w="2016"/>
            <w:tcMar>
              <w:top w:w="80" w:type="dxa"/>
              <w:start w:w="120" w:type="dxa"/>
              <w:bottom w:w="80" w:type="dxa"/>
              <w:end w:w="120" w:type="dxa"/>
            </w:tcMar>
            <w:vAlign w:val="center"/>
          </w:tcPr>
          <w:p>
            <w:pPr>
              <w:spacing w:after="30"/>
            </w:pPr>
            <w:r>
              <w:rPr>
                <w:sz w:val="14"/>
              </w:rPr>
              <w:t>Syft/Trivy/Grype/OSV</w:t>
            </w:r>
          </w:p>
        </w:tc>
        <w:tc>
          <w:tcPr>
            <w:tcW w:type="dxa" w:w="3456"/>
            <w:tcMar>
              <w:top w:w="80" w:type="dxa"/>
              <w:start w:w="120" w:type="dxa"/>
              <w:bottom w:w="80" w:type="dxa"/>
              <w:end w:w="120" w:type="dxa"/>
            </w:tcMar>
            <w:vAlign w:val="center"/>
          </w:tcPr>
          <w:p>
            <w:pPr>
              <w:spacing w:after="30"/>
            </w:pPr>
            <w:r>
              <w:rPr>
                <w:sz w:val="14"/>
              </w:rPr>
              <w:t>No recognised package components</w:t>
            </w:r>
          </w:p>
        </w:tc>
        <w:tc>
          <w:tcPr>
            <w:tcW w:type="dxa" w:w="3888"/>
            <w:tcMar>
              <w:top w:w="80" w:type="dxa"/>
              <w:start w:w="120" w:type="dxa"/>
              <w:bottom w:w="80" w:type="dxa"/>
              <w:end w:w="120" w:type="dxa"/>
            </w:tcMar>
            <w:vAlign w:val="center"/>
          </w:tcPr>
          <w:p>
            <w:pPr>
              <w:spacing w:after="30"/>
            </w:pPr>
            <w:r>
              <w:rPr>
                <w:sz w:val="14"/>
              </w:rPr>
              <w:t>Visibility gap, not zero dependencies</w:t>
            </w:r>
          </w:p>
        </w:tc>
      </w:tr>
      <w:tr>
        <w:trPr>
          <w:cantSplit/>
        </w:trPr>
        <w:tc>
          <w:tcPr>
            <w:tcW w:type="dxa" w:w="2016"/>
            <w:tcMar>
              <w:top w:w="80" w:type="dxa"/>
              <w:start w:w="120" w:type="dxa"/>
              <w:bottom w:w="80" w:type="dxa"/>
              <w:end w:w="120" w:type="dxa"/>
            </w:tcMar>
            <w:vAlign w:val="center"/>
            <w:shd w:fill="F3F6F8"/>
          </w:tcPr>
          <w:p>
            <w:pPr>
              <w:spacing w:after="30"/>
            </w:pPr>
            <w:r>
              <w:rPr>
                <w:sz w:val="14"/>
              </w:rPr>
              <w:t>Published advisories</w:t>
            </w:r>
          </w:p>
        </w:tc>
        <w:tc>
          <w:tcPr>
            <w:tcW w:type="dxa" w:w="3456"/>
            <w:tcMar>
              <w:top w:w="80" w:type="dxa"/>
              <w:start w:w="120" w:type="dxa"/>
              <w:bottom w:w="80" w:type="dxa"/>
              <w:end w:w="120" w:type="dxa"/>
            </w:tcMar>
            <w:vAlign w:val="center"/>
            <w:shd w:fill="F3F6F8"/>
          </w:tcPr>
          <w:p>
            <w:pPr>
              <w:spacing w:after="30"/>
            </w:pPr>
            <w:r>
              <w:rPr>
                <w:sz w:val="14"/>
              </w:rPr>
              <w:t>2.1.220 above all observed applicable fix thresholds</w:t>
            </w:r>
          </w:p>
        </w:tc>
        <w:tc>
          <w:tcPr>
            <w:tcW w:type="dxa" w:w="3888"/>
            <w:tcMar>
              <w:top w:w="80" w:type="dxa"/>
              <w:start w:w="120" w:type="dxa"/>
              <w:bottom w:w="80" w:type="dxa"/>
              <w:end w:w="120" w:type="dxa"/>
            </w:tcMar>
            <w:vAlign w:val="center"/>
            <w:shd w:fill="F3F6F8"/>
          </w:tcPr>
          <w:p>
            <w:pPr>
              <w:spacing w:after="30"/>
            </w:pPr>
            <w:r>
              <w:rPr>
                <w:sz w:val="14"/>
              </w:rPr>
              <w:t>Current known ranges patched; monitor continuously</w:t>
            </w:r>
          </w:p>
        </w:tc>
      </w:tr>
    </w:tbl>
    <w:p>
      <w:pPr>
        <w:spacing w:after="40"/>
      </w:pPr>
    </w:p>
    <w:p>
      <w:pPr>
        <w:pStyle w:val="Heading2"/>
      </w:pPr>
      <w:r>
        <w:t>VS Code Threat Scenarios and Findings</w:t>
      </w:r>
    </w:p>
    <w:p>
      <w:r>
        <w:t>The principal scenarios are hostile workspace instructions steering tools; bypass/accept-edits and permission fatigue; secret or personal-data disclosure through prompts/tools/feedback; malicious or drifted MCP/plugin/skill/hook artefacts; sandbox degradation; update compromise; and opaque-component vulnerabilities. Detailed records appear in the consolidated findings.</w:t>
      </w:r>
    </w:p>
    <w:p>
      <w:pPr>
        <w:pStyle w:val="Heading2"/>
      </w:pPr>
      <w:r>
        <w:t>VS Code Framework Disposition</w:t>
      </w:r>
    </w:p>
    <w:tbl>
      <w:tblPr>
        <w:tblStyle w:val="TableGrid"/>
        <w:tblW w:type="auto" w:w="0"/>
        <w:jc w:val="center"/>
        <w:tblLayout w:type="fixed"/>
        <w:tblLook w:firstColumn="1" w:firstRow="1" w:lastColumn="0" w:lastRow="0" w:noHBand="0" w:noVBand="1" w:val="04A0"/>
      </w:tblPr>
      <w:tblGrid>
        <w:gridCol w:w="1800"/>
        <w:gridCol w:w="1512"/>
        <w:gridCol w:w="1512"/>
        <w:gridCol w:w="4536"/>
      </w:tblGrid>
      <w:tr>
        <w:trPr>
          <w:tblHeader/>
        </w:trPr>
        <w:tc>
          <w:tcPr>
            <w:tcW w:type="dxa" w:w="1800"/>
            <w:shd w:fill="17365D"/>
            <w:tcMar>
              <w:top w:w="80" w:type="dxa"/>
              <w:start w:w="120" w:type="dxa"/>
              <w:bottom w:w="80" w:type="dxa"/>
              <w:end w:w="120" w:type="dxa"/>
            </w:tcMar>
            <w:vAlign w:val="center"/>
          </w:tcPr>
          <w:p>
            <w:r>
              <w:rPr>
                <w:b/>
                <w:color w:val="FFFFFF"/>
                <w:sz w:val="13"/>
              </w:rPr>
              <w:t>Framework</w:t>
            </w:r>
          </w:p>
        </w:tc>
        <w:tc>
          <w:tcPr>
            <w:tcW w:type="dxa" w:w="1512"/>
            <w:shd w:fill="17365D"/>
            <w:tcMar>
              <w:top w:w="80" w:type="dxa"/>
              <w:start w:w="120" w:type="dxa"/>
              <w:bottom w:w="80" w:type="dxa"/>
              <w:end w:w="120" w:type="dxa"/>
            </w:tcMar>
            <w:vAlign w:val="center"/>
          </w:tcPr>
          <w:p>
            <w:r>
              <w:rPr>
                <w:b/>
                <w:color w:val="FFFFFF"/>
                <w:sz w:val="13"/>
              </w:rPr>
              <w:t>Edition/status</w:t>
            </w:r>
          </w:p>
        </w:tc>
        <w:tc>
          <w:tcPr>
            <w:tcW w:type="dxa" w:w="1512"/>
            <w:shd w:fill="17365D"/>
            <w:tcMar>
              <w:top w:w="80" w:type="dxa"/>
              <w:start w:w="120" w:type="dxa"/>
              <w:bottom w:w="80" w:type="dxa"/>
              <w:end w:w="120" w:type="dxa"/>
            </w:tcMar>
            <w:vAlign w:val="center"/>
          </w:tcPr>
          <w:p>
            <w:r>
              <w:rPr>
                <w:b/>
                <w:color w:val="FFFFFF"/>
                <w:sz w:val="13"/>
              </w:rPr>
              <w:t>Disposition</w:t>
            </w:r>
          </w:p>
        </w:tc>
        <w:tc>
          <w:tcPr>
            <w:tcW w:type="dxa" w:w="4536"/>
            <w:shd w:fill="17365D"/>
            <w:tcMar>
              <w:top w:w="80" w:type="dxa"/>
              <w:start w:w="120" w:type="dxa"/>
              <w:bottom w:w="80" w:type="dxa"/>
              <w:end w:w="120" w:type="dxa"/>
            </w:tcMar>
            <w:vAlign w:val="center"/>
          </w:tcPr>
          <w:p>
            <w:r>
              <w:rPr>
                <w:b/>
                <w:color w:val="FFFFFF"/>
                <w:sz w:val="13"/>
              </w:rPr>
              <w:t>Application</w:t>
            </w:r>
          </w:p>
        </w:tc>
      </w:tr>
      <w:tr>
        <w:trPr>
          <w:cantSplit/>
        </w:trPr>
        <w:tc>
          <w:tcPr>
            <w:tcW w:type="dxa" w:w="1800"/>
            <w:tcMar>
              <w:top w:w="80" w:type="dxa"/>
              <w:start w:w="120" w:type="dxa"/>
              <w:bottom w:w="80" w:type="dxa"/>
              <w:end w:w="120" w:type="dxa"/>
            </w:tcMar>
            <w:vAlign w:val="center"/>
          </w:tcPr>
          <w:p>
            <w:pPr>
              <w:spacing w:after="30"/>
            </w:pPr>
            <w:r>
              <w:rPr>
                <w:sz w:val="13"/>
              </w:rPr>
              <w:t>OWASP LLM Top 10</w:t>
            </w:r>
          </w:p>
        </w:tc>
        <w:tc>
          <w:tcPr>
            <w:tcW w:type="dxa" w:w="1512"/>
            <w:tcMar>
              <w:top w:w="80" w:type="dxa"/>
              <w:start w:w="120" w:type="dxa"/>
              <w:bottom w:w="80" w:type="dxa"/>
              <w:end w:w="120" w:type="dxa"/>
            </w:tcMar>
            <w:vAlign w:val="center"/>
          </w:tcPr>
          <w:p>
            <w:pPr>
              <w:spacing w:after="30"/>
            </w:pPr>
            <w:r>
              <w:rPr>
                <w:sz w:val="13"/>
              </w:rPr>
              <w:t>Current project materials</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Prompt injection, disclosure, supply chain, output handling, excessive agency and consumption.</w:t>
            </w:r>
          </w:p>
        </w:tc>
      </w:tr>
      <w:tr>
        <w:trPr>
          <w:cantSplit/>
        </w:trPr>
        <w:tc>
          <w:tcPr>
            <w:tcW w:type="dxa" w:w="1800"/>
            <w:tcMar>
              <w:top w:w="80" w:type="dxa"/>
              <w:start w:w="120" w:type="dxa"/>
              <w:bottom w:w="80" w:type="dxa"/>
              <w:end w:w="120" w:type="dxa"/>
            </w:tcMar>
            <w:vAlign w:val="center"/>
            <w:shd w:fill="F3F6F8"/>
          </w:tcPr>
          <w:p>
            <w:pPr>
              <w:spacing w:after="30"/>
            </w:pPr>
            <w:r>
              <w:rPr>
                <w:sz w:val="13"/>
              </w:rPr>
              <w:t>OWASP Agentic AI</w:t>
            </w:r>
          </w:p>
        </w:tc>
        <w:tc>
          <w:tcPr>
            <w:tcW w:type="dxa" w:w="1512"/>
            <w:tcMar>
              <w:top w:w="80" w:type="dxa"/>
              <w:start w:w="120" w:type="dxa"/>
              <w:bottom w:w="80" w:type="dxa"/>
              <w:end w:w="120" w:type="dxa"/>
            </w:tcMar>
            <w:vAlign w:val="center"/>
            <w:shd w:fill="F3F6F8"/>
          </w:tcPr>
          <w:p>
            <w:pPr>
              <w:spacing w:after="30"/>
            </w:pPr>
            <w:r>
              <w:rPr>
                <w:sz w:val="13"/>
              </w:rPr>
              <w:t>Current threats/mitigations</w:t>
            </w:r>
          </w:p>
        </w:tc>
        <w:tc>
          <w:tcPr>
            <w:tcW w:type="dxa" w:w="1512"/>
            <w:tcMar>
              <w:top w:w="80" w:type="dxa"/>
              <w:start w:w="120" w:type="dxa"/>
              <w:bottom w:w="80" w:type="dxa"/>
              <w:end w:w="120" w:type="dxa"/>
            </w:tcMar>
            <w:vAlign w:val="center"/>
            <w:shd w:fill="F3F6F8"/>
          </w:tcPr>
          <w:p>
            <w:pPr>
              <w:spacing w:after="30"/>
            </w:pPr>
            <w:r>
              <w:rPr>
                <w:sz w:val="13"/>
              </w:rPr>
              <w:t>Applicable</w:t>
            </w:r>
          </w:p>
        </w:tc>
        <w:tc>
          <w:tcPr>
            <w:tcW w:type="dxa" w:w="4536"/>
            <w:tcMar>
              <w:top w:w="80" w:type="dxa"/>
              <w:start w:w="120" w:type="dxa"/>
              <w:bottom w:w="80" w:type="dxa"/>
              <w:end w:w="120" w:type="dxa"/>
            </w:tcMar>
            <w:vAlign w:val="center"/>
            <w:shd w:fill="F3F6F8"/>
          </w:tcPr>
          <w:p>
            <w:pPr>
              <w:spacing w:after="30"/>
            </w:pPr>
            <w:r>
              <w:rPr>
                <w:sz w:val="13"/>
              </w:rPr>
              <w:t>Goal hijack, tool misuse, privilege, identity, memory and cascading behavior.</w:t>
            </w:r>
          </w:p>
        </w:tc>
      </w:tr>
      <w:tr>
        <w:trPr>
          <w:cantSplit/>
        </w:trPr>
        <w:tc>
          <w:tcPr>
            <w:tcW w:type="dxa" w:w="1800"/>
            <w:tcMar>
              <w:top w:w="80" w:type="dxa"/>
              <w:start w:w="120" w:type="dxa"/>
              <w:bottom w:w="80" w:type="dxa"/>
              <w:end w:w="120" w:type="dxa"/>
            </w:tcMar>
            <w:vAlign w:val="center"/>
          </w:tcPr>
          <w:p>
            <w:pPr>
              <w:spacing w:after="30"/>
            </w:pPr>
            <w:r>
              <w:rPr>
                <w:sz w:val="13"/>
              </w:rPr>
              <w:t>OWASP MCP</w:t>
            </w:r>
          </w:p>
        </w:tc>
        <w:tc>
          <w:tcPr>
            <w:tcW w:type="dxa" w:w="1512"/>
            <w:tcMar>
              <w:top w:w="80" w:type="dxa"/>
              <w:start w:w="120" w:type="dxa"/>
              <w:bottom w:w="80" w:type="dxa"/>
              <w:end w:w="120" w:type="dxa"/>
            </w:tcMar>
            <w:vAlign w:val="center"/>
          </w:tcPr>
          <w:p>
            <w:pPr>
              <w:spacing w:after="30"/>
            </w:pPr>
            <w:r>
              <w:rPr>
                <w:sz w:val="13"/>
              </w:rPr>
              <w:t>Current evolving guidance</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MCP host/server/tool schema, consent, auth, output and cross-server boundaries.</w:t>
            </w:r>
          </w:p>
        </w:tc>
      </w:tr>
      <w:tr>
        <w:trPr>
          <w:cantSplit/>
        </w:trPr>
        <w:tc>
          <w:tcPr>
            <w:tcW w:type="dxa" w:w="1800"/>
            <w:tcMar>
              <w:top w:w="80" w:type="dxa"/>
              <w:start w:w="120" w:type="dxa"/>
              <w:bottom w:w="80" w:type="dxa"/>
              <w:end w:w="120" w:type="dxa"/>
            </w:tcMar>
            <w:vAlign w:val="center"/>
            <w:shd w:fill="F3F6F8"/>
          </w:tcPr>
          <w:p>
            <w:pPr>
              <w:spacing w:after="30"/>
            </w:pPr>
            <w:r>
              <w:rPr>
                <w:sz w:val="13"/>
              </w:rPr>
              <w:t>MITRE ATLAS</w:t>
            </w:r>
          </w:p>
        </w:tc>
        <w:tc>
          <w:tcPr>
            <w:tcW w:type="dxa" w:w="1512"/>
            <w:tcMar>
              <w:top w:w="80" w:type="dxa"/>
              <w:start w:w="120" w:type="dxa"/>
              <w:bottom w:w="80" w:type="dxa"/>
              <w:end w:w="120" w:type="dxa"/>
            </w:tcMar>
            <w:vAlign w:val="center"/>
            <w:shd w:fill="F3F6F8"/>
          </w:tcPr>
          <w:p>
            <w:pPr>
              <w:spacing w:after="30"/>
            </w:pPr>
            <w:r>
              <w:rPr>
                <w:sz w:val="13"/>
              </w:rPr>
              <w:t>Living knowledge base</w:t>
            </w:r>
          </w:p>
        </w:tc>
        <w:tc>
          <w:tcPr>
            <w:tcW w:type="dxa" w:w="1512"/>
            <w:tcMar>
              <w:top w:w="80" w:type="dxa"/>
              <w:start w:w="120" w:type="dxa"/>
              <w:bottom w:w="80" w:type="dxa"/>
              <w:end w:w="120" w:type="dxa"/>
            </w:tcMar>
            <w:vAlign w:val="center"/>
            <w:shd w:fill="F3F6F8"/>
          </w:tcPr>
          <w:p>
            <w:pPr>
              <w:spacing w:after="30"/>
            </w:pPr>
            <w:r>
              <w:rPr>
                <w:sz w:val="13"/>
              </w:rPr>
              <w:t>Applicable</w:t>
            </w:r>
          </w:p>
        </w:tc>
        <w:tc>
          <w:tcPr>
            <w:tcW w:type="dxa" w:w="4536"/>
            <w:tcMar>
              <w:top w:w="80" w:type="dxa"/>
              <w:start w:w="120" w:type="dxa"/>
              <w:bottom w:w="80" w:type="dxa"/>
              <w:end w:w="120" w:type="dxa"/>
            </w:tcMar>
            <w:vAlign w:val="center"/>
            <w:shd w:fill="F3F6F8"/>
          </w:tcPr>
          <w:p>
            <w:pPr>
              <w:spacing w:after="30"/>
            </w:pPr>
            <w:r>
              <w:rPr>
                <w:sz w:val="13"/>
              </w:rPr>
              <w:t>Prompt injection, context poisoning, tool invocation and exfiltration.</w:t>
            </w:r>
          </w:p>
        </w:tc>
      </w:tr>
      <w:tr>
        <w:trPr>
          <w:cantSplit/>
        </w:trPr>
        <w:tc>
          <w:tcPr>
            <w:tcW w:type="dxa" w:w="1800"/>
            <w:tcMar>
              <w:top w:w="80" w:type="dxa"/>
              <w:start w:w="120" w:type="dxa"/>
              <w:bottom w:w="80" w:type="dxa"/>
              <w:end w:w="120" w:type="dxa"/>
            </w:tcMar>
            <w:vAlign w:val="center"/>
          </w:tcPr>
          <w:p>
            <w:pPr>
              <w:spacing w:after="30"/>
            </w:pPr>
            <w:r>
              <w:rPr>
                <w:sz w:val="13"/>
              </w:rPr>
              <w:t>NIST AI RMF</w:t>
            </w:r>
          </w:p>
        </w:tc>
        <w:tc>
          <w:tcPr>
            <w:tcW w:type="dxa" w:w="1512"/>
            <w:tcMar>
              <w:top w:w="80" w:type="dxa"/>
              <w:start w:w="120" w:type="dxa"/>
              <w:bottom w:w="80" w:type="dxa"/>
              <w:end w:w="120" w:type="dxa"/>
            </w:tcMar>
            <w:vAlign w:val="center"/>
          </w:tcPr>
          <w:p>
            <w:pPr>
              <w:spacing w:after="30"/>
            </w:pPr>
            <w:r>
              <w:rPr>
                <w:sz w:val="13"/>
              </w:rPr>
              <w:t>1.0</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GOVERN, MAP, MEASURE and MANAGE approval lifecycle.</w:t>
            </w:r>
          </w:p>
        </w:tc>
      </w:tr>
      <w:tr>
        <w:trPr>
          <w:cantSplit/>
        </w:trPr>
        <w:tc>
          <w:tcPr>
            <w:tcW w:type="dxa" w:w="1800"/>
            <w:tcMar>
              <w:top w:w="80" w:type="dxa"/>
              <w:start w:w="120" w:type="dxa"/>
              <w:bottom w:w="80" w:type="dxa"/>
              <w:end w:w="120" w:type="dxa"/>
            </w:tcMar>
            <w:vAlign w:val="center"/>
            <w:shd w:fill="F3F6F8"/>
          </w:tcPr>
          <w:p>
            <w:pPr>
              <w:spacing w:after="30"/>
            </w:pPr>
            <w:r>
              <w:rPr>
                <w:sz w:val="13"/>
              </w:rPr>
              <w:t>NIST AI 600-1</w:t>
            </w:r>
          </w:p>
        </w:tc>
        <w:tc>
          <w:tcPr>
            <w:tcW w:type="dxa" w:w="1512"/>
            <w:tcMar>
              <w:top w:w="80" w:type="dxa"/>
              <w:start w:w="120" w:type="dxa"/>
              <w:bottom w:w="80" w:type="dxa"/>
              <w:end w:w="120" w:type="dxa"/>
            </w:tcMar>
            <w:vAlign w:val="center"/>
            <w:shd w:fill="F3F6F8"/>
          </w:tcPr>
          <w:p>
            <w:pPr>
              <w:spacing w:after="30"/>
            </w:pPr>
            <w:r>
              <w:rPr>
                <w:sz w:val="13"/>
              </w:rPr>
              <w:t>2024</w:t>
            </w:r>
          </w:p>
        </w:tc>
        <w:tc>
          <w:tcPr>
            <w:tcW w:type="dxa" w:w="1512"/>
            <w:tcMar>
              <w:top w:w="80" w:type="dxa"/>
              <w:start w:w="120" w:type="dxa"/>
              <w:bottom w:w="80" w:type="dxa"/>
              <w:end w:w="120" w:type="dxa"/>
            </w:tcMar>
            <w:vAlign w:val="center"/>
            <w:shd w:fill="F3F6F8"/>
          </w:tcPr>
          <w:p>
            <w:pPr>
              <w:spacing w:after="30"/>
            </w:pPr>
            <w:r>
              <w:rPr>
                <w:sz w:val="13"/>
              </w:rPr>
              <w:t>Applicable</w:t>
            </w:r>
          </w:p>
        </w:tc>
        <w:tc>
          <w:tcPr>
            <w:tcW w:type="dxa" w:w="4536"/>
            <w:tcMar>
              <w:top w:w="80" w:type="dxa"/>
              <w:start w:w="120" w:type="dxa"/>
              <w:bottom w:w="80" w:type="dxa"/>
              <w:end w:w="120" w:type="dxa"/>
            </w:tcMar>
            <w:vAlign w:val="center"/>
            <w:shd w:fill="F3F6F8"/>
          </w:tcPr>
          <w:p>
            <w:pPr>
              <w:spacing w:after="30"/>
            </w:pPr>
            <w:r>
              <w:rPr>
                <w:sz w:val="13"/>
              </w:rPr>
              <w:t>Third-party, privacy, human oversight, information integrity and security.</w:t>
            </w:r>
          </w:p>
        </w:tc>
      </w:tr>
      <w:tr>
        <w:trPr>
          <w:cantSplit/>
        </w:trPr>
        <w:tc>
          <w:tcPr>
            <w:tcW w:type="dxa" w:w="1800"/>
            <w:tcMar>
              <w:top w:w="80" w:type="dxa"/>
              <w:start w:w="120" w:type="dxa"/>
              <w:bottom w:w="80" w:type="dxa"/>
              <w:end w:w="120" w:type="dxa"/>
            </w:tcMar>
            <w:vAlign w:val="center"/>
          </w:tcPr>
          <w:p>
            <w:pPr>
              <w:spacing w:after="30"/>
            </w:pPr>
            <w:r>
              <w:rPr>
                <w:sz w:val="13"/>
              </w:rPr>
              <w:t>CIS Controls</w:t>
            </w:r>
          </w:p>
        </w:tc>
        <w:tc>
          <w:tcPr>
            <w:tcW w:type="dxa" w:w="1512"/>
            <w:tcMar>
              <w:top w:w="80" w:type="dxa"/>
              <w:start w:w="120" w:type="dxa"/>
              <w:bottom w:w="80" w:type="dxa"/>
              <w:end w:w="120" w:type="dxa"/>
            </w:tcMar>
            <w:vAlign w:val="center"/>
          </w:tcPr>
          <w:p>
            <w:pPr>
              <w:spacing w:after="30"/>
            </w:pPr>
            <w:r>
              <w:rPr>
                <w:sz w:val="13"/>
              </w:rPr>
              <w:t>v8.1</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Inventory, configuration, access, vulnerability, logging, network, providers and testing.</w:t>
            </w:r>
          </w:p>
        </w:tc>
      </w:tr>
      <w:tr>
        <w:trPr>
          <w:cantSplit/>
        </w:trPr>
        <w:tc>
          <w:tcPr>
            <w:tcW w:type="dxa" w:w="1800"/>
            <w:tcMar>
              <w:top w:w="80" w:type="dxa"/>
              <w:start w:w="120" w:type="dxa"/>
              <w:bottom w:w="80" w:type="dxa"/>
              <w:end w:w="120" w:type="dxa"/>
            </w:tcMar>
            <w:vAlign w:val="center"/>
            <w:shd w:fill="F3F6F8"/>
          </w:tcPr>
          <w:p>
            <w:pPr>
              <w:spacing w:after="30"/>
            </w:pPr>
            <w:r>
              <w:rPr>
                <w:sz w:val="13"/>
              </w:rPr>
              <w:t>ISO/IEC 27001 Annex A</w:t>
            </w:r>
          </w:p>
        </w:tc>
        <w:tc>
          <w:tcPr>
            <w:tcW w:type="dxa" w:w="1512"/>
            <w:tcMar>
              <w:top w:w="80" w:type="dxa"/>
              <w:start w:w="120" w:type="dxa"/>
              <w:bottom w:w="80" w:type="dxa"/>
              <w:end w:w="120" w:type="dxa"/>
            </w:tcMar>
            <w:vAlign w:val="center"/>
            <w:shd w:fill="F3F6F8"/>
          </w:tcPr>
          <w:p>
            <w:pPr>
              <w:spacing w:after="30"/>
            </w:pPr>
            <w:r>
              <w:rPr>
                <w:sz w:val="13"/>
              </w:rPr>
              <w:t>2022</w:t>
            </w:r>
          </w:p>
        </w:tc>
        <w:tc>
          <w:tcPr>
            <w:tcW w:type="dxa" w:w="1512"/>
            <w:tcMar>
              <w:top w:w="80" w:type="dxa"/>
              <w:start w:w="120" w:type="dxa"/>
              <w:bottom w:w="80" w:type="dxa"/>
              <w:end w:w="120" w:type="dxa"/>
            </w:tcMar>
            <w:vAlign w:val="center"/>
            <w:shd w:fill="F3F6F8"/>
          </w:tcPr>
          <w:p>
            <w:pPr>
              <w:spacing w:after="30"/>
            </w:pPr>
            <w:r>
              <w:rPr>
                <w:sz w:val="13"/>
              </w:rPr>
              <w:t>Applicable</w:t>
            </w:r>
          </w:p>
        </w:tc>
        <w:tc>
          <w:tcPr>
            <w:tcW w:type="dxa" w:w="4536"/>
            <w:tcMar>
              <w:top w:w="80" w:type="dxa"/>
              <w:start w:w="120" w:type="dxa"/>
              <w:bottom w:w="80" w:type="dxa"/>
              <w:end w:w="120" w:type="dxa"/>
            </w:tcMar>
            <w:vAlign w:val="center"/>
            <w:shd w:fill="F3F6F8"/>
          </w:tcPr>
          <w:p>
            <w:pPr>
              <w:spacing w:after="30"/>
            </w:pPr>
            <w:r>
              <w:rPr>
                <w:sz w:val="13"/>
              </w:rPr>
              <w:t>Supplier, identity, configuration, vulnerability, logging, DLP, change and incidents.</w:t>
            </w:r>
          </w:p>
        </w:tc>
      </w:tr>
      <w:tr>
        <w:trPr>
          <w:cantSplit/>
        </w:trPr>
        <w:tc>
          <w:tcPr>
            <w:tcW w:type="dxa" w:w="1800"/>
            <w:tcMar>
              <w:top w:w="80" w:type="dxa"/>
              <w:start w:w="120" w:type="dxa"/>
              <w:bottom w:w="80" w:type="dxa"/>
              <w:end w:w="120" w:type="dxa"/>
            </w:tcMar>
            <w:vAlign w:val="center"/>
          </w:tcPr>
          <w:p>
            <w:pPr>
              <w:spacing w:after="30"/>
            </w:pPr>
            <w:r>
              <w:rPr>
                <w:sz w:val="13"/>
              </w:rPr>
              <w:t>NCSC secure AI</w:t>
            </w:r>
          </w:p>
        </w:tc>
        <w:tc>
          <w:tcPr>
            <w:tcW w:type="dxa" w:w="1512"/>
            <w:tcMar>
              <w:top w:w="80" w:type="dxa"/>
              <w:start w:w="120" w:type="dxa"/>
              <w:bottom w:w="80" w:type="dxa"/>
              <w:end w:w="120" w:type="dxa"/>
            </w:tcMar>
            <w:vAlign w:val="center"/>
          </w:tcPr>
          <w:p>
            <w:pPr>
              <w:spacing w:after="30"/>
            </w:pPr>
            <w:r>
              <w:rPr>
                <w:sz w:val="13"/>
              </w:rPr>
              <w:t>v1.0</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Secure design, development, deployment, operation and supply chain.</w:t>
            </w:r>
          </w:p>
        </w:tc>
      </w:tr>
      <w:tr>
        <w:trPr>
          <w:cantSplit/>
        </w:trPr>
        <w:tc>
          <w:tcPr>
            <w:tcW w:type="dxa" w:w="1800"/>
            <w:tcMar>
              <w:top w:w="80" w:type="dxa"/>
              <w:start w:w="120" w:type="dxa"/>
              <w:bottom w:w="80" w:type="dxa"/>
              <w:end w:w="120" w:type="dxa"/>
            </w:tcMar>
            <w:vAlign w:val="center"/>
            <w:shd w:fill="F3F6F8"/>
          </w:tcPr>
          <w:p>
            <w:pPr>
              <w:spacing w:after="30"/>
            </w:pPr>
            <w:r>
              <w:rPr>
                <w:sz w:val="13"/>
              </w:rPr>
              <w:t>OWASP ASVS</w:t>
            </w:r>
          </w:p>
        </w:tc>
        <w:tc>
          <w:tcPr>
            <w:tcW w:type="dxa" w:w="1512"/>
            <w:tcMar>
              <w:top w:w="80" w:type="dxa"/>
              <w:start w:w="120" w:type="dxa"/>
              <w:bottom w:w="80" w:type="dxa"/>
              <w:end w:w="120" w:type="dxa"/>
            </w:tcMar>
            <w:vAlign w:val="center"/>
            <w:shd w:fill="F3F6F8"/>
          </w:tcPr>
          <w:p>
            <w:pPr>
              <w:spacing w:after="30"/>
            </w:pPr>
            <w:r>
              <w:rPr>
                <w:sz w:val="13"/>
              </w:rPr>
              <w:t>5.0.0 Level 2</w:t>
            </w:r>
          </w:p>
        </w:tc>
        <w:tc>
          <w:tcPr>
            <w:tcW w:type="dxa" w:w="1512"/>
            <w:tcMar>
              <w:top w:w="80" w:type="dxa"/>
              <w:start w:w="120" w:type="dxa"/>
              <w:bottom w:w="80" w:type="dxa"/>
              <w:end w:w="120" w:type="dxa"/>
            </w:tcMar>
            <w:vAlign w:val="center"/>
            <w:shd w:fill="F3F6F8"/>
          </w:tcPr>
          <w:p>
            <w:pPr>
              <w:spacing w:after="30"/>
            </w:pPr>
            <w:r>
              <w:rPr>
                <w:sz w:val="13"/>
              </w:rPr>
              <w:t>Partly applicable</w:t>
            </w:r>
          </w:p>
        </w:tc>
        <w:tc>
          <w:tcPr>
            <w:tcW w:type="dxa" w:w="4536"/>
            <w:tcMar>
              <w:top w:w="80" w:type="dxa"/>
              <w:start w:w="120" w:type="dxa"/>
              <w:bottom w:w="80" w:type="dxa"/>
              <w:end w:w="120" w:type="dxa"/>
            </w:tcMar>
            <w:vAlign w:val="center"/>
            <w:shd w:fill="F3F6F8"/>
          </w:tcPr>
          <w:p>
            <w:pPr>
              <w:spacing w:after="30"/>
            </w:pPr>
            <w:r>
              <w:rPr>
                <w:sz w:val="13"/>
              </w:rPr>
              <w:t>Webview, API/auth, access, validation, crypto, communication, files and configuration.</w:t>
            </w:r>
          </w:p>
        </w:tc>
      </w:tr>
      <w:tr>
        <w:trPr>
          <w:cantSplit/>
        </w:trPr>
        <w:tc>
          <w:tcPr>
            <w:tcW w:type="dxa" w:w="1800"/>
            <w:tcMar>
              <w:top w:w="80" w:type="dxa"/>
              <w:start w:w="120" w:type="dxa"/>
              <w:bottom w:w="80" w:type="dxa"/>
              <w:end w:w="120" w:type="dxa"/>
            </w:tcMar>
            <w:vAlign w:val="center"/>
          </w:tcPr>
          <w:p>
            <w:pPr>
              <w:spacing w:after="30"/>
            </w:pPr>
            <w:r>
              <w:rPr>
                <w:sz w:val="13"/>
              </w:rPr>
              <w:t>UK GDPR / DPA 2018 / ICO</w:t>
            </w:r>
          </w:p>
        </w:tc>
        <w:tc>
          <w:tcPr>
            <w:tcW w:type="dxa" w:w="1512"/>
            <w:tcMar>
              <w:top w:w="80" w:type="dxa"/>
              <w:start w:w="120" w:type="dxa"/>
              <w:bottom w:w="80" w:type="dxa"/>
              <w:end w:w="120" w:type="dxa"/>
            </w:tcMar>
            <w:vAlign w:val="center"/>
          </w:tcPr>
          <w:p>
            <w:pPr>
              <w:spacing w:after="30"/>
            </w:pPr>
            <w:r>
              <w:rPr>
                <w:sz w:val="13"/>
              </w:rPr>
              <w:t>Current at assessment date</w:t>
            </w:r>
          </w:p>
        </w:tc>
        <w:tc>
          <w:tcPr>
            <w:tcW w:type="dxa" w:w="1512"/>
            <w:tcMar>
              <w:top w:w="80" w:type="dxa"/>
              <w:start w:w="120" w:type="dxa"/>
              <w:bottom w:w="80" w:type="dxa"/>
              <w:end w:w="120" w:type="dxa"/>
            </w:tcMar>
            <w:vAlign w:val="center"/>
          </w:tcPr>
          <w:p>
            <w:pPr>
              <w:spacing w:after="30"/>
            </w:pPr>
            <w:r>
              <w:rPr>
                <w:sz w:val="13"/>
              </w:rPr>
              <w:t>Applicable</w:t>
            </w:r>
          </w:p>
        </w:tc>
        <w:tc>
          <w:tcPr>
            <w:tcW w:type="dxa" w:w="4536"/>
            <w:tcMar>
              <w:top w:w="80" w:type="dxa"/>
              <w:start w:w="120" w:type="dxa"/>
              <w:bottom w:w="80" w:type="dxa"/>
              <w:end w:w="120" w:type="dxa"/>
            </w:tcMar>
            <w:vAlign w:val="center"/>
          </w:tcPr>
          <w:p>
            <w:pPr>
              <w:spacing w:after="30"/>
            </w:pPr>
            <w:r>
              <w:rPr>
                <w:sz w:val="13"/>
              </w:rPr>
              <w:t>Personal data can occur in prompts, code, logs, identities and transcripts.</w:t>
            </w:r>
          </w:p>
        </w:tc>
      </w:tr>
      <w:tr>
        <w:trPr>
          <w:cantSplit/>
        </w:trPr>
        <w:tc>
          <w:tcPr>
            <w:tcW w:type="dxa" w:w="1800"/>
            <w:tcMar>
              <w:top w:w="80" w:type="dxa"/>
              <w:start w:w="120" w:type="dxa"/>
              <w:bottom w:w="80" w:type="dxa"/>
              <w:end w:w="120" w:type="dxa"/>
            </w:tcMar>
            <w:vAlign w:val="center"/>
            <w:shd w:fill="F3F6F8"/>
          </w:tcPr>
          <w:p>
            <w:pPr>
              <w:spacing w:after="30"/>
            </w:pPr>
            <w:r>
              <w:rPr>
                <w:sz w:val="13"/>
              </w:rPr>
              <w:t>FCA/PRA UK insurance</w:t>
            </w:r>
          </w:p>
        </w:tc>
        <w:tc>
          <w:tcPr>
            <w:tcW w:type="dxa" w:w="1512"/>
            <w:tcMar>
              <w:top w:w="80" w:type="dxa"/>
              <w:start w:w="120" w:type="dxa"/>
              <w:bottom w:w="80" w:type="dxa"/>
              <w:end w:w="120" w:type="dxa"/>
            </w:tcMar>
            <w:vAlign w:val="center"/>
            <w:shd w:fill="F3F6F8"/>
          </w:tcPr>
          <w:p>
            <w:pPr>
              <w:spacing w:after="30"/>
            </w:pPr>
            <w:r>
              <w:rPr>
                <w:sz w:val="13"/>
              </w:rPr>
              <w:t>Current at assessment date</w:t>
            </w:r>
          </w:p>
        </w:tc>
        <w:tc>
          <w:tcPr>
            <w:tcW w:type="dxa" w:w="1512"/>
            <w:tcMar>
              <w:top w:w="80" w:type="dxa"/>
              <w:start w:w="120" w:type="dxa"/>
              <w:bottom w:w="80" w:type="dxa"/>
              <w:end w:w="120" w:type="dxa"/>
            </w:tcMar>
            <w:vAlign w:val="center"/>
            <w:shd w:fill="F3F6F8"/>
          </w:tcPr>
          <w:p>
            <w:pPr>
              <w:spacing w:after="30"/>
            </w:pPr>
            <w:r>
              <w:rPr>
                <w:sz w:val="13"/>
              </w:rPr>
              <w:t>Conditionally applicable</w:t>
            </w:r>
          </w:p>
        </w:tc>
        <w:tc>
          <w:tcPr>
            <w:tcW w:type="dxa" w:w="4536"/>
            <w:tcMar>
              <w:top w:w="80" w:type="dxa"/>
              <w:start w:w="120" w:type="dxa"/>
              <w:bottom w:w="80" w:type="dxa"/>
              <w:end w:w="120" w:type="dxa"/>
            </w:tcMar>
            <w:vAlign w:val="center"/>
            <w:shd w:fill="F3F6F8"/>
          </w:tcPr>
          <w:p>
            <w:pPr>
              <w:spacing w:after="30"/>
            </w:pPr>
            <w:r>
              <w:rPr>
                <w:sz w:val="13"/>
              </w:rPr>
              <w:t>Verify firm status, materiality, outsourcing and important business services.</w:t>
            </w:r>
          </w:p>
        </w:tc>
      </w:tr>
      <w:tr>
        <w:trPr>
          <w:cantSplit/>
        </w:trPr>
        <w:tc>
          <w:tcPr>
            <w:tcW w:type="dxa" w:w="1800"/>
            <w:tcMar>
              <w:top w:w="80" w:type="dxa"/>
              <w:start w:w="120" w:type="dxa"/>
              <w:bottom w:w="80" w:type="dxa"/>
              <w:end w:w="120" w:type="dxa"/>
            </w:tcMar>
            <w:vAlign w:val="center"/>
          </w:tcPr>
          <w:p>
            <w:pPr>
              <w:spacing w:after="30"/>
            </w:pPr>
            <w:r>
              <w:rPr>
                <w:sz w:val="13"/>
              </w:rPr>
              <w:t>PECR</w:t>
            </w:r>
          </w:p>
        </w:tc>
        <w:tc>
          <w:tcPr>
            <w:tcW w:type="dxa" w:w="1512"/>
            <w:tcMar>
              <w:top w:w="80" w:type="dxa"/>
              <w:start w:w="120" w:type="dxa"/>
              <w:bottom w:w="80" w:type="dxa"/>
              <w:end w:w="120" w:type="dxa"/>
            </w:tcMar>
            <w:vAlign w:val="center"/>
          </w:tcPr>
          <w:p>
            <w:pPr>
              <w:spacing w:after="30"/>
            </w:pPr>
            <w:r>
              <w:rPr>
                <w:sz w:val="13"/>
              </w:rPr>
              <w:t>Current at assessment date</w:t>
            </w:r>
          </w:p>
        </w:tc>
        <w:tc>
          <w:tcPr>
            <w:tcW w:type="dxa" w:w="1512"/>
            <w:tcMar>
              <w:top w:w="80" w:type="dxa"/>
              <w:start w:w="120" w:type="dxa"/>
              <w:bottom w:w="80" w:type="dxa"/>
              <w:end w:w="120" w:type="dxa"/>
            </w:tcMar>
            <w:vAlign w:val="center"/>
          </w:tcPr>
          <w:p>
            <w:pPr>
              <w:spacing w:after="30"/>
            </w:pPr>
            <w:r>
              <w:rPr>
                <w:sz w:val="13"/>
              </w:rPr>
              <w:t>Conditional</w:t>
            </w:r>
          </w:p>
        </w:tc>
        <w:tc>
          <w:tcPr>
            <w:tcW w:type="dxa" w:w="4536"/>
            <w:tcMar>
              <w:top w:w="80" w:type="dxa"/>
              <w:start w:w="120" w:type="dxa"/>
              <w:bottom w:w="80" w:type="dxa"/>
              <w:end w:w="120" w:type="dxa"/>
            </w:tcMar>
            <w:vAlign w:val="center"/>
          </w:tcPr>
          <w:p>
            <w:pPr>
              <w:spacing w:after="30"/>
            </w:pPr>
            <w:r>
              <w:rPr>
                <w:sz w:val="13"/>
              </w:rPr>
              <w:t>Depends on device storage/access and communications implementation.</w:t>
            </w:r>
          </w:p>
        </w:tc>
      </w:tr>
      <w:tr>
        <w:trPr>
          <w:cantSplit/>
        </w:trPr>
        <w:tc>
          <w:tcPr>
            <w:tcW w:type="dxa" w:w="1800"/>
            <w:tcMar>
              <w:top w:w="80" w:type="dxa"/>
              <w:start w:w="120" w:type="dxa"/>
              <w:bottom w:w="80" w:type="dxa"/>
              <w:end w:w="120" w:type="dxa"/>
            </w:tcMar>
            <w:vAlign w:val="center"/>
            <w:shd w:fill="F3F6F8"/>
          </w:tcPr>
          <w:p>
            <w:pPr>
              <w:spacing w:after="30"/>
            </w:pPr>
            <w:r>
              <w:rPr>
                <w:sz w:val="13"/>
              </w:rPr>
              <w:t>EU AI Act / DORA</w:t>
            </w:r>
          </w:p>
        </w:tc>
        <w:tc>
          <w:tcPr>
            <w:tcW w:type="dxa" w:w="1512"/>
            <w:tcMar>
              <w:top w:w="80" w:type="dxa"/>
              <w:start w:w="120" w:type="dxa"/>
              <w:bottom w:w="80" w:type="dxa"/>
              <w:end w:w="120" w:type="dxa"/>
            </w:tcMar>
            <w:vAlign w:val="center"/>
            <w:shd w:fill="F3F6F8"/>
          </w:tcPr>
          <w:p>
            <w:pPr>
              <w:spacing w:after="30"/>
            </w:pPr>
            <w:r>
              <w:rPr>
                <w:sz w:val="13"/>
              </w:rPr>
              <w:t>Not assumed</w:t>
            </w:r>
          </w:p>
        </w:tc>
        <w:tc>
          <w:tcPr>
            <w:tcW w:type="dxa" w:w="1512"/>
            <w:tcMar>
              <w:top w:w="80" w:type="dxa"/>
              <w:start w:w="120" w:type="dxa"/>
              <w:bottom w:w="80" w:type="dxa"/>
              <w:end w:w="120" w:type="dxa"/>
            </w:tcMar>
            <w:vAlign w:val="center"/>
            <w:shd w:fill="F3F6F8"/>
          </w:tcPr>
          <w:p>
            <w:pPr>
              <w:spacing w:after="30"/>
            </w:pPr>
            <w:r>
              <w:rPr>
                <w:sz w:val="13"/>
              </w:rPr>
              <w:t>Not applicable by default</w:t>
            </w:r>
          </w:p>
        </w:tc>
        <w:tc>
          <w:tcPr>
            <w:tcW w:type="dxa" w:w="4536"/>
            <w:tcMar>
              <w:top w:w="80" w:type="dxa"/>
              <w:start w:w="120" w:type="dxa"/>
              <w:bottom w:w="80" w:type="dxa"/>
              <w:end w:w="120" w:type="dxa"/>
            </w:tcMar>
            <w:vAlign w:val="center"/>
            <w:shd w:fill="F3F6F8"/>
          </w:tcPr>
          <w:p>
            <w:pPr>
              <w:spacing w:after="30"/>
            </w:pPr>
            <w:r>
              <w:rPr>
                <w:sz w:val="13"/>
              </w:rPr>
              <w:t>UK context alone does not establish EU scope.</w:t>
            </w:r>
          </w:p>
        </w:tc>
      </w:tr>
    </w:tbl>
    <w:p>
      <w:pPr>
        <w:spacing w:after="40"/>
      </w:pPr>
    </w:p>
    <w:p>
      <w:pPr>
        <w:pStyle w:val="Heading2"/>
      </w:pPr>
      <w:r>
        <w:t>VS Code Enterprise Controls and Detection</w:t>
      </w:r>
    </w:p>
    <w:tbl>
      <w:tblPr>
        <w:tblStyle w:val="TableGrid"/>
        <w:tblW w:type="auto" w:w="0"/>
        <w:jc w:val="center"/>
        <w:tblLayout w:type="fixed"/>
        <w:tblLook w:firstColumn="1" w:firstRow="1" w:lastColumn="0" w:lastRow="0" w:noHBand="0" w:noVBand="1" w:val="04A0"/>
      </w:tblPr>
      <w:tblGrid>
        <w:gridCol w:w="3168"/>
        <w:gridCol w:w="1728"/>
        <w:gridCol w:w="1440"/>
        <w:gridCol w:w="3024"/>
      </w:tblGrid>
      <w:tr>
        <w:trPr>
          <w:tblHeader/>
        </w:trPr>
        <w:tc>
          <w:tcPr>
            <w:tcW w:type="dxa" w:w="3168"/>
            <w:shd w:fill="17365D"/>
            <w:tcMar>
              <w:top w:w="80" w:type="dxa"/>
              <w:start w:w="120" w:type="dxa"/>
              <w:bottom w:w="80" w:type="dxa"/>
              <w:end w:w="120" w:type="dxa"/>
            </w:tcMar>
            <w:vAlign w:val="center"/>
          </w:tcPr>
          <w:p>
            <w:r>
              <w:rPr>
                <w:b/>
                <w:color w:val="FFFFFF"/>
                <w:sz w:val="14"/>
              </w:rPr>
              <w:t>Control</w:t>
            </w:r>
          </w:p>
        </w:tc>
        <w:tc>
          <w:tcPr>
            <w:tcW w:type="dxa" w:w="1728"/>
            <w:shd w:fill="17365D"/>
            <w:tcMar>
              <w:top w:w="80" w:type="dxa"/>
              <w:start w:w="120" w:type="dxa"/>
              <w:bottom w:w="80" w:type="dxa"/>
              <w:end w:w="120" w:type="dxa"/>
            </w:tcMar>
            <w:vAlign w:val="center"/>
          </w:tcPr>
          <w:p>
            <w:r>
              <w:rPr>
                <w:b/>
                <w:color w:val="FFFFFF"/>
                <w:sz w:val="14"/>
              </w:rPr>
              <w:t>Owner</w:t>
            </w:r>
          </w:p>
        </w:tc>
        <w:tc>
          <w:tcPr>
            <w:tcW w:type="dxa" w:w="1440"/>
            <w:shd w:fill="17365D"/>
            <w:tcMar>
              <w:top w:w="80" w:type="dxa"/>
              <w:start w:w="120" w:type="dxa"/>
              <w:bottom w:w="80" w:type="dxa"/>
              <w:end w:w="120" w:type="dxa"/>
            </w:tcMar>
            <w:vAlign w:val="center"/>
          </w:tcPr>
          <w:p>
            <w:r>
              <w:rPr>
                <w:b/>
                <w:color w:val="FFFFFF"/>
                <w:sz w:val="14"/>
              </w:rPr>
              <w:t>Milestone</w:t>
            </w:r>
          </w:p>
        </w:tc>
        <w:tc>
          <w:tcPr>
            <w:tcW w:type="dxa" w:w="3024"/>
            <w:shd w:fill="17365D"/>
            <w:tcMar>
              <w:top w:w="80" w:type="dxa"/>
              <w:start w:w="120" w:type="dxa"/>
              <w:bottom w:w="80" w:type="dxa"/>
              <w:end w:w="120" w:type="dxa"/>
            </w:tcMar>
            <w:vAlign w:val="center"/>
          </w:tcPr>
          <w:p>
            <w:r>
              <w:rPr>
                <w:b/>
                <w:color w:val="FFFFFF"/>
                <w:sz w:val="14"/>
              </w:rPr>
              <w:t>Verification</w:t>
            </w:r>
          </w:p>
        </w:tc>
      </w:tr>
      <w:tr>
        <w:trPr>
          <w:cantSplit/>
        </w:trPr>
        <w:tc>
          <w:tcPr>
            <w:tcW w:type="dxa" w:w="3168"/>
            <w:tcMar>
              <w:top w:w="80" w:type="dxa"/>
              <w:start w:w="120" w:type="dxa"/>
              <w:bottom w:w="80" w:type="dxa"/>
              <w:end w:w="120" w:type="dxa"/>
            </w:tcMar>
            <w:vAlign w:val="center"/>
          </w:tcPr>
          <w:p>
            <w:pPr>
              <w:spacing w:after="30"/>
            </w:pPr>
            <w:r>
              <w:rPr>
                <w:sz w:val="14"/>
              </w:rPr>
              <w:t>Managed manual permissions; deny bypass/unsandboxed commands</w:t>
            </w:r>
          </w:p>
        </w:tc>
        <w:tc>
          <w:tcPr>
            <w:tcW w:type="dxa" w:w="1728"/>
            <w:tcMar>
              <w:top w:w="80" w:type="dxa"/>
              <w:start w:w="120" w:type="dxa"/>
              <w:bottom w:w="80" w:type="dxa"/>
              <w:end w:w="120" w:type="dxa"/>
            </w:tcMar>
            <w:vAlign w:val="center"/>
          </w:tcPr>
          <w:p>
            <w:pPr>
              <w:spacing w:after="30"/>
            </w:pPr>
            <w:r>
              <w:rPr>
                <w:sz w:val="14"/>
              </w:rPr>
              <w:t>Developer Platform</w:t>
            </w:r>
          </w:p>
        </w:tc>
        <w:tc>
          <w:tcPr>
            <w:tcW w:type="dxa" w:w="1440"/>
            <w:tcMar>
              <w:top w:w="80" w:type="dxa"/>
              <w:start w:w="120" w:type="dxa"/>
              <w:bottom w:w="80" w:type="dxa"/>
              <w:end w:w="120" w:type="dxa"/>
            </w:tcMar>
            <w:vAlign w:val="center"/>
          </w:tcPr>
          <w:p>
            <w:pPr>
              <w:spacing w:after="30"/>
            </w:pPr>
            <w:r>
              <w:rPr>
                <w:sz w:val="14"/>
              </w:rPr>
              <w:t>Before pilot</w:t>
            </w:r>
          </w:p>
        </w:tc>
        <w:tc>
          <w:tcPr>
            <w:tcW w:type="dxa" w:w="3024"/>
            <w:tcMar>
              <w:top w:w="80" w:type="dxa"/>
              <w:start w:w="120" w:type="dxa"/>
              <w:bottom w:w="80" w:type="dxa"/>
              <w:end w:w="120" w:type="dxa"/>
            </w:tcMar>
            <w:vAlign w:val="center"/>
          </w:tcPr>
          <w:p>
            <w:pPr>
              <w:spacing w:after="30"/>
            </w:pPr>
            <w:r>
              <w:rPr>
                <w:sz w:val="14"/>
              </w:rPr>
              <w:t>Policy readback + adversarial denial tests</w:t>
            </w:r>
          </w:p>
        </w:tc>
      </w:tr>
      <w:tr>
        <w:trPr>
          <w:cantSplit/>
        </w:trPr>
        <w:tc>
          <w:tcPr>
            <w:tcW w:type="dxa" w:w="3168"/>
            <w:tcMar>
              <w:top w:w="80" w:type="dxa"/>
              <w:start w:w="120" w:type="dxa"/>
              <w:bottom w:w="80" w:type="dxa"/>
              <w:end w:w="120" w:type="dxa"/>
            </w:tcMar>
            <w:vAlign w:val="center"/>
            <w:shd w:fill="F3F6F8"/>
          </w:tcPr>
          <w:p>
            <w:pPr>
              <w:spacing w:after="30"/>
            </w:pPr>
            <w:r>
              <w:rPr>
                <w:sz w:val="14"/>
              </w:rPr>
              <w:t>Fail-closed sandbox with credential/file/network boundaries</w:t>
            </w:r>
          </w:p>
        </w:tc>
        <w:tc>
          <w:tcPr>
            <w:tcW w:type="dxa" w:w="1728"/>
            <w:tcMar>
              <w:top w:w="80" w:type="dxa"/>
              <w:start w:w="120" w:type="dxa"/>
              <w:bottom w:w="80" w:type="dxa"/>
              <w:end w:w="120" w:type="dxa"/>
            </w:tcMar>
            <w:vAlign w:val="center"/>
            <w:shd w:fill="F3F6F8"/>
          </w:tcPr>
          <w:p>
            <w:pPr>
              <w:spacing w:after="30"/>
            </w:pPr>
            <w:r>
              <w:rPr>
                <w:sz w:val="14"/>
              </w:rPr>
              <w:t>Endpoint Security</w:t>
            </w:r>
          </w:p>
        </w:tc>
        <w:tc>
          <w:tcPr>
            <w:tcW w:type="dxa" w:w="1440"/>
            <w:tcMar>
              <w:top w:w="80" w:type="dxa"/>
              <w:start w:w="120" w:type="dxa"/>
              <w:bottom w:w="80" w:type="dxa"/>
              <w:end w:w="120" w:type="dxa"/>
            </w:tcMar>
            <w:vAlign w:val="center"/>
            <w:shd w:fill="F3F6F8"/>
          </w:tcPr>
          <w:p>
            <w:pPr>
              <w:spacing w:after="30"/>
            </w:pPr>
            <w:r>
              <w:rPr>
                <w:sz w:val="14"/>
              </w:rPr>
              <w:t>Before pilot</w:t>
            </w:r>
          </w:p>
        </w:tc>
        <w:tc>
          <w:tcPr>
            <w:tcW w:type="dxa" w:w="3024"/>
            <w:tcMar>
              <w:top w:w="80" w:type="dxa"/>
              <w:start w:w="120" w:type="dxa"/>
              <w:bottom w:w="80" w:type="dxa"/>
              <w:end w:w="120" w:type="dxa"/>
            </w:tcMar>
            <w:vAlign w:val="center"/>
            <w:shd w:fill="F3F6F8"/>
          </w:tcPr>
          <w:p>
            <w:pPr>
              <w:spacing w:after="30"/>
            </w:pPr>
            <w:r>
              <w:rPr>
                <w:sz w:val="14"/>
              </w:rPr>
              <w:t>OS-level negative tests and egress capture</w:t>
            </w:r>
          </w:p>
        </w:tc>
      </w:tr>
      <w:tr>
        <w:trPr>
          <w:cantSplit/>
        </w:trPr>
        <w:tc>
          <w:tcPr>
            <w:tcW w:type="dxa" w:w="3168"/>
            <w:tcMar>
              <w:top w:w="80" w:type="dxa"/>
              <w:start w:w="120" w:type="dxa"/>
              <w:bottom w:w="80" w:type="dxa"/>
              <w:end w:w="120" w:type="dxa"/>
            </w:tcMar>
            <w:vAlign w:val="center"/>
          </w:tcPr>
          <w:p>
            <w:pPr>
              <w:spacing w:after="30"/>
            </w:pPr>
            <w:r>
              <w:rPr>
                <w:sz w:val="14"/>
              </w:rPr>
              <w:t>Enterprise/ZDR, minimal transcript and nonessential traffic</w:t>
            </w:r>
          </w:p>
        </w:tc>
        <w:tc>
          <w:tcPr>
            <w:tcW w:type="dxa" w:w="1728"/>
            <w:tcMar>
              <w:top w:w="80" w:type="dxa"/>
              <w:start w:w="120" w:type="dxa"/>
              <w:bottom w:w="80" w:type="dxa"/>
              <w:end w:w="120" w:type="dxa"/>
            </w:tcMar>
            <w:vAlign w:val="center"/>
          </w:tcPr>
          <w:p>
            <w:pPr>
              <w:spacing w:after="30"/>
            </w:pPr>
            <w:r>
              <w:rPr>
                <w:sz w:val="14"/>
              </w:rPr>
              <w:t>Privacy</w:t>
            </w:r>
          </w:p>
        </w:tc>
        <w:tc>
          <w:tcPr>
            <w:tcW w:type="dxa" w:w="1440"/>
            <w:tcMar>
              <w:top w:w="80" w:type="dxa"/>
              <w:start w:w="120" w:type="dxa"/>
              <w:bottom w:w="80" w:type="dxa"/>
              <w:end w:w="120" w:type="dxa"/>
            </w:tcMar>
            <w:vAlign w:val="center"/>
          </w:tcPr>
          <w:p>
            <w:pPr>
              <w:spacing w:after="30"/>
            </w:pPr>
            <w:r>
              <w:rPr>
                <w:sz w:val="14"/>
              </w:rPr>
              <w:t>Before pilot</w:t>
            </w:r>
          </w:p>
        </w:tc>
        <w:tc>
          <w:tcPr>
            <w:tcW w:type="dxa" w:w="3024"/>
            <w:tcMar>
              <w:top w:w="80" w:type="dxa"/>
              <w:start w:w="120" w:type="dxa"/>
              <w:bottom w:w="80" w:type="dxa"/>
              <w:end w:w="120" w:type="dxa"/>
            </w:tcMar>
            <w:vAlign w:val="center"/>
          </w:tcPr>
          <w:p>
            <w:pPr>
              <w:spacing w:after="30"/>
            </w:pPr>
            <w:r>
              <w:rPr>
                <w:sz w:val="14"/>
              </w:rPr>
              <w:t>Contract + filesystem/network observation</w:t>
            </w:r>
          </w:p>
        </w:tc>
      </w:tr>
      <w:tr>
        <w:trPr>
          <w:cantSplit/>
        </w:trPr>
        <w:tc>
          <w:tcPr>
            <w:tcW w:type="dxa" w:w="3168"/>
            <w:tcMar>
              <w:top w:w="80" w:type="dxa"/>
              <w:start w:w="120" w:type="dxa"/>
              <w:bottom w:w="80" w:type="dxa"/>
              <w:end w:w="120" w:type="dxa"/>
            </w:tcMar>
            <w:vAlign w:val="center"/>
            <w:shd w:fill="F3F6F8"/>
          </w:tcPr>
          <w:p>
            <w:pPr>
              <w:spacing w:after="30"/>
            </w:pPr>
            <w:r>
              <w:rPr>
                <w:sz w:val="14"/>
              </w:rPr>
              <w:t>Strict MCP/plugin/skill/hook marketplaces and no sideloading</w:t>
            </w:r>
          </w:p>
        </w:tc>
        <w:tc>
          <w:tcPr>
            <w:tcW w:type="dxa" w:w="1728"/>
            <w:tcMar>
              <w:top w:w="80" w:type="dxa"/>
              <w:start w:w="120" w:type="dxa"/>
              <w:bottom w:w="80" w:type="dxa"/>
              <w:end w:w="120" w:type="dxa"/>
            </w:tcMar>
            <w:vAlign w:val="center"/>
            <w:shd w:fill="F3F6F8"/>
          </w:tcPr>
          <w:p>
            <w:pPr>
              <w:spacing w:after="30"/>
            </w:pPr>
            <w:r>
              <w:rPr>
                <w:sz w:val="14"/>
              </w:rPr>
              <w:t>Supply Chain</w:t>
            </w:r>
          </w:p>
        </w:tc>
        <w:tc>
          <w:tcPr>
            <w:tcW w:type="dxa" w:w="1440"/>
            <w:tcMar>
              <w:top w:w="80" w:type="dxa"/>
              <w:start w:w="120" w:type="dxa"/>
              <w:bottom w:w="80" w:type="dxa"/>
              <w:end w:w="120" w:type="dxa"/>
            </w:tcMar>
            <w:vAlign w:val="center"/>
            <w:shd w:fill="F3F6F8"/>
          </w:tcPr>
          <w:p>
            <w:pPr>
              <w:spacing w:after="30"/>
            </w:pPr>
            <w:r>
              <w:rPr>
                <w:sz w:val="14"/>
              </w:rPr>
              <w:t>Before pilot</w:t>
            </w:r>
          </w:p>
        </w:tc>
        <w:tc>
          <w:tcPr>
            <w:tcW w:type="dxa" w:w="3024"/>
            <w:tcMar>
              <w:top w:w="80" w:type="dxa"/>
              <w:start w:w="120" w:type="dxa"/>
              <w:bottom w:w="80" w:type="dxa"/>
              <w:end w:w="120" w:type="dxa"/>
            </w:tcMar>
            <w:vAlign w:val="center"/>
            <w:shd w:fill="F3F6F8"/>
          </w:tcPr>
          <w:p>
            <w:pPr>
              <w:spacing w:after="30"/>
            </w:pPr>
            <w:r>
              <w:rPr>
                <w:sz w:val="14"/>
              </w:rPr>
              <w:t>Attempted unauthorised install/config fails</w:t>
            </w:r>
          </w:p>
        </w:tc>
      </w:tr>
      <w:tr>
        <w:trPr>
          <w:cantSplit/>
        </w:trPr>
        <w:tc>
          <w:tcPr>
            <w:tcW w:type="dxa" w:w="3168"/>
            <w:tcMar>
              <w:top w:w="80" w:type="dxa"/>
              <w:start w:w="120" w:type="dxa"/>
              <w:bottom w:w="80" w:type="dxa"/>
              <w:end w:w="120" w:type="dxa"/>
            </w:tcMar>
            <w:vAlign w:val="center"/>
          </w:tcPr>
          <w:p>
            <w:pPr>
              <w:spacing w:after="30"/>
            </w:pPr>
            <w:r>
              <w:rPr>
                <w:sz w:val="14"/>
              </w:rPr>
              <w:t>Exact version/platform hash inventory and staged updates</w:t>
            </w:r>
          </w:p>
        </w:tc>
        <w:tc>
          <w:tcPr>
            <w:tcW w:type="dxa" w:w="1728"/>
            <w:tcMar>
              <w:top w:w="80" w:type="dxa"/>
              <w:start w:w="120" w:type="dxa"/>
              <w:bottom w:w="80" w:type="dxa"/>
              <w:end w:w="120" w:type="dxa"/>
            </w:tcMar>
            <w:vAlign w:val="center"/>
          </w:tcPr>
          <w:p>
            <w:pPr>
              <w:spacing w:after="30"/>
            </w:pPr>
            <w:r>
              <w:rPr>
                <w:sz w:val="14"/>
              </w:rPr>
              <w:t>Endpoint Engineering</w:t>
            </w:r>
          </w:p>
        </w:tc>
        <w:tc>
          <w:tcPr>
            <w:tcW w:type="dxa" w:w="1440"/>
            <w:tcMar>
              <w:top w:w="80" w:type="dxa"/>
              <w:start w:w="120" w:type="dxa"/>
              <w:bottom w:w="80" w:type="dxa"/>
              <w:end w:w="120" w:type="dxa"/>
            </w:tcMar>
            <w:vAlign w:val="center"/>
          </w:tcPr>
          <w:p>
            <w:pPr>
              <w:spacing w:after="30"/>
            </w:pPr>
            <w:r>
              <w:rPr>
                <w:sz w:val="14"/>
              </w:rPr>
              <w:t>Before pilot/ongoing</w:t>
            </w:r>
          </w:p>
        </w:tc>
        <w:tc>
          <w:tcPr>
            <w:tcW w:type="dxa" w:w="3024"/>
            <w:tcMar>
              <w:top w:w="80" w:type="dxa"/>
              <w:start w:w="120" w:type="dxa"/>
              <w:bottom w:w="80" w:type="dxa"/>
              <w:end w:w="120" w:type="dxa"/>
            </w:tcMar>
            <w:vAlign w:val="center"/>
          </w:tcPr>
          <w:p>
            <w:pPr>
              <w:spacing w:after="30"/>
            </w:pPr>
            <w:r>
              <w:rPr>
                <w:sz w:val="14"/>
              </w:rPr>
              <w:t>Inventory query and rollback exercise</w:t>
            </w:r>
          </w:p>
        </w:tc>
      </w:tr>
    </w:tbl>
    <w:p>
      <w:pPr>
        <w:spacing w:after="40"/>
      </w:pPr>
    </w:p>
    <w:p>
      <w:pPr>
        <w:pStyle w:val="Heading2"/>
      </w:pPr>
      <w:r>
        <w:t>VS Code Residual Risk, Confidence and Recommendation</w:t>
      </w:r>
    </w:p>
    <w:p>
      <w:r>
        <w:t>Residual risk is High. Identity and acquired-byte confidence is High; static behavioral confidence is Medium; component/dependency confidence is Low to Medium; runtime confidence is Low. Recommendation remains `Defer pending evidence`, scoped to 2.1.220 and expiring on any version/policy/provider change or after 90 days.</w:t>
      </w:r>
    </w:p>
    <w:p>
      <w:pPr>
        <w:pStyle w:val="Heading2"/>
      </w:pPr>
      <w:r>
        <w:t>VS Code Limitations</w:t>
      </w:r>
    </w:p>
    <w:p>
      <w:r>
        <w:t>Limitations include no representative runtime, one acquired platform variant, incomplete public source correspondence, four large artefacts skipped by Semgrep, no vendor SBOM and unknown embedded bundled-skill inventory. These limitations directly constrain approval confidence.</w:t>
      </w:r>
    </w:p>
    <w:p>
      <w:pPr>
        <w:pStyle w:val="Heading2"/>
      </w:pPr>
      <w:r>
        <w:t>VS Code Evidence and Host-Verification Actions</w:t>
      </w:r>
    </w:p>
    <w:p>
      <w:pPr>
        <w:pStyle w:val="ListBullet"/>
      </w:pPr>
      <w:r>
        <w:t>Run the isolated macOS Apple Silicon acceptance test against the exact VSIX hash.</w:t>
      </w:r>
    </w:p>
    <w:p>
      <w:pPr>
        <w:pStyle w:val="ListBullet"/>
      </w:pPr>
      <w:r>
        <w:t>Acquire and independently assess each additional platform variant intended for deployment.</w:t>
      </w:r>
    </w:p>
    <w:p>
      <w:pPr>
        <w:pStyle w:val="ListBullet"/>
      </w:pPr>
      <w:r>
        <w:t>Capture tools/list, consent prompts, process/network/file/config/keychain/transcript/update/uninstall deltas.</w:t>
      </w:r>
    </w:p>
    <w:p>
      <w:pPr>
        <w:pStyle w:val="ListBullet"/>
      </w:pPr>
      <w:r>
        <w:t>Replay recent vendor advisory classes and hostile repository/MCP/skill/hook prompts.</w:t>
      </w:r>
    </w:p>
    <w:p>
      <w:pPr>
        <w:pStyle w:val="ListBullet"/>
      </w:pPr>
      <w:r>
        <w:t>Bind final approval to managed-policy readback, privacy contract/DPIA and rollback evidence.</w:t>
      </w:r>
    </w:p>
    <w:p>
      <w:pPr>
        <w:pStyle w:val="Heading1"/>
      </w:pPr>
      <w:r>
        <w:t>Part II - Microsoft Visual Studio Assessment</w:t>
      </w:r>
    </w:p>
    <w:p>
      <w:pPr>
        <w:pStyle w:val="Heading2"/>
      </w:pPr>
      <w:r>
        <w:t>Visual Studio Executive Decision</w:t>
      </w:r>
    </w:p>
    <w:p>
      <w:r>
        <w:t>Not applicable: the official target is a VS Code extension. No Microsoft Visual Studio approval is granted.</w:t>
      </w:r>
    </w:p>
    <w:p>
      <w:pPr>
        <w:pStyle w:val="Heading2"/>
      </w:pPr>
      <w:r>
        <w:t>Visual Studio Purpose and Supported Version</w:t>
      </w:r>
    </w:p>
    <w:p>
      <w:r>
        <w:t>No official evidence supports installation in Microsoft Visual Studio. A separately published similarly named third-party Visual Studio extension was excluded from identity scope.</w:t>
      </w:r>
    </w:p>
    <w:p>
      <w:pPr>
        <w:pStyle w:val="Heading2"/>
      </w:pPr>
      <w:r>
        <w:t>Visual Studio Architecture</w:t>
      </w:r>
    </w:p>
    <w:p>
      <w:r>
        <w:t>No Visual Studio MEF, VSIX, service, process, registry or package architecture was assessed because the official package is incompatible.</w:t>
      </w:r>
    </w:p>
    <w:p>
      <w:pPr>
        <w:pStyle w:val="Heading2"/>
      </w:pPr>
      <w:r>
        <w:t>Visual Studio Trust Boundaries</w:t>
      </w:r>
    </w:p>
    <w:p>
      <w:r>
        <w:t>The VS Code trust model cannot be transplanted to Visual Studio. Any future Visual Studio product requires a new exact-identity assessment.</w:t>
      </w:r>
    </w:p>
    <w:p>
      <w:pPr>
        <w:pStyle w:val="Heading2"/>
      </w:pPr>
      <w:r>
        <w:t>Visual Studio Data Flows</w:t>
      </w:r>
    </w:p>
    <w:p>
      <w:r>
        <w:t>Not applicable for this package.</w:t>
      </w:r>
    </w:p>
    <w:p>
      <w:pPr>
        <w:pStyle w:val="Heading2"/>
      </w:pPr>
      <w:r>
        <w:t>Visual Studio Installation and Uninstall</w:t>
      </w:r>
    </w:p>
    <w:p>
      <w:r>
        <w:t>Not applicable; do not attempt to force-install or repackage the VS Code VSIX.</w:t>
      </w:r>
    </w:p>
    <w:p>
      <w:pPr>
        <w:pStyle w:val="Heading2"/>
      </w:pPr>
      <w:r>
        <w:t>Visual Studio Runtime and Activation</w:t>
      </w:r>
    </w:p>
    <w:p>
      <w:r>
        <w:t>Not applicable; no execution occurred.</w:t>
      </w:r>
    </w:p>
    <w:p>
      <w:pPr>
        <w:pStyle w:val="Heading2"/>
      </w:pPr>
      <w:r>
        <w:t>Visual Studio Network, Authentication, Telemetry and Privacy</w:t>
      </w:r>
    </w:p>
    <w:p>
      <w:r>
        <w:t>Not applicable to this package; Anthropic service/privacy controls may still be relevant to a different product but require separate evidence.</w:t>
      </w:r>
    </w:p>
    <w:p>
      <w:pPr>
        <w:pStyle w:val="Heading2"/>
      </w:pPr>
      <w:r>
        <w:t>Visual Studio MCP Surface and Skills</w:t>
      </w:r>
    </w:p>
    <w:p>
      <w:r>
        <w:t>Not applicable. Do not assume VS Code MCP/skill behavior is portable.</w:t>
      </w:r>
    </w:p>
    <w:p>
      <w:pPr>
        <w:pStyle w:val="Heading2"/>
      </w:pPr>
      <w:r>
        <w:t>Visual Studio Supply Chain</w:t>
      </w:r>
    </w:p>
    <w:p>
      <w:r>
        <w:t>Not applicable to the target package. The excluded third-party extension has distinct publisher, bytes and update channel.</w:t>
      </w:r>
    </w:p>
    <w:p>
      <w:pPr>
        <w:pStyle w:val="Heading2"/>
      </w:pPr>
      <w:r>
        <w:t>Visual Studio Threats and Findings</w:t>
      </w:r>
    </w:p>
    <w:p>
      <w:r>
        <w:t>Identity confusion is the principal risk: similarly named products must not inherit this report's evidence or decision.</w:t>
      </w:r>
    </w:p>
    <w:p>
      <w:pPr>
        <w:pStyle w:val="Heading2"/>
      </w:pPr>
      <w:r>
        <w:t>Visual Studio Framework Disposition</w:t>
      </w:r>
    </w:p>
    <w:p>
      <w:r>
        <w:t>All product-specific framework mappings are Not applicable; organization-wide AI/privacy governance remains outside this package decision.</w:t>
      </w:r>
    </w:p>
    <w:p>
      <w:pPr>
        <w:pStyle w:val="Heading2"/>
      </w:pPr>
      <w:r>
        <w:t>Visual Studio Controls and Detection</w:t>
      </w:r>
    </w:p>
    <w:p>
      <w:r>
        <w:t>Block or flag similarly named unapproved extensions; require exact publisher/identifier allowlists.</w:t>
      </w:r>
    </w:p>
    <w:p>
      <w:pPr>
        <w:pStyle w:val="Heading2"/>
      </w:pPr>
      <w:r>
        <w:t>Visual Studio Residual Risk and Recommendation</w:t>
      </w:r>
    </w:p>
    <w:p>
      <w:r>
        <w:t>No approval decision because the product is unsupported. Status: Not applicable.</w:t>
      </w:r>
    </w:p>
    <w:p>
      <w:pPr>
        <w:pStyle w:val="Heading2"/>
      </w:pPr>
      <w:r>
        <w:t>Visual Studio Evidence and Host Verification</w:t>
      </w:r>
    </w:p>
    <w:p>
      <w:r>
        <w:t>None required for this target. Start a new assessment if a Microsoft Visual Studio artefact is proposed.</w:t>
      </w:r>
    </w:p>
    <w:tbl>
      <w:tblPr>
        <w:tblStyle w:val="TableGrid"/>
        <w:tblW w:type="auto" w:w="0"/>
        <w:jc w:val="center"/>
        <w:tblLayout w:type="fixed"/>
        <w:tblLook w:firstColumn="1" w:firstRow="1" w:lastColumn="0" w:lastRow="0" w:noHBand="0" w:noVBand="1" w:val="04A0"/>
      </w:tblPr>
      <w:tblGrid>
        <w:gridCol w:w="1584"/>
        <w:gridCol w:w="2448"/>
        <w:gridCol w:w="3456"/>
        <w:gridCol w:w="1872"/>
      </w:tblGrid>
      <w:tr>
        <w:trPr>
          <w:tblHeader/>
        </w:trPr>
        <w:tc>
          <w:tcPr>
            <w:tcW w:type="dxa" w:w="1584"/>
            <w:shd w:fill="17365D"/>
            <w:tcMar>
              <w:top w:w="80" w:type="dxa"/>
              <w:start w:w="120" w:type="dxa"/>
              <w:bottom w:w="80" w:type="dxa"/>
              <w:end w:w="120" w:type="dxa"/>
            </w:tcMar>
            <w:vAlign w:val="center"/>
          </w:tcPr>
          <w:p>
            <w:r>
              <w:rPr>
                <w:b/>
                <w:color w:val="FFFFFF"/>
                <w:sz w:val="14"/>
              </w:rPr>
              <w:t>IDE</w:t>
            </w:r>
          </w:p>
        </w:tc>
        <w:tc>
          <w:tcPr>
            <w:tcW w:type="dxa" w:w="2448"/>
            <w:shd w:fill="17365D"/>
            <w:tcMar>
              <w:top w:w="80" w:type="dxa"/>
              <w:start w:w="120" w:type="dxa"/>
              <w:bottom w:w="80" w:type="dxa"/>
              <w:end w:w="120" w:type="dxa"/>
            </w:tcMar>
            <w:vAlign w:val="center"/>
          </w:tcPr>
          <w:p>
            <w:r>
              <w:rPr>
                <w:b/>
                <w:color w:val="FFFFFF"/>
                <w:sz w:val="14"/>
              </w:rPr>
              <w:t>Official support</w:t>
            </w:r>
          </w:p>
        </w:tc>
        <w:tc>
          <w:tcPr>
            <w:tcW w:type="dxa" w:w="3456"/>
            <w:shd w:fill="17365D"/>
            <w:tcMar>
              <w:top w:w="80" w:type="dxa"/>
              <w:start w:w="120" w:type="dxa"/>
              <w:bottom w:w="80" w:type="dxa"/>
              <w:end w:w="120" w:type="dxa"/>
            </w:tcMar>
            <w:vAlign w:val="center"/>
          </w:tcPr>
          <w:p>
            <w:r>
              <w:rPr>
                <w:b/>
                <w:color w:val="FFFFFF"/>
                <w:sz w:val="14"/>
              </w:rPr>
              <w:t>Package evaluated</w:t>
            </w:r>
          </w:p>
        </w:tc>
        <w:tc>
          <w:tcPr>
            <w:tcW w:type="dxa" w:w="1872"/>
            <w:shd w:fill="17365D"/>
            <w:tcMar>
              <w:top w:w="80" w:type="dxa"/>
              <w:start w:w="120" w:type="dxa"/>
              <w:bottom w:w="80" w:type="dxa"/>
              <w:end w:w="120" w:type="dxa"/>
            </w:tcMar>
            <w:vAlign w:val="center"/>
          </w:tcPr>
          <w:p>
            <w:r>
              <w:rPr>
                <w:b/>
                <w:color w:val="FFFFFF"/>
                <w:sz w:val="14"/>
              </w:rPr>
              <w:t>Decision</w:t>
            </w:r>
          </w:p>
        </w:tc>
      </w:tr>
      <w:tr>
        <w:trPr>
          <w:cantSplit/>
        </w:trPr>
        <w:tc>
          <w:tcPr>
            <w:tcW w:type="dxa" w:w="1584"/>
            <w:tcMar>
              <w:top w:w="80" w:type="dxa"/>
              <w:start w:w="120" w:type="dxa"/>
              <w:bottom w:w="80" w:type="dxa"/>
              <w:end w:w="120" w:type="dxa"/>
            </w:tcMar>
            <w:vAlign w:val="center"/>
          </w:tcPr>
          <w:p>
            <w:pPr>
              <w:spacing w:after="30"/>
            </w:pPr>
            <w:r>
              <w:rPr>
                <w:sz w:val="14"/>
              </w:rPr>
              <w:t>VS Code</w:t>
            </w:r>
          </w:p>
        </w:tc>
        <w:tc>
          <w:tcPr>
            <w:tcW w:type="dxa" w:w="2448"/>
            <w:tcMar>
              <w:top w:w="80" w:type="dxa"/>
              <w:start w:w="120" w:type="dxa"/>
              <w:bottom w:w="80" w:type="dxa"/>
              <w:end w:w="120" w:type="dxa"/>
            </w:tcMar>
            <w:vAlign w:val="center"/>
          </w:tcPr>
          <w:p>
            <w:pPr>
              <w:spacing w:after="30"/>
            </w:pPr>
            <w:r>
              <w:rPr>
                <w:sz w:val="14"/>
              </w:rPr>
              <w:t>Yes</w:t>
            </w:r>
          </w:p>
        </w:tc>
        <w:tc>
          <w:tcPr>
            <w:tcW w:type="dxa" w:w="3456"/>
            <w:tcMar>
              <w:top w:w="80" w:type="dxa"/>
              <w:start w:w="120" w:type="dxa"/>
              <w:bottom w:w="80" w:type="dxa"/>
              <w:end w:w="120" w:type="dxa"/>
            </w:tcMar>
            <w:vAlign w:val="center"/>
          </w:tcPr>
          <w:p>
            <w:pPr>
              <w:spacing w:after="30"/>
            </w:pPr>
            <w:r>
              <w:rPr>
                <w:sz w:val="14"/>
              </w:rPr>
              <w:t>Anthropic darwin-arm64 VSIX 2.1.220</w:t>
            </w:r>
          </w:p>
        </w:tc>
        <w:tc>
          <w:tcPr>
            <w:tcW w:type="dxa" w:w="1872"/>
            <w:tcMar>
              <w:top w:w="80" w:type="dxa"/>
              <w:start w:w="120" w:type="dxa"/>
              <w:bottom w:w="80" w:type="dxa"/>
              <w:end w:w="120" w:type="dxa"/>
            </w:tcMar>
            <w:vAlign w:val="center"/>
          </w:tcPr>
          <w:p>
            <w:pPr>
              <w:spacing w:after="30"/>
            </w:pPr>
            <w:r>
              <w:rPr>
                <w:sz w:val="14"/>
              </w:rPr>
              <w:t>Defer pending evidence</w:t>
            </w:r>
          </w:p>
        </w:tc>
      </w:tr>
      <w:tr>
        <w:trPr>
          <w:cantSplit/>
        </w:trPr>
        <w:tc>
          <w:tcPr>
            <w:tcW w:type="dxa" w:w="1584"/>
            <w:tcMar>
              <w:top w:w="80" w:type="dxa"/>
              <w:start w:w="120" w:type="dxa"/>
              <w:bottom w:w="80" w:type="dxa"/>
              <w:end w:w="120" w:type="dxa"/>
            </w:tcMar>
            <w:vAlign w:val="center"/>
            <w:shd w:fill="F3F6F8"/>
          </w:tcPr>
          <w:p>
            <w:pPr>
              <w:spacing w:after="30"/>
            </w:pPr>
            <w:r>
              <w:rPr>
                <w:sz w:val="14"/>
              </w:rPr>
              <w:t>Microsoft Visual Studio</w:t>
            </w:r>
          </w:p>
        </w:tc>
        <w:tc>
          <w:tcPr>
            <w:tcW w:type="dxa" w:w="2448"/>
            <w:tcMar>
              <w:top w:w="80" w:type="dxa"/>
              <w:start w:w="120" w:type="dxa"/>
              <w:bottom w:w="80" w:type="dxa"/>
              <w:end w:w="120" w:type="dxa"/>
            </w:tcMar>
            <w:vAlign w:val="center"/>
            <w:shd w:fill="F3F6F8"/>
          </w:tcPr>
          <w:p>
            <w:pPr>
              <w:spacing w:after="30"/>
            </w:pPr>
            <w:r>
              <w:rPr>
                <w:sz w:val="14"/>
              </w:rPr>
              <w:t>No evidence / unsupported</w:t>
            </w:r>
          </w:p>
        </w:tc>
        <w:tc>
          <w:tcPr>
            <w:tcW w:type="dxa" w:w="3456"/>
            <w:tcMar>
              <w:top w:w="80" w:type="dxa"/>
              <w:start w:w="120" w:type="dxa"/>
              <w:bottom w:w="80" w:type="dxa"/>
              <w:end w:w="120" w:type="dxa"/>
            </w:tcMar>
            <w:vAlign w:val="center"/>
            <w:shd w:fill="F3F6F8"/>
          </w:tcPr>
          <w:p>
            <w:pPr>
              <w:spacing w:after="30"/>
            </w:pPr>
            <w:r>
              <w:rPr>
                <w:sz w:val="14"/>
              </w:rPr>
              <w:t>None</w:t>
            </w:r>
          </w:p>
        </w:tc>
        <w:tc>
          <w:tcPr>
            <w:tcW w:type="dxa" w:w="1872"/>
            <w:tcMar>
              <w:top w:w="80" w:type="dxa"/>
              <w:start w:w="120" w:type="dxa"/>
              <w:bottom w:w="80" w:type="dxa"/>
              <w:end w:w="120" w:type="dxa"/>
            </w:tcMar>
            <w:vAlign w:val="center"/>
            <w:shd w:fill="F3F6F8"/>
          </w:tcPr>
          <w:p>
            <w:pPr>
              <w:spacing w:after="30"/>
            </w:pPr>
            <w:r>
              <w:rPr>
                <w:sz w:val="14"/>
              </w:rPr>
              <w:t>Not applicable</w:t>
            </w:r>
          </w:p>
        </w:tc>
      </w:tr>
    </w:tbl>
    <w:p>
      <w:pPr>
        <w:spacing w:after="40"/>
      </w:pPr>
    </w:p>
    <w:p>
      <w:pPr>
        <w:pStyle w:val="Heading1"/>
      </w:pPr>
      <w:r>
        <w:t>Part III - Shared Installed Agent Skills</w:t>
      </w:r>
    </w:p>
    <w:p>
      <w:pPr>
        <w:pStyle w:val="Heading2"/>
      </w:pPr>
      <w:r>
        <w:t>Skill Inventory and Provenance</w:t>
      </w:r>
    </w:p>
    <w:p>
      <w:r>
        <w:t>No visible Agent Skill is installed by the 29-file VSIX. Ten optional skills exist in the official tagged repository's separately installable plugins. The settings schema also references bundled skills/workflows whose embedded bytes were not enumerated. The following decisions apply to optional repository skills only; installed-host state remains Unknown.</w:t>
      </w:r>
    </w:p>
    <w:tbl>
      <w:tblPr>
        <w:tblStyle w:val="TableGrid"/>
        <w:tblW w:type="auto" w:w="0"/>
        <w:jc w:val="center"/>
        <w:tblLayout w:type="fixed"/>
        <w:tblLook w:firstColumn="1" w:firstRow="1" w:lastColumn="0" w:lastRow="0" w:noHBand="0" w:noVBand="1" w:val="04A0"/>
      </w:tblPr>
      <w:tblGrid>
        <w:gridCol w:w="1656"/>
        <w:gridCol w:w="1656"/>
        <w:gridCol w:w="2448"/>
        <w:gridCol w:w="1008"/>
        <w:gridCol w:w="2592"/>
      </w:tblGrid>
      <w:tr>
        <w:trPr>
          <w:tblHeader/>
        </w:trPr>
        <w:tc>
          <w:tcPr>
            <w:tcW w:type="dxa" w:w="1656"/>
            <w:shd w:fill="17365D"/>
            <w:tcMar>
              <w:top w:w="80" w:type="dxa"/>
              <w:start w:w="120" w:type="dxa"/>
              <w:bottom w:w="80" w:type="dxa"/>
              <w:end w:w="120" w:type="dxa"/>
            </w:tcMar>
            <w:vAlign w:val="center"/>
          </w:tcPr>
          <w:p>
            <w:r>
              <w:rPr>
                <w:b/>
                <w:color w:val="FFFFFF"/>
                <w:sz w:val="13"/>
              </w:rPr>
              <w:t>Skill</w:t>
            </w:r>
          </w:p>
        </w:tc>
        <w:tc>
          <w:tcPr>
            <w:tcW w:type="dxa" w:w="1656"/>
            <w:shd w:fill="17365D"/>
            <w:tcMar>
              <w:top w:w="80" w:type="dxa"/>
              <w:start w:w="120" w:type="dxa"/>
              <w:bottom w:w="80" w:type="dxa"/>
              <w:end w:w="120" w:type="dxa"/>
            </w:tcMar>
            <w:vAlign w:val="center"/>
          </w:tcPr>
          <w:p>
            <w:r>
              <w:rPr>
                <w:b/>
                <w:color w:val="FFFFFF"/>
                <w:sz w:val="13"/>
              </w:rPr>
              <w:t>Installation</w:t>
            </w:r>
          </w:p>
        </w:tc>
        <w:tc>
          <w:tcPr>
            <w:tcW w:type="dxa" w:w="2448"/>
            <w:shd w:fill="17365D"/>
            <w:tcMar>
              <w:top w:w="80" w:type="dxa"/>
              <w:start w:w="120" w:type="dxa"/>
              <w:bottom w:w="80" w:type="dxa"/>
              <w:end w:w="120" w:type="dxa"/>
            </w:tcMar>
            <w:vAlign w:val="center"/>
          </w:tcPr>
          <w:p>
            <w:r>
              <w:rPr>
                <w:b/>
                <w:color w:val="FFFFFF"/>
                <w:sz w:val="13"/>
              </w:rPr>
              <w:t>Purpose/risk surface</w:t>
            </w:r>
          </w:p>
        </w:tc>
        <w:tc>
          <w:tcPr>
            <w:tcW w:type="dxa" w:w="1008"/>
            <w:shd w:fill="17365D"/>
            <w:tcMar>
              <w:top w:w="80" w:type="dxa"/>
              <w:start w:w="120" w:type="dxa"/>
              <w:bottom w:w="80" w:type="dxa"/>
              <w:end w:w="120" w:type="dxa"/>
            </w:tcMar>
            <w:vAlign w:val="center"/>
          </w:tcPr>
          <w:p>
            <w:r>
              <w:rPr>
                <w:b/>
                <w:color w:val="FFFFFF"/>
                <w:sz w:val="13"/>
              </w:rPr>
              <w:t>Residual</w:t>
            </w:r>
          </w:p>
        </w:tc>
        <w:tc>
          <w:tcPr>
            <w:tcW w:type="dxa" w:w="2592"/>
            <w:shd w:fill="17365D"/>
            <w:tcMar>
              <w:top w:w="80" w:type="dxa"/>
              <w:start w:w="120" w:type="dxa"/>
              <w:bottom w:w="80" w:type="dxa"/>
              <w:end w:w="120" w:type="dxa"/>
            </w:tcMar>
            <w:vAlign w:val="center"/>
          </w:tcPr>
          <w:p>
            <w:r>
              <w:rPr>
                <w:b/>
                <w:color w:val="FFFFFF"/>
                <w:sz w:val="13"/>
              </w:rPr>
              <w:t>Decision/control</w:t>
            </w:r>
          </w:p>
        </w:tc>
      </w:tr>
      <w:tr>
        <w:trPr>
          <w:cantSplit/>
        </w:trPr>
        <w:tc>
          <w:tcPr>
            <w:tcW w:type="dxa" w:w="1656"/>
            <w:tcMar>
              <w:top w:w="80" w:type="dxa"/>
              <w:start w:w="120" w:type="dxa"/>
              <w:bottom w:w="80" w:type="dxa"/>
              <w:end w:w="120" w:type="dxa"/>
            </w:tcMar>
            <w:vAlign w:val="center"/>
          </w:tcPr>
          <w:p>
            <w:pPr>
              <w:spacing w:after="30"/>
            </w:pPr>
            <w:r>
              <w:rPr>
                <w:sz w:val="13"/>
              </w:rPr>
              <w:t>frontend-design</w:t>
            </w:r>
          </w:p>
        </w:tc>
        <w:tc>
          <w:tcPr>
            <w:tcW w:type="dxa" w:w="1656"/>
            <w:tcMar>
              <w:top w:w="80" w:type="dxa"/>
              <w:start w:w="120" w:type="dxa"/>
              <w:bottom w:w="80" w:type="dxa"/>
              <w:end w:w="120" w:type="dxa"/>
            </w:tcMar>
            <w:vAlign w:val="center"/>
          </w:tcPr>
          <w:p>
            <w:pPr>
              <w:spacing w:after="30"/>
            </w:pPr>
            <w:r>
              <w:rPr>
                <w:sz w:val="13"/>
              </w:rPr>
              <w:t>Optional; not in VSIX</w:t>
            </w:r>
          </w:p>
        </w:tc>
        <w:tc>
          <w:tcPr>
            <w:tcW w:type="dxa" w:w="2448"/>
            <w:tcMar>
              <w:top w:w="80" w:type="dxa"/>
              <w:start w:w="120" w:type="dxa"/>
              <w:bottom w:w="80" w:type="dxa"/>
              <w:end w:w="120" w:type="dxa"/>
            </w:tcMar>
            <w:vAlign w:val="center"/>
          </w:tcPr>
          <w:p>
            <w:pPr>
              <w:spacing w:after="30"/>
            </w:pPr>
            <w:r>
              <w:rPr>
                <w:sz w:val="13"/>
              </w:rPr>
              <w:t>Instruction-only design guidance</w:t>
            </w:r>
          </w:p>
        </w:tc>
        <w:tc>
          <w:tcPr>
            <w:tcW w:type="dxa" w:w="1008"/>
            <w:tcMar>
              <w:top w:w="80" w:type="dxa"/>
              <w:start w:w="120" w:type="dxa"/>
              <w:bottom w:w="80" w:type="dxa"/>
              <w:end w:w="120" w:type="dxa"/>
            </w:tcMar>
            <w:vAlign w:val="center"/>
          </w:tcPr>
          <w:p>
            <w:pPr>
              <w:spacing w:after="30"/>
            </w:pPr>
            <w:r>
              <w:rPr>
                <w:sz w:val="13"/>
              </w:rPr>
              <w:t>Low</w:t>
            </w:r>
          </w:p>
        </w:tc>
        <w:tc>
          <w:tcPr>
            <w:tcW w:type="dxa" w:w="2592"/>
            <w:tcMar>
              <w:top w:w="80" w:type="dxa"/>
              <w:start w:w="120" w:type="dxa"/>
              <w:bottom w:w="80" w:type="dxa"/>
              <w:end w:w="120" w:type="dxa"/>
            </w:tcMar>
            <w:vAlign w:val="center"/>
          </w:tcPr>
          <w:p>
            <w:pPr>
              <w:spacing w:after="30"/>
            </w:pPr>
            <w:r>
              <w:rPr>
                <w:sz w:val="13"/>
              </w:rPr>
              <w:t>Allowlist immutable version; no extra tools.</w:t>
            </w:r>
          </w:p>
        </w:tc>
      </w:tr>
      <w:tr>
        <w:trPr>
          <w:cantSplit/>
        </w:trPr>
        <w:tc>
          <w:tcPr>
            <w:tcW w:type="dxa" w:w="1656"/>
            <w:tcMar>
              <w:top w:w="80" w:type="dxa"/>
              <w:start w:w="120" w:type="dxa"/>
              <w:bottom w:w="80" w:type="dxa"/>
              <w:end w:w="120" w:type="dxa"/>
            </w:tcMar>
            <w:vAlign w:val="center"/>
            <w:shd w:fill="F3F6F8"/>
          </w:tcPr>
          <w:p>
            <w:pPr>
              <w:spacing w:after="30"/>
            </w:pPr>
            <w:r>
              <w:rPr>
                <w:sz w:val="13"/>
              </w:rPr>
              <w:t>writing-rules</w:t>
            </w:r>
          </w:p>
        </w:tc>
        <w:tc>
          <w:tcPr>
            <w:tcW w:type="dxa" w:w="1656"/>
            <w:tcMar>
              <w:top w:w="80" w:type="dxa"/>
              <w:start w:w="120" w:type="dxa"/>
              <w:bottom w:w="80" w:type="dxa"/>
              <w:end w:w="120" w:type="dxa"/>
            </w:tcMar>
            <w:vAlign w:val="center"/>
            <w:shd w:fill="F3F6F8"/>
          </w:tcPr>
          <w:p>
            <w:pPr>
              <w:spacing w:after="30"/>
            </w:pPr>
            <w:r>
              <w:rPr>
                <w:sz w:val="13"/>
              </w:rPr>
              <w:t>Optional; not in VSIX</w:t>
            </w:r>
          </w:p>
        </w:tc>
        <w:tc>
          <w:tcPr>
            <w:tcW w:type="dxa" w:w="2448"/>
            <w:tcMar>
              <w:top w:w="80" w:type="dxa"/>
              <w:start w:w="120" w:type="dxa"/>
              <w:bottom w:w="80" w:type="dxa"/>
              <w:end w:w="120" w:type="dxa"/>
            </w:tcMar>
            <w:vAlign w:val="center"/>
            <w:shd w:fill="F3F6F8"/>
          </w:tcPr>
          <w:p>
            <w:pPr>
              <w:spacing w:after="30"/>
            </w:pPr>
            <w:r>
              <w:rPr>
                <w:sz w:val="13"/>
              </w:rPr>
              <w:t>Generates persistent local hook rules</w:t>
            </w:r>
          </w:p>
        </w:tc>
        <w:tc>
          <w:tcPr>
            <w:tcW w:type="dxa" w:w="1008"/>
            <w:tcMar>
              <w:top w:w="80" w:type="dxa"/>
              <w:start w:w="120" w:type="dxa"/>
              <w:bottom w:w="80" w:type="dxa"/>
              <w:end w:w="120" w:type="dxa"/>
            </w:tcMar>
            <w:vAlign w:val="center"/>
            <w:shd w:fill="F3F6F8"/>
          </w:tcPr>
          <w:p>
            <w:pPr>
              <w:spacing w:after="30"/>
            </w:pPr>
            <w:r>
              <w:rPr>
                <w:sz w:val="13"/>
              </w:rPr>
              <w:t>Moderate</w:t>
            </w:r>
          </w:p>
        </w:tc>
        <w:tc>
          <w:tcPr>
            <w:tcW w:type="dxa" w:w="2592"/>
            <w:tcMar>
              <w:top w:w="80" w:type="dxa"/>
              <w:start w:w="120" w:type="dxa"/>
              <w:bottom w:w="80" w:type="dxa"/>
              <w:end w:w="120" w:type="dxa"/>
            </w:tcMar>
            <w:vAlign w:val="center"/>
            <w:shd w:fill="F3F6F8"/>
          </w:tcPr>
          <w:p>
            <w:pPr>
              <w:spacing w:after="30"/>
            </w:pPr>
            <w:r>
              <w:rPr>
                <w:sz w:val="13"/>
              </w:rPr>
              <w:t>Review generated regex/action; managed hooks only.</w:t>
            </w:r>
          </w:p>
        </w:tc>
      </w:tr>
      <w:tr>
        <w:trPr>
          <w:cantSplit/>
        </w:trPr>
        <w:tc>
          <w:tcPr>
            <w:tcW w:type="dxa" w:w="1656"/>
            <w:tcMar>
              <w:top w:w="80" w:type="dxa"/>
              <w:start w:w="120" w:type="dxa"/>
              <w:bottom w:w="80" w:type="dxa"/>
              <w:end w:w="120" w:type="dxa"/>
            </w:tcMar>
            <w:vAlign w:val="center"/>
          </w:tcPr>
          <w:p>
            <w:pPr>
              <w:spacing w:after="30"/>
            </w:pPr>
            <w:r>
              <w:rPr>
                <w:sz w:val="13"/>
              </w:rPr>
              <w:t>claude-opus-4-5-migration</w:t>
            </w:r>
          </w:p>
        </w:tc>
        <w:tc>
          <w:tcPr>
            <w:tcW w:type="dxa" w:w="1656"/>
            <w:tcMar>
              <w:top w:w="80" w:type="dxa"/>
              <w:start w:w="120" w:type="dxa"/>
              <w:bottom w:w="80" w:type="dxa"/>
              <w:end w:w="120" w:type="dxa"/>
            </w:tcMar>
            <w:vAlign w:val="center"/>
          </w:tcPr>
          <w:p>
            <w:pPr>
              <w:spacing w:after="30"/>
            </w:pPr>
            <w:r>
              <w:rPr>
                <w:sz w:val="13"/>
              </w:rPr>
              <w:t>Optional; not in VSIX</w:t>
            </w:r>
          </w:p>
        </w:tc>
        <w:tc>
          <w:tcPr>
            <w:tcW w:type="dxa" w:w="2448"/>
            <w:tcMar>
              <w:top w:w="80" w:type="dxa"/>
              <w:start w:w="120" w:type="dxa"/>
              <w:bottom w:w="80" w:type="dxa"/>
              <w:end w:w="120" w:type="dxa"/>
            </w:tcMar>
            <w:vAlign w:val="center"/>
          </w:tcPr>
          <w:p>
            <w:pPr>
              <w:spacing w:after="30"/>
            </w:pPr>
            <w:r>
              <w:rPr>
                <w:sz w:val="13"/>
              </w:rPr>
              <w:t>Changes prompts/code for migration</w:t>
            </w:r>
          </w:p>
        </w:tc>
        <w:tc>
          <w:tcPr>
            <w:tcW w:type="dxa" w:w="1008"/>
            <w:tcMar>
              <w:top w:w="80" w:type="dxa"/>
              <w:start w:w="120" w:type="dxa"/>
              <w:bottom w:w="80" w:type="dxa"/>
              <w:end w:w="120" w:type="dxa"/>
            </w:tcMar>
            <w:vAlign w:val="center"/>
          </w:tcPr>
          <w:p>
            <w:pPr>
              <w:spacing w:after="30"/>
            </w:pPr>
            <w:r>
              <w:rPr>
                <w:sz w:val="13"/>
              </w:rPr>
              <w:t>Moderate</w:t>
            </w:r>
          </w:p>
        </w:tc>
        <w:tc>
          <w:tcPr>
            <w:tcW w:type="dxa" w:w="2592"/>
            <w:tcMar>
              <w:top w:w="80" w:type="dxa"/>
              <w:start w:w="120" w:type="dxa"/>
              <w:bottom w:w="80" w:type="dxa"/>
              <w:end w:w="120" w:type="dxa"/>
            </w:tcMar>
            <w:vAlign w:val="center"/>
          </w:tcPr>
          <w:p>
            <w:pPr>
              <w:spacing w:after="30"/>
            </w:pPr>
            <w:r>
              <w:rPr>
                <w:sz w:val="13"/>
              </w:rPr>
              <w:t>Code review and test outputs.</w:t>
            </w:r>
          </w:p>
        </w:tc>
      </w:tr>
      <w:tr>
        <w:trPr>
          <w:cantSplit/>
        </w:trPr>
        <w:tc>
          <w:tcPr>
            <w:tcW w:type="dxa" w:w="1656"/>
            <w:tcMar>
              <w:top w:w="80" w:type="dxa"/>
              <w:start w:w="120" w:type="dxa"/>
              <w:bottom w:w="80" w:type="dxa"/>
              <w:end w:w="120" w:type="dxa"/>
            </w:tcMar>
            <w:vAlign w:val="center"/>
            <w:shd w:fill="F3F6F8"/>
          </w:tcPr>
          <w:p>
            <w:pPr>
              <w:spacing w:after="30"/>
            </w:pPr>
            <w:r>
              <w:rPr>
                <w:sz w:val="13"/>
              </w:rPr>
              <w:t>agent-development</w:t>
            </w:r>
          </w:p>
        </w:tc>
        <w:tc>
          <w:tcPr>
            <w:tcW w:type="dxa" w:w="1656"/>
            <w:tcMar>
              <w:top w:w="80" w:type="dxa"/>
              <w:start w:w="120" w:type="dxa"/>
              <w:bottom w:w="80" w:type="dxa"/>
              <w:end w:w="120" w:type="dxa"/>
            </w:tcMar>
            <w:vAlign w:val="center"/>
            <w:shd w:fill="F3F6F8"/>
          </w:tcPr>
          <w:p>
            <w:pPr>
              <w:spacing w:after="30"/>
            </w:pPr>
            <w:r>
              <w:rPr>
                <w:sz w:val="13"/>
              </w:rPr>
              <w:t>Optional plugin-dev</w:t>
            </w:r>
          </w:p>
        </w:tc>
        <w:tc>
          <w:tcPr>
            <w:tcW w:type="dxa" w:w="2448"/>
            <w:tcMar>
              <w:top w:w="80" w:type="dxa"/>
              <w:start w:w="120" w:type="dxa"/>
              <w:bottom w:w="80" w:type="dxa"/>
              <w:end w:w="120" w:type="dxa"/>
            </w:tcMar>
            <w:vAlign w:val="center"/>
            <w:shd w:fill="F3F6F8"/>
          </w:tcPr>
          <w:p>
            <w:pPr>
              <w:spacing w:after="30"/>
            </w:pPr>
            <w:r>
              <w:rPr>
                <w:sz w:val="13"/>
              </w:rPr>
              <w:t>Generates autonomous agents</w:t>
            </w:r>
          </w:p>
        </w:tc>
        <w:tc>
          <w:tcPr>
            <w:tcW w:type="dxa" w:w="1008"/>
            <w:tcMar>
              <w:top w:w="80" w:type="dxa"/>
              <w:start w:w="120" w:type="dxa"/>
              <w:bottom w:w="80" w:type="dxa"/>
              <w:end w:w="120" w:type="dxa"/>
            </w:tcMar>
            <w:vAlign w:val="center"/>
            <w:shd w:fill="F3F6F8"/>
          </w:tcPr>
          <w:p>
            <w:pPr>
              <w:spacing w:after="30"/>
            </w:pPr>
            <w:r>
              <w:rPr>
                <w:sz w:val="13"/>
              </w:rPr>
              <w:t>High</w:t>
            </w:r>
          </w:p>
        </w:tc>
        <w:tc>
          <w:tcPr>
            <w:tcW w:type="dxa" w:w="2592"/>
            <w:tcMar>
              <w:top w:w="80" w:type="dxa"/>
              <w:start w:w="120" w:type="dxa"/>
              <w:bottom w:w="80" w:type="dxa"/>
              <w:end w:w="120" w:type="dxa"/>
            </w:tcMar>
            <w:vAlign w:val="center"/>
            <w:shd w:fill="F3F6F8"/>
          </w:tcPr>
          <w:p>
            <w:pPr>
              <w:spacing w:after="30"/>
            </w:pPr>
            <w:r>
              <w:rPr>
                <w:sz w:val="13"/>
              </w:rPr>
              <w:t>Deny wildcard tools; isolated test.</w:t>
            </w:r>
          </w:p>
        </w:tc>
      </w:tr>
      <w:tr>
        <w:trPr>
          <w:cantSplit/>
        </w:trPr>
        <w:tc>
          <w:tcPr>
            <w:tcW w:type="dxa" w:w="1656"/>
            <w:tcMar>
              <w:top w:w="80" w:type="dxa"/>
              <w:start w:w="120" w:type="dxa"/>
              <w:bottom w:w="80" w:type="dxa"/>
              <w:end w:w="120" w:type="dxa"/>
            </w:tcMar>
            <w:vAlign w:val="center"/>
          </w:tcPr>
          <w:p>
            <w:pPr>
              <w:spacing w:after="30"/>
            </w:pPr>
            <w:r>
              <w:rPr>
                <w:sz w:val="13"/>
              </w:rPr>
              <w:t>command-development</w:t>
            </w:r>
          </w:p>
        </w:tc>
        <w:tc>
          <w:tcPr>
            <w:tcW w:type="dxa" w:w="1656"/>
            <w:tcMar>
              <w:top w:w="80" w:type="dxa"/>
              <w:start w:w="120" w:type="dxa"/>
              <w:bottom w:w="80" w:type="dxa"/>
              <w:end w:w="120" w:type="dxa"/>
            </w:tcMar>
            <w:vAlign w:val="center"/>
          </w:tcPr>
          <w:p>
            <w:pPr>
              <w:spacing w:after="30"/>
            </w:pPr>
            <w:r>
              <w:rPr>
                <w:sz w:val="13"/>
              </w:rPr>
              <w:t>Optional plugin-dev</w:t>
            </w:r>
          </w:p>
        </w:tc>
        <w:tc>
          <w:tcPr>
            <w:tcW w:type="dxa" w:w="2448"/>
            <w:tcMar>
              <w:top w:w="80" w:type="dxa"/>
              <w:start w:w="120" w:type="dxa"/>
              <w:bottom w:w="80" w:type="dxa"/>
              <w:end w:w="120" w:type="dxa"/>
            </w:tcMar>
            <w:vAlign w:val="center"/>
          </w:tcPr>
          <w:p>
            <w:pPr>
              <w:spacing w:after="30"/>
            </w:pPr>
            <w:r>
              <w:rPr>
                <w:sz w:val="13"/>
              </w:rPr>
              <w:t>Generates commands and tool allowlists</w:t>
            </w:r>
          </w:p>
        </w:tc>
        <w:tc>
          <w:tcPr>
            <w:tcW w:type="dxa" w:w="1008"/>
            <w:tcMar>
              <w:top w:w="80" w:type="dxa"/>
              <w:start w:w="120" w:type="dxa"/>
              <w:bottom w:w="80" w:type="dxa"/>
              <w:end w:w="120" w:type="dxa"/>
            </w:tcMar>
            <w:vAlign w:val="center"/>
          </w:tcPr>
          <w:p>
            <w:pPr>
              <w:spacing w:after="30"/>
            </w:pPr>
            <w:r>
              <w:rPr>
                <w:sz w:val="13"/>
              </w:rPr>
              <w:t>High</w:t>
            </w:r>
          </w:p>
        </w:tc>
        <w:tc>
          <w:tcPr>
            <w:tcW w:type="dxa" w:w="2592"/>
            <w:tcMar>
              <w:top w:w="80" w:type="dxa"/>
              <w:start w:w="120" w:type="dxa"/>
              <w:bottom w:w="80" w:type="dxa"/>
              <w:end w:w="120" w:type="dxa"/>
            </w:tcMar>
            <w:vAlign w:val="center"/>
          </w:tcPr>
          <w:p>
            <w:pPr>
              <w:spacing w:after="30"/>
            </w:pPr>
            <w:r>
              <w:rPr>
                <w:sz w:val="13"/>
              </w:rPr>
              <w:t>No Bash(*) or broad pre-approval.</w:t>
            </w:r>
          </w:p>
        </w:tc>
      </w:tr>
      <w:tr>
        <w:trPr>
          <w:cantSplit/>
        </w:trPr>
        <w:tc>
          <w:tcPr>
            <w:tcW w:type="dxa" w:w="1656"/>
            <w:tcMar>
              <w:top w:w="80" w:type="dxa"/>
              <w:start w:w="120" w:type="dxa"/>
              <w:bottom w:w="80" w:type="dxa"/>
              <w:end w:w="120" w:type="dxa"/>
            </w:tcMar>
            <w:vAlign w:val="center"/>
            <w:shd w:fill="F3F6F8"/>
          </w:tcPr>
          <w:p>
            <w:pPr>
              <w:spacing w:after="30"/>
            </w:pPr>
            <w:r>
              <w:rPr>
                <w:sz w:val="13"/>
              </w:rPr>
              <w:t>hook-development</w:t>
            </w:r>
          </w:p>
        </w:tc>
        <w:tc>
          <w:tcPr>
            <w:tcW w:type="dxa" w:w="1656"/>
            <w:tcMar>
              <w:top w:w="80" w:type="dxa"/>
              <w:start w:w="120" w:type="dxa"/>
              <w:bottom w:w="80" w:type="dxa"/>
              <w:end w:w="120" w:type="dxa"/>
            </w:tcMar>
            <w:vAlign w:val="center"/>
            <w:shd w:fill="F3F6F8"/>
          </w:tcPr>
          <w:p>
            <w:pPr>
              <w:spacing w:after="30"/>
            </w:pPr>
            <w:r>
              <w:rPr>
                <w:sz w:val="13"/>
              </w:rPr>
              <w:t>Optional plugin-dev</w:t>
            </w:r>
          </w:p>
        </w:tc>
        <w:tc>
          <w:tcPr>
            <w:tcW w:type="dxa" w:w="2448"/>
            <w:tcMar>
              <w:top w:w="80" w:type="dxa"/>
              <w:start w:w="120" w:type="dxa"/>
              <w:bottom w:w="80" w:type="dxa"/>
              <w:end w:w="120" w:type="dxa"/>
            </w:tcMar>
            <w:vAlign w:val="center"/>
            <w:shd w:fill="F3F6F8"/>
          </w:tcPr>
          <w:p>
            <w:pPr>
              <w:spacing w:after="30"/>
            </w:pPr>
            <w:r>
              <w:rPr>
                <w:sz w:val="13"/>
              </w:rPr>
              <w:t>Generates event-driven executable hooks</w:t>
            </w:r>
          </w:p>
        </w:tc>
        <w:tc>
          <w:tcPr>
            <w:tcW w:type="dxa" w:w="1008"/>
            <w:tcMar>
              <w:top w:w="80" w:type="dxa"/>
              <w:start w:w="120" w:type="dxa"/>
              <w:bottom w:w="80" w:type="dxa"/>
              <w:end w:w="120" w:type="dxa"/>
            </w:tcMar>
            <w:vAlign w:val="center"/>
            <w:shd w:fill="F3F6F8"/>
          </w:tcPr>
          <w:p>
            <w:pPr>
              <w:spacing w:after="30"/>
            </w:pPr>
            <w:r>
              <w:rPr>
                <w:sz w:val="13"/>
              </w:rPr>
              <w:t>High</w:t>
            </w:r>
          </w:p>
        </w:tc>
        <w:tc>
          <w:tcPr>
            <w:tcW w:type="dxa" w:w="2592"/>
            <w:tcMar>
              <w:top w:w="80" w:type="dxa"/>
              <w:start w:w="120" w:type="dxa"/>
              <w:bottom w:w="80" w:type="dxa"/>
              <w:end w:w="120" w:type="dxa"/>
            </w:tcMar>
            <w:vAlign w:val="center"/>
            <w:shd w:fill="F3F6F8"/>
          </w:tcPr>
          <w:p>
            <w:pPr>
              <w:spacing w:after="30"/>
            </w:pPr>
            <w:r>
              <w:rPr>
                <w:sz w:val="13"/>
              </w:rPr>
              <w:t>Managed hooks only; validate scripts/inputs.</w:t>
            </w:r>
          </w:p>
        </w:tc>
      </w:tr>
      <w:tr>
        <w:trPr>
          <w:cantSplit/>
        </w:trPr>
        <w:tc>
          <w:tcPr>
            <w:tcW w:type="dxa" w:w="1656"/>
            <w:tcMar>
              <w:top w:w="80" w:type="dxa"/>
              <w:start w:w="120" w:type="dxa"/>
              <w:bottom w:w="80" w:type="dxa"/>
              <w:end w:w="120" w:type="dxa"/>
            </w:tcMar>
            <w:vAlign w:val="center"/>
          </w:tcPr>
          <w:p>
            <w:pPr>
              <w:spacing w:after="30"/>
            </w:pPr>
            <w:r>
              <w:rPr>
                <w:sz w:val="13"/>
              </w:rPr>
              <w:t>mcp-integration</w:t>
            </w:r>
          </w:p>
        </w:tc>
        <w:tc>
          <w:tcPr>
            <w:tcW w:type="dxa" w:w="1656"/>
            <w:tcMar>
              <w:top w:w="80" w:type="dxa"/>
              <w:start w:w="120" w:type="dxa"/>
              <w:bottom w:w="80" w:type="dxa"/>
              <w:end w:w="120" w:type="dxa"/>
            </w:tcMar>
            <w:vAlign w:val="center"/>
          </w:tcPr>
          <w:p>
            <w:pPr>
              <w:spacing w:after="30"/>
            </w:pPr>
            <w:r>
              <w:rPr>
                <w:sz w:val="13"/>
              </w:rPr>
              <w:t>Optional plugin-dev</w:t>
            </w:r>
          </w:p>
        </w:tc>
        <w:tc>
          <w:tcPr>
            <w:tcW w:type="dxa" w:w="2448"/>
            <w:tcMar>
              <w:top w:w="80" w:type="dxa"/>
              <w:start w:w="120" w:type="dxa"/>
              <w:bottom w:w="80" w:type="dxa"/>
              <w:end w:w="120" w:type="dxa"/>
            </w:tcMar>
            <w:vAlign w:val="center"/>
          </w:tcPr>
          <w:p>
            <w:pPr>
              <w:spacing w:after="30"/>
            </w:pPr>
            <w:r>
              <w:rPr>
                <w:sz w:val="13"/>
              </w:rPr>
              <w:t>Generates local/remote MCP configurations</w:t>
            </w:r>
          </w:p>
        </w:tc>
        <w:tc>
          <w:tcPr>
            <w:tcW w:type="dxa" w:w="1008"/>
            <w:tcMar>
              <w:top w:w="80" w:type="dxa"/>
              <w:start w:w="120" w:type="dxa"/>
              <w:bottom w:w="80" w:type="dxa"/>
              <w:end w:w="120" w:type="dxa"/>
            </w:tcMar>
            <w:vAlign w:val="center"/>
          </w:tcPr>
          <w:p>
            <w:pPr>
              <w:spacing w:after="30"/>
            </w:pPr>
            <w:r>
              <w:rPr>
                <w:sz w:val="13"/>
              </w:rPr>
              <w:t>High</w:t>
            </w:r>
          </w:p>
        </w:tc>
        <w:tc>
          <w:tcPr>
            <w:tcW w:type="dxa" w:w="2592"/>
            <w:tcMar>
              <w:top w:w="80" w:type="dxa"/>
              <w:start w:w="120" w:type="dxa"/>
              <w:bottom w:w="80" w:type="dxa"/>
              <w:end w:w="120" w:type="dxa"/>
            </w:tcMar>
            <w:vAlign w:val="center"/>
          </w:tcPr>
          <w:p>
            <w:pPr>
              <w:spacing w:after="30"/>
            </w:pPr>
            <w:r>
              <w:rPr>
                <w:sz w:val="13"/>
              </w:rPr>
              <w:t>Server/tool/schema/domain allowlist.</w:t>
            </w:r>
          </w:p>
        </w:tc>
      </w:tr>
      <w:tr>
        <w:trPr>
          <w:cantSplit/>
        </w:trPr>
        <w:tc>
          <w:tcPr>
            <w:tcW w:type="dxa" w:w="1656"/>
            <w:tcMar>
              <w:top w:w="80" w:type="dxa"/>
              <w:start w:w="120" w:type="dxa"/>
              <w:bottom w:w="80" w:type="dxa"/>
              <w:end w:w="120" w:type="dxa"/>
            </w:tcMar>
            <w:vAlign w:val="center"/>
            <w:shd w:fill="F3F6F8"/>
          </w:tcPr>
          <w:p>
            <w:pPr>
              <w:spacing w:after="30"/>
            </w:pPr>
            <w:r>
              <w:rPr>
                <w:sz w:val="13"/>
              </w:rPr>
              <w:t>plugin-settings</w:t>
            </w:r>
          </w:p>
        </w:tc>
        <w:tc>
          <w:tcPr>
            <w:tcW w:type="dxa" w:w="1656"/>
            <w:tcMar>
              <w:top w:w="80" w:type="dxa"/>
              <w:start w:w="120" w:type="dxa"/>
              <w:bottom w:w="80" w:type="dxa"/>
              <w:end w:w="120" w:type="dxa"/>
            </w:tcMar>
            <w:vAlign w:val="center"/>
            <w:shd w:fill="F3F6F8"/>
          </w:tcPr>
          <w:p>
            <w:pPr>
              <w:spacing w:after="30"/>
            </w:pPr>
            <w:r>
              <w:rPr>
                <w:sz w:val="13"/>
              </w:rPr>
              <w:t>Optional plugin-dev</w:t>
            </w:r>
          </w:p>
        </w:tc>
        <w:tc>
          <w:tcPr>
            <w:tcW w:type="dxa" w:w="2448"/>
            <w:tcMar>
              <w:top w:w="80" w:type="dxa"/>
              <w:start w:w="120" w:type="dxa"/>
              <w:bottom w:w="80" w:type="dxa"/>
              <w:end w:w="120" w:type="dxa"/>
            </w:tcMar>
            <w:vAlign w:val="center"/>
            <w:shd w:fill="F3F6F8"/>
          </w:tcPr>
          <w:p>
            <w:pPr>
              <w:spacing w:after="30"/>
            </w:pPr>
            <w:r>
              <w:rPr>
                <w:sz w:val="13"/>
              </w:rPr>
              <w:t>Generates persistent settings</w:t>
            </w:r>
          </w:p>
        </w:tc>
        <w:tc>
          <w:tcPr>
            <w:tcW w:type="dxa" w:w="1008"/>
            <w:tcMar>
              <w:top w:w="80" w:type="dxa"/>
              <w:start w:w="120" w:type="dxa"/>
              <w:bottom w:w="80" w:type="dxa"/>
              <w:end w:w="120" w:type="dxa"/>
            </w:tcMar>
            <w:vAlign w:val="center"/>
            <w:shd w:fill="F3F6F8"/>
          </w:tcPr>
          <w:p>
            <w:pPr>
              <w:spacing w:after="30"/>
            </w:pPr>
            <w:r>
              <w:rPr>
                <w:sz w:val="13"/>
              </w:rPr>
              <w:t>Moderate</w:t>
            </w:r>
          </w:p>
        </w:tc>
        <w:tc>
          <w:tcPr>
            <w:tcW w:type="dxa" w:w="2592"/>
            <w:tcMar>
              <w:top w:w="80" w:type="dxa"/>
              <w:start w:w="120" w:type="dxa"/>
              <w:bottom w:w="80" w:type="dxa"/>
              <w:end w:w="120" w:type="dxa"/>
            </w:tcMar>
            <w:vAlign w:val="center"/>
            <w:shd w:fill="F3F6F8"/>
          </w:tcPr>
          <w:p>
            <w:pPr>
              <w:spacing w:after="30"/>
            </w:pPr>
            <w:r>
              <w:rPr>
                <w:sz w:val="13"/>
              </w:rPr>
              <w:t>Admin ownership and schema validation.</w:t>
            </w:r>
          </w:p>
        </w:tc>
      </w:tr>
      <w:tr>
        <w:trPr>
          <w:cantSplit/>
        </w:trPr>
        <w:tc>
          <w:tcPr>
            <w:tcW w:type="dxa" w:w="1656"/>
            <w:tcMar>
              <w:top w:w="80" w:type="dxa"/>
              <w:start w:w="120" w:type="dxa"/>
              <w:bottom w:w="80" w:type="dxa"/>
              <w:end w:w="120" w:type="dxa"/>
            </w:tcMar>
            <w:vAlign w:val="center"/>
          </w:tcPr>
          <w:p>
            <w:pPr>
              <w:spacing w:after="30"/>
            </w:pPr>
            <w:r>
              <w:rPr>
                <w:sz w:val="13"/>
              </w:rPr>
              <w:t>plugin-structure</w:t>
            </w:r>
          </w:p>
        </w:tc>
        <w:tc>
          <w:tcPr>
            <w:tcW w:type="dxa" w:w="1656"/>
            <w:tcMar>
              <w:top w:w="80" w:type="dxa"/>
              <w:start w:w="120" w:type="dxa"/>
              <w:bottom w:w="80" w:type="dxa"/>
              <w:end w:w="120" w:type="dxa"/>
            </w:tcMar>
            <w:vAlign w:val="center"/>
          </w:tcPr>
          <w:p>
            <w:pPr>
              <w:spacing w:after="30"/>
            </w:pPr>
            <w:r>
              <w:rPr>
                <w:sz w:val="13"/>
              </w:rPr>
              <w:t>Optional plugin-dev</w:t>
            </w:r>
          </w:p>
        </w:tc>
        <w:tc>
          <w:tcPr>
            <w:tcW w:type="dxa" w:w="2448"/>
            <w:tcMar>
              <w:top w:w="80" w:type="dxa"/>
              <w:start w:w="120" w:type="dxa"/>
              <w:bottom w:w="80" w:type="dxa"/>
              <w:end w:w="120" w:type="dxa"/>
            </w:tcMar>
            <w:vAlign w:val="center"/>
          </w:tcPr>
          <w:p>
            <w:pPr>
              <w:spacing w:after="30"/>
            </w:pPr>
            <w:r>
              <w:rPr>
                <w:sz w:val="13"/>
              </w:rPr>
              <w:t>Scaffolds plugins and MCP/hooks</w:t>
            </w:r>
          </w:p>
        </w:tc>
        <w:tc>
          <w:tcPr>
            <w:tcW w:type="dxa" w:w="1008"/>
            <w:tcMar>
              <w:top w:w="80" w:type="dxa"/>
              <w:start w:w="120" w:type="dxa"/>
              <w:bottom w:w="80" w:type="dxa"/>
              <w:end w:w="120" w:type="dxa"/>
            </w:tcMar>
            <w:vAlign w:val="center"/>
          </w:tcPr>
          <w:p>
            <w:pPr>
              <w:spacing w:after="30"/>
            </w:pPr>
            <w:r>
              <w:rPr>
                <w:sz w:val="13"/>
              </w:rPr>
              <w:t>Moderate</w:t>
            </w:r>
          </w:p>
        </w:tc>
        <w:tc>
          <w:tcPr>
            <w:tcW w:type="dxa" w:w="2592"/>
            <w:tcMar>
              <w:top w:w="80" w:type="dxa"/>
              <w:start w:w="120" w:type="dxa"/>
              <w:bottom w:w="80" w:type="dxa"/>
              <w:end w:w="120" w:type="dxa"/>
            </w:tcMar>
            <w:vAlign w:val="center"/>
          </w:tcPr>
          <w:p>
            <w:pPr>
              <w:spacing w:after="30"/>
            </w:pPr>
            <w:r>
              <w:rPr>
                <w:sz w:val="13"/>
              </w:rPr>
              <w:t>Transitive review before installation.</w:t>
            </w:r>
          </w:p>
        </w:tc>
      </w:tr>
      <w:tr>
        <w:trPr>
          <w:cantSplit/>
        </w:trPr>
        <w:tc>
          <w:tcPr>
            <w:tcW w:type="dxa" w:w="1656"/>
            <w:tcMar>
              <w:top w:w="80" w:type="dxa"/>
              <w:start w:w="120" w:type="dxa"/>
              <w:bottom w:w="80" w:type="dxa"/>
              <w:end w:w="120" w:type="dxa"/>
            </w:tcMar>
            <w:vAlign w:val="center"/>
            <w:shd w:fill="F3F6F8"/>
          </w:tcPr>
          <w:p>
            <w:pPr>
              <w:spacing w:after="30"/>
            </w:pPr>
            <w:r>
              <w:rPr>
                <w:sz w:val="13"/>
              </w:rPr>
              <w:t>skill-development</w:t>
            </w:r>
          </w:p>
        </w:tc>
        <w:tc>
          <w:tcPr>
            <w:tcW w:type="dxa" w:w="1656"/>
            <w:tcMar>
              <w:top w:w="80" w:type="dxa"/>
              <w:start w:w="120" w:type="dxa"/>
              <w:bottom w:w="80" w:type="dxa"/>
              <w:end w:w="120" w:type="dxa"/>
            </w:tcMar>
            <w:vAlign w:val="center"/>
            <w:shd w:fill="F3F6F8"/>
          </w:tcPr>
          <w:p>
            <w:pPr>
              <w:spacing w:after="30"/>
            </w:pPr>
            <w:r>
              <w:rPr>
                <w:sz w:val="13"/>
              </w:rPr>
              <w:t>Optional plugin-dev</w:t>
            </w:r>
          </w:p>
        </w:tc>
        <w:tc>
          <w:tcPr>
            <w:tcW w:type="dxa" w:w="2448"/>
            <w:tcMar>
              <w:top w:w="80" w:type="dxa"/>
              <w:start w:w="120" w:type="dxa"/>
              <w:bottom w:w="80" w:type="dxa"/>
              <w:end w:w="120" w:type="dxa"/>
            </w:tcMar>
            <w:vAlign w:val="center"/>
            <w:shd w:fill="F3F6F8"/>
          </w:tcPr>
          <w:p>
            <w:pPr>
              <w:spacing w:after="30"/>
            </w:pPr>
            <w:r>
              <w:rPr>
                <w:sz w:val="13"/>
              </w:rPr>
              <w:t>Generates new auto-invocable skills</w:t>
            </w:r>
          </w:p>
        </w:tc>
        <w:tc>
          <w:tcPr>
            <w:tcW w:type="dxa" w:w="1008"/>
            <w:tcMar>
              <w:top w:w="80" w:type="dxa"/>
              <w:start w:w="120" w:type="dxa"/>
              <w:bottom w:w="80" w:type="dxa"/>
              <w:end w:w="120" w:type="dxa"/>
            </w:tcMar>
            <w:vAlign w:val="center"/>
            <w:shd w:fill="F3F6F8"/>
          </w:tcPr>
          <w:p>
            <w:pPr>
              <w:spacing w:after="30"/>
            </w:pPr>
            <w:r>
              <w:rPr>
                <w:sz w:val="13"/>
              </w:rPr>
              <w:t>High</w:t>
            </w:r>
          </w:p>
        </w:tc>
        <w:tc>
          <w:tcPr>
            <w:tcW w:type="dxa" w:w="2592"/>
            <w:tcMar>
              <w:top w:w="80" w:type="dxa"/>
              <w:start w:w="120" w:type="dxa"/>
              <w:bottom w:w="80" w:type="dxa"/>
              <w:end w:w="120" w:type="dxa"/>
            </w:tcMar>
            <w:vAlign w:val="center"/>
            <w:shd w:fill="F3F6F8"/>
          </w:tcPr>
          <w:p>
            <w:pPr>
              <w:spacing w:after="30"/>
            </w:pPr>
            <w:r>
              <w:rPr>
                <w:sz w:val="13"/>
              </w:rPr>
              <w:t>Trigger/tool review and immutable provenance.</w:t>
            </w:r>
          </w:p>
        </w:tc>
      </w:tr>
    </w:tbl>
    <w:p>
      <w:pPr>
        <w:spacing w:after="40"/>
      </w:pPr>
    </w:p>
    <w:p>
      <w:pPr>
        <w:pStyle w:val="Heading2"/>
      </w:pPr>
      <w:r>
        <w:t>Common Skill Threat Analysis</w:t>
      </w:r>
    </w:p>
    <w:p>
      <w:r>
        <w:t xml:space="preserve">Skills can broaden triggers, inject instructions, pre-authorise tools, call shell commands, load transitive references, configure MCP, generate hooks and persist configuration. Repository-local skills become trusted only after workspace trust, but trust is not a security review. Use managed marketplace provenance, immutable revisions, transitive inspection, `disableSkillShellExecution`, deny-first tools and isolated tests. </w:t>
      </w:r>
      <w:hyperlink w:anchor="REF_012">
        <w:r>
          <w:rPr>
            <w:color w:val="0563C1"/>
            <w:u w:val="single"/>
          </w:rPr>
          <w:t>[REF-012]</w:t>
        </w:r>
      </w:hyperlink>
      <w:r>
        <w:t xml:space="preserve"> </w:t>
      </w:r>
      <w:hyperlink w:anchor="REF_013">
        <w:r>
          <w:rPr>
            <w:color w:val="0563C1"/>
            <w:u w:val="single"/>
          </w:rPr>
          <w:t>[REF-013]</w:t>
        </w:r>
      </w:hyperlink>
    </w:p>
    <w:p>
      <w:pPr>
        <w:pStyle w:val="Heading2"/>
      </w:pPr>
      <w:r>
        <w:t>Per-Skill Approval</w:t>
      </w:r>
    </w:p>
    <w:p>
      <w:r>
        <w:t>`frontend-design` may be conditionally approved as instruction-only after immutable pinning. `writing-rules` and migration guidance require generated-output review. All seven plugin-development skills remain unapproved by default because they create agents, commands, hooks, MCP, settings, plugin structures or further skills. No wildcard Bash/MCP pre-approval is acceptable.</w:t>
      </w:r>
    </w:p>
    <w:p>
      <w:pPr>
        <w:pStyle w:val="Heading1"/>
      </w:pPr>
      <w:r>
        <w:t>Cross-IDE Comparison and Composition Risk</w:t>
      </w:r>
    </w:p>
    <w:tbl>
      <w:tblPr>
        <w:tblStyle w:val="TableGrid"/>
        <w:tblW w:type="auto" w:w="0"/>
        <w:jc w:val="center"/>
        <w:tblLayout w:type="fixed"/>
        <w:tblLook w:firstColumn="1" w:firstRow="1" w:lastColumn="0" w:lastRow="0" w:noHBand="0" w:noVBand="1" w:val="04A0"/>
      </w:tblPr>
      <w:tblGrid>
        <w:gridCol w:w="1584"/>
        <w:gridCol w:w="2448"/>
        <w:gridCol w:w="2160"/>
        <w:gridCol w:w="3168"/>
      </w:tblGrid>
      <w:tr>
        <w:trPr>
          <w:tblHeader/>
        </w:trPr>
        <w:tc>
          <w:tcPr>
            <w:tcW w:type="dxa" w:w="1584"/>
            <w:shd w:fill="17365D"/>
            <w:tcMar>
              <w:top w:w="80" w:type="dxa"/>
              <w:start w:w="120" w:type="dxa"/>
              <w:bottom w:w="80" w:type="dxa"/>
              <w:end w:w="120" w:type="dxa"/>
            </w:tcMar>
            <w:vAlign w:val="center"/>
          </w:tcPr>
          <w:p>
            <w:r>
              <w:rPr>
                <w:b/>
                <w:color w:val="FFFFFF"/>
                <w:sz w:val="14"/>
              </w:rPr>
              <w:t>Dimension</w:t>
            </w:r>
          </w:p>
        </w:tc>
        <w:tc>
          <w:tcPr>
            <w:tcW w:type="dxa" w:w="2448"/>
            <w:shd w:fill="17365D"/>
            <w:tcMar>
              <w:top w:w="80" w:type="dxa"/>
              <w:start w:w="120" w:type="dxa"/>
              <w:bottom w:w="80" w:type="dxa"/>
              <w:end w:w="120" w:type="dxa"/>
            </w:tcMar>
            <w:vAlign w:val="center"/>
          </w:tcPr>
          <w:p>
            <w:r>
              <w:rPr>
                <w:b/>
                <w:color w:val="FFFFFF"/>
                <w:sz w:val="14"/>
              </w:rPr>
              <w:t>VS Code</w:t>
            </w:r>
          </w:p>
        </w:tc>
        <w:tc>
          <w:tcPr>
            <w:tcW w:type="dxa" w:w="2160"/>
            <w:shd w:fill="17365D"/>
            <w:tcMar>
              <w:top w:w="80" w:type="dxa"/>
              <w:start w:w="120" w:type="dxa"/>
              <w:bottom w:w="80" w:type="dxa"/>
              <w:end w:w="120" w:type="dxa"/>
            </w:tcMar>
            <w:vAlign w:val="center"/>
          </w:tcPr>
          <w:p>
            <w:r>
              <w:rPr>
                <w:b/>
                <w:color w:val="FFFFFF"/>
                <w:sz w:val="14"/>
              </w:rPr>
              <w:t>Microsoft Visual Studio</w:t>
            </w:r>
          </w:p>
        </w:tc>
        <w:tc>
          <w:tcPr>
            <w:tcW w:type="dxa" w:w="3168"/>
            <w:shd w:fill="17365D"/>
            <w:tcMar>
              <w:top w:w="80" w:type="dxa"/>
              <w:start w:w="120" w:type="dxa"/>
              <w:bottom w:w="80" w:type="dxa"/>
              <w:end w:w="120" w:type="dxa"/>
            </w:tcMar>
            <w:vAlign w:val="center"/>
          </w:tcPr>
          <w:p>
            <w:r>
              <w:rPr>
                <w:b/>
                <w:color w:val="FFFFFF"/>
                <w:sz w:val="14"/>
              </w:rPr>
              <w:t>Composition risk</w:t>
            </w:r>
          </w:p>
        </w:tc>
      </w:tr>
      <w:tr>
        <w:trPr>
          <w:cantSplit/>
        </w:trPr>
        <w:tc>
          <w:tcPr>
            <w:tcW w:type="dxa" w:w="1584"/>
            <w:tcMar>
              <w:top w:w="80" w:type="dxa"/>
              <w:start w:w="120" w:type="dxa"/>
              <w:bottom w:w="80" w:type="dxa"/>
              <w:end w:w="120" w:type="dxa"/>
            </w:tcMar>
            <w:vAlign w:val="center"/>
          </w:tcPr>
          <w:p>
            <w:pPr>
              <w:spacing w:after="30"/>
            </w:pPr>
            <w:r>
              <w:rPr>
                <w:sz w:val="14"/>
              </w:rPr>
              <w:t>Support</w:t>
            </w:r>
          </w:p>
        </w:tc>
        <w:tc>
          <w:tcPr>
            <w:tcW w:type="dxa" w:w="2448"/>
            <w:tcMar>
              <w:top w:w="80" w:type="dxa"/>
              <w:start w:w="120" w:type="dxa"/>
              <w:bottom w:w="80" w:type="dxa"/>
              <w:end w:w="120" w:type="dxa"/>
            </w:tcMar>
            <w:vAlign w:val="center"/>
          </w:tcPr>
          <w:p>
            <w:pPr>
              <w:spacing w:after="30"/>
            </w:pPr>
            <w:r>
              <w:rPr>
                <w:sz w:val="14"/>
              </w:rPr>
              <w:t>Official extension</w:t>
            </w:r>
          </w:p>
        </w:tc>
        <w:tc>
          <w:tcPr>
            <w:tcW w:type="dxa" w:w="2160"/>
            <w:tcMar>
              <w:top w:w="80" w:type="dxa"/>
              <w:start w:w="120" w:type="dxa"/>
              <w:bottom w:w="80" w:type="dxa"/>
              <w:end w:w="120" w:type="dxa"/>
            </w:tcMar>
            <w:vAlign w:val="center"/>
          </w:tcPr>
          <w:p>
            <w:pPr>
              <w:spacing w:after="30"/>
            </w:pPr>
            <w:r>
              <w:rPr>
                <w:sz w:val="14"/>
              </w:rPr>
              <w:t>Unsupported</w:t>
            </w:r>
          </w:p>
        </w:tc>
        <w:tc>
          <w:tcPr>
            <w:tcW w:type="dxa" w:w="3168"/>
            <w:tcMar>
              <w:top w:w="80" w:type="dxa"/>
              <w:start w:w="120" w:type="dxa"/>
              <w:bottom w:w="80" w:type="dxa"/>
              <w:end w:w="120" w:type="dxa"/>
            </w:tcMar>
            <w:vAlign w:val="center"/>
          </w:tcPr>
          <w:p>
            <w:pPr>
              <w:spacing w:after="30"/>
            </w:pPr>
            <w:r>
              <w:rPr>
                <w:sz w:val="14"/>
              </w:rPr>
              <w:t>Name confusion can misapply approval</w:t>
            </w:r>
          </w:p>
        </w:tc>
      </w:tr>
      <w:tr>
        <w:trPr>
          <w:cantSplit/>
        </w:trPr>
        <w:tc>
          <w:tcPr>
            <w:tcW w:type="dxa" w:w="1584"/>
            <w:tcMar>
              <w:top w:w="80" w:type="dxa"/>
              <w:start w:w="120" w:type="dxa"/>
              <w:bottom w:w="80" w:type="dxa"/>
              <w:end w:w="120" w:type="dxa"/>
            </w:tcMar>
            <w:vAlign w:val="center"/>
            <w:shd w:fill="F3F6F8"/>
          </w:tcPr>
          <w:p>
            <w:pPr>
              <w:spacing w:after="30"/>
            </w:pPr>
            <w:r>
              <w:rPr>
                <w:sz w:val="14"/>
              </w:rPr>
              <w:t>Agent runtime</w:t>
            </w:r>
          </w:p>
        </w:tc>
        <w:tc>
          <w:tcPr>
            <w:tcW w:type="dxa" w:w="2448"/>
            <w:tcMar>
              <w:top w:w="80" w:type="dxa"/>
              <w:start w:w="120" w:type="dxa"/>
              <w:bottom w:w="80" w:type="dxa"/>
              <w:end w:w="120" w:type="dxa"/>
            </w:tcMar>
            <w:vAlign w:val="center"/>
            <w:shd w:fill="F3F6F8"/>
          </w:tcPr>
          <w:p>
            <w:pPr>
              <w:spacing w:after="30"/>
            </w:pPr>
            <w:r>
              <w:rPr>
                <w:sz w:val="14"/>
              </w:rPr>
              <w:t>Bundled native Claude process</w:t>
            </w:r>
          </w:p>
        </w:tc>
        <w:tc>
          <w:tcPr>
            <w:tcW w:type="dxa" w:w="2160"/>
            <w:tcMar>
              <w:top w:w="80" w:type="dxa"/>
              <w:start w:w="120" w:type="dxa"/>
              <w:bottom w:w="80" w:type="dxa"/>
              <w:end w:w="120" w:type="dxa"/>
            </w:tcMar>
            <w:vAlign w:val="center"/>
            <w:shd w:fill="F3F6F8"/>
          </w:tcPr>
          <w:p>
            <w:pPr>
              <w:spacing w:after="30"/>
            </w:pPr>
            <w:r>
              <w:rPr>
                <w:sz w:val="14"/>
              </w:rPr>
              <w:t>Not assessed</w:t>
            </w:r>
          </w:p>
        </w:tc>
        <w:tc>
          <w:tcPr>
            <w:tcW w:type="dxa" w:w="3168"/>
            <w:tcMar>
              <w:top w:w="80" w:type="dxa"/>
              <w:start w:w="120" w:type="dxa"/>
              <w:bottom w:w="80" w:type="dxa"/>
              <w:end w:w="120" w:type="dxa"/>
            </w:tcMar>
            <w:vAlign w:val="center"/>
            <w:shd w:fill="F3F6F8"/>
          </w:tcPr>
          <w:p>
            <w:pPr>
              <w:spacing w:after="30"/>
            </w:pPr>
            <w:r>
              <w:rPr>
                <w:sz w:val="14"/>
              </w:rPr>
              <w:t>CLI/settings may be shared with other hosts</w:t>
            </w:r>
          </w:p>
        </w:tc>
      </w:tr>
      <w:tr>
        <w:trPr>
          <w:cantSplit/>
        </w:trPr>
        <w:tc>
          <w:tcPr>
            <w:tcW w:type="dxa" w:w="1584"/>
            <w:tcMar>
              <w:top w:w="80" w:type="dxa"/>
              <w:start w:w="120" w:type="dxa"/>
              <w:bottom w:w="80" w:type="dxa"/>
              <w:end w:w="120" w:type="dxa"/>
            </w:tcMar>
            <w:vAlign w:val="center"/>
          </w:tcPr>
          <w:p>
            <w:pPr>
              <w:spacing w:after="30"/>
            </w:pPr>
            <w:r>
              <w:rPr>
                <w:sz w:val="14"/>
              </w:rPr>
              <w:t>MCP</w:t>
            </w:r>
          </w:p>
        </w:tc>
        <w:tc>
          <w:tcPr>
            <w:tcW w:type="dxa" w:w="2448"/>
            <w:tcMar>
              <w:top w:w="80" w:type="dxa"/>
              <w:start w:w="120" w:type="dxa"/>
              <w:bottom w:w="80" w:type="dxa"/>
              <w:end w:w="120" w:type="dxa"/>
            </w:tcMar>
            <w:vAlign w:val="center"/>
          </w:tcPr>
          <w:p>
            <w:pPr>
              <w:spacing w:after="30"/>
            </w:pPr>
            <w:r>
              <w:rPr>
                <w:sz w:val="14"/>
              </w:rPr>
              <w:t>Hidden IDE server + configured servers</w:t>
            </w:r>
          </w:p>
        </w:tc>
        <w:tc>
          <w:tcPr>
            <w:tcW w:type="dxa" w:w="2160"/>
            <w:tcMar>
              <w:top w:w="80" w:type="dxa"/>
              <w:start w:w="120" w:type="dxa"/>
              <w:bottom w:w="80" w:type="dxa"/>
              <w:end w:w="120" w:type="dxa"/>
            </w:tcMar>
            <w:vAlign w:val="center"/>
          </w:tcPr>
          <w:p>
            <w:pPr>
              <w:spacing w:after="30"/>
            </w:pPr>
            <w:r>
              <w:rPr>
                <w:sz w:val="14"/>
              </w:rPr>
              <w:t>Not assessed</w:t>
            </w:r>
          </w:p>
        </w:tc>
        <w:tc>
          <w:tcPr>
            <w:tcW w:type="dxa" w:w="3168"/>
            <w:tcMar>
              <w:top w:w="80" w:type="dxa"/>
              <w:start w:w="120" w:type="dxa"/>
              <w:bottom w:w="80" w:type="dxa"/>
              <w:end w:w="120" w:type="dxa"/>
            </w:tcMar>
            <w:vAlign w:val="center"/>
          </w:tcPr>
          <w:p>
            <w:pPr>
              <w:spacing w:after="30"/>
            </w:pPr>
            <w:r>
              <w:rPr>
                <w:sz w:val="14"/>
              </w:rPr>
              <w:t>Cross-server tool/result injection</w:t>
            </w:r>
          </w:p>
        </w:tc>
      </w:tr>
      <w:tr>
        <w:trPr>
          <w:cantSplit/>
        </w:trPr>
        <w:tc>
          <w:tcPr>
            <w:tcW w:type="dxa" w:w="1584"/>
            <w:tcMar>
              <w:top w:w="80" w:type="dxa"/>
              <w:start w:w="120" w:type="dxa"/>
              <w:bottom w:w="80" w:type="dxa"/>
              <w:end w:w="120" w:type="dxa"/>
            </w:tcMar>
            <w:vAlign w:val="center"/>
            <w:shd w:fill="F3F6F8"/>
          </w:tcPr>
          <w:p>
            <w:pPr>
              <w:spacing w:after="30"/>
            </w:pPr>
            <w:r>
              <w:rPr>
                <w:sz w:val="14"/>
              </w:rPr>
              <w:t>Skills/plugins/hooks</w:t>
            </w:r>
          </w:p>
        </w:tc>
        <w:tc>
          <w:tcPr>
            <w:tcW w:type="dxa" w:w="2448"/>
            <w:tcMar>
              <w:top w:w="80" w:type="dxa"/>
              <w:start w:w="120" w:type="dxa"/>
              <w:bottom w:w="80" w:type="dxa"/>
              <w:end w:w="120" w:type="dxa"/>
            </w:tcMar>
            <w:vAlign w:val="center"/>
            <w:shd w:fill="F3F6F8"/>
          </w:tcPr>
          <w:p>
            <w:pPr>
              <w:spacing w:after="30"/>
            </w:pPr>
            <w:r>
              <w:rPr>
                <w:sz w:val="14"/>
              </w:rPr>
              <w:t>Supported; optional and embedded surfaces</w:t>
            </w:r>
          </w:p>
        </w:tc>
        <w:tc>
          <w:tcPr>
            <w:tcW w:type="dxa" w:w="2160"/>
            <w:tcMar>
              <w:top w:w="80" w:type="dxa"/>
              <w:start w:w="120" w:type="dxa"/>
              <w:bottom w:w="80" w:type="dxa"/>
              <w:end w:w="120" w:type="dxa"/>
            </w:tcMar>
            <w:vAlign w:val="center"/>
            <w:shd w:fill="F3F6F8"/>
          </w:tcPr>
          <w:p>
            <w:pPr>
              <w:spacing w:after="30"/>
            </w:pPr>
            <w:r>
              <w:rPr>
                <w:sz w:val="14"/>
              </w:rPr>
              <w:t>Not assessed</w:t>
            </w:r>
          </w:p>
        </w:tc>
        <w:tc>
          <w:tcPr>
            <w:tcW w:type="dxa" w:w="3168"/>
            <w:tcMar>
              <w:top w:w="80" w:type="dxa"/>
              <w:start w:w="120" w:type="dxa"/>
              <w:bottom w:w="80" w:type="dxa"/>
              <w:end w:w="120" w:type="dxa"/>
            </w:tcMar>
            <w:vAlign w:val="center"/>
            <w:shd w:fill="F3F6F8"/>
          </w:tcPr>
          <w:p>
            <w:pPr>
              <w:spacing w:after="30"/>
            </w:pPr>
            <w:r>
              <w:rPr>
                <w:sz w:val="14"/>
              </w:rPr>
              <w:t>Shared ~/.claude state can cross contexts</w:t>
            </w:r>
          </w:p>
        </w:tc>
      </w:tr>
      <w:tr>
        <w:trPr>
          <w:cantSplit/>
        </w:trPr>
        <w:tc>
          <w:tcPr>
            <w:tcW w:type="dxa" w:w="1584"/>
            <w:tcMar>
              <w:top w:w="80" w:type="dxa"/>
              <w:start w:w="120" w:type="dxa"/>
              <w:bottom w:w="80" w:type="dxa"/>
              <w:end w:w="120" w:type="dxa"/>
            </w:tcMar>
            <w:vAlign w:val="center"/>
          </w:tcPr>
          <w:p>
            <w:pPr>
              <w:spacing w:after="30"/>
            </w:pPr>
            <w:r>
              <w:rPr>
                <w:sz w:val="14"/>
              </w:rPr>
              <w:t>Privacy</w:t>
            </w:r>
          </w:p>
        </w:tc>
        <w:tc>
          <w:tcPr>
            <w:tcW w:type="dxa" w:w="2448"/>
            <w:tcMar>
              <w:top w:w="80" w:type="dxa"/>
              <w:start w:w="120" w:type="dxa"/>
              <w:bottom w:w="80" w:type="dxa"/>
              <w:end w:w="120" w:type="dxa"/>
            </w:tcMar>
            <w:vAlign w:val="center"/>
          </w:tcPr>
          <w:p>
            <w:pPr>
              <w:spacing w:after="30"/>
            </w:pPr>
            <w:r>
              <w:rPr>
                <w:sz w:val="14"/>
              </w:rPr>
              <w:t>Provider + plaintext local transcripts</w:t>
            </w:r>
          </w:p>
        </w:tc>
        <w:tc>
          <w:tcPr>
            <w:tcW w:type="dxa" w:w="2160"/>
            <w:tcMar>
              <w:top w:w="80" w:type="dxa"/>
              <w:start w:w="120" w:type="dxa"/>
              <w:bottom w:w="80" w:type="dxa"/>
              <w:end w:w="120" w:type="dxa"/>
            </w:tcMar>
            <w:vAlign w:val="center"/>
          </w:tcPr>
          <w:p>
            <w:pPr>
              <w:spacing w:after="30"/>
            </w:pPr>
            <w:r>
              <w:rPr>
                <w:sz w:val="14"/>
              </w:rPr>
              <w:t>Not assessed</w:t>
            </w:r>
          </w:p>
        </w:tc>
        <w:tc>
          <w:tcPr>
            <w:tcW w:type="dxa" w:w="3168"/>
            <w:tcMar>
              <w:top w:w="80" w:type="dxa"/>
              <w:start w:w="120" w:type="dxa"/>
              <w:bottom w:w="80" w:type="dxa"/>
              <w:end w:w="120" w:type="dxa"/>
            </w:tcMar>
            <w:vAlign w:val="center"/>
          </w:tcPr>
          <w:p>
            <w:pPr>
              <w:spacing w:after="30"/>
            </w:pPr>
            <w:r>
              <w:rPr>
                <w:sz w:val="14"/>
              </w:rPr>
              <w:t>Shared tenant/state can widen data scope</w:t>
            </w:r>
          </w:p>
        </w:tc>
      </w:tr>
    </w:tbl>
    <w:p>
      <w:pPr>
        <w:spacing w:after="40"/>
      </w:pPr>
    </w:p>
    <w:p>
      <w:pPr>
        <w:pStyle w:val="Heading1"/>
      </w:pPr>
      <w:r>
        <w:t>Consolidated Supply Chain Assessment</w:t>
      </w:r>
    </w:p>
    <w:p>
      <w:r>
        <w:t>Positive evidence includes the verified publisher, exact Marketplace hash, official tagged release, safe archives and a Developer-ID-signed main executable. Gaps include an ad-hoc audio module, opaque native/minified code, no complete public source correspondence, no vendor SBOM/provenance and untested platform variants. Result: High residual assurance risk, not a malware allegation.</w:t>
      </w:r>
    </w:p>
    <w:p>
      <w:pPr>
        <w:pStyle w:val="Heading1"/>
      </w:pPr>
      <w:r>
        <w:t>Consolidated Privacy and Data Protection</w:t>
      </w:r>
    </w:p>
    <w:p>
      <w:r>
        <w:t xml:space="preserve">Prompts, code, outputs, diagnostics, terminal data, notebook content, MCP data, transcripts, logs and feedback may contain personal or confidential information. Require approved commercial terms, DPIA, minimisation, Enterprise/ZDR where needed, transcript control, nonessential-traffic control, data-subject/deletion processes, transfer/subprocessor review and use-case restrictions. </w:t>
      </w:r>
      <w:hyperlink w:anchor="REF_008">
        <w:r>
          <w:rPr>
            <w:color w:val="0563C1"/>
            <w:u w:val="single"/>
          </w:rPr>
          <w:t>[REF-008]</w:t>
        </w:r>
      </w:hyperlink>
      <w:r>
        <w:t xml:space="preserve"> </w:t>
      </w:r>
      <w:hyperlink w:anchor="REF_010">
        <w:r>
          <w:rPr>
            <w:color w:val="0563C1"/>
            <w:u w:val="single"/>
          </w:rPr>
          <w:t>[REF-010]</w:t>
        </w:r>
      </w:hyperlink>
      <w:r>
        <w:t xml:space="preserve"> </w:t>
      </w:r>
      <w:hyperlink w:anchor="REF_022">
        <w:r>
          <w:rPr>
            <w:color w:val="0563C1"/>
            <w:u w:val="single"/>
          </w:rPr>
          <w:t>[REF-022]</w:t>
        </w:r>
      </w:hyperlink>
      <w:r>
        <w:t xml:space="preserve"> </w:t>
      </w:r>
      <w:hyperlink w:anchor="REF_025">
        <w:r>
          <w:rPr>
            <w:color w:val="0563C1"/>
            <w:u w:val="single"/>
          </w:rPr>
          <w:t>[REF-025]</w:t>
        </w:r>
      </w:hyperlink>
    </w:p>
    <w:tbl>
      <w:tblPr>
        <w:tblStyle w:val="TableGrid"/>
        <w:tblW w:type="auto" w:w="0"/>
        <w:jc w:val="center"/>
        <w:tblLayout w:type="fixed"/>
        <w:tblLook w:firstColumn="1" w:firstRow="1" w:lastColumn="0" w:lastRow="0" w:noHBand="0" w:noVBand="1" w:val="04A0"/>
      </w:tblPr>
      <w:tblGrid>
        <w:gridCol w:w="2016"/>
        <w:gridCol w:w="2592"/>
        <w:gridCol w:w="3024"/>
        <w:gridCol w:w="1728"/>
      </w:tblGrid>
      <w:tr>
        <w:trPr>
          <w:tblHeader/>
        </w:trPr>
        <w:tc>
          <w:tcPr>
            <w:tcW w:type="dxa" w:w="2016"/>
            <w:shd w:fill="17365D"/>
            <w:tcMar>
              <w:top w:w="80" w:type="dxa"/>
              <w:start w:w="120" w:type="dxa"/>
              <w:bottom w:w="80" w:type="dxa"/>
              <w:end w:w="120" w:type="dxa"/>
            </w:tcMar>
            <w:vAlign w:val="center"/>
          </w:tcPr>
          <w:p>
            <w:r>
              <w:rPr>
                <w:b/>
                <w:color w:val="FFFFFF"/>
                <w:sz w:val="14"/>
              </w:rPr>
              <w:t>Privacy issue</w:t>
            </w:r>
          </w:p>
        </w:tc>
        <w:tc>
          <w:tcPr>
            <w:tcW w:type="dxa" w:w="2592"/>
            <w:shd w:fill="17365D"/>
            <w:tcMar>
              <w:top w:w="80" w:type="dxa"/>
              <w:start w:w="120" w:type="dxa"/>
              <w:bottom w:w="80" w:type="dxa"/>
              <w:end w:w="120" w:type="dxa"/>
            </w:tcMar>
            <w:vAlign w:val="center"/>
          </w:tcPr>
          <w:p>
            <w:r>
              <w:rPr>
                <w:b/>
                <w:color w:val="FFFFFF"/>
                <w:sz w:val="14"/>
              </w:rPr>
              <w:t>Verified/inferred state</w:t>
            </w:r>
          </w:p>
        </w:tc>
        <w:tc>
          <w:tcPr>
            <w:tcW w:type="dxa" w:w="3024"/>
            <w:shd w:fill="17365D"/>
            <w:tcMar>
              <w:top w:w="80" w:type="dxa"/>
              <w:start w:w="120" w:type="dxa"/>
              <w:bottom w:w="80" w:type="dxa"/>
              <w:end w:w="120" w:type="dxa"/>
            </w:tcMar>
            <w:vAlign w:val="center"/>
          </w:tcPr>
          <w:p>
            <w:r>
              <w:rPr>
                <w:b/>
                <w:color w:val="FFFFFF"/>
                <w:sz w:val="14"/>
              </w:rPr>
              <w:t>Required evidence</w:t>
            </w:r>
          </w:p>
        </w:tc>
        <w:tc>
          <w:tcPr>
            <w:tcW w:type="dxa" w:w="1728"/>
            <w:shd w:fill="17365D"/>
            <w:tcMar>
              <w:top w:w="80" w:type="dxa"/>
              <w:start w:w="120" w:type="dxa"/>
              <w:bottom w:w="80" w:type="dxa"/>
              <w:end w:w="120" w:type="dxa"/>
            </w:tcMar>
            <w:vAlign w:val="center"/>
          </w:tcPr>
          <w:p>
            <w:r>
              <w:rPr>
                <w:b/>
                <w:color w:val="FFFFFF"/>
                <w:sz w:val="14"/>
              </w:rPr>
              <w:t>Owner</w:t>
            </w:r>
          </w:p>
        </w:tc>
      </w:tr>
      <w:tr>
        <w:trPr>
          <w:cantSplit/>
        </w:trPr>
        <w:tc>
          <w:tcPr>
            <w:tcW w:type="dxa" w:w="2016"/>
            <w:tcMar>
              <w:top w:w="80" w:type="dxa"/>
              <w:start w:w="120" w:type="dxa"/>
              <w:bottom w:w="80" w:type="dxa"/>
              <w:end w:w="120" w:type="dxa"/>
            </w:tcMar>
            <w:vAlign w:val="center"/>
          </w:tcPr>
          <w:p>
            <w:pPr>
              <w:spacing w:after="30"/>
            </w:pPr>
            <w:r>
              <w:rPr>
                <w:sz w:val="14"/>
              </w:rPr>
              <w:t>Provider retention/training</w:t>
            </w:r>
          </w:p>
        </w:tc>
        <w:tc>
          <w:tcPr>
            <w:tcW w:type="dxa" w:w="2592"/>
            <w:tcMar>
              <w:top w:w="80" w:type="dxa"/>
              <w:start w:w="120" w:type="dxa"/>
              <w:bottom w:w="80" w:type="dxa"/>
              <w:end w:w="120" w:type="dxa"/>
            </w:tcMar>
            <w:vAlign w:val="center"/>
          </w:tcPr>
          <w:p>
            <w:pPr>
              <w:spacing w:after="30"/>
            </w:pPr>
            <w:r>
              <w:rPr>
                <w:sz w:val="14"/>
              </w:rPr>
              <w:t>Vendor-documented; deployment-specific</w:t>
            </w:r>
          </w:p>
        </w:tc>
        <w:tc>
          <w:tcPr>
            <w:tcW w:type="dxa" w:w="3024"/>
            <w:tcMar>
              <w:top w:w="80" w:type="dxa"/>
              <w:start w:w="120" w:type="dxa"/>
              <w:bottom w:w="80" w:type="dxa"/>
              <w:end w:w="120" w:type="dxa"/>
            </w:tcMar>
            <w:vAlign w:val="center"/>
          </w:tcPr>
          <w:p>
            <w:pPr>
              <w:spacing w:after="30"/>
            </w:pPr>
            <w:r>
              <w:rPr>
                <w:sz w:val="14"/>
              </w:rPr>
              <w:t>Contract, tenant settings and runtime route</w:t>
            </w:r>
          </w:p>
        </w:tc>
        <w:tc>
          <w:tcPr>
            <w:tcW w:type="dxa" w:w="1728"/>
            <w:tcMar>
              <w:top w:w="80" w:type="dxa"/>
              <w:start w:w="120" w:type="dxa"/>
              <w:bottom w:w="80" w:type="dxa"/>
              <w:end w:w="120" w:type="dxa"/>
            </w:tcMar>
            <w:vAlign w:val="center"/>
          </w:tcPr>
          <w:p>
            <w:pPr>
              <w:spacing w:after="30"/>
            </w:pPr>
            <w:r>
              <w:rPr>
                <w:sz w:val="14"/>
              </w:rPr>
              <w:t>Privacy/Procurement</w:t>
            </w:r>
          </w:p>
        </w:tc>
      </w:tr>
      <w:tr>
        <w:trPr>
          <w:cantSplit/>
        </w:trPr>
        <w:tc>
          <w:tcPr>
            <w:tcW w:type="dxa" w:w="2016"/>
            <w:tcMar>
              <w:top w:w="80" w:type="dxa"/>
              <w:start w:w="120" w:type="dxa"/>
              <w:bottom w:w="80" w:type="dxa"/>
              <w:end w:w="120" w:type="dxa"/>
            </w:tcMar>
            <w:vAlign w:val="center"/>
            <w:shd w:fill="F3F6F8"/>
          </w:tcPr>
          <w:p>
            <w:pPr>
              <w:spacing w:after="30"/>
            </w:pPr>
            <w:r>
              <w:rPr>
                <w:sz w:val="14"/>
              </w:rPr>
              <w:t>Local plaintext transcripts</w:t>
            </w:r>
          </w:p>
        </w:tc>
        <w:tc>
          <w:tcPr>
            <w:tcW w:type="dxa" w:w="2592"/>
            <w:tcMar>
              <w:top w:w="80" w:type="dxa"/>
              <w:start w:w="120" w:type="dxa"/>
              <w:bottom w:w="80" w:type="dxa"/>
              <w:end w:w="120" w:type="dxa"/>
            </w:tcMar>
            <w:vAlign w:val="center"/>
            <w:shd w:fill="F3F6F8"/>
          </w:tcPr>
          <w:p>
            <w:pPr>
              <w:spacing w:after="30"/>
            </w:pPr>
            <w:r>
              <w:rPr>
                <w:sz w:val="14"/>
              </w:rPr>
              <w:t>Vendor-documented default</w:t>
            </w:r>
          </w:p>
        </w:tc>
        <w:tc>
          <w:tcPr>
            <w:tcW w:type="dxa" w:w="3024"/>
            <w:tcMar>
              <w:top w:w="80" w:type="dxa"/>
              <w:start w:w="120" w:type="dxa"/>
              <w:bottom w:w="80" w:type="dxa"/>
              <w:end w:w="120" w:type="dxa"/>
            </w:tcMar>
            <w:vAlign w:val="center"/>
            <w:shd w:fill="F3F6F8"/>
          </w:tcPr>
          <w:p>
            <w:pPr>
              <w:spacing w:after="30"/>
            </w:pPr>
            <w:r>
              <w:rPr>
                <w:sz w:val="14"/>
              </w:rPr>
              <w:t>No-session-persistence or cleanup/readback</w:t>
            </w:r>
          </w:p>
        </w:tc>
        <w:tc>
          <w:tcPr>
            <w:tcW w:type="dxa" w:w="1728"/>
            <w:tcMar>
              <w:top w:w="80" w:type="dxa"/>
              <w:start w:w="120" w:type="dxa"/>
              <w:bottom w:w="80" w:type="dxa"/>
              <w:end w:w="120" w:type="dxa"/>
            </w:tcMar>
            <w:vAlign w:val="center"/>
            <w:shd w:fill="F3F6F8"/>
          </w:tcPr>
          <w:p>
            <w:pPr>
              <w:spacing w:after="30"/>
            </w:pPr>
            <w:r>
              <w:rPr>
                <w:sz w:val="14"/>
              </w:rPr>
              <w:t>Endpoint/Privacy</w:t>
            </w:r>
          </w:p>
        </w:tc>
      </w:tr>
      <w:tr>
        <w:trPr>
          <w:cantSplit/>
        </w:trPr>
        <w:tc>
          <w:tcPr>
            <w:tcW w:type="dxa" w:w="2016"/>
            <w:tcMar>
              <w:top w:w="80" w:type="dxa"/>
              <w:start w:w="120" w:type="dxa"/>
              <w:bottom w:w="80" w:type="dxa"/>
              <w:end w:w="120" w:type="dxa"/>
            </w:tcMar>
            <w:vAlign w:val="center"/>
          </w:tcPr>
          <w:p>
            <w:pPr>
              <w:spacing w:after="30"/>
            </w:pPr>
            <w:r>
              <w:rPr>
                <w:sz w:val="14"/>
              </w:rPr>
              <w:t>Telemetry/error/feedback</w:t>
            </w:r>
          </w:p>
        </w:tc>
        <w:tc>
          <w:tcPr>
            <w:tcW w:type="dxa" w:w="2592"/>
            <w:tcMar>
              <w:top w:w="80" w:type="dxa"/>
              <w:start w:w="120" w:type="dxa"/>
              <w:bottom w:w="80" w:type="dxa"/>
              <w:end w:w="120" w:type="dxa"/>
            </w:tcMar>
            <w:vAlign w:val="center"/>
          </w:tcPr>
          <w:p>
            <w:pPr>
              <w:spacing w:after="30"/>
            </w:pPr>
            <w:r>
              <w:rPr>
                <w:sz w:val="14"/>
              </w:rPr>
              <w:t>Vendor-documented controls</w:t>
            </w:r>
          </w:p>
        </w:tc>
        <w:tc>
          <w:tcPr>
            <w:tcW w:type="dxa" w:w="3024"/>
            <w:tcMar>
              <w:top w:w="80" w:type="dxa"/>
              <w:start w:w="120" w:type="dxa"/>
              <w:bottom w:w="80" w:type="dxa"/>
              <w:end w:w="120" w:type="dxa"/>
            </w:tcMar>
            <w:vAlign w:val="center"/>
          </w:tcPr>
          <w:p>
            <w:pPr>
              <w:spacing w:after="30"/>
            </w:pPr>
            <w:r>
              <w:rPr>
                <w:sz w:val="14"/>
              </w:rPr>
              <w:t>Network/payload and opt-out verification</w:t>
            </w:r>
          </w:p>
        </w:tc>
        <w:tc>
          <w:tcPr>
            <w:tcW w:type="dxa" w:w="1728"/>
            <w:tcMar>
              <w:top w:w="80" w:type="dxa"/>
              <w:start w:w="120" w:type="dxa"/>
              <w:bottom w:w="80" w:type="dxa"/>
              <w:end w:w="120" w:type="dxa"/>
            </w:tcMar>
            <w:vAlign w:val="center"/>
          </w:tcPr>
          <w:p>
            <w:pPr>
              <w:spacing w:after="30"/>
            </w:pPr>
            <w:r>
              <w:rPr>
                <w:sz w:val="14"/>
              </w:rPr>
              <w:t>Security/Privacy</w:t>
            </w:r>
          </w:p>
        </w:tc>
      </w:tr>
      <w:tr>
        <w:trPr>
          <w:cantSplit/>
        </w:trPr>
        <w:tc>
          <w:tcPr>
            <w:tcW w:type="dxa" w:w="2016"/>
            <w:tcMar>
              <w:top w:w="80" w:type="dxa"/>
              <w:start w:w="120" w:type="dxa"/>
              <w:bottom w:w="80" w:type="dxa"/>
              <w:end w:w="120" w:type="dxa"/>
            </w:tcMar>
            <w:vAlign w:val="center"/>
            <w:shd w:fill="F3F6F8"/>
          </w:tcPr>
          <w:p>
            <w:pPr>
              <w:spacing w:after="30"/>
            </w:pPr>
            <w:r>
              <w:rPr>
                <w:sz w:val="14"/>
              </w:rPr>
              <w:t>Audio capture</w:t>
            </w:r>
          </w:p>
        </w:tc>
        <w:tc>
          <w:tcPr>
            <w:tcW w:type="dxa" w:w="2592"/>
            <w:tcMar>
              <w:top w:w="80" w:type="dxa"/>
              <w:start w:w="120" w:type="dxa"/>
              <w:bottom w:w="80" w:type="dxa"/>
              <w:end w:w="120" w:type="dxa"/>
            </w:tcMar>
            <w:vAlign w:val="center"/>
            <w:shd w:fill="F3F6F8"/>
          </w:tcPr>
          <w:p>
            <w:pPr>
              <w:spacing w:after="30"/>
            </w:pPr>
            <w:r>
              <w:rPr>
                <w:sz w:val="14"/>
              </w:rPr>
              <w:t>Module packaged; runtime Unknown</w:t>
            </w:r>
          </w:p>
        </w:tc>
        <w:tc>
          <w:tcPr>
            <w:tcW w:type="dxa" w:w="3024"/>
            <w:tcMar>
              <w:top w:w="80" w:type="dxa"/>
              <w:start w:w="120" w:type="dxa"/>
              <w:bottom w:w="80" w:type="dxa"/>
              <w:end w:w="120" w:type="dxa"/>
            </w:tcMar>
            <w:vAlign w:val="center"/>
            <w:shd w:fill="F3F6F8"/>
          </w:tcPr>
          <w:p>
            <w:pPr>
              <w:spacing w:after="30"/>
            </w:pPr>
            <w:r>
              <w:rPr>
                <w:sz w:val="14"/>
              </w:rPr>
              <w:t>OS consent, activation, destination and retention</w:t>
            </w:r>
          </w:p>
        </w:tc>
        <w:tc>
          <w:tcPr>
            <w:tcW w:type="dxa" w:w="1728"/>
            <w:tcMar>
              <w:top w:w="80" w:type="dxa"/>
              <w:start w:w="120" w:type="dxa"/>
              <w:bottom w:w="80" w:type="dxa"/>
              <w:end w:w="120" w:type="dxa"/>
            </w:tcMar>
            <w:vAlign w:val="center"/>
            <w:shd w:fill="F3F6F8"/>
          </w:tcPr>
          <w:p>
            <w:pPr>
              <w:spacing w:after="30"/>
            </w:pPr>
            <w:r>
              <w:rPr>
                <w:sz w:val="14"/>
              </w:rPr>
              <w:t>Endpoint/Privacy</w:t>
            </w:r>
          </w:p>
        </w:tc>
      </w:tr>
      <w:tr>
        <w:trPr>
          <w:cantSplit/>
        </w:trPr>
        <w:tc>
          <w:tcPr>
            <w:tcW w:type="dxa" w:w="2016"/>
            <w:tcMar>
              <w:top w:w="80" w:type="dxa"/>
              <w:start w:w="120" w:type="dxa"/>
              <w:bottom w:w="80" w:type="dxa"/>
              <w:end w:w="120" w:type="dxa"/>
            </w:tcMar>
            <w:vAlign w:val="center"/>
          </w:tcPr>
          <w:p>
            <w:pPr>
              <w:spacing w:after="30"/>
            </w:pPr>
            <w:r>
              <w:rPr>
                <w:sz w:val="14"/>
              </w:rPr>
              <w:t>MCP/plugin recipients</w:t>
            </w:r>
          </w:p>
        </w:tc>
        <w:tc>
          <w:tcPr>
            <w:tcW w:type="dxa" w:w="2592"/>
            <w:tcMar>
              <w:top w:w="80" w:type="dxa"/>
              <w:start w:w="120" w:type="dxa"/>
              <w:bottom w:w="80" w:type="dxa"/>
              <w:end w:w="120" w:type="dxa"/>
            </w:tcMar>
            <w:vAlign w:val="center"/>
          </w:tcPr>
          <w:p>
            <w:pPr>
              <w:spacing w:after="30"/>
            </w:pPr>
            <w:r>
              <w:rPr>
                <w:sz w:val="14"/>
              </w:rPr>
              <w:t>Configurable; deployment Unknown</w:t>
            </w:r>
          </w:p>
        </w:tc>
        <w:tc>
          <w:tcPr>
            <w:tcW w:type="dxa" w:w="3024"/>
            <w:tcMar>
              <w:top w:w="80" w:type="dxa"/>
              <w:start w:w="120" w:type="dxa"/>
              <w:bottom w:w="80" w:type="dxa"/>
              <w:end w:w="120" w:type="dxa"/>
            </w:tcMar>
            <w:vAlign w:val="center"/>
          </w:tcPr>
          <w:p>
            <w:pPr>
              <w:spacing w:after="30"/>
            </w:pPr>
            <w:r>
              <w:rPr>
                <w:sz w:val="14"/>
              </w:rPr>
              <w:t>Approved inventory, DP terms and data flows</w:t>
            </w:r>
          </w:p>
        </w:tc>
        <w:tc>
          <w:tcPr>
            <w:tcW w:type="dxa" w:w="1728"/>
            <w:tcMar>
              <w:top w:w="80" w:type="dxa"/>
              <w:start w:w="120" w:type="dxa"/>
              <w:bottom w:w="80" w:type="dxa"/>
              <w:end w:w="120" w:type="dxa"/>
            </w:tcMar>
            <w:vAlign w:val="center"/>
          </w:tcPr>
          <w:p>
            <w:pPr>
              <w:spacing w:after="30"/>
            </w:pPr>
            <w:r>
              <w:rPr>
                <w:sz w:val="14"/>
              </w:rPr>
              <w:t>AI Platform</w:t>
            </w:r>
          </w:p>
        </w:tc>
      </w:tr>
    </w:tbl>
    <w:p>
      <w:pPr>
        <w:spacing w:after="40"/>
      </w:pPr>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296"/>
        <w:gridCol w:w="3744"/>
        <w:gridCol w:w="2016"/>
        <w:gridCol w:w="2304"/>
      </w:tblGrid>
      <w:tr>
        <w:trPr>
          <w:tblHeader/>
        </w:trPr>
        <w:tc>
          <w:tcPr>
            <w:tcW w:type="dxa" w:w="1296"/>
            <w:shd w:fill="17365D"/>
            <w:tcMar>
              <w:top w:w="80" w:type="dxa"/>
              <w:start w:w="120" w:type="dxa"/>
              <w:bottom w:w="80" w:type="dxa"/>
              <w:end w:w="120" w:type="dxa"/>
            </w:tcMar>
            <w:vAlign w:val="center"/>
          </w:tcPr>
          <w:p>
            <w:r>
              <w:rPr>
                <w:b/>
                <w:color w:val="FFFFFF"/>
                <w:sz w:val="14"/>
              </w:rPr>
              <w:t>Phase</w:t>
            </w:r>
          </w:p>
        </w:tc>
        <w:tc>
          <w:tcPr>
            <w:tcW w:type="dxa" w:w="3744"/>
            <w:shd w:fill="17365D"/>
            <w:tcMar>
              <w:top w:w="80" w:type="dxa"/>
              <w:start w:w="120" w:type="dxa"/>
              <w:bottom w:w="80" w:type="dxa"/>
              <w:end w:w="120" w:type="dxa"/>
            </w:tcMar>
            <w:vAlign w:val="center"/>
          </w:tcPr>
          <w:p>
            <w:r>
              <w:rPr>
                <w:b/>
                <w:color w:val="FFFFFF"/>
                <w:sz w:val="14"/>
              </w:rPr>
              <w:t>Control outcome</w:t>
            </w:r>
          </w:p>
        </w:tc>
        <w:tc>
          <w:tcPr>
            <w:tcW w:type="dxa" w:w="2016"/>
            <w:shd w:fill="17365D"/>
            <w:tcMar>
              <w:top w:w="80" w:type="dxa"/>
              <w:start w:w="120" w:type="dxa"/>
              <w:bottom w:w="80" w:type="dxa"/>
              <w:end w:w="120" w:type="dxa"/>
            </w:tcMar>
            <w:vAlign w:val="center"/>
          </w:tcPr>
          <w:p>
            <w:r>
              <w:rPr>
                <w:b/>
                <w:color w:val="FFFFFF"/>
                <w:sz w:val="14"/>
              </w:rPr>
              <w:t>Owner</w:t>
            </w:r>
          </w:p>
        </w:tc>
        <w:tc>
          <w:tcPr>
            <w:tcW w:type="dxa" w:w="2304"/>
            <w:shd w:fill="17365D"/>
            <w:tcMar>
              <w:top w:w="80" w:type="dxa"/>
              <w:start w:w="120" w:type="dxa"/>
              <w:bottom w:w="80" w:type="dxa"/>
              <w:end w:w="120" w:type="dxa"/>
            </w:tcMar>
            <w:vAlign w:val="center"/>
          </w:tcPr>
          <w:p>
            <w:r>
              <w:rPr>
                <w:b/>
                <w:color w:val="FFFFFF"/>
                <w:sz w:val="14"/>
              </w:rPr>
              <w:t>Exit criterion</w:t>
            </w:r>
          </w:p>
        </w:tc>
      </w:tr>
      <w:tr>
        <w:trPr>
          <w:cantSplit/>
        </w:trPr>
        <w:tc>
          <w:tcPr>
            <w:tcW w:type="dxa" w:w="1296"/>
            <w:tcMar>
              <w:top w:w="80" w:type="dxa"/>
              <w:start w:w="120" w:type="dxa"/>
              <w:bottom w:w="80" w:type="dxa"/>
              <w:end w:w="120" w:type="dxa"/>
            </w:tcMar>
            <w:vAlign w:val="center"/>
          </w:tcPr>
          <w:p>
            <w:pPr>
              <w:spacing w:after="30"/>
            </w:pPr>
            <w:r>
              <w:rPr>
                <w:sz w:val="14"/>
              </w:rPr>
              <w:t>0-30 days</w:t>
            </w:r>
          </w:p>
        </w:tc>
        <w:tc>
          <w:tcPr>
            <w:tcW w:type="dxa" w:w="3744"/>
            <w:tcMar>
              <w:top w:w="80" w:type="dxa"/>
              <w:start w:w="120" w:type="dxa"/>
              <w:bottom w:w="80" w:type="dxa"/>
              <w:end w:w="120" w:type="dxa"/>
            </w:tcMar>
            <w:vAlign w:val="center"/>
          </w:tcPr>
          <w:p>
            <w:pPr>
              <w:spacing w:after="30"/>
            </w:pPr>
            <w:r>
              <w:rPr>
                <w:sz w:val="14"/>
              </w:rPr>
              <w:t>Managed deny-first policy, tenant/provider/privacy decision, exact package allowlist</w:t>
            </w:r>
          </w:p>
        </w:tc>
        <w:tc>
          <w:tcPr>
            <w:tcW w:type="dxa" w:w="2016"/>
            <w:tcMar>
              <w:top w:w="80" w:type="dxa"/>
              <w:start w:w="120" w:type="dxa"/>
              <w:bottom w:w="80" w:type="dxa"/>
              <w:end w:w="120" w:type="dxa"/>
            </w:tcMar>
            <w:vAlign w:val="center"/>
          </w:tcPr>
          <w:p>
            <w:pPr>
              <w:spacing w:after="30"/>
            </w:pPr>
            <w:r>
              <w:rPr>
                <w:sz w:val="14"/>
              </w:rPr>
              <w:t>Platform/Security/Privacy</w:t>
            </w:r>
          </w:p>
        </w:tc>
        <w:tc>
          <w:tcPr>
            <w:tcW w:type="dxa" w:w="2304"/>
            <w:tcMar>
              <w:top w:w="80" w:type="dxa"/>
              <w:start w:w="120" w:type="dxa"/>
              <w:bottom w:w="80" w:type="dxa"/>
              <w:end w:w="120" w:type="dxa"/>
            </w:tcMar>
            <w:vAlign w:val="center"/>
          </w:tcPr>
          <w:p>
            <w:pPr>
              <w:spacing w:after="30"/>
            </w:pPr>
            <w:r>
              <w:rPr>
                <w:sz w:val="14"/>
              </w:rPr>
              <w:t>Policy readback and approved DPIA/supplier record</w:t>
            </w:r>
          </w:p>
        </w:tc>
      </w:tr>
      <w:tr>
        <w:trPr>
          <w:cantSplit/>
        </w:trPr>
        <w:tc>
          <w:tcPr>
            <w:tcW w:type="dxa" w:w="1296"/>
            <w:tcMar>
              <w:top w:w="80" w:type="dxa"/>
              <w:start w:w="120" w:type="dxa"/>
              <w:bottom w:w="80" w:type="dxa"/>
              <w:end w:w="120" w:type="dxa"/>
            </w:tcMar>
            <w:vAlign w:val="center"/>
            <w:shd w:fill="F3F6F8"/>
          </w:tcPr>
          <w:p>
            <w:pPr>
              <w:spacing w:after="30"/>
            </w:pPr>
            <w:r>
              <w:rPr>
                <w:sz w:val="14"/>
              </w:rPr>
              <w:t>30-60 days</w:t>
            </w:r>
          </w:p>
        </w:tc>
        <w:tc>
          <w:tcPr>
            <w:tcW w:type="dxa" w:w="3744"/>
            <w:tcMar>
              <w:top w:w="80" w:type="dxa"/>
              <w:start w:w="120" w:type="dxa"/>
              <w:bottom w:w="80" w:type="dxa"/>
              <w:end w:w="120" w:type="dxa"/>
            </w:tcMar>
            <w:vAlign w:val="center"/>
            <w:shd w:fill="F3F6F8"/>
          </w:tcPr>
          <w:p>
            <w:pPr>
              <w:spacing w:after="30"/>
            </w:pPr>
            <w:r>
              <w:rPr>
                <w:sz w:val="14"/>
              </w:rPr>
              <w:t>Isolated runtime, adversarial and cleanup testing</w:t>
            </w:r>
          </w:p>
        </w:tc>
        <w:tc>
          <w:tcPr>
            <w:tcW w:type="dxa" w:w="2016"/>
            <w:tcMar>
              <w:top w:w="80" w:type="dxa"/>
              <w:start w:w="120" w:type="dxa"/>
              <w:bottom w:w="80" w:type="dxa"/>
              <w:end w:w="120" w:type="dxa"/>
            </w:tcMar>
            <w:vAlign w:val="center"/>
            <w:shd w:fill="F3F6F8"/>
          </w:tcPr>
          <w:p>
            <w:pPr>
              <w:spacing w:after="30"/>
            </w:pPr>
            <w:r>
              <w:rPr>
                <w:sz w:val="14"/>
              </w:rPr>
              <w:t>Endpoint Security</w:t>
            </w:r>
          </w:p>
        </w:tc>
        <w:tc>
          <w:tcPr>
            <w:tcW w:type="dxa" w:w="2304"/>
            <w:tcMar>
              <w:top w:w="80" w:type="dxa"/>
              <w:start w:w="120" w:type="dxa"/>
              <w:bottom w:w="80" w:type="dxa"/>
              <w:end w:w="120" w:type="dxa"/>
            </w:tcMar>
            <w:vAlign w:val="center"/>
            <w:shd w:fill="F3F6F8"/>
          </w:tcPr>
          <w:p>
            <w:pPr>
              <w:spacing w:after="30"/>
            </w:pPr>
            <w:r>
              <w:rPr>
                <w:sz w:val="14"/>
              </w:rPr>
              <w:t>All negative tests and residue reconciliation pass</w:t>
            </w:r>
          </w:p>
        </w:tc>
      </w:tr>
      <w:tr>
        <w:trPr>
          <w:cantSplit/>
        </w:trPr>
        <w:tc>
          <w:tcPr>
            <w:tcW w:type="dxa" w:w="1296"/>
            <w:tcMar>
              <w:top w:w="80" w:type="dxa"/>
              <w:start w:w="120" w:type="dxa"/>
              <w:bottom w:w="80" w:type="dxa"/>
              <w:end w:w="120" w:type="dxa"/>
            </w:tcMar>
            <w:vAlign w:val="center"/>
          </w:tcPr>
          <w:p>
            <w:pPr>
              <w:spacing w:after="30"/>
            </w:pPr>
            <w:r>
              <w:rPr>
                <w:sz w:val="14"/>
              </w:rPr>
              <w:t>60-90 days</w:t>
            </w:r>
          </w:p>
        </w:tc>
        <w:tc>
          <w:tcPr>
            <w:tcW w:type="dxa" w:w="3744"/>
            <w:tcMar>
              <w:top w:w="80" w:type="dxa"/>
              <w:start w:w="120" w:type="dxa"/>
              <w:bottom w:w="80" w:type="dxa"/>
              <w:end w:w="120" w:type="dxa"/>
            </w:tcMar>
            <w:vAlign w:val="center"/>
          </w:tcPr>
          <w:p>
            <w:pPr>
              <w:spacing w:after="30"/>
            </w:pPr>
            <w:r>
              <w:rPr>
                <w:sz w:val="14"/>
              </w:rPr>
              <w:t>Bounded synthetic pilot with monitoring and rollback</w:t>
            </w:r>
          </w:p>
        </w:tc>
        <w:tc>
          <w:tcPr>
            <w:tcW w:type="dxa" w:w="2016"/>
            <w:tcMar>
              <w:top w:w="80" w:type="dxa"/>
              <w:start w:w="120" w:type="dxa"/>
              <w:bottom w:w="80" w:type="dxa"/>
              <w:end w:w="120" w:type="dxa"/>
            </w:tcMar>
            <w:vAlign w:val="center"/>
          </w:tcPr>
          <w:p>
            <w:pPr>
              <w:spacing w:after="30"/>
            </w:pPr>
            <w:r>
              <w:rPr>
                <w:sz w:val="14"/>
              </w:rPr>
              <w:t>Developer Platform</w:t>
            </w:r>
          </w:p>
        </w:tc>
        <w:tc>
          <w:tcPr>
            <w:tcW w:type="dxa" w:w="2304"/>
            <w:tcMar>
              <w:top w:w="80" w:type="dxa"/>
              <w:start w:w="120" w:type="dxa"/>
              <w:bottom w:w="80" w:type="dxa"/>
              <w:end w:w="120" w:type="dxa"/>
            </w:tcMar>
            <w:vAlign w:val="center"/>
          </w:tcPr>
          <w:p>
            <w:pPr>
              <w:spacing w:after="30"/>
            </w:pPr>
            <w:r>
              <w:rPr>
                <w:sz w:val="14"/>
              </w:rPr>
              <w:t>No policy drift; incidents handled; residual risk accepted</w:t>
            </w:r>
          </w:p>
        </w:tc>
      </w:tr>
      <w:tr>
        <w:trPr>
          <w:cantSplit/>
        </w:trPr>
        <w:tc>
          <w:tcPr>
            <w:tcW w:type="dxa" w:w="1296"/>
            <w:tcMar>
              <w:top w:w="80" w:type="dxa"/>
              <w:start w:w="120" w:type="dxa"/>
              <w:bottom w:w="80" w:type="dxa"/>
              <w:end w:w="120" w:type="dxa"/>
            </w:tcMar>
            <w:vAlign w:val="center"/>
            <w:shd w:fill="F3F6F8"/>
          </w:tcPr>
          <w:p>
            <w:pPr>
              <w:spacing w:after="30"/>
            </w:pPr>
            <w:r>
              <w:rPr>
                <w:sz w:val="14"/>
              </w:rPr>
              <w:t>Ongoing</w:t>
            </w:r>
          </w:p>
        </w:tc>
        <w:tc>
          <w:tcPr>
            <w:tcW w:type="dxa" w:w="3744"/>
            <w:tcMar>
              <w:top w:w="80" w:type="dxa"/>
              <w:start w:w="120" w:type="dxa"/>
              <w:bottom w:w="80" w:type="dxa"/>
              <w:end w:w="120" w:type="dxa"/>
            </w:tcMar>
            <w:vAlign w:val="center"/>
            <w:shd w:fill="F3F6F8"/>
          </w:tcPr>
          <w:p>
            <w:pPr>
              <w:spacing w:after="30"/>
            </w:pPr>
            <w:r>
              <w:rPr>
                <w:sz w:val="14"/>
              </w:rPr>
              <w:t>Version/advisory/schema/domain/privacy monitoring</w:t>
            </w:r>
          </w:p>
        </w:tc>
        <w:tc>
          <w:tcPr>
            <w:tcW w:type="dxa" w:w="2016"/>
            <w:tcMar>
              <w:top w:w="80" w:type="dxa"/>
              <w:start w:w="120" w:type="dxa"/>
              <w:bottom w:w="80" w:type="dxa"/>
              <w:end w:w="120" w:type="dxa"/>
            </w:tcMar>
            <w:vAlign w:val="center"/>
            <w:shd w:fill="F3F6F8"/>
          </w:tcPr>
          <w:p>
            <w:pPr>
              <w:spacing w:after="30"/>
            </w:pPr>
            <w:r>
              <w:rPr>
                <w:sz w:val="14"/>
              </w:rPr>
              <w:t>Vulnerability/Third-Party Risk</w:t>
            </w:r>
          </w:p>
        </w:tc>
        <w:tc>
          <w:tcPr>
            <w:tcW w:type="dxa" w:w="2304"/>
            <w:tcMar>
              <w:top w:w="80" w:type="dxa"/>
              <w:start w:w="120" w:type="dxa"/>
              <w:bottom w:w="80" w:type="dxa"/>
              <w:end w:w="120" w:type="dxa"/>
            </w:tcMar>
            <w:vAlign w:val="center"/>
            <w:shd w:fill="F3F6F8"/>
          </w:tcPr>
          <w:p>
            <w:pPr>
              <w:spacing w:after="30"/>
            </w:pPr>
            <w:r>
              <w:rPr>
                <w:sz w:val="14"/>
              </w:rPr>
              <w:t>Quarterly and material-change review</w:t>
            </w:r>
          </w:p>
        </w:tc>
      </w:tr>
    </w:tbl>
    <w:p>
      <w:pPr>
        <w:spacing w:after="40"/>
      </w:pPr>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304"/>
        <w:gridCol w:w="2160"/>
        <w:gridCol w:w="2880"/>
        <w:gridCol w:w="2016"/>
      </w:tblGrid>
      <w:tr>
        <w:trPr>
          <w:tblHeader/>
        </w:trPr>
        <w:tc>
          <w:tcPr>
            <w:tcW w:type="dxa" w:w="2304"/>
            <w:shd w:fill="17365D"/>
            <w:tcMar>
              <w:top w:w="80" w:type="dxa"/>
              <w:start w:w="120" w:type="dxa"/>
              <w:bottom w:w="80" w:type="dxa"/>
              <w:end w:w="120" w:type="dxa"/>
            </w:tcMar>
            <w:vAlign w:val="center"/>
          </w:tcPr>
          <w:p>
            <w:r>
              <w:rPr>
                <w:b/>
                <w:color w:val="FFFFFF"/>
                <w:sz w:val="14"/>
              </w:rPr>
              <w:t>Signal</w:t>
            </w:r>
          </w:p>
        </w:tc>
        <w:tc>
          <w:tcPr>
            <w:tcW w:type="dxa" w:w="2160"/>
            <w:shd w:fill="17365D"/>
            <w:tcMar>
              <w:top w:w="80" w:type="dxa"/>
              <w:start w:w="120" w:type="dxa"/>
              <w:bottom w:w="80" w:type="dxa"/>
              <w:end w:w="120" w:type="dxa"/>
            </w:tcMar>
            <w:vAlign w:val="center"/>
          </w:tcPr>
          <w:p>
            <w:r>
              <w:rPr>
                <w:b/>
                <w:color w:val="FFFFFF"/>
                <w:sz w:val="14"/>
              </w:rPr>
              <w:t>Source</w:t>
            </w:r>
          </w:p>
        </w:tc>
        <w:tc>
          <w:tcPr>
            <w:tcW w:type="dxa" w:w="2880"/>
            <w:shd w:fill="17365D"/>
            <w:tcMar>
              <w:top w:w="80" w:type="dxa"/>
              <w:start w:w="120" w:type="dxa"/>
              <w:bottom w:w="80" w:type="dxa"/>
              <w:end w:w="120" w:type="dxa"/>
            </w:tcMar>
            <w:vAlign w:val="center"/>
          </w:tcPr>
          <w:p>
            <w:r>
              <w:rPr>
                <w:b/>
                <w:color w:val="FFFFFF"/>
                <w:sz w:val="14"/>
              </w:rPr>
              <w:t>Alert/response</w:t>
            </w:r>
          </w:p>
        </w:tc>
        <w:tc>
          <w:tcPr>
            <w:tcW w:type="dxa" w:w="2016"/>
            <w:shd w:fill="17365D"/>
            <w:tcMar>
              <w:top w:w="80" w:type="dxa"/>
              <w:start w:w="120" w:type="dxa"/>
              <w:bottom w:w="80" w:type="dxa"/>
              <w:end w:w="120" w:type="dxa"/>
            </w:tcMar>
            <w:vAlign w:val="center"/>
          </w:tcPr>
          <w:p>
            <w:r>
              <w:rPr>
                <w:b/>
                <w:color w:val="FFFFFF"/>
                <w:sz w:val="14"/>
              </w:rPr>
              <w:t>Limitation</w:t>
            </w:r>
          </w:p>
        </w:tc>
      </w:tr>
      <w:tr>
        <w:trPr>
          <w:cantSplit/>
        </w:trPr>
        <w:tc>
          <w:tcPr>
            <w:tcW w:type="dxa" w:w="2304"/>
            <w:tcMar>
              <w:top w:w="80" w:type="dxa"/>
              <w:start w:w="120" w:type="dxa"/>
              <w:bottom w:w="80" w:type="dxa"/>
              <w:end w:w="120" w:type="dxa"/>
            </w:tcMar>
            <w:vAlign w:val="center"/>
          </w:tcPr>
          <w:p>
            <w:pPr>
              <w:spacing w:after="30"/>
            </w:pPr>
            <w:r>
              <w:rPr>
                <w:sz w:val="14"/>
              </w:rPr>
              <w:t>Unapproved extension version/hash</w:t>
            </w:r>
          </w:p>
        </w:tc>
        <w:tc>
          <w:tcPr>
            <w:tcW w:type="dxa" w:w="2160"/>
            <w:tcMar>
              <w:top w:w="80" w:type="dxa"/>
              <w:start w:w="120" w:type="dxa"/>
              <w:bottom w:w="80" w:type="dxa"/>
              <w:end w:w="120" w:type="dxa"/>
            </w:tcMar>
            <w:vAlign w:val="center"/>
          </w:tcPr>
          <w:p>
            <w:pPr>
              <w:spacing w:after="30"/>
            </w:pPr>
            <w:r>
              <w:rPr>
                <w:sz w:val="14"/>
              </w:rPr>
              <w:t>Endpoint/VS Code inventory</w:t>
            </w:r>
          </w:p>
        </w:tc>
        <w:tc>
          <w:tcPr>
            <w:tcW w:type="dxa" w:w="2880"/>
            <w:tcMar>
              <w:top w:w="80" w:type="dxa"/>
              <w:start w:w="120" w:type="dxa"/>
              <w:bottom w:w="80" w:type="dxa"/>
              <w:end w:w="120" w:type="dxa"/>
            </w:tcMar>
            <w:vAlign w:val="center"/>
          </w:tcPr>
          <w:p>
            <w:pPr>
              <w:spacing w:after="30"/>
            </w:pPr>
            <w:r>
              <w:rPr>
                <w:sz w:val="14"/>
              </w:rPr>
              <w:t>Block, quarantine and investigate update path</w:t>
            </w:r>
          </w:p>
        </w:tc>
        <w:tc>
          <w:tcPr>
            <w:tcW w:type="dxa" w:w="2016"/>
            <w:tcMar>
              <w:top w:w="80" w:type="dxa"/>
              <w:start w:w="120" w:type="dxa"/>
              <w:bottom w:w="80" w:type="dxa"/>
              <w:end w:w="120" w:type="dxa"/>
            </w:tcMar>
            <w:vAlign w:val="center"/>
          </w:tcPr>
          <w:p>
            <w:pPr>
              <w:spacing w:after="30"/>
            </w:pPr>
            <w:r>
              <w:rPr>
                <w:sz w:val="14"/>
              </w:rPr>
              <w:t>Requires platform-specific hashes</w:t>
            </w:r>
          </w:p>
        </w:tc>
      </w:tr>
      <w:tr>
        <w:trPr>
          <w:cantSplit/>
        </w:trPr>
        <w:tc>
          <w:tcPr>
            <w:tcW w:type="dxa" w:w="2304"/>
            <w:tcMar>
              <w:top w:w="80" w:type="dxa"/>
              <w:start w:w="120" w:type="dxa"/>
              <w:bottom w:w="80" w:type="dxa"/>
              <w:end w:w="120" w:type="dxa"/>
            </w:tcMar>
            <w:vAlign w:val="center"/>
            <w:shd w:fill="F3F6F8"/>
          </w:tcPr>
          <w:p>
            <w:pPr>
              <w:spacing w:after="30"/>
            </w:pPr>
            <w:r>
              <w:rPr>
                <w:sz w:val="14"/>
              </w:rPr>
              <w:t>Bypass/sandbox-policy drift</w:t>
            </w:r>
          </w:p>
        </w:tc>
        <w:tc>
          <w:tcPr>
            <w:tcW w:type="dxa" w:w="2160"/>
            <w:tcMar>
              <w:top w:w="80" w:type="dxa"/>
              <w:start w:w="120" w:type="dxa"/>
              <w:bottom w:w="80" w:type="dxa"/>
              <w:end w:w="120" w:type="dxa"/>
            </w:tcMar>
            <w:vAlign w:val="center"/>
            <w:shd w:fill="F3F6F8"/>
          </w:tcPr>
          <w:p>
            <w:pPr>
              <w:spacing w:after="30"/>
            </w:pPr>
            <w:r>
              <w:rPr>
                <w:sz w:val="14"/>
              </w:rPr>
              <w:t>Managed settings/readback/logs</w:t>
            </w:r>
          </w:p>
        </w:tc>
        <w:tc>
          <w:tcPr>
            <w:tcW w:type="dxa" w:w="2880"/>
            <w:tcMar>
              <w:top w:w="80" w:type="dxa"/>
              <w:start w:w="120" w:type="dxa"/>
              <w:bottom w:w="80" w:type="dxa"/>
              <w:end w:w="120" w:type="dxa"/>
            </w:tcMar>
            <w:vAlign w:val="center"/>
            <w:shd w:fill="F3F6F8"/>
          </w:tcPr>
          <w:p>
            <w:pPr>
              <w:spacing w:after="30"/>
            </w:pPr>
            <w:r>
              <w:rPr>
                <w:sz w:val="14"/>
              </w:rPr>
              <w:t>Disable session and remediate policy</w:t>
            </w:r>
          </w:p>
        </w:tc>
        <w:tc>
          <w:tcPr>
            <w:tcW w:type="dxa" w:w="2016"/>
            <w:tcMar>
              <w:top w:w="80" w:type="dxa"/>
              <w:start w:w="120" w:type="dxa"/>
              <w:bottom w:w="80" w:type="dxa"/>
              <w:end w:w="120" w:type="dxa"/>
            </w:tcMar>
            <w:vAlign w:val="center"/>
            <w:shd w:fill="F3F6F8"/>
          </w:tcPr>
          <w:p>
            <w:pPr>
              <w:spacing w:after="30"/>
            </w:pPr>
            <w:r>
              <w:rPr>
                <w:sz w:val="14"/>
              </w:rPr>
              <w:t>Runtime logging unverified</w:t>
            </w:r>
          </w:p>
        </w:tc>
      </w:tr>
      <w:tr>
        <w:trPr>
          <w:cantSplit/>
        </w:trPr>
        <w:tc>
          <w:tcPr>
            <w:tcW w:type="dxa" w:w="2304"/>
            <w:tcMar>
              <w:top w:w="80" w:type="dxa"/>
              <w:start w:w="120" w:type="dxa"/>
              <w:bottom w:w="80" w:type="dxa"/>
              <w:end w:w="120" w:type="dxa"/>
            </w:tcMar>
            <w:vAlign w:val="center"/>
          </w:tcPr>
          <w:p>
            <w:pPr>
              <w:spacing w:after="30"/>
            </w:pPr>
            <w:r>
              <w:rPr>
                <w:sz w:val="14"/>
              </w:rPr>
              <w:t>New MCP/plugin/skill/hook</w:t>
            </w:r>
          </w:p>
        </w:tc>
        <w:tc>
          <w:tcPr>
            <w:tcW w:type="dxa" w:w="2160"/>
            <w:tcMar>
              <w:top w:w="80" w:type="dxa"/>
              <w:start w:w="120" w:type="dxa"/>
              <w:bottom w:w="80" w:type="dxa"/>
              <w:end w:w="120" w:type="dxa"/>
            </w:tcMar>
            <w:vAlign w:val="center"/>
          </w:tcPr>
          <w:p>
            <w:pPr>
              <w:spacing w:after="30"/>
            </w:pPr>
            <w:r>
              <w:rPr>
                <w:sz w:val="14"/>
              </w:rPr>
              <w:t>Filesystem/settings/marketplace inventory</w:t>
            </w:r>
          </w:p>
        </w:tc>
        <w:tc>
          <w:tcPr>
            <w:tcW w:type="dxa" w:w="2880"/>
            <w:tcMar>
              <w:top w:w="80" w:type="dxa"/>
              <w:start w:w="120" w:type="dxa"/>
              <w:bottom w:w="80" w:type="dxa"/>
              <w:end w:w="120" w:type="dxa"/>
            </w:tcMar>
            <w:vAlign w:val="center"/>
          </w:tcPr>
          <w:p>
            <w:pPr>
              <w:spacing w:after="30"/>
            </w:pPr>
            <w:r>
              <w:rPr>
                <w:sz w:val="14"/>
              </w:rPr>
              <w:t>Deny and require assessment</w:t>
            </w:r>
          </w:p>
        </w:tc>
        <w:tc>
          <w:tcPr>
            <w:tcW w:type="dxa" w:w="2016"/>
            <w:tcMar>
              <w:top w:w="80" w:type="dxa"/>
              <w:start w:w="120" w:type="dxa"/>
              <w:bottom w:w="80" w:type="dxa"/>
              <w:end w:w="120" w:type="dxa"/>
            </w:tcMar>
            <w:vAlign w:val="center"/>
          </w:tcPr>
          <w:p>
            <w:pPr>
              <w:spacing w:after="30"/>
            </w:pPr>
            <w:r>
              <w:rPr>
                <w:sz w:val="14"/>
              </w:rPr>
              <w:t>Embedded items need vendor inventory</w:t>
            </w:r>
          </w:p>
        </w:tc>
      </w:tr>
      <w:tr>
        <w:trPr>
          <w:cantSplit/>
        </w:trPr>
        <w:tc>
          <w:tcPr>
            <w:tcW w:type="dxa" w:w="2304"/>
            <w:tcMar>
              <w:top w:w="80" w:type="dxa"/>
              <w:start w:w="120" w:type="dxa"/>
              <w:bottom w:w="80" w:type="dxa"/>
              <w:end w:w="120" w:type="dxa"/>
            </w:tcMar>
            <w:vAlign w:val="center"/>
            <w:shd w:fill="F3F6F8"/>
          </w:tcPr>
          <w:p>
            <w:pPr>
              <w:spacing w:after="30"/>
            </w:pPr>
            <w:r>
              <w:rPr>
                <w:sz w:val="14"/>
              </w:rPr>
              <w:t>Unexpected child process/domain/port</w:t>
            </w:r>
          </w:p>
        </w:tc>
        <w:tc>
          <w:tcPr>
            <w:tcW w:type="dxa" w:w="2160"/>
            <w:tcMar>
              <w:top w:w="80" w:type="dxa"/>
              <w:start w:w="120" w:type="dxa"/>
              <w:bottom w:w="80" w:type="dxa"/>
              <w:end w:w="120" w:type="dxa"/>
            </w:tcMar>
            <w:vAlign w:val="center"/>
            <w:shd w:fill="F3F6F8"/>
          </w:tcPr>
          <w:p>
            <w:pPr>
              <w:spacing w:after="30"/>
            </w:pPr>
            <w:r>
              <w:rPr>
                <w:sz w:val="14"/>
              </w:rPr>
              <w:t>EDR/DNS/proxy/network</w:t>
            </w:r>
          </w:p>
        </w:tc>
        <w:tc>
          <w:tcPr>
            <w:tcW w:type="dxa" w:w="2880"/>
            <w:tcMar>
              <w:top w:w="80" w:type="dxa"/>
              <w:start w:w="120" w:type="dxa"/>
              <w:bottom w:w="80" w:type="dxa"/>
              <w:end w:w="120" w:type="dxa"/>
            </w:tcMar>
            <w:vAlign w:val="center"/>
            <w:shd w:fill="F3F6F8"/>
          </w:tcPr>
          <w:p>
            <w:pPr>
              <w:spacing w:after="30"/>
            </w:pPr>
            <w:r>
              <w:rPr>
                <w:sz w:val="14"/>
              </w:rPr>
              <w:t>Isolate host, revoke token, capture evidence</w:t>
            </w:r>
          </w:p>
        </w:tc>
        <w:tc>
          <w:tcPr>
            <w:tcW w:type="dxa" w:w="2016"/>
            <w:tcMar>
              <w:top w:w="80" w:type="dxa"/>
              <w:start w:w="120" w:type="dxa"/>
              <w:bottom w:w="80" w:type="dxa"/>
              <w:end w:w="120" w:type="dxa"/>
            </w:tcMar>
            <w:vAlign w:val="center"/>
            <w:shd w:fill="F3F6F8"/>
          </w:tcPr>
          <w:p>
            <w:pPr>
              <w:spacing w:after="30"/>
            </w:pPr>
            <w:r>
              <w:rPr>
                <w:sz w:val="14"/>
              </w:rPr>
              <w:t>Encrypted payload visibility limited</w:t>
            </w:r>
          </w:p>
        </w:tc>
      </w:tr>
      <w:tr>
        <w:trPr>
          <w:cantSplit/>
        </w:trPr>
        <w:tc>
          <w:tcPr>
            <w:tcW w:type="dxa" w:w="2304"/>
            <w:tcMar>
              <w:top w:w="80" w:type="dxa"/>
              <w:start w:w="120" w:type="dxa"/>
              <w:bottom w:w="80" w:type="dxa"/>
              <w:end w:w="120" w:type="dxa"/>
            </w:tcMar>
            <w:vAlign w:val="center"/>
          </w:tcPr>
          <w:p>
            <w:pPr>
              <w:spacing w:after="30"/>
            </w:pPr>
            <w:r>
              <w:rPr>
                <w:sz w:val="14"/>
              </w:rPr>
              <w:t>Transcript/feedback growth</w:t>
            </w:r>
          </w:p>
        </w:tc>
        <w:tc>
          <w:tcPr>
            <w:tcW w:type="dxa" w:w="2160"/>
            <w:tcMar>
              <w:top w:w="80" w:type="dxa"/>
              <w:start w:w="120" w:type="dxa"/>
              <w:bottom w:w="80" w:type="dxa"/>
              <w:end w:w="120" w:type="dxa"/>
            </w:tcMar>
            <w:vAlign w:val="center"/>
          </w:tcPr>
          <w:p>
            <w:pPr>
              <w:spacing w:after="30"/>
            </w:pPr>
            <w:r>
              <w:rPr>
                <w:sz w:val="14"/>
              </w:rPr>
              <w:t>Filesystem/DLP/telemetry</w:t>
            </w:r>
          </w:p>
        </w:tc>
        <w:tc>
          <w:tcPr>
            <w:tcW w:type="dxa" w:w="2880"/>
            <w:tcMar>
              <w:top w:w="80" w:type="dxa"/>
              <w:start w:w="120" w:type="dxa"/>
              <w:bottom w:w="80" w:type="dxa"/>
              <w:end w:w="120" w:type="dxa"/>
            </w:tcMar>
            <w:vAlign w:val="center"/>
          </w:tcPr>
          <w:p>
            <w:pPr>
              <w:spacing w:after="30"/>
            </w:pPr>
            <w:r>
              <w:rPr>
                <w:sz w:val="14"/>
              </w:rPr>
              <w:t>Stop persistence/send, assess exposure</w:t>
            </w:r>
          </w:p>
        </w:tc>
        <w:tc>
          <w:tcPr>
            <w:tcW w:type="dxa" w:w="2016"/>
            <w:tcMar>
              <w:top w:w="80" w:type="dxa"/>
              <w:start w:w="120" w:type="dxa"/>
              <w:bottom w:w="80" w:type="dxa"/>
              <w:end w:w="120" w:type="dxa"/>
            </w:tcMar>
            <w:vAlign w:val="center"/>
          </w:tcPr>
          <w:p>
            <w:pPr>
              <w:spacing w:after="30"/>
            </w:pPr>
            <w:r>
              <w:rPr>
                <w:sz w:val="14"/>
              </w:rPr>
              <w:t>Avoid collecting content unnecessarily</w:t>
            </w:r>
          </w:p>
        </w:tc>
      </w:tr>
    </w:tbl>
    <w:p>
      <w:pPr>
        <w:spacing w:after="40"/>
      </w:pPr>
    </w:p>
    <w:p>
      <w:pPr>
        <w:pStyle w:val="Heading1"/>
      </w:pPr>
      <w:r>
        <w:t>Detailed Validated Findings</w:t>
      </w:r>
    </w:p>
    <w:p>
      <w:pPr>
        <w:pStyle w:val="Heading2"/>
      </w:pPr>
      <w:r>
        <w:t>RISK-001 - Representative runtime evidence is unavailable</w:t>
      </w:r>
    </w:p>
    <w:p>
      <w:r>
        <w:t>Scope: VS Code 2.1.220; managed macOS/Windows endpoints.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4/5 produce 12 (High). Existing controls are configuration-dependent and assessed Moderate unless noted. Residual likelihood 3/5 and impact 4/5 produce 12 (High).</w:t>
      </w:r>
    </w:p>
    <w:p>
      <w:r>
        <w:t>Treatment: Complete isolated runtime plan before pilot. Owner: Endpoint Security Testing.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RISK-002 - Agent authority can exceed user intent</w:t>
      </w:r>
    </w:p>
    <w:p>
      <w:r>
        <w:t>Scope: Terminal, files, Git, notebooks and MCP.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4/5 and impact 5/5 produce 20 (Critical). Existing controls are configuration-dependent and assessed Moderate unless noted. Residual likelihood 3/5 and impact 4/5 produce 12 (High).</w:t>
      </w:r>
    </w:p>
    <w:p>
      <w:r>
        <w:t>Treatment: Managed deny-first permissions, manual approval and fail-closed sandbox. Owner: Developer Platform.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RISK-003 - Prompt/code/transcript privacy may conflict with regulated use</w:t>
      </w:r>
    </w:p>
    <w:p>
      <w:r>
        <w:t>Scope: Provider traffic, plaintext local transcripts, telemetry and feedback.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4/5 and impact 5/5 produce 20 (Critical). Existing controls are configuration-dependent and assessed Moderate unless noted. Residual likelihood 3/5 and impact 4/5 produce 12 (High).</w:t>
      </w:r>
    </w:p>
    <w:p>
      <w:r>
        <w:t>Treatment: Enterprise/ZDR, DPIA, minimal persistence and nonessential-traffic controls. Owner: Privacy and Data Protection.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RISK-004 - Plugins, hooks, skills and MCP create an extensible supply chain</w:t>
      </w:r>
    </w:p>
    <w:p>
      <w:r>
        <w:t>Scope: Project, user and marketplace customisation.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4/5 and impact 5/5 produce 20 (Critical). Existing controls are configuration-dependent and assessed Moderate unless noted. Residual likelihood 3/5 and impact 4/5 produce 12 (High).</w:t>
      </w:r>
    </w:p>
    <w:p>
      <w:r>
        <w:t>Treatment: Deny by default; managed immutable allowlists and independent assessment. Owner: Software Supply Chain.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RISK-005 - Opaque native code and incomplete source correspondence limit assurance</w:t>
      </w:r>
    </w:p>
    <w:p>
      <w:r>
        <w:t>Scope: Signed native CLI, ad-hoc audio module and minified bundles.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5/5 produce 15 (High). Existing controls are configuration-dependent and assessed Moderate unless noted. Residual likelihood 2/5 and impact 5/5 produce 10 (High).</w:t>
      </w:r>
    </w:p>
    <w:p>
      <w:r>
        <w:t>Treatment: Obtain vendor SBOM/provenance and platform-specific assurance. Owner: Third-Party Risk.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RISK-006 - Recent advisory history demands enforced updates and regressions</w:t>
      </w:r>
    </w:p>
    <w:p>
      <w:r>
        <w:t>Scope: Claude Code security boundary.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5/5 produce 15 (High). Existing controls are configuration-dependent and assessed Moderate unless noted. Residual likelihood 2/5 and impact 4/5 produce 8 (Moderate).</w:t>
      </w:r>
    </w:p>
    <w:p>
      <w:r>
        <w:t>Treatment: Version bounds, advisory monitoring and regression suite. Owner: Vulnerability Management.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RISK-007 - Auto-update and platform drift can invalidate approval</w:t>
      </w:r>
    </w:p>
    <w:p>
      <w:r>
        <w:t>Scope: Marketplace/platform variants and embedded updater.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4/5 and impact 4/5 produce 16 (High). Existing controls are configuration-dependent and assessed Moderate unless noted. Residual likelihood 3/5 and impact 3/5 produce 9 (Moderate).</w:t>
      </w:r>
    </w:p>
    <w:p>
      <w:r>
        <w:t>Treatment: Stage updates and approve exact platform hashes. Owner: Endpoint Engineering.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RISK-008 - Compatibility and workspace-trust behavior need proof</w:t>
      </w:r>
    </w:p>
    <w:p>
      <w:r>
        <w:t>Scope: VS Code 1.94/1.98 discrepancy and Restricted Mode.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3/5 produce 9 (Moderate). Existing controls are configuration-dependent and assessed Moderate unless noted. Residual likelihood 2/5 and impact 3/5 produce 6 (Moderate).</w:t>
      </w:r>
    </w:p>
    <w:p>
      <w:r>
        <w:t>Treatment: Use 1.98+ and prove no activation before workspace trust. Owner: Endpoint Engineering.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RISK-009 - Built-in and external MCP behavior is incompletely observed</w:t>
      </w:r>
    </w:p>
    <w:p>
      <w:r>
        <w:t>Scope: IDE diagnostics/notebook execution and configured servers.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5/5 produce 15 (High). Existing controls are configuration-dependent and assessed Moderate unless noted. Residual likelihood 3/5 and impact 3/5 produce 9 (Moderate).</w:t>
      </w:r>
    </w:p>
    <w:p>
      <w:r>
        <w:t>Treatment: Snapshot tools/schemas; deny unknown servers and verify consent. Owner: AI Platform Security.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2"/>
      </w:pPr>
      <w:r>
        <w:t>RISK-010 - Optional skill/plugin artefacts require independent approval</w:t>
      </w:r>
    </w:p>
    <w:p>
      <w:r>
        <w:t>Scope: Ten repository skills plus related hooks/scripts. Threat scenario: a user, malicious repository, compromised supply-chain component, remote service or model/tool output exploits the stated gap to affect source, credentials, personal/confidential data, endpoint integrity, auditability or availability. Evidence: EVD-004 through EVD-017 as relevant.</w:t>
      </w:r>
    </w:p>
    <w:p>
      <w:r>
        <w:t>Inherent likelihood 3/5 and impact 5/5 produce 15 (High). Existing controls are configuration-dependent and assessed Moderate unless noted. Residual likelihood 2/5 and impact 4/5 produce 8 (Moderate).</w:t>
      </w:r>
    </w:p>
    <w:p>
      <w:r>
        <w:t>Treatment: Transitive review, immutable pin, no wildcard tools and isolated tests. Owner: Plugin Governance. Priority: P1 before pilot for High residual items; P2 before broad rollout for Moderate items. Verification: obtain direct, version-specific evidence that the treatment denies the scenario and leaves auditable results. Confidence: High for identity/static facts, Medium for vendor control design and Low for runtime behavior.</w:t>
      </w:r>
    </w:p>
    <w:p>
      <w:r>
        <w:t>Frameworks: OWASP LLM/Agentic/MCP as applicable; MITRE ATLAS; NIST AI RMF/AI 600-1; CIS; ISO/IEC 27001; NCSC; privacy and UK insurance obligations where deployment facts establish scope.</w:t>
      </w:r>
    </w:p>
    <w:p>
      <w:pPr>
        <w:pStyle w:val="Heading1"/>
      </w:pPr>
      <w:r>
        <w:t>Consolidated Risk Register</w:t>
      </w:r>
    </w:p>
    <w:p>
      <w:r>
        <w:t>Legend: ID = unique finding; Risk = adverse scenario; Scope = affected component/environment; L/I = inherent likelihood/impact (1-5); Inherent = L x I; rL/rI = residual likelihood/impact after verified controls; Residual = rL x rI; Treatment = recommended action; Owner = accountable role. Rating bands: 1-4 Low, 5-9 Moderate, 10-16 High, 17-25 Critical.</w:t>
      </w:r>
    </w:p>
    <w:tbl>
      <w:tblPr>
        <w:tblStyle w:val="TableGrid"/>
        <w:tblW w:type="auto" w:w="0"/>
        <w:jc w:val="center"/>
        <w:tblLayout w:type="fixed"/>
        <w:tblLook w:firstColumn="1" w:firstRow="1" w:lastColumn="0" w:lastRow="0" w:noHBand="0" w:noVBand="1" w:val="04A0"/>
      </w:tblPr>
      <w:tblGrid>
        <w:gridCol w:w="792"/>
        <w:gridCol w:w="1944"/>
        <w:gridCol w:w="648"/>
        <w:gridCol w:w="1008"/>
        <w:gridCol w:w="720"/>
        <w:gridCol w:w="1008"/>
        <w:gridCol w:w="1944"/>
        <w:gridCol w:w="1296"/>
      </w:tblGrid>
      <w:tr>
        <w:trPr>
          <w:tblHeader/>
        </w:trPr>
        <w:tc>
          <w:tcPr>
            <w:tcW w:type="dxa" w:w="792"/>
            <w:shd w:fill="17365D"/>
            <w:tcMar>
              <w:top w:w="80" w:type="dxa"/>
              <w:start w:w="120" w:type="dxa"/>
              <w:bottom w:w="80" w:type="dxa"/>
              <w:end w:w="120" w:type="dxa"/>
            </w:tcMar>
            <w:vAlign w:val="center"/>
          </w:tcPr>
          <w:p>
            <w:r>
              <w:rPr>
                <w:b/>
                <w:color w:val="FFFFFF"/>
                <w:sz w:val="11"/>
              </w:rPr>
              <w:t>ID</w:t>
            </w:r>
          </w:p>
        </w:tc>
        <w:tc>
          <w:tcPr>
            <w:tcW w:type="dxa" w:w="1944"/>
            <w:shd w:fill="17365D"/>
            <w:tcMar>
              <w:top w:w="80" w:type="dxa"/>
              <w:start w:w="120" w:type="dxa"/>
              <w:bottom w:w="80" w:type="dxa"/>
              <w:end w:w="120" w:type="dxa"/>
            </w:tcMar>
            <w:vAlign w:val="center"/>
          </w:tcPr>
          <w:p>
            <w:r>
              <w:rPr>
                <w:b/>
                <w:color w:val="FFFFFF"/>
                <w:sz w:val="11"/>
              </w:rPr>
              <w:t>Risk</w:t>
            </w:r>
          </w:p>
        </w:tc>
        <w:tc>
          <w:tcPr>
            <w:tcW w:type="dxa" w:w="648"/>
            <w:shd w:fill="17365D"/>
            <w:tcMar>
              <w:top w:w="80" w:type="dxa"/>
              <w:start w:w="120" w:type="dxa"/>
              <w:bottom w:w="80" w:type="dxa"/>
              <w:end w:w="120" w:type="dxa"/>
            </w:tcMar>
            <w:vAlign w:val="center"/>
          </w:tcPr>
          <w:p>
            <w:r>
              <w:rPr>
                <w:b/>
                <w:color w:val="FFFFFF"/>
                <w:sz w:val="11"/>
              </w:rPr>
              <w:t>L/I</w:t>
            </w:r>
          </w:p>
        </w:tc>
        <w:tc>
          <w:tcPr>
            <w:tcW w:type="dxa" w:w="1008"/>
            <w:shd w:fill="17365D"/>
            <w:tcMar>
              <w:top w:w="80" w:type="dxa"/>
              <w:start w:w="120" w:type="dxa"/>
              <w:bottom w:w="80" w:type="dxa"/>
              <w:end w:w="120" w:type="dxa"/>
            </w:tcMar>
            <w:vAlign w:val="center"/>
          </w:tcPr>
          <w:p>
            <w:r>
              <w:rPr>
                <w:b/>
                <w:color w:val="FFFFFF"/>
                <w:sz w:val="11"/>
              </w:rPr>
              <w:t>Inherent</w:t>
            </w:r>
          </w:p>
        </w:tc>
        <w:tc>
          <w:tcPr>
            <w:tcW w:type="dxa" w:w="720"/>
            <w:shd w:fill="17365D"/>
            <w:tcMar>
              <w:top w:w="80" w:type="dxa"/>
              <w:start w:w="120" w:type="dxa"/>
              <w:bottom w:w="80" w:type="dxa"/>
              <w:end w:w="120" w:type="dxa"/>
            </w:tcMar>
            <w:vAlign w:val="center"/>
          </w:tcPr>
          <w:p>
            <w:r>
              <w:rPr>
                <w:b/>
                <w:color w:val="FFFFFF"/>
                <w:sz w:val="11"/>
              </w:rPr>
              <w:t>rL/rI</w:t>
            </w:r>
          </w:p>
        </w:tc>
        <w:tc>
          <w:tcPr>
            <w:tcW w:type="dxa" w:w="1008"/>
            <w:shd w:fill="17365D"/>
            <w:tcMar>
              <w:top w:w="80" w:type="dxa"/>
              <w:start w:w="120" w:type="dxa"/>
              <w:bottom w:w="80" w:type="dxa"/>
              <w:end w:w="120" w:type="dxa"/>
            </w:tcMar>
            <w:vAlign w:val="center"/>
          </w:tcPr>
          <w:p>
            <w:r>
              <w:rPr>
                <w:b/>
                <w:color w:val="FFFFFF"/>
                <w:sz w:val="11"/>
              </w:rPr>
              <w:t>Residual</w:t>
            </w:r>
          </w:p>
        </w:tc>
        <w:tc>
          <w:tcPr>
            <w:tcW w:type="dxa" w:w="1944"/>
            <w:shd w:fill="17365D"/>
            <w:tcMar>
              <w:top w:w="80" w:type="dxa"/>
              <w:start w:w="120" w:type="dxa"/>
              <w:bottom w:w="80" w:type="dxa"/>
              <w:end w:w="120" w:type="dxa"/>
            </w:tcMar>
            <w:vAlign w:val="center"/>
          </w:tcPr>
          <w:p>
            <w:r>
              <w:rPr>
                <w:b/>
                <w:color w:val="FFFFFF"/>
                <w:sz w:val="11"/>
              </w:rPr>
              <w:t>Treatment</w:t>
            </w:r>
          </w:p>
        </w:tc>
        <w:tc>
          <w:tcPr>
            <w:tcW w:type="dxa" w:w="1296"/>
            <w:shd w:fill="17365D"/>
            <w:tcMar>
              <w:top w:w="80" w:type="dxa"/>
              <w:start w:w="120" w:type="dxa"/>
              <w:bottom w:w="80" w:type="dxa"/>
              <w:end w:w="120" w:type="dxa"/>
            </w:tcMar>
            <w:vAlign w:val="center"/>
          </w:tcPr>
          <w:p>
            <w:r>
              <w:rPr>
                <w:b/>
                <w:color w:val="FFFFFF"/>
                <w:sz w:val="11"/>
              </w:rPr>
              <w:t>Owner</w:t>
            </w:r>
          </w:p>
        </w:tc>
      </w:tr>
      <w:tr>
        <w:trPr>
          <w:cantSplit/>
        </w:trPr>
        <w:tc>
          <w:tcPr>
            <w:tcW w:type="dxa" w:w="792"/>
            <w:tcMar>
              <w:top w:w="80" w:type="dxa"/>
              <w:start w:w="120" w:type="dxa"/>
              <w:bottom w:w="80" w:type="dxa"/>
              <w:end w:w="120" w:type="dxa"/>
            </w:tcMar>
            <w:vAlign w:val="center"/>
          </w:tcPr>
          <w:p>
            <w:pPr>
              <w:spacing w:after="30"/>
            </w:pPr>
            <w:r>
              <w:rPr>
                <w:sz w:val="11"/>
              </w:rPr>
              <w:t>RISK-001</w:t>
            </w:r>
          </w:p>
        </w:tc>
        <w:tc>
          <w:tcPr>
            <w:tcW w:type="dxa" w:w="1944"/>
            <w:tcMar>
              <w:top w:w="80" w:type="dxa"/>
              <w:start w:w="120" w:type="dxa"/>
              <w:bottom w:w="80" w:type="dxa"/>
              <w:end w:w="120" w:type="dxa"/>
            </w:tcMar>
            <w:vAlign w:val="center"/>
          </w:tcPr>
          <w:p>
            <w:pPr>
              <w:spacing w:after="30"/>
            </w:pPr>
            <w:r>
              <w:rPr>
                <w:sz w:val="11"/>
              </w:rPr>
              <w:t>Representative runtime evidence is unavailable</w:t>
            </w:r>
          </w:p>
        </w:tc>
        <w:tc>
          <w:tcPr>
            <w:tcW w:type="dxa" w:w="648"/>
            <w:tcMar>
              <w:top w:w="80" w:type="dxa"/>
              <w:start w:w="120" w:type="dxa"/>
              <w:bottom w:w="80" w:type="dxa"/>
              <w:end w:w="120" w:type="dxa"/>
            </w:tcMar>
            <w:vAlign w:val="center"/>
          </w:tcPr>
          <w:p>
            <w:pPr>
              <w:spacing w:after="30"/>
            </w:pPr>
            <w:r>
              <w:rPr>
                <w:sz w:val="11"/>
              </w:rPr>
              <w:t>3/4</w:t>
            </w:r>
          </w:p>
        </w:tc>
        <w:tc>
          <w:tcPr>
            <w:tcW w:type="dxa" w:w="1008"/>
            <w:tcMar>
              <w:top w:w="80" w:type="dxa"/>
              <w:start w:w="120" w:type="dxa"/>
              <w:bottom w:w="80" w:type="dxa"/>
              <w:end w:w="120" w:type="dxa"/>
            </w:tcMar>
            <w:vAlign w:val="center"/>
          </w:tcPr>
          <w:p>
            <w:pPr>
              <w:spacing w:after="30"/>
            </w:pPr>
            <w:r>
              <w:rPr>
                <w:sz w:val="11"/>
              </w:rPr>
              <w:t>12 High</w:t>
            </w:r>
          </w:p>
        </w:tc>
        <w:tc>
          <w:tcPr>
            <w:tcW w:type="dxa" w:w="720"/>
            <w:tcMar>
              <w:top w:w="80" w:type="dxa"/>
              <w:start w:w="120" w:type="dxa"/>
              <w:bottom w:w="80" w:type="dxa"/>
              <w:end w:w="120" w:type="dxa"/>
            </w:tcMar>
            <w:vAlign w:val="center"/>
          </w:tcPr>
          <w:p>
            <w:pPr>
              <w:spacing w:after="30"/>
            </w:pPr>
            <w:r>
              <w:rPr>
                <w:sz w:val="11"/>
              </w:rPr>
              <w:t>3/4</w:t>
            </w:r>
          </w:p>
        </w:tc>
        <w:tc>
          <w:tcPr>
            <w:tcW w:type="dxa" w:w="1008"/>
            <w:tcMar>
              <w:top w:w="80" w:type="dxa"/>
              <w:start w:w="120" w:type="dxa"/>
              <w:bottom w:w="80" w:type="dxa"/>
              <w:end w:w="120" w:type="dxa"/>
            </w:tcMar>
            <w:vAlign w:val="center"/>
          </w:tcPr>
          <w:p>
            <w:pPr>
              <w:spacing w:after="30"/>
            </w:pPr>
            <w:r>
              <w:rPr>
                <w:sz w:val="11"/>
              </w:rPr>
              <w:t>12 High</w:t>
            </w:r>
          </w:p>
        </w:tc>
        <w:tc>
          <w:tcPr>
            <w:tcW w:type="dxa" w:w="1944"/>
            <w:tcMar>
              <w:top w:w="80" w:type="dxa"/>
              <w:start w:w="120" w:type="dxa"/>
              <w:bottom w:w="80" w:type="dxa"/>
              <w:end w:w="120" w:type="dxa"/>
            </w:tcMar>
            <w:vAlign w:val="center"/>
          </w:tcPr>
          <w:p>
            <w:pPr>
              <w:spacing w:after="30"/>
            </w:pPr>
            <w:r>
              <w:rPr>
                <w:sz w:val="11"/>
              </w:rPr>
              <w:t>Complete isolated runtime plan before pilot.</w:t>
            </w:r>
          </w:p>
        </w:tc>
        <w:tc>
          <w:tcPr>
            <w:tcW w:type="dxa" w:w="1296"/>
            <w:tcMar>
              <w:top w:w="80" w:type="dxa"/>
              <w:start w:w="120" w:type="dxa"/>
              <w:bottom w:w="80" w:type="dxa"/>
              <w:end w:w="120" w:type="dxa"/>
            </w:tcMar>
            <w:vAlign w:val="center"/>
          </w:tcPr>
          <w:p>
            <w:pPr>
              <w:spacing w:after="30"/>
            </w:pPr>
            <w:r>
              <w:rPr>
                <w:sz w:val="11"/>
              </w:rPr>
              <w:t>Endpoint Security Testing</w:t>
            </w:r>
          </w:p>
        </w:tc>
      </w:tr>
      <w:tr>
        <w:trPr>
          <w:cantSplit/>
        </w:trPr>
        <w:tc>
          <w:tcPr>
            <w:tcW w:type="dxa" w:w="792"/>
            <w:tcMar>
              <w:top w:w="80" w:type="dxa"/>
              <w:start w:w="120" w:type="dxa"/>
              <w:bottom w:w="80" w:type="dxa"/>
              <w:end w:w="120" w:type="dxa"/>
            </w:tcMar>
            <w:vAlign w:val="center"/>
            <w:shd w:fill="F3F6F8"/>
          </w:tcPr>
          <w:p>
            <w:pPr>
              <w:spacing w:after="30"/>
            </w:pPr>
            <w:r>
              <w:rPr>
                <w:sz w:val="11"/>
              </w:rPr>
              <w:t>RISK-002</w:t>
            </w:r>
          </w:p>
        </w:tc>
        <w:tc>
          <w:tcPr>
            <w:tcW w:type="dxa" w:w="1944"/>
            <w:tcMar>
              <w:top w:w="80" w:type="dxa"/>
              <w:start w:w="120" w:type="dxa"/>
              <w:bottom w:w="80" w:type="dxa"/>
              <w:end w:w="120" w:type="dxa"/>
            </w:tcMar>
            <w:vAlign w:val="center"/>
            <w:shd w:fill="F3F6F8"/>
          </w:tcPr>
          <w:p>
            <w:pPr>
              <w:spacing w:after="30"/>
            </w:pPr>
            <w:r>
              <w:rPr>
                <w:sz w:val="11"/>
              </w:rPr>
              <w:t>Agent authority can exceed user intent</w:t>
            </w:r>
          </w:p>
        </w:tc>
        <w:tc>
          <w:tcPr>
            <w:tcW w:type="dxa" w:w="648"/>
            <w:tcMar>
              <w:top w:w="80" w:type="dxa"/>
              <w:start w:w="120" w:type="dxa"/>
              <w:bottom w:w="80" w:type="dxa"/>
              <w:end w:w="120" w:type="dxa"/>
            </w:tcMar>
            <w:vAlign w:val="center"/>
            <w:shd w:fill="F3F6F8"/>
          </w:tcPr>
          <w:p>
            <w:pPr>
              <w:spacing w:after="30"/>
            </w:pPr>
            <w:r>
              <w:rPr>
                <w:sz w:val="11"/>
              </w:rPr>
              <w:t>4/5</w:t>
            </w:r>
          </w:p>
        </w:tc>
        <w:tc>
          <w:tcPr>
            <w:tcW w:type="dxa" w:w="1008"/>
            <w:tcMar>
              <w:top w:w="80" w:type="dxa"/>
              <w:start w:w="120" w:type="dxa"/>
              <w:bottom w:w="80" w:type="dxa"/>
              <w:end w:w="120" w:type="dxa"/>
            </w:tcMar>
            <w:vAlign w:val="center"/>
            <w:shd w:fill="F3F6F8"/>
          </w:tcPr>
          <w:p>
            <w:pPr>
              <w:spacing w:after="30"/>
            </w:pPr>
            <w:r>
              <w:rPr>
                <w:sz w:val="11"/>
              </w:rPr>
              <w:t>20 Critical</w:t>
            </w:r>
          </w:p>
        </w:tc>
        <w:tc>
          <w:tcPr>
            <w:tcW w:type="dxa" w:w="720"/>
            <w:tcMar>
              <w:top w:w="80" w:type="dxa"/>
              <w:start w:w="120" w:type="dxa"/>
              <w:bottom w:w="80" w:type="dxa"/>
              <w:end w:w="120" w:type="dxa"/>
            </w:tcMar>
            <w:vAlign w:val="center"/>
            <w:shd w:fill="F3F6F8"/>
          </w:tcPr>
          <w:p>
            <w:pPr>
              <w:spacing w:after="30"/>
            </w:pPr>
            <w:r>
              <w:rPr>
                <w:sz w:val="11"/>
              </w:rPr>
              <w:t>3/4</w:t>
            </w:r>
          </w:p>
        </w:tc>
        <w:tc>
          <w:tcPr>
            <w:tcW w:type="dxa" w:w="1008"/>
            <w:tcMar>
              <w:top w:w="80" w:type="dxa"/>
              <w:start w:w="120" w:type="dxa"/>
              <w:bottom w:w="80" w:type="dxa"/>
              <w:end w:w="120" w:type="dxa"/>
            </w:tcMar>
            <w:vAlign w:val="center"/>
            <w:shd w:fill="F3F6F8"/>
          </w:tcPr>
          <w:p>
            <w:pPr>
              <w:spacing w:after="30"/>
            </w:pPr>
            <w:r>
              <w:rPr>
                <w:sz w:val="11"/>
              </w:rPr>
              <w:t>12 High</w:t>
            </w:r>
          </w:p>
        </w:tc>
        <w:tc>
          <w:tcPr>
            <w:tcW w:type="dxa" w:w="1944"/>
            <w:tcMar>
              <w:top w:w="80" w:type="dxa"/>
              <w:start w:w="120" w:type="dxa"/>
              <w:bottom w:w="80" w:type="dxa"/>
              <w:end w:w="120" w:type="dxa"/>
            </w:tcMar>
            <w:vAlign w:val="center"/>
            <w:shd w:fill="F3F6F8"/>
          </w:tcPr>
          <w:p>
            <w:pPr>
              <w:spacing w:after="30"/>
            </w:pPr>
            <w:r>
              <w:rPr>
                <w:sz w:val="11"/>
              </w:rPr>
              <w:t>Managed deny-first permissions, manual approval and fail-closed sandbox.</w:t>
            </w:r>
          </w:p>
        </w:tc>
        <w:tc>
          <w:tcPr>
            <w:tcW w:type="dxa" w:w="1296"/>
            <w:tcMar>
              <w:top w:w="80" w:type="dxa"/>
              <w:start w:w="120" w:type="dxa"/>
              <w:bottom w:w="80" w:type="dxa"/>
              <w:end w:w="120" w:type="dxa"/>
            </w:tcMar>
            <w:vAlign w:val="center"/>
            <w:shd w:fill="F3F6F8"/>
          </w:tcPr>
          <w:p>
            <w:pPr>
              <w:spacing w:after="30"/>
            </w:pPr>
            <w:r>
              <w:rPr>
                <w:sz w:val="11"/>
              </w:rPr>
              <w:t>Developer Platform</w:t>
            </w:r>
          </w:p>
        </w:tc>
      </w:tr>
      <w:tr>
        <w:trPr>
          <w:cantSplit/>
        </w:trPr>
        <w:tc>
          <w:tcPr>
            <w:tcW w:type="dxa" w:w="792"/>
            <w:tcMar>
              <w:top w:w="80" w:type="dxa"/>
              <w:start w:w="120" w:type="dxa"/>
              <w:bottom w:w="80" w:type="dxa"/>
              <w:end w:w="120" w:type="dxa"/>
            </w:tcMar>
            <w:vAlign w:val="center"/>
          </w:tcPr>
          <w:p>
            <w:pPr>
              <w:spacing w:after="30"/>
            </w:pPr>
            <w:r>
              <w:rPr>
                <w:sz w:val="11"/>
              </w:rPr>
              <w:t>RISK-003</w:t>
            </w:r>
          </w:p>
        </w:tc>
        <w:tc>
          <w:tcPr>
            <w:tcW w:type="dxa" w:w="1944"/>
            <w:tcMar>
              <w:top w:w="80" w:type="dxa"/>
              <w:start w:w="120" w:type="dxa"/>
              <w:bottom w:w="80" w:type="dxa"/>
              <w:end w:w="120" w:type="dxa"/>
            </w:tcMar>
            <w:vAlign w:val="center"/>
          </w:tcPr>
          <w:p>
            <w:pPr>
              <w:spacing w:after="30"/>
            </w:pPr>
            <w:r>
              <w:rPr>
                <w:sz w:val="11"/>
              </w:rPr>
              <w:t>Prompt/code/transcript privacy may conflict with regulated use</w:t>
            </w:r>
          </w:p>
        </w:tc>
        <w:tc>
          <w:tcPr>
            <w:tcW w:type="dxa" w:w="648"/>
            <w:tcMar>
              <w:top w:w="80" w:type="dxa"/>
              <w:start w:w="120" w:type="dxa"/>
              <w:bottom w:w="80" w:type="dxa"/>
              <w:end w:w="120" w:type="dxa"/>
            </w:tcMar>
            <w:vAlign w:val="center"/>
          </w:tcPr>
          <w:p>
            <w:pPr>
              <w:spacing w:after="30"/>
            </w:pPr>
            <w:r>
              <w:rPr>
                <w:sz w:val="11"/>
              </w:rPr>
              <w:t>4/5</w:t>
            </w:r>
          </w:p>
        </w:tc>
        <w:tc>
          <w:tcPr>
            <w:tcW w:type="dxa" w:w="1008"/>
            <w:tcMar>
              <w:top w:w="80" w:type="dxa"/>
              <w:start w:w="120" w:type="dxa"/>
              <w:bottom w:w="80" w:type="dxa"/>
              <w:end w:w="120" w:type="dxa"/>
            </w:tcMar>
            <w:vAlign w:val="center"/>
          </w:tcPr>
          <w:p>
            <w:pPr>
              <w:spacing w:after="30"/>
            </w:pPr>
            <w:r>
              <w:rPr>
                <w:sz w:val="11"/>
              </w:rPr>
              <w:t>20 Critical</w:t>
            </w:r>
          </w:p>
        </w:tc>
        <w:tc>
          <w:tcPr>
            <w:tcW w:type="dxa" w:w="720"/>
            <w:tcMar>
              <w:top w:w="80" w:type="dxa"/>
              <w:start w:w="120" w:type="dxa"/>
              <w:bottom w:w="80" w:type="dxa"/>
              <w:end w:w="120" w:type="dxa"/>
            </w:tcMar>
            <w:vAlign w:val="center"/>
          </w:tcPr>
          <w:p>
            <w:pPr>
              <w:spacing w:after="30"/>
            </w:pPr>
            <w:r>
              <w:rPr>
                <w:sz w:val="11"/>
              </w:rPr>
              <w:t>3/4</w:t>
            </w:r>
          </w:p>
        </w:tc>
        <w:tc>
          <w:tcPr>
            <w:tcW w:type="dxa" w:w="1008"/>
            <w:tcMar>
              <w:top w:w="80" w:type="dxa"/>
              <w:start w:w="120" w:type="dxa"/>
              <w:bottom w:w="80" w:type="dxa"/>
              <w:end w:w="120" w:type="dxa"/>
            </w:tcMar>
            <w:vAlign w:val="center"/>
          </w:tcPr>
          <w:p>
            <w:pPr>
              <w:spacing w:after="30"/>
            </w:pPr>
            <w:r>
              <w:rPr>
                <w:sz w:val="11"/>
              </w:rPr>
              <w:t>12 High</w:t>
            </w:r>
          </w:p>
        </w:tc>
        <w:tc>
          <w:tcPr>
            <w:tcW w:type="dxa" w:w="1944"/>
            <w:tcMar>
              <w:top w:w="80" w:type="dxa"/>
              <w:start w:w="120" w:type="dxa"/>
              <w:bottom w:w="80" w:type="dxa"/>
              <w:end w:w="120" w:type="dxa"/>
            </w:tcMar>
            <w:vAlign w:val="center"/>
          </w:tcPr>
          <w:p>
            <w:pPr>
              <w:spacing w:after="30"/>
            </w:pPr>
            <w:r>
              <w:rPr>
                <w:sz w:val="11"/>
              </w:rPr>
              <w:t>Enterprise/ZDR, DPIA, minimal persistence and nonessential-traffic controls.</w:t>
            </w:r>
          </w:p>
        </w:tc>
        <w:tc>
          <w:tcPr>
            <w:tcW w:type="dxa" w:w="1296"/>
            <w:tcMar>
              <w:top w:w="80" w:type="dxa"/>
              <w:start w:w="120" w:type="dxa"/>
              <w:bottom w:w="80" w:type="dxa"/>
              <w:end w:w="120" w:type="dxa"/>
            </w:tcMar>
            <w:vAlign w:val="center"/>
          </w:tcPr>
          <w:p>
            <w:pPr>
              <w:spacing w:after="30"/>
            </w:pPr>
            <w:r>
              <w:rPr>
                <w:sz w:val="11"/>
              </w:rPr>
              <w:t>Privacy and Data Protection</w:t>
            </w:r>
          </w:p>
        </w:tc>
      </w:tr>
      <w:tr>
        <w:trPr>
          <w:cantSplit/>
        </w:trPr>
        <w:tc>
          <w:tcPr>
            <w:tcW w:type="dxa" w:w="792"/>
            <w:tcMar>
              <w:top w:w="80" w:type="dxa"/>
              <w:start w:w="120" w:type="dxa"/>
              <w:bottom w:w="80" w:type="dxa"/>
              <w:end w:w="120" w:type="dxa"/>
            </w:tcMar>
            <w:vAlign w:val="center"/>
            <w:shd w:fill="F3F6F8"/>
          </w:tcPr>
          <w:p>
            <w:pPr>
              <w:spacing w:after="30"/>
            </w:pPr>
            <w:r>
              <w:rPr>
                <w:sz w:val="11"/>
              </w:rPr>
              <w:t>RISK-004</w:t>
            </w:r>
          </w:p>
        </w:tc>
        <w:tc>
          <w:tcPr>
            <w:tcW w:type="dxa" w:w="1944"/>
            <w:tcMar>
              <w:top w:w="80" w:type="dxa"/>
              <w:start w:w="120" w:type="dxa"/>
              <w:bottom w:w="80" w:type="dxa"/>
              <w:end w:w="120" w:type="dxa"/>
            </w:tcMar>
            <w:vAlign w:val="center"/>
            <w:shd w:fill="F3F6F8"/>
          </w:tcPr>
          <w:p>
            <w:pPr>
              <w:spacing w:after="30"/>
            </w:pPr>
            <w:r>
              <w:rPr>
                <w:sz w:val="11"/>
              </w:rPr>
              <w:t>Plugins, hooks, skills and MCP create an extensible supply chain</w:t>
            </w:r>
          </w:p>
        </w:tc>
        <w:tc>
          <w:tcPr>
            <w:tcW w:type="dxa" w:w="648"/>
            <w:tcMar>
              <w:top w:w="80" w:type="dxa"/>
              <w:start w:w="120" w:type="dxa"/>
              <w:bottom w:w="80" w:type="dxa"/>
              <w:end w:w="120" w:type="dxa"/>
            </w:tcMar>
            <w:vAlign w:val="center"/>
            <w:shd w:fill="F3F6F8"/>
          </w:tcPr>
          <w:p>
            <w:pPr>
              <w:spacing w:after="30"/>
            </w:pPr>
            <w:r>
              <w:rPr>
                <w:sz w:val="11"/>
              </w:rPr>
              <w:t>4/5</w:t>
            </w:r>
          </w:p>
        </w:tc>
        <w:tc>
          <w:tcPr>
            <w:tcW w:type="dxa" w:w="1008"/>
            <w:tcMar>
              <w:top w:w="80" w:type="dxa"/>
              <w:start w:w="120" w:type="dxa"/>
              <w:bottom w:w="80" w:type="dxa"/>
              <w:end w:w="120" w:type="dxa"/>
            </w:tcMar>
            <w:vAlign w:val="center"/>
            <w:shd w:fill="F3F6F8"/>
          </w:tcPr>
          <w:p>
            <w:pPr>
              <w:spacing w:after="30"/>
            </w:pPr>
            <w:r>
              <w:rPr>
                <w:sz w:val="11"/>
              </w:rPr>
              <w:t>20 Critical</w:t>
            </w:r>
          </w:p>
        </w:tc>
        <w:tc>
          <w:tcPr>
            <w:tcW w:type="dxa" w:w="720"/>
            <w:tcMar>
              <w:top w:w="80" w:type="dxa"/>
              <w:start w:w="120" w:type="dxa"/>
              <w:bottom w:w="80" w:type="dxa"/>
              <w:end w:w="120" w:type="dxa"/>
            </w:tcMar>
            <w:vAlign w:val="center"/>
            <w:shd w:fill="F3F6F8"/>
          </w:tcPr>
          <w:p>
            <w:pPr>
              <w:spacing w:after="30"/>
            </w:pPr>
            <w:r>
              <w:rPr>
                <w:sz w:val="11"/>
              </w:rPr>
              <w:t>3/4</w:t>
            </w:r>
          </w:p>
        </w:tc>
        <w:tc>
          <w:tcPr>
            <w:tcW w:type="dxa" w:w="1008"/>
            <w:tcMar>
              <w:top w:w="80" w:type="dxa"/>
              <w:start w:w="120" w:type="dxa"/>
              <w:bottom w:w="80" w:type="dxa"/>
              <w:end w:w="120" w:type="dxa"/>
            </w:tcMar>
            <w:vAlign w:val="center"/>
            <w:shd w:fill="F3F6F8"/>
          </w:tcPr>
          <w:p>
            <w:pPr>
              <w:spacing w:after="30"/>
            </w:pPr>
            <w:r>
              <w:rPr>
                <w:sz w:val="11"/>
              </w:rPr>
              <w:t>12 High</w:t>
            </w:r>
          </w:p>
        </w:tc>
        <w:tc>
          <w:tcPr>
            <w:tcW w:type="dxa" w:w="1944"/>
            <w:tcMar>
              <w:top w:w="80" w:type="dxa"/>
              <w:start w:w="120" w:type="dxa"/>
              <w:bottom w:w="80" w:type="dxa"/>
              <w:end w:w="120" w:type="dxa"/>
            </w:tcMar>
            <w:vAlign w:val="center"/>
            <w:shd w:fill="F3F6F8"/>
          </w:tcPr>
          <w:p>
            <w:pPr>
              <w:spacing w:after="30"/>
            </w:pPr>
            <w:r>
              <w:rPr>
                <w:sz w:val="11"/>
              </w:rPr>
              <w:t>Deny by default; managed immutable allowlists and independent assessment.</w:t>
            </w:r>
          </w:p>
        </w:tc>
        <w:tc>
          <w:tcPr>
            <w:tcW w:type="dxa" w:w="1296"/>
            <w:tcMar>
              <w:top w:w="80" w:type="dxa"/>
              <w:start w:w="120" w:type="dxa"/>
              <w:bottom w:w="80" w:type="dxa"/>
              <w:end w:w="120" w:type="dxa"/>
            </w:tcMar>
            <w:vAlign w:val="center"/>
            <w:shd w:fill="F3F6F8"/>
          </w:tcPr>
          <w:p>
            <w:pPr>
              <w:spacing w:after="30"/>
            </w:pPr>
            <w:r>
              <w:rPr>
                <w:sz w:val="11"/>
              </w:rPr>
              <w:t>Software Supply Chain</w:t>
            </w:r>
          </w:p>
        </w:tc>
      </w:tr>
      <w:tr>
        <w:trPr>
          <w:cantSplit/>
        </w:trPr>
        <w:tc>
          <w:tcPr>
            <w:tcW w:type="dxa" w:w="792"/>
            <w:tcMar>
              <w:top w:w="80" w:type="dxa"/>
              <w:start w:w="120" w:type="dxa"/>
              <w:bottom w:w="80" w:type="dxa"/>
              <w:end w:w="120" w:type="dxa"/>
            </w:tcMar>
            <w:vAlign w:val="center"/>
          </w:tcPr>
          <w:p>
            <w:pPr>
              <w:spacing w:after="30"/>
            </w:pPr>
            <w:r>
              <w:rPr>
                <w:sz w:val="11"/>
              </w:rPr>
              <w:t>RISK-005</w:t>
            </w:r>
          </w:p>
        </w:tc>
        <w:tc>
          <w:tcPr>
            <w:tcW w:type="dxa" w:w="1944"/>
            <w:tcMar>
              <w:top w:w="80" w:type="dxa"/>
              <w:start w:w="120" w:type="dxa"/>
              <w:bottom w:w="80" w:type="dxa"/>
              <w:end w:w="120" w:type="dxa"/>
            </w:tcMar>
            <w:vAlign w:val="center"/>
          </w:tcPr>
          <w:p>
            <w:pPr>
              <w:spacing w:after="30"/>
            </w:pPr>
            <w:r>
              <w:rPr>
                <w:sz w:val="11"/>
              </w:rPr>
              <w:t>Opaque native code and incomplete source correspondence limit assurance</w:t>
            </w:r>
          </w:p>
        </w:tc>
        <w:tc>
          <w:tcPr>
            <w:tcW w:type="dxa" w:w="648"/>
            <w:tcMar>
              <w:top w:w="80" w:type="dxa"/>
              <w:start w:w="120" w:type="dxa"/>
              <w:bottom w:w="80" w:type="dxa"/>
              <w:end w:w="120" w:type="dxa"/>
            </w:tcMar>
            <w:vAlign w:val="center"/>
          </w:tcPr>
          <w:p>
            <w:pPr>
              <w:spacing w:after="30"/>
            </w:pPr>
            <w:r>
              <w:rPr>
                <w:sz w:val="11"/>
              </w:rPr>
              <w:t>3/5</w:t>
            </w:r>
          </w:p>
        </w:tc>
        <w:tc>
          <w:tcPr>
            <w:tcW w:type="dxa" w:w="1008"/>
            <w:tcMar>
              <w:top w:w="80" w:type="dxa"/>
              <w:start w:w="120" w:type="dxa"/>
              <w:bottom w:w="80" w:type="dxa"/>
              <w:end w:w="120" w:type="dxa"/>
            </w:tcMar>
            <w:vAlign w:val="center"/>
          </w:tcPr>
          <w:p>
            <w:pPr>
              <w:spacing w:after="30"/>
            </w:pPr>
            <w:r>
              <w:rPr>
                <w:sz w:val="11"/>
              </w:rPr>
              <w:t>15 High</w:t>
            </w:r>
          </w:p>
        </w:tc>
        <w:tc>
          <w:tcPr>
            <w:tcW w:type="dxa" w:w="720"/>
            <w:tcMar>
              <w:top w:w="80" w:type="dxa"/>
              <w:start w:w="120" w:type="dxa"/>
              <w:bottom w:w="80" w:type="dxa"/>
              <w:end w:w="120" w:type="dxa"/>
            </w:tcMar>
            <w:vAlign w:val="center"/>
          </w:tcPr>
          <w:p>
            <w:pPr>
              <w:spacing w:after="30"/>
            </w:pPr>
            <w:r>
              <w:rPr>
                <w:sz w:val="11"/>
              </w:rPr>
              <w:t>2/5</w:t>
            </w:r>
          </w:p>
        </w:tc>
        <w:tc>
          <w:tcPr>
            <w:tcW w:type="dxa" w:w="1008"/>
            <w:tcMar>
              <w:top w:w="80" w:type="dxa"/>
              <w:start w:w="120" w:type="dxa"/>
              <w:bottom w:w="80" w:type="dxa"/>
              <w:end w:w="120" w:type="dxa"/>
            </w:tcMar>
            <w:vAlign w:val="center"/>
          </w:tcPr>
          <w:p>
            <w:pPr>
              <w:spacing w:after="30"/>
            </w:pPr>
            <w:r>
              <w:rPr>
                <w:sz w:val="11"/>
              </w:rPr>
              <w:t>10 High</w:t>
            </w:r>
          </w:p>
        </w:tc>
        <w:tc>
          <w:tcPr>
            <w:tcW w:type="dxa" w:w="1944"/>
            <w:tcMar>
              <w:top w:w="80" w:type="dxa"/>
              <w:start w:w="120" w:type="dxa"/>
              <w:bottom w:w="80" w:type="dxa"/>
              <w:end w:w="120" w:type="dxa"/>
            </w:tcMar>
            <w:vAlign w:val="center"/>
          </w:tcPr>
          <w:p>
            <w:pPr>
              <w:spacing w:after="30"/>
            </w:pPr>
            <w:r>
              <w:rPr>
                <w:sz w:val="11"/>
              </w:rPr>
              <w:t>Obtain vendor SBOM/provenance and platform-specific assurance.</w:t>
            </w:r>
          </w:p>
        </w:tc>
        <w:tc>
          <w:tcPr>
            <w:tcW w:type="dxa" w:w="1296"/>
            <w:tcMar>
              <w:top w:w="80" w:type="dxa"/>
              <w:start w:w="120" w:type="dxa"/>
              <w:bottom w:w="80" w:type="dxa"/>
              <w:end w:w="120" w:type="dxa"/>
            </w:tcMar>
            <w:vAlign w:val="center"/>
          </w:tcPr>
          <w:p>
            <w:pPr>
              <w:spacing w:after="30"/>
            </w:pPr>
            <w:r>
              <w:rPr>
                <w:sz w:val="11"/>
              </w:rPr>
              <w:t>Third-Party Risk</w:t>
            </w:r>
          </w:p>
        </w:tc>
      </w:tr>
      <w:tr>
        <w:trPr>
          <w:cantSplit/>
        </w:trPr>
        <w:tc>
          <w:tcPr>
            <w:tcW w:type="dxa" w:w="792"/>
            <w:tcMar>
              <w:top w:w="80" w:type="dxa"/>
              <w:start w:w="120" w:type="dxa"/>
              <w:bottom w:w="80" w:type="dxa"/>
              <w:end w:w="120" w:type="dxa"/>
            </w:tcMar>
            <w:vAlign w:val="center"/>
            <w:shd w:fill="F3F6F8"/>
          </w:tcPr>
          <w:p>
            <w:pPr>
              <w:spacing w:after="30"/>
            </w:pPr>
            <w:r>
              <w:rPr>
                <w:sz w:val="11"/>
              </w:rPr>
              <w:t>RISK-006</w:t>
            </w:r>
          </w:p>
        </w:tc>
        <w:tc>
          <w:tcPr>
            <w:tcW w:type="dxa" w:w="1944"/>
            <w:tcMar>
              <w:top w:w="80" w:type="dxa"/>
              <w:start w:w="120" w:type="dxa"/>
              <w:bottom w:w="80" w:type="dxa"/>
              <w:end w:w="120" w:type="dxa"/>
            </w:tcMar>
            <w:vAlign w:val="center"/>
            <w:shd w:fill="F3F6F8"/>
          </w:tcPr>
          <w:p>
            <w:pPr>
              <w:spacing w:after="30"/>
            </w:pPr>
            <w:r>
              <w:rPr>
                <w:sz w:val="11"/>
              </w:rPr>
              <w:t>Recent advisory history demands enforced updates and regressions</w:t>
            </w:r>
          </w:p>
        </w:tc>
        <w:tc>
          <w:tcPr>
            <w:tcW w:type="dxa" w:w="648"/>
            <w:tcMar>
              <w:top w:w="80" w:type="dxa"/>
              <w:start w:w="120" w:type="dxa"/>
              <w:bottom w:w="80" w:type="dxa"/>
              <w:end w:w="120" w:type="dxa"/>
            </w:tcMar>
            <w:vAlign w:val="center"/>
            <w:shd w:fill="F3F6F8"/>
          </w:tcPr>
          <w:p>
            <w:pPr>
              <w:spacing w:after="30"/>
            </w:pPr>
            <w:r>
              <w:rPr>
                <w:sz w:val="11"/>
              </w:rPr>
              <w:t>3/5</w:t>
            </w:r>
          </w:p>
        </w:tc>
        <w:tc>
          <w:tcPr>
            <w:tcW w:type="dxa" w:w="1008"/>
            <w:tcMar>
              <w:top w:w="80" w:type="dxa"/>
              <w:start w:w="120" w:type="dxa"/>
              <w:bottom w:w="80" w:type="dxa"/>
              <w:end w:w="120" w:type="dxa"/>
            </w:tcMar>
            <w:vAlign w:val="center"/>
            <w:shd w:fill="F3F6F8"/>
          </w:tcPr>
          <w:p>
            <w:pPr>
              <w:spacing w:after="30"/>
            </w:pPr>
            <w:r>
              <w:rPr>
                <w:sz w:val="11"/>
              </w:rPr>
              <w:t>15 High</w:t>
            </w:r>
          </w:p>
        </w:tc>
        <w:tc>
          <w:tcPr>
            <w:tcW w:type="dxa" w:w="720"/>
            <w:tcMar>
              <w:top w:w="80" w:type="dxa"/>
              <w:start w:w="120" w:type="dxa"/>
              <w:bottom w:w="80" w:type="dxa"/>
              <w:end w:w="120" w:type="dxa"/>
            </w:tcMar>
            <w:vAlign w:val="center"/>
            <w:shd w:fill="F3F6F8"/>
          </w:tcPr>
          <w:p>
            <w:pPr>
              <w:spacing w:after="30"/>
            </w:pPr>
            <w:r>
              <w:rPr>
                <w:sz w:val="11"/>
              </w:rPr>
              <w:t>2/4</w:t>
            </w:r>
          </w:p>
        </w:tc>
        <w:tc>
          <w:tcPr>
            <w:tcW w:type="dxa" w:w="1008"/>
            <w:tcMar>
              <w:top w:w="80" w:type="dxa"/>
              <w:start w:w="120" w:type="dxa"/>
              <w:bottom w:w="80" w:type="dxa"/>
              <w:end w:w="120" w:type="dxa"/>
            </w:tcMar>
            <w:vAlign w:val="center"/>
            <w:shd w:fill="F3F6F8"/>
          </w:tcPr>
          <w:p>
            <w:pPr>
              <w:spacing w:after="30"/>
            </w:pPr>
            <w:r>
              <w:rPr>
                <w:sz w:val="11"/>
              </w:rPr>
              <w:t>8 Moderate</w:t>
            </w:r>
          </w:p>
        </w:tc>
        <w:tc>
          <w:tcPr>
            <w:tcW w:type="dxa" w:w="1944"/>
            <w:tcMar>
              <w:top w:w="80" w:type="dxa"/>
              <w:start w:w="120" w:type="dxa"/>
              <w:bottom w:w="80" w:type="dxa"/>
              <w:end w:w="120" w:type="dxa"/>
            </w:tcMar>
            <w:vAlign w:val="center"/>
            <w:shd w:fill="F3F6F8"/>
          </w:tcPr>
          <w:p>
            <w:pPr>
              <w:spacing w:after="30"/>
            </w:pPr>
            <w:r>
              <w:rPr>
                <w:sz w:val="11"/>
              </w:rPr>
              <w:t>Version bounds, advisory monitoring and regression suite.</w:t>
            </w:r>
          </w:p>
        </w:tc>
        <w:tc>
          <w:tcPr>
            <w:tcW w:type="dxa" w:w="1296"/>
            <w:tcMar>
              <w:top w:w="80" w:type="dxa"/>
              <w:start w:w="120" w:type="dxa"/>
              <w:bottom w:w="80" w:type="dxa"/>
              <w:end w:w="120" w:type="dxa"/>
            </w:tcMar>
            <w:vAlign w:val="center"/>
            <w:shd w:fill="F3F6F8"/>
          </w:tcPr>
          <w:p>
            <w:pPr>
              <w:spacing w:after="30"/>
            </w:pPr>
            <w:r>
              <w:rPr>
                <w:sz w:val="11"/>
              </w:rPr>
              <w:t>Vulnerability Management</w:t>
            </w:r>
          </w:p>
        </w:tc>
      </w:tr>
      <w:tr>
        <w:trPr>
          <w:cantSplit/>
        </w:trPr>
        <w:tc>
          <w:tcPr>
            <w:tcW w:type="dxa" w:w="792"/>
            <w:tcMar>
              <w:top w:w="80" w:type="dxa"/>
              <w:start w:w="120" w:type="dxa"/>
              <w:bottom w:w="80" w:type="dxa"/>
              <w:end w:w="120" w:type="dxa"/>
            </w:tcMar>
            <w:vAlign w:val="center"/>
          </w:tcPr>
          <w:p>
            <w:pPr>
              <w:spacing w:after="30"/>
            </w:pPr>
            <w:r>
              <w:rPr>
                <w:sz w:val="11"/>
              </w:rPr>
              <w:t>RISK-007</w:t>
            </w:r>
          </w:p>
        </w:tc>
        <w:tc>
          <w:tcPr>
            <w:tcW w:type="dxa" w:w="1944"/>
            <w:tcMar>
              <w:top w:w="80" w:type="dxa"/>
              <w:start w:w="120" w:type="dxa"/>
              <w:bottom w:w="80" w:type="dxa"/>
              <w:end w:w="120" w:type="dxa"/>
            </w:tcMar>
            <w:vAlign w:val="center"/>
          </w:tcPr>
          <w:p>
            <w:pPr>
              <w:spacing w:after="30"/>
            </w:pPr>
            <w:r>
              <w:rPr>
                <w:sz w:val="11"/>
              </w:rPr>
              <w:t>Auto-update and platform drift can invalidate approval</w:t>
            </w:r>
          </w:p>
        </w:tc>
        <w:tc>
          <w:tcPr>
            <w:tcW w:type="dxa" w:w="648"/>
            <w:tcMar>
              <w:top w:w="80" w:type="dxa"/>
              <w:start w:w="120" w:type="dxa"/>
              <w:bottom w:w="80" w:type="dxa"/>
              <w:end w:w="120" w:type="dxa"/>
            </w:tcMar>
            <w:vAlign w:val="center"/>
          </w:tcPr>
          <w:p>
            <w:pPr>
              <w:spacing w:after="30"/>
            </w:pPr>
            <w:r>
              <w:rPr>
                <w:sz w:val="11"/>
              </w:rPr>
              <w:t>4/4</w:t>
            </w:r>
          </w:p>
        </w:tc>
        <w:tc>
          <w:tcPr>
            <w:tcW w:type="dxa" w:w="1008"/>
            <w:tcMar>
              <w:top w:w="80" w:type="dxa"/>
              <w:start w:w="120" w:type="dxa"/>
              <w:bottom w:w="80" w:type="dxa"/>
              <w:end w:w="120" w:type="dxa"/>
            </w:tcMar>
            <w:vAlign w:val="center"/>
          </w:tcPr>
          <w:p>
            <w:pPr>
              <w:spacing w:after="30"/>
            </w:pPr>
            <w:r>
              <w:rPr>
                <w:sz w:val="11"/>
              </w:rPr>
              <w:t>16 High</w:t>
            </w:r>
          </w:p>
        </w:tc>
        <w:tc>
          <w:tcPr>
            <w:tcW w:type="dxa" w:w="720"/>
            <w:tcMar>
              <w:top w:w="80" w:type="dxa"/>
              <w:start w:w="120" w:type="dxa"/>
              <w:bottom w:w="80" w:type="dxa"/>
              <w:end w:w="120" w:type="dxa"/>
            </w:tcMar>
            <w:vAlign w:val="center"/>
          </w:tcPr>
          <w:p>
            <w:pPr>
              <w:spacing w:after="30"/>
            </w:pPr>
            <w:r>
              <w:rPr>
                <w:sz w:val="11"/>
              </w:rPr>
              <w:t>3/3</w:t>
            </w:r>
          </w:p>
        </w:tc>
        <w:tc>
          <w:tcPr>
            <w:tcW w:type="dxa" w:w="1008"/>
            <w:tcMar>
              <w:top w:w="80" w:type="dxa"/>
              <w:start w:w="120" w:type="dxa"/>
              <w:bottom w:w="80" w:type="dxa"/>
              <w:end w:w="120" w:type="dxa"/>
            </w:tcMar>
            <w:vAlign w:val="center"/>
          </w:tcPr>
          <w:p>
            <w:pPr>
              <w:spacing w:after="30"/>
            </w:pPr>
            <w:r>
              <w:rPr>
                <w:sz w:val="11"/>
              </w:rPr>
              <w:t>9 Moderate</w:t>
            </w:r>
          </w:p>
        </w:tc>
        <w:tc>
          <w:tcPr>
            <w:tcW w:type="dxa" w:w="1944"/>
            <w:tcMar>
              <w:top w:w="80" w:type="dxa"/>
              <w:start w:w="120" w:type="dxa"/>
              <w:bottom w:w="80" w:type="dxa"/>
              <w:end w:w="120" w:type="dxa"/>
            </w:tcMar>
            <w:vAlign w:val="center"/>
          </w:tcPr>
          <w:p>
            <w:pPr>
              <w:spacing w:after="30"/>
            </w:pPr>
            <w:r>
              <w:rPr>
                <w:sz w:val="11"/>
              </w:rPr>
              <w:t>Stage updates and approve exact platform hashes.</w:t>
            </w:r>
          </w:p>
        </w:tc>
        <w:tc>
          <w:tcPr>
            <w:tcW w:type="dxa" w:w="1296"/>
            <w:tcMar>
              <w:top w:w="80" w:type="dxa"/>
              <w:start w:w="120" w:type="dxa"/>
              <w:bottom w:w="80" w:type="dxa"/>
              <w:end w:w="120" w:type="dxa"/>
            </w:tcMar>
            <w:vAlign w:val="center"/>
          </w:tcPr>
          <w:p>
            <w:pPr>
              <w:spacing w:after="30"/>
            </w:pPr>
            <w:r>
              <w:rPr>
                <w:sz w:val="11"/>
              </w:rPr>
              <w:t>Endpoint Engineering</w:t>
            </w:r>
          </w:p>
        </w:tc>
      </w:tr>
      <w:tr>
        <w:trPr>
          <w:cantSplit/>
        </w:trPr>
        <w:tc>
          <w:tcPr>
            <w:tcW w:type="dxa" w:w="792"/>
            <w:tcMar>
              <w:top w:w="80" w:type="dxa"/>
              <w:start w:w="120" w:type="dxa"/>
              <w:bottom w:w="80" w:type="dxa"/>
              <w:end w:w="120" w:type="dxa"/>
            </w:tcMar>
            <w:vAlign w:val="center"/>
            <w:shd w:fill="F3F6F8"/>
          </w:tcPr>
          <w:p>
            <w:pPr>
              <w:spacing w:after="30"/>
            </w:pPr>
            <w:r>
              <w:rPr>
                <w:sz w:val="11"/>
              </w:rPr>
              <w:t>RISK-008</w:t>
            </w:r>
          </w:p>
        </w:tc>
        <w:tc>
          <w:tcPr>
            <w:tcW w:type="dxa" w:w="1944"/>
            <w:tcMar>
              <w:top w:w="80" w:type="dxa"/>
              <w:start w:w="120" w:type="dxa"/>
              <w:bottom w:w="80" w:type="dxa"/>
              <w:end w:w="120" w:type="dxa"/>
            </w:tcMar>
            <w:vAlign w:val="center"/>
            <w:shd w:fill="F3F6F8"/>
          </w:tcPr>
          <w:p>
            <w:pPr>
              <w:spacing w:after="30"/>
            </w:pPr>
            <w:r>
              <w:rPr>
                <w:sz w:val="11"/>
              </w:rPr>
              <w:t>Compatibility and workspace-trust behavior need proof</w:t>
            </w:r>
          </w:p>
        </w:tc>
        <w:tc>
          <w:tcPr>
            <w:tcW w:type="dxa" w:w="648"/>
            <w:tcMar>
              <w:top w:w="80" w:type="dxa"/>
              <w:start w:w="120" w:type="dxa"/>
              <w:bottom w:w="80" w:type="dxa"/>
              <w:end w:w="120" w:type="dxa"/>
            </w:tcMar>
            <w:vAlign w:val="center"/>
            <w:shd w:fill="F3F6F8"/>
          </w:tcPr>
          <w:p>
            <w:pPr>
              <w:spacing w:after="30"/>
            </w:pPr>
            <w:r>
              <w:rPr>
                <w:sz w:val="11"/>
              </w:rPr>
              <w:t>3/3</w:t>
            </w:r>
          </w:p>
        </w:tc>
        <w:tc>
          <w:tcPr>
            <w:tcW w:type="dxa" w:w="1008"/>
            <w:tcMar>
              <w:top w:w="80" w:type="dxa"/>
              <w:start w:w="120" w:type="dxa"/>
              <w:bottom w:w="80" w:type="dxa"/>
              <w:end w:w="120" w:type="dxa"/>
            </w:tcMar>
            <w:vAlign w:val="center"/>
            <w:shd w:fill="F3F6F8"/>
          </w:tcPr>
          <w:p>
            <w:pPr>
              <w:spacing w:after="30"/>
            </w:pPr>
            <w:r>
              <w:rPr>
                <w:sz w:val="11"/>
              </w:rPr>
              <w:t>9 Moderate</w:t>
            </w:r>
          </w:p>
        </w:tc>
        <w:tc>
          <w:tcPr>
            <w:tcW w:type="dxa" w:w="720"/>
            <w:tcMar>
              <w:top w:w="80" w:type="dxa"/>
              <w:start w:w="120" w:type="dxa"/>
              <w:bottom w:w="80" w:type="dxa"/>
              <w:end w:w="120" w:type="dxa"/>
            </w:tcMar>
            <w:vAlign w:val="center"/>
            <w:shd w:fill="F3F6F8"/>
          </w:tcPr>
          <w:p>
            <w:pPr>
              <w:spacing w:after="30"/>
            </w:pPr>
            <w:r>
              <w:rPr>
                <w:sz w:val="11"/>
              </w:rPr>
              <w:t>2/3</w:t>
            </w:r>
          </w:p>
        </w:tc>
        <w:tc>
          <w:tcPr>
            <w:tcW w:type="dxa" w:w="1008"/>
            <w:tcMar>
              <w:top w:w="80" w:type="dxa"/>
              <w:start w:w="120" w:type="dxa"/>
              <w:bottom w:w="80" w:type="dxa"/>
              <w:end w:w="120" w:type="dxa"/>
            </w:tcMar>
            <w:vAlign w:val="center"/>
            <w:shd w:fill="F3F6F8"/>
          </w:tcPr>
          <w:p>
            <w:pPr>
              <w:spacing w:after="30"/>
            </w:pPr>
            <w:r>
              <w:rPr>
                <w:sz w:val="11"/>
              </w:rPr>
              <w:t>6 Moderate</w:t>
            </w:r>
          </w:p>
        </w:tc>
        <w:tc>
          <w:tcPr>
            <w:tcW w:type="dxa" w:w="1944"/>
            <w:tcMar>
              <w:top w:w="80" w:type="dxa"/>
              <w:start w:w="120" w:type="dxa"/>
              <w:bottom w:w="80" w:type="dxa"/>
              <w:end w:w="120" w:type="dxa"/>
            </w:tcMar>
            <w:vAlign w:val="center"/>
            <w:shd w:fill="F3F6F8"/>
          </w:tcPr>
          <w:p>
            <w:pPr>
              <w:spacing w:after="30"/>
            </w:pPr>
            <w:r>
              <w:rPr>
                <w:sz w:val="11"/>
              </w:rPr>
              <w:t>Use 1.98+ and prove no activation before workspace trust.</w:t>
            </w:r>
          </w:p>
        </w:tc>
        <w:tc>
          <w:tcPr>
            <w:tcW w:type="dxa" w:w="1296"/>
            <w:tcMar>
              <w:top w:w="80" w:type="dxa"/>
              <w:start w:w="120" w:type="dxa"/>
              <w:bottom w:w="80" w:type="dxa"/>
              <w:end w:w="120" w:type="dxa"/>
            </w:tcMar>
            <w:vAlign w:val="center"/>
            <w:shd w:fill="F3F6F8"/>
          </w:tcPr>
          <w:p>
            <w:pPr>
              <w:spacing w:after="30"/>
            </w:pPr>
            <w:r>
              <w:rPr>
                <w:sz w:val="11"/>
              </w:rPr>
              <w:t>Endpoint Engineering</w:t>
            </w:r>
          </w:p>
        </w:tc>
      </w:tr>
      <w:tr>
        <w:trPr>
          <w:cantSplit/>
        </w:trPr>
        <w:tc>
          <w:tcPr>
            <w:tcW w:type="dxa" w:w="792"/>
            <w:tcMar>
              <w:top w:w="80" w:type="dxa"/>
              <w:start w:w="120" w:type="dxa"/>
              <w:bottom w:w="80" w:type="dxa"/>
              <w:end w:w="120" w:type="dxa"/>
            </w:tcMar>
            <w:vAlign w:val="center"/>
          </w:tcPr>
          <w:p>
            <w:pPr>
              <w:spacing w:after="30"/>
            </w:pPr>
            <w:r>
              <w:rPr>
                <w:sz w:val="11"/>
              </w:rPr>
              <w:t>RISK-009</w:t>
            </w:r>
          </w:p>
        </w:tc>
        <w:tc>
          <w:tcPr>
            <w:tcW w:type="dxa" w:w="1944"/>
            <w:tcMar>
              <w:top w:w="80" w:type="dxa"/>
              <w:start w:w="120" w:type="dxa"/>
              <w:bottom w:w="80" w:type="dxa"/>
              <w:end w:w="120" w:type="dxa"/>
            </w:tcMar>
            <w:vAlign w:val="center"/>
          </w:tcPr>
          <w:p>
            <w:pPr>
              <w:spacing w:after="30"/>
            </w:pPr>
            <w:r>
              <w:rPr>
                <w:sz w:val="11"/>
              </w:rPr>
              <w:t>Built-in and external MCP behavior is incompletely observed</w:t>
            </w:r>
          </w:p>
        </w:tc>
        <w:tc>
          <w:tcPr>
            <w:tcW w:type="dxa" w:w="648"/>
            <w:tcMar>
              <w:top w:w="80" w:type="dxa"/>
              <w:start w:w="120" w:type="dxa"/>
              <w:bottom w:w="80" w:type="dxa"/>
              <w:end w:w="120" w:type="dxa"/>
            </w:tcMar>
            <w:vAlign w:val="center"/>
          </w:tcPr>
          <w:p>
            <w:pPr>
              <w:spacing w:after="30"/>
            </w:pPr>
            <w:r>
              <w:rPr>
                <w:sz w:val="11"/>
              </w:rPr>
              <w:t>3/5</w:t>
            </w:r>
          </w:p>
        </w:tc>
        <w:tc>
          <w:tcPr>
            <w:tcW w:type="dxa" w:w="1008"/>
            <w:tcMar>
              <w:top w:w="80" w:type="dxa"/>
              <w:start w:w="120" w:type="dxa"/>
              <w:bottom w:w="80" w:type="dxa"/>
              <w:end w:w="120" w:type="dxa"/>
            </w:tcMar>
            <w:vAlign w:val="center"/>
          </w:tcPr>
          <w:p>
            <w:pPr>
              <w:spacing w:after="30"/>
            </w:pPr>
            <w:r>
              <w:rPr>
                <w:sz w:val="11"/>
              </w:rPr>
              <w:t>15 High</w:t>
            </w:r>
          </w:p>
        </w:tc>
        <w:tc>
          <w:tcPr>
            <w:tcW w:type="dxa" w:w="720"/>
            <w:tcMar>
              <w:top w:w="80" w:type="dxa"/>
              <w:start w:w="120" w:type="dxa"/>
              <w:bottom w:w="80" w:type="dxa"/>
              <w:end w:w="120" w:type="dxa"/>
            </w:tcMar>
            <w:vAlign w:val="center"/>
          </w:tcPr>
          <w:p>
            <w:pPr>
              <w:spacing w:after="30"/>
            </w:pPr>
            <w:r>
              <w:rPr>
                <w:sz w:val="11"/>
              </w:rPr>
              <w:t>3/3</w:t>
            </w:r>
          </w:p>
        </w:tc>
        <w:tc>
          <w:tcPr>
            <w:tcW w:type="dxa" w:w="1008"/>
            <w:tcMar>
              <w:top w:w="80" w:type="dxa"/>
              <w:start w:w="120" w:type="dxa"/>
              <w:bottom w:w="80" w:type="dxa"/>
              <w:end w:w="120" w:type="dxa"/>
            </w:tcMar>
            <w:vAlign w:val="center"/>
          </w:tcPr>
          <w:p>
            <w:pPr>
              <w:spacing w:after="30"/>
            </w:pPr>
            <w:r>
              <w:rPr>
                <w:sz w:val="11"/>
              </w:rPr>
              <w:t>9 Moderate</w:t>
            </w:r>
          </w:p>
        </w:tc>
        <w:tc>
          <w:tcPr>
            <w:tcW w:type="dxa" w:w="1944"/>
            <w:tcMar>
              <w:top w:w="80" w:type="dxa"/>
              <w:start w:w="120" w:type="dxa"/>
              <w:bottom w:w="80" w:type="dxa"/>
              <w:end w:w="120" w:type="dxa"/>
            </w:tcMar>
            <w:vAlign w:val="center"/>
          </w:tcPr>
          <w:p>
            <w:pPr>
              <w:spacing w:after="30"/>
            </w:pPr>
            <w:r>
              <w:rPr>
                <w:sz w:val="11"/>
              </w:rPr>
              <w:t>Snapshot tools/schemas; deny unknown servers and verify consent.</w:t>
            </w:r>
          </w:p>
        </w:tc>
        <w:tc>
          <w:tcPr>
            <w:tcW w:type="dxa" w:w="1296"/>
            <w:tcMar>
              <w:top w:w="80" w:type="dxa"/>
              <w:start w:w="120" w:type="dxa"/>
              <w:bottom w:w="80" w:type="dxa"/>
              <w:end w:w="120" w:type="dxa"/>
            </w:tcMar>
            <w:vAlign w:val="center"/>
          </w:tcPr>
          <w:p>
            <w:pPr>
              <w:spacing w:after="30"/>
            </w:pPr>
            <w:r>
              <w:rPr>
                <w:sz w:val="11"/>
              </w:rPr>
              <w:t>AI Platform Security</w:t>
            </w:r>
          </w:p>
        </w:tc>
      </w:tr>
      <w:tr>
        <w:trPr>
          <w:cantSplit/>
        </w:trPr>
        <w:tc>
          <w:tcPr>
            <w:tcW w:type="dxa" w:w="792"/>
            <w:tcMar>
              <w:top w:w="80" w:type="dxa"/>
              <w:start w:w="120" w:type="dxa"/>
              <w:bottom w:w="80" w:type="dxa"/>
              <w:end w:w="120" w:type="dxa"/>
            </w:tcMar>
            <w:vAlign w:val="center"/>
            <w:shd w:fill="F3F6F8"/>
          </w:tcPr>
          <w:p>
            <w:pPr>
              <w:spacing w:after="30"/>
            </w:pPr>
            <w:r>
              <w:rPr>
                <w:sz w:val="11"/>
              </w:rPr>
              <w:t>RISK-010</w:t>
            </w:r>
          </w:p>
        </w:tc>
        <w:tc>
          <w:tcPr>
            <w:tcW w:type="dxa" w:w="1944"/>
            <w:tcMar>
              <w:top w:w="80" w:type="dxa"/>
              <w:start w:w="120" w:type="dxa"/>
              <w:bottom w:w="80" w:type="dxa"/>
              <w:end w:w="120" w:type="dxa"/>
            </w:tcMar>
            <w:vAlign w:val="center"/>
            <w:shd w:fill="F3F6F8"/>
          </w:tcPr>
          <w:p>
            <w:pPr>
              <w:spacing w:after="30"/>
            </w:pPr>
            <w:r>
              <w:rPr>
                <w:sz w:val="11"/>
              </w:rPr>
              <w:t>Optional skill/plugin artefacts require independent approval</w:t>
            </w:r>
          </w:p>
        </w:tc>
        <w:tc>
          <w:tcPr>
            <w:tcW w:type="dxa" w:w="648"/>
            <w:tcMar>
              <w:top w:w="80" w:type="dxa"/>
              <w:start w:w="120" w:type="dxa"/>
              <w:bottom w:w="80" w:type="dxa"/>
              <w:end w:w="120" w:type="dxa"/>
            </w:tcMar>
            <w:vAlign w:val="center"/>
            <w:shd w:fill="F3F6F8"/>
          </w:tcPr>
          <w:p>
            <w:pPr>
              <w:spacing w:after="30"/>
            </w:pPr>
            <w:r>
              <w:rPr>
                <w:sz w:val="11"/>
              </w:rPr>
              <w:t>3/5</w:t>
            </w:r>
          </w:p>
        </w:tc>
        <w:tc>
          <w:tcPr>
            <w:tcW w:type="dxa" w:w="1008"/>
            <w:tcMar>
              <w:top w:w="80" w:type="dxa"/>
              <w:start w:w="120" w:type="dxa"/>
              <w:bottom w:w="80" w:type="dxa"/>
              <w:end w:w="120" w:type="dxa"/>
            </w:tcMar>
            <w:vAlign w:val="center"/>
            <w:shd w:fill="F3F6F8"/>
          </w:tcPr>
          <w:p>
            <w:pPr>
              <w:spacing w:after="30"/>
            </w:pPr>
            <w:r>
              <w:rPr>
                <w:sz w:val="11"/>
              </w:rPr>
              <w:t>15 High</w:t>
            </w:r>
          </w:p>
        </w:tc>
        <w:tc>
          <w:tcPr>
            <w:tcW w:type="dxa" w:w="720"/>
            <w:tcMar>
              <w:top w:w="80" w:type="dxa"/>
              <w:start w:w="120" w:type="dxa"/>
              <w:bottom w:w="80" w:type="dxa"/>
              <w:end w:w="120" w:type="dxa"/>
            </w:tcMar>
            <w:vAlign w:val="center"/>
            <w:shd w:fill="F3F6F8"/>
          </w:tcPr>
          <w:p>
            <w:pPr>
              <w:spacing w:after="30"/>
            </w:pPr>
            <w:r>
              <w:rPr>
                <w:sz w:val="11"/>
              </w:rPr>
              <w:t>2/4</w:t>
            </w:r>
          </w:p>
        </w:tc>
        <w:tc>
          <w:tcPr>
            <w:tcW w:type="dxa" w:w="1008"/>
            <w:tcMar>
              <w:top w:w="80" w:type="dxa"/>
              <w:start w:w="120" w:type="dxa"/>
              <w:bottom w:w="80" w:type="dxa"/>
              <w:end w:w="120" w:type="dxa"/>
            </w:tcMar>
            <w:vAlign w:val="center"/>
            <w:shd w:fill="F3F6F8"/>
          </w:tcPr>
          <w:p>
            <w:pPr>
              <w:spacing w:after="30"/>
            </w:pPr>
            <w:r>
              <w:rPr>
                <w:sz w:val="11"/>
              </w:rPr>
              <w:t>8 Moderate</w:t>
            </w:r>
          </w:p>
        </w:tc>
        <w:tc>
          <w:tcPr>
            <w:tcW w:type="dxa" w:w="1944"/>
            <w:tcMar>
              <w:top w:w="80" w:type="dxa"/>
              <w:start w:w="120" w:type="dxa"/>
              <w:bottom w:w="80" w:type="dxa"/>
              <w:end w:w="120" w:type="dxa"/>
            </w:tcMar>
            <w:vAlign w:val="center"/>
            <w:shd w:fill="F3F6F8"/>
          </w:tcPr>
          <w:p>
            <w:pPr>
              <w:spacing w:after="30"/>
            </w:pPr>
            <w:r>
              <w:rPr>
                <w:sz w:val="11"/>
              </w:rPr>
              <w:t>Transitive review, immutable pin, no wildcard tools and isolated tests.</w:t>
            </w:r>
          </w:p>
        </w:tc>
        <w:tc>
          <w:tcPr>
            <w:tcW w:type="dxa" w:w="1296"/>
            <w:tcMar>
              <w:top w:w="80" w:type="dxa"/>
              <w:start w:w="120" w:type="dxa"/>
              <w:bottom w:w="80" w:type="dxa"/>
              <w:end w:w="120" w:type="dxa"/>
            </w:tcMar>
            <w:vAlign w:val="center"/>
            <w:shd w:fill="F3F6F8"/>
          </w:tcPr>
          <w:p>
            <w:pPr>
              <w:spacing w:after="30"/>
            </w:pPr>
            <w:r>
              <w:rPr>
                <w:sz w:val="11"/>
              </w:rPr>
              <w:t>Plugin Governance</w:t>
            </w:r>
          </w:p>
        </w:tc>
      </w:tr>
    </w:tbl>
    <w:p>
      <w:pPr>
        <w:spacing w:after="40"/>
      </w:pPr>
    </w:p>
    <w:p>
      <w:pPr>
        <w:pStyle w:val="Heading1"/>
      </w:pPr>
      <w:r>
        <w:t>Residual Risk and Approval Recommendation</w:t>
      </w:r>
    </w:p>
    <w:p>
      <w:r>
        <w:t>Overall residual risk is High and approval is `Defer pending evidence`. Scope is exact version 2.1.220 for VS Code, with only macOS ARM64 bytes statically acquired. Conditions are time-bound to 90 days and triggered earlier by any extension/native/provider/policy/skill/plugin/MCP/advisory change. Accountable owners must close CC-001 through CC-005 before pilot and formally accept remaining Moderate residual risks.</w:t>
      </w:r>
    </w:p>
    <w:p>
      <w:pPr>
        <w:pStyle w:val="Heading1"/>
      </w:pPr>
      <w:r>
        <w:t>Limitations and Confidence</w:t>
      </w:r>
    </w:p>
    <w:p>
      <w:pPr>
        <w:pStyle w:val="ListBullet"/>
      </w:pPr>
      <w:r>
        <w:t>No representative runtime installation, activation, authentication, network, update or uninstall observation.</w:t>
      </w:r>
    </w:p>
    <w:p>
      <w:pPr>
        <w:pStyle w:val="ListBullet"/>
      </w:pPr>
      <w:r>
        <w:t>Only the macOS ARM64 VSIX was acquired; other platform bytes remain untested.</w:t>
      </w:r>
    </w:p>
    <w:p>
      <w:pPr>
        <w:pStyle w:val="ListBullet"/>
      </w:pPr>
      <w:r>
        <w:t>The public repository is not complete product source and no reproducible VSIX build or vendor SBOM was observed.</w:t>
      </w:r>
    </w:p>
    <w:p>
      <w:pPr>
        <w:pStyle w:val="ListBullet"/>
      </w:pPr>
      <w:r>
        <w:t>Semgrep skipped four large/minified/native artefacts; dependency scanners identified no package components.</w:t>
      </w:r>
    </w:p>
    <w:p>
      <w:pPr>
        <w:pStyle w:val="ListBullet"/>
      </w:pPr>
      <w:r>
        <w:t>Vendor documentation and contracts describe controls but deployment-specific configuration and payload behavior require verification.</w:t>
      </w:r>
    </w:p>
    <w:p>
      <w:r>
        <w:t>Confidence is High for identity, exact acquired hash, archive contents and main native signature; Medium for documented architecture, settings and privacy claims; Low for runtime, full dependencies, embedded bundled skills and cross-platform behavior.</w:t>
      </w:r>
    </w:p>
    <w:p>
      <w:pPr>
        <w:pStyle w:val="Heading1"/>
      </w:pPr>
      <w:r>
        <w:t>Evidence Register</w:t>
      </w:r>
    </w:p>
    <w:tbl>
      <w:tblPr>
        <w:tblStyle w:val="TableGrid"/>
        <w:tblW w:type="auto" w:w="0"/>
        <w:jc w:val="center"/>
        <w:tblLayout w:type="fixed"/>
        <w:tblLook w:firstColumn="1" w:firstRow="1" w:lastColumn="0" w:lastRow="0" w:noHBand="0" w:noVBand="1" w:val="04A0"/>
      </w:tblPr>
      <w:tblGrid>
        <w:gridCol w:w="1080"/>
        <w:gridCol w:w="2880"/>
        <w:gridCol w:w="1224"/>
        <w:gridCol w:w="4176"/>
      </w:tblGrid>
      <w:tr>
        <w:trPr>
          <w:tblHeader/>
        </w:trPr>
        <w:tc>
          <w:tcPr>
            <w:tcW w:type="dxa" w:w="1080"/>
            <w:shd w:fill="17365D"/>
            <w:tcMar>
              <w:top w:w="80" w:type="dxa"/>
              <w:start w:w="120" w:type="dxa"/>
              <w:bottom w:w="80" w:type="dxa"/>
              <w:end w:w="120" w:type="dxa"/>
            </w:tcMar>
            <w:vAlign w:val="center"/>
          </w:tcPr>
          <w:p>
            <w:r>
              <w:rPr>
                <w:b/>
                <w:color w:val="FFFFFF"/>
                <w:sz w:val="13"/>
              </w:rPr>
              <w:t>ID</w:t>
            </w:r>
          </w:p>
        </w:tc>
        <w:tc>
          <w:tcPr>
            <w:tcW w:type="dxa" w:w="2880"/>
            <w:shd w:fill="17365D"/>
            <w:tcMar>
              <w:top w:w="80" w:type="dxa"/>
              <w:start w:w="120" w:type="dxa"/>
              <w:bottom w:w="80" w:type="dxa"/>
              <w:end w:w="120" w:type="dxa"/>
            </w:tcMar>
            <w:vAlign w:val="center"/>
          </w:tcPr>
          <w:p>
            <w:r>
              <w:rPr>
                <w:b/>
                <w:color w:val="FFFFFF"/>
                <w:sz w:val="13"/>
              </w:rPr>
              <w:t>Evidence</w:t>
            </w:r>
          </w:p>
        </w:tc>
        <w:tc>
          <w:tcPr>
            <w:tcW w:type="dxa" w:w="1224"/>
            <w:shd w:fill="17365D"/>
            <w:tcMar>
              <w:top w:w="80" w:type="dxa"/>
              <w:start w:w="120" w:type="dxa"/>
              <w:bottom w:w="80" w:type="dxa"/>
              <w:end w:w="120" w:type="dxa"/>
            </w:tcMar>
            <w:vAlign w:val="center"/>
          </w:tcPr>
          <w:p>
            <w:r>
              <w:rPr>
                <w:b/>
                <w:color w:val="FFFFFF"/>
                <w:sz w:val="13"/>
              </w:rPr>
              <w:t>State</w:t>
            </w:r>
          </w:p>
        </w:tc>
        <w:tc>
          <w:tcPr>
            <w:tcW w:type="dxa" w:w="4176"/>
            <w:shd w:fill="17365D"/>
            <w:tcMar>
              <w:top w:w="80" w:type="dxa"/>
              <w:start w:w="120" w:type="dxa"/>
              <w:bottom w:w="80" w:type="dxa"/>
              <w:end w:w="120" w:type="dxa"/>
            </w:tcMar>
            <w:vAlign w:val="center"/>
          </w:tcPr>
          <w:p>
            <w:r>
              <w:rPr>
                <w:b/>
                <w:color w:val="FFFFFF"/>
                <w:sz w:val="13"/>
              </w:rPr>
              <w:t>Scope/result</w:t>
            </w:r>
          </w:p>
        </w:tc>
      </w:tr>
      <w:tr>
        <w:trPr>
          <w:cantSplit/>
        </w:trPr>
        <w:tc>
          <w:tcPr>
            <w:tcW w:type="dxa" w:w="1080"/>
            <w:tcMar>
              <w:top w:w="80" w:type="dxa"/>
              <w:start w:w="120" w:type="dxa"/>
              <w:bottom w:w="80" w:type="dxa"/>
              <w:end w:w="120" w:type="dxa"/>
            </w:tcMar>
            <w:vAlign w:val="center"/>
          </w:tcPr>
          <w:p>
            <w:pPr>
              <w:spacing w:after="30"/>
            </w:pPr>
            <w:r>
              <w:rPr>
                <w:sz w:val="13"/>
              </w:rPr>
              <w:t>EVD-001</w:t>
            </w:r>
          </w:p>
        </w:tc>
        <w:tc>
          <w:tcPr>
            <w:tcW w:type="dxa" w:w="2880"/>
            <w:tcMar>
              <w:top w:w="80" w:type="dxa"/>
              <w:start w:w="120" w:type="dxa"/>
              <w:bottom w:w="80" w:type="dxa"/>
              <w:end w:w="120" w:type="dxa"/>
            </w:tcMar>
            <w:vAlign w:val="center"/>
          </w:tcPr>
          <w:p>
            <w:pPr>
              <w:spacing w:after="30"/>
            </w:pPr>
            <w:r>
              <w:rPr>
                <w:sz w:val="13"/>
              </w:rPr>
              <w:t>Marketplace listing and Gallery metadata</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Identity, domain-verified publisher, version, targets and hashes.</w:t>
            </w:r>
          </w:p>
        </w:tc>
      </w:tr>
      <w:tr>
        <w:trPr>
          <w:cantSplit/>
        </w:trPr>
        <w:tc>
          <w:tcPr>
            <w:tcW w:type="dxa" w:w="1080"/>
            <w:tcMar>
              <w:top w:w="80" w:type="dxa"/>
              <w:start w:w="120" w:type="dxa"/>
              <w:bottom w:w="80" w:type="dxa"/>
              <w:end w:w="120" w:type="dxa"/>
            </w:tcMar>
            <w:vAlign w:val="center"/>
            <w:shd w:fill="F3F6F8"/>
          </w:tcPr>
          <w:p>
            <w:pPr>
              <w:spacing w:after="30"/>
            </w:pPr>
            <w:r>
              <w:rPr>
                <w:sz w:val="13"/>
              </w:rPr>
              <w:t>EVD-002</w:t>
            </w:r>
          </w:p>
        </w:tc>
        <w:tc>
          <w:tcPr>
            <w:tcW w:type="dxa" w:w="2880"/>
            <w:tcMar>
              <w:top w:w="80" w:type="dxa"/>
              <w:start w:w="120" w:type="dxa"/>
              <w:bottom w:w="80" w:type="dxa"/>
              <w:end w:w="120" w:type="dxa"/>
            </w:tcMar>
            <w:vAlign w:val="center"/>
            <w:shd w:fill="F3F6F8"/>
          </w:tcPr>
          <w:p>
            <w:pPr>
              <w:spacing w:after="30"/>
            </w:pPr>
            <w:r>
              <w:rPr>
                <w:sz w:val="13"/>
              </w:rPr>
              <w:t>GitHub release v2.1.220</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Release time and platform CLI assets.</w:t>
            </w:r>
          </w:p>
        </w:tc>
      </w:tr>
      <w:tr>
        <w:trPr>
          <w:cantSplit/>
        </w:trPr>
        <w:tc>
          <w:tcPr>
            <w:tcW w:type="dxa" w:w="1080"/>
            <w:tcMar>
              <w:top w:w="80" w:type="dxa"/>
              <w:start w:w="120" w:type="dxa"/>
              <w:bottom w:w="80" w:type="dxa"/>
              <w:end w:w="120" w:type="dxa"/>
            </w:tcMar>
            <w:vAlign w:val="center"/>
          </w:tcPr>
          <w:p>
            <w:pPr>
              <w:spacing w:after="30"/>
            </w:pPr>
            <w:r>
              <w:rPr>
                <w:sz w:val="13"/>
              </w:rPr>
              <w:t>EVD-003</w:t>
            </w:r>
          </w:p>
        </w:tc>
        <w:tc>
          <w:tcPr>
            <w:tcW w:type="dxa" w:w="2880"/>
            <w:tcMar>
              <w:top w:w="80" w:type="dxa"/>
              <w:start w:w="120" w:type="dxa"/>
              <w:bottom w:w="80" w:type="dxa"/>
              <w:end w:w="120" w:type="dxa"/>
            </w:tcMar>
            <w:vAlign w:val="center"/>
          </w:tcPr>
          <w:p>
            <w:pPr>
              <w:spacing w:after="30"/>
            </w:pPr>
            <w:r>
              <w:rPr>
                <w:sz w:val="13"/>
              </w:rPr>
              <w:t>GitHub tag/source archive</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Commit prefix, archive digest and unlinked snapshot.</w:t>
            </w:r>
          </w:p>
        </w:tc>
      </w:tr>
      <w:tr>
        <w:trPr>
          <w:cantSplit/>
        </w:trPr>
        <w:tc>
          <w:tcPr>
            <w:tcW w:type="dxa" w:w="1080"/>
            <w:tcMar>
              <w:top w:w="80" w:type="dxa"/>
              <w:start w:w="120" w:type="dxa"/>
              <w:bottom w:w="80" w:type="dxa"/>
              <w:end w:w="120" w:type="dxa"/>
            </w:tcMar>
            <w:vAlign w:val="center"/>
            <w:shd w:fill="F3F6F8"/>
          </w:tcPr>
          <w:p>
            <w:pPr>
              <w:spacing w:after="30"/>
            </w:pPr>
            <w:r>
              <w:rPr>
                <w:sz w:val="13"/>
              </w:rPr>
              <w:t>EVD-004</w:t>
            </w:r>
          </w:p>
        </w:tc>
        <w:tc>
          <w:tcPr>
            <w:tcW w:type="dxa" w:w="2880"/>
            <w:tcMar>
              <w:top w:w="80" w:type="dxa"/>
              <w:start w:w="120" w:type="dxa"/>
              <w:bottom w:w="80" w:type="dxa"/>
              <w:end w:w="120" w:type="dxa"/>
            </w:tcMar>
            <w:vAlign w:val="center"/>
            <w:shd w:fill="F3F6F8"/>
          </w:tcPr>
          <w:p>
            <w:pPr>
              <w:spacing w:after="30"/>
            </w:pPr>
            <w:r>
              <w:rPr>
                <w:sz w:val="13"/>
              </w:rPr>
              <w:t>VSIX inventory</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29 files, safe extraction, package manifest and SHA-256 values.</w:t>
            </w:r>
          </w:p>
        </w:tc>
      </w:tr>
      <w:tr>
        <w:trPr>
          <w:cantSplit/>
        </w:trPr>
        <w:tc>
          <w:tcPr>
            <w:tcW w:type="dxa" w:w="1080"/>
            <w:tcMar>
              <w:top w:w="80" w:type="dxa"/>
              <w:start w:w="120" w:type="dxa"/>
              <w:bottom w:w="80" w:type="dxa"/>
              <w:end w:w="120" w:type="dxa"/>
            </w:tcMar>
            <w:vAlign w:val="center"/>
          </w:tcPr>
          <w:p>
            <w:pPr>
              <w:spacing w:after="30"/>
            </w:pPr>
            <w:r>
              <w:rPr>
                <w:sz w:val="13"/>
              </w:rPr>
              <w:t>EVD-005</w:t>
            </w:r>
          </w:p>
        </w:tc>
        <w:tc>
          <w:tcPr>
            <w:tcW w:type="dxa" w:w="2880"/>
            <w:tcMar>
              <w:top w:w="80" w:type="dxa"/>
              <w:start w:w="120" w:type="dxa"/>
              <w:bottom w:w="80" w:type="dxa"/>
              <w:end w:w="120" w:type="dxa"/>
            </w:tcMar>
            <w:vAlign w:val="center"/>
          </w:tcPr>
          <w:p>
            <w:pPr>
              <w:spacing w:after="30"/>
            </w:pPr>
            <w:r>
              <w:rPr>
                <w:sz w:val="13"/>
              </w:rPr>
              <w:t>Native binary metadata</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Developer ID main executable; ad-hoc audio module; linked libraries.</w:t>
            </w:r>
          </w:p>
        </w:tc>
      </w:tr>
      <w:tr>
        <w:trPr>
          <w:cantSplit/>
        </w:trPr>
        <w:tc>
          <w:tcPr>
            <w:tcW w:type="dxa" w:w="1080"/>
            <w:tcMar>
              <w:top w:w="80" w:type="dxa"/>
              <w:start w:w="120" w:type="dxa"/>
              <w:bottom w:w="80" w:type="dxa"/>
              <w:end w:w="120" w:type="dxa"/>
            </w:tcMar>
            <w:vAlign w:val="center"/>
            <w:shd w:fill="F3F6F8"/>
          </w:tcPr>
          <w:p>
            <w:pPr>
              <w:spacing w:after="30"/>
            </w:pPr>
            <w:r>
              <w:rPr>
                <w:sz w:val="13"/>
              </w:rPr>
              <w:t>EVD-006</w:t>
            </w:r>
          </w:p>
        </w:tc>
        <w:tc>
          <w:tcPr>
            <w:tcW w:type="dxa" w:w="2880"/>
            <w:tcMar>
              <w:top w:w="80" w:type="dxa"/>
              <w:start w:w="120" w:type="dxa"/>
              <w:bottom w:w="80" w:type="dxa"/>
              <w:end w:w="120" w:type="dxa"/>
            </w:tcMar>
            <w:vAlign w:val="center"/>
            <w:shd w:fill="F3F6F8"/>
          </w:tcPr>
          <w:p>
            <w:pPr>
              <w:spacing w:after="30"/>
            </w:pPr>
            <w:r>
              <w:rPr>
                <w:sz w:val="13"/>
              </w:rPr>
              <w:t>Source/package comparison</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No complete corresponding VSIX/CLI source or reproducible build observed.</w:t>
            </w:r>
          </w:p>
        </w:tc>
      </w:tr>
      <w:tr>
        <w:trPr>
          <w:cantSplit/>
        </w:trPr>
        <w:tc>
          <w:tcPr>
            <w:tcW w:type="dxa" w:w="1080"/>
            <w:tcMar>
              <w:top w:w="80" w:type="dxa"/>
              <w:start w:w="120" w:type="dxa"/>
              <w:bottom w:w="80" w:type="dxa"/>
              <w:end w:w="120" w:type="dxa"/>
            </w:tcMar>
            <w:vAlign w:val="center"/>
          </w:tcPr>
          <w:p>
            <w:pPr>
              <w:spacing w:after="30"/>
            </w:pPr>
            <w:r>
              <w:rPr>
                <w:sz w:val="13"/>
              </w:rPr>
              <w:t>EVD-007</w:t>
            </w:r>
          </w:p>
        </w:tc>
        <w:tc>
          <w:tcPr>
            <w:tcW w:type="dxa" w:w="2880"/>
            <w:tcMar>
              <w:top w:w="80" w:type="dxa"/>
              <w:start w:w="120" w:type="dxa"/>
              <w:bottom w:w="80" w:type="dxa"/>
              <w:end w:w="120" w:type="dxa"/>
            </w:tcMar>
            <w:vAlign w:val="center"/>
          </w:tcPr>
          <w:p>
            <w:pPr>
              <w:spacing w:after="30"/>
            </w:pPr>
            <w:r>
              <w:rPr>
                <w:sz w:val="13"/>
              </w:rPr>
              <w:t>Semgrep 1.171.0</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245 files, 21 triaged warnings; four large package artefacts skipped.</w:t>
            </w:r>
          </w:p>
        </w:tc>
      </w:tr>
      <w:tr>
        <w:trPr>
          <w:cantSplit/>
        </w:trPr>
        <w:tc>
          <w:tcPr>
            <w:tcW w:type="dxa" w:w="1080"/>
            <w:tcMar>
              <w:top w:w="80" w:type="dxa"/>
              <w:start w:w="120" w:type="dxa"/>
              <w:bottom w:w="80" w:type="dxa"/>
              <w:end w:w="120" w:type="dxa"/>
            </w:tcMar>
            <w:vAlign w:val="center"/>
            <w:shd w:fill="F3F6F8"/>
          </w:tcPr>
          <w:p>
            <w:pPr>
              <w:spacing w:after="30"/>
            </w:pPr>
            <w:r>
              <w:rPr>
                <w:sz w:val="13"/>
              </w:rPr>
              <w:t>EVD-008</w:t>
            </w:r>
          </w:p>
        </w:tc>
        <w:tc>
          <w:tcPr>
            <w:tcW w:type="dxa" w:w="2880"/>
            <w:tcMar>
              <w:top w:w="80" w:type="dxa"/>
              <w:start w:w="120" w:type="dxa"/>
              <w:bottom w:w="80" w:type="dxa"/>
              <w:end w:w="120" w:type="dxa"/>
            </w:tcMar>
            <w:vAlign w:val="center"/>
            <w:shd w:fill="F3F6F8"/>
          </w:tcPr>
          <w:p>
            <w:pPr>
              <w:spacing w:after="30"/>
            </w:pPr>
            <w:r>
              <w:rPr>
                <w:sz w:val="13"/>
              </w:rPr>
              <w:t>ClamAV 1.5.3 / database 28071</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256 files, zero infections; non-detection is not proof.</w:t>
            </w:r>
          </w:p>
        </w:tc>
      </w:tr>
      <w:tr>
        <w:trPr>
          <w:cantSplit/>
        </w:trPr>
        <w:tc>
          <w:tcPr>
            <w:tcW w:type="dxa" w:w="1080"/>
            <w:tcMar>
              <w:top w:w="80" w:type="dxa"/>
              <w:start w:w="120" w:type="dxa"/>
              <w:bottom w:w="80" w:type="dxa"/>
              <w:end w:w="120" w:type="dxa"/>
            </w:tcMar>
            <w:vAlign w:val="center"/>
          </w:tcPr>
          <w:p>
            <w:pPr>
              <w:spacing w:after="30"/>
            </w:pPr>
            <w:r>
              <w:rPr>
                <w:sz w:val="13"/>
              </w:rPr>
              <w:t>EVD-009</w:t>
            </w:r>
          </w:p>
        </w:tc>
        <w:tc>
          <w:tcPr>
            <w:tcW w:type="dxa" w:w="2880"/>
            <w:tcMar>
              <w:top w:w="80" w:type="dxa"/>
              <w:start w:w="120" w:type="dxa"/>
              <w:bottom w:w="80" w:type="dxa"/>
              <w:end w:w="120" w:type="dxa"/>
            </w:tcMar>
            <w:vAlign w:val="center"/>
          </w:tcPr>
          <w:p>
            <w:pPr>
              <w:spacing w:after="30"/>
            </w:pPr>
            <w:r>
              <w:rPr>
                <w:sz w:val="13"/>
              </w:rPr>
              <w:t>Assessment-local YARA heuristics</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Expected agentic vocabulary matches; manually triaged.</w:t>
            </w:r>
          </w:p>
        </w:tc>
      </w:tr>
      <w:tr>
        <w:trPr>
          <w:cantSplit/>
        </w:trPr>
        <w:tc>
          <w:tcPr>
            <w:tcW w:type="dxa" w:w="1080"/>
            <w:tcMar>
              <w:top w:w="80" w:type="dxa"/>
              <w:start w:w="120" w:type="dxa"/>
              <w:bottom w:w="80" w:type="dxa"/>
              <w:end w:w="120" w:type="dxa"/>
            </w:tcMar>
            <w:vAlign w:val="center"/>
            <w:shd w:fill="F3F6F8"/>
          </w:tcPr>
          <w:p>
            <w:pPr>
              <w:spacing w:after="30"/>
            </w:pPr>
            <w:r>
              <w:rPr>
                <w:sz w:val="13"/>
              </w:rPr>
              <w:t>EVD-010</w:t>
            </w:r>
          </w:p>
        </w:tc>
        <w:tc>
          <w:tcPr>
            <w:tcW w:type="dxa" w:w="2880"/>
            <w:tcMar>
              <w:top w:w="80" w:type="dxa"/>
              <w:start w:w="120" w:type="dxa"/>
              <w:bottom w:w="80" w:type="dxa"/>
              <w:end w:w="120" w:type="dxa"/>
            </w:tcMar>
            <w:vAlign w:val="center"/>
            <w:shd w:fill="F3F6F8"/>
          </w:tcPr>
          <w:p>
            <w:pPr>
              <w:spacing w:after="30"/>
            </w:pPr>
            <w:r>
              <w:rPr>
                <w:sz w:val="13"/>
              </w:rPr>
              <w:t>Anthropic security/permissions/VS Code docs</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Permissions, sandbox, workspace and IDE MCP claims.</w:t>
            </w:r>
          </w:p>
        </w:tc>
      </w:tr>
      <w:tr>
        <w:trPr>
          <w:cantSplit/>
        </w:trPr>
        <w:tc>
          <w:tcPr>
            <w:tcW w:type="dxa" w:w="1080"/>
            <w:tcMar>
              <w:top w:w="80" w:type="dxa"/>
              <w:start w:w="120" w:type="dxa"/>
              <w:bottom w:w="80" w:type="dxa"/>
              <w:end w:w="120" w:type="dxa"/>
            </w:tcMar>
            <w:vAlign w:val="center"/>
          </w:tcPr>
          <w:p>
            <w:pPr>
              <w:spacing w:after="30"/>
            </w:pPr>
            <w:r>
              <w:rPr>
                <w:sz w:val="13"/>
              </w:rPr>
              <w:t>EVD-011</w:t>
            </w:r>
          </w:p>
        </w:tc>
        <w:tc>
          <w:tcPr>
            <w:tcW w:type="dxa" w:w="2880"/>
            <w:tcMar>
              <w:top w:w="80" w:type="dxa"/>
              <w:start w:w="120" w:type="dxa"/>
              <w:bottom w:w="80" w:type="dxa"/>
              <w:end w:w="120" w:type="dxa"/>
            </w:tcMar>
            <w:vAlign w:val="center"/>
          </w:tcPr>
          <w:p>
            <w:pPr>
              <w:spacing w:after="30"/>
            </w:pPr>
            <w:r>
              <w:rPr>
                <w:sz w:val="13"/>
              </w:rPr>
              <w:t>Anthropic privacy/data/legal docs</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Training, retention, transcript, telemetry and feedback claims.</w:t>
            </w:r>
          </w:p>
        </w:tc>
      </w:tr>
      <w:tr>
        <w:trPr>
          <w:cantSplit/>
        </w:trPr>
        <w:tc>
          <w:tcPr>
            <w:tcW w:type="dxa" w:w="1080"/>
            <w:tcMar>
              <w:top w:w="80" w:type="dxa"/>
              <w:start w:w="120" w:type="dxa"/>
              <w:bottom w:w="80" w:type="dxa"/>
              <w:end w:w="120" w:type="dxa"/>
            </w:tcMar>
            <w:vAlign w:val="center"/>
            <w:shd w:fill="F3F6F8"/>
          </w:tcPr>
          <w:p>
            <w:pPr>
              <w:spacing w:after="30"/>
            </w:pPr>
            <w:r>
              <w:rPr>
                <w:sz w:val="13"/>
              </w:rPr>
              <w:t>EVD-012</w:t>
            </w:r>
          </w:p>
        </w:tc>
        <w:tc>
          <w:tcPr>
            <w:tcW w:type="dxa" w:w="2880"/>
            <w:tcMar>
              <w:top w:w="80" w:type="dxa"/>
              <w:start w:w="120" w:type="dxa"/>
              <w:bottom w:w="80" w:type="dxa"/>
              <w:end w:w="120" w:type="dxa"/>
            </w:tcMar>
            <w:vAlign w:val="center"/>
            <w:shd w:fill="F3F6F8"/>
          </w:tcPr>
          <w:p>
            <w:pPr>
              <w:spacing w:after="30"/>
            </w:pPr>
            <w:r>
              <w:rPr>
                <w:sz w:val="13"/>
              </w:rPr>
              <w:t>Syft/Trivy/Grype/OSV</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No recognised components; scanner visibility limitation.</w:t>
            </w:r>
          </w:p>
        </w:tc>
      </w:tr>
      <w:tr>
        <w:trPr>
          <w:cantSplit/>
        </w:trPr>
        <w:tc>
          <w:tcPr>
            <w:tcW w:type="dxa" w:w="1080"/>
            <w:tcMar>
              <w:top w:w="80" w:type="dxa"/>
              <w:start w:w="120" w:type="dxa"/>
              <w:bottom w:w="80" w:type="dxa"/>
              <w:end w:w="120" w:type="dxa"/>
            </w:tcMar>
            <w:vAlign w:val="center"/>
          </w:tcPr>
          <w:p>
            <w:pPr>
              <w:spacing w:after="30"/>
            </w:pPr>
            <w:r>
              <w:rPr>
                <w:sz w:val="13"/>
              </w:rPr>
              <w:t>EVD-013</w:t>
            </w:r>
          </w:p>
        </w:tc>
        <w:tc>
          <w:tcPr>
            <w:tcW w:type="dxa" w:w="2880"/>
            <w:tcMar>
              <w:top w:w="80" w:type="dxa"/>
              <w:start w:w="120" w:type="dxa"/>
              <w:bottom w:w="80" w:type="dxa"/>
              <w:end w:w="120" w:type="dxa"/>
            </w:tcMar>
            <w:vAlign w:val="center"/>
          </w:tcPr>
          <w:p>
            <w:pPr>
              <w:spacing w:after="30"/>
            </w:pPr>
            <w:r>
              <w:rPr>
                <w:sz w:val="13"/>
              </w:rPr>
              <w:t>Published GitHub advisories</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2.1.220 above every observed applicable patched threshold.</w:t>
            </w:r>
          </w:p>
        </w:tc>
      </w:tr>
      <w:tr>
        <w:trPr>
          <w:cantSplit/>
        </w:trPr>
        <w:tc>
          <w:tcPr>
            <w:tcW w:type="dxa" w:w="1080"/>
            <w:tcMar>
              <w:top w:w="80" w:type="dxa"/>
              <w:start w:w="120" w:type="dxa"/>
              <w:bottom w:w="80" w:type="dxa"/>
              <w:end w:w="120" w:type="dxa"/>
            </w:tcMar>
            <w:vAlign w:val="center"/>
            <w:shd w:fill="F3F6F8"/>
          </w:tcPr>
          <w:p>
            <w:pPr>
              <w:spacing w:after="30"/>
            </w:pPr>
            <w:r>
              <w:rPr>
                <w:sz w:val="13"/>
              </w:rPr>
              <w:t>EVD-014</w:t>
            </w:r>
          </w:p>
        </w:tc>
        <w:tc>
          <w:tcPr>
            <w:tcW w:type="dxa" w:w="2880"/>
            <w:tcMar>
              <w:top w:w="80" w:type="dxa"/>
              <w:start w:w="120" w:type="dxa"/>
              <w:bottom w:w="80" w:type="dxa"/>
              <w:end w:w="120" w:type="dxa"/>
            </w:tcMar>
            <w:vAlign w:val="center"/>
            <w:shd w:fill="F3F6F8"/>
          </w:tcPr>
          <w:p>
            <w:pPr>
              <w:spacing w:after="30"/>
            </w:pPr>
            <w:r>
              <w:rPr>
                <w:sz w:val="13"/>
              </w:rPr>
              <w:t>Optional plugin marketplace</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Twelve plugin manifests and ten skills in source snapshot.</w:t>
            </w:r>
          </w:p>
        </w:tc>
      </w:tr>
      <w:tr>
        <w:trPr>
          <w:cantSplit/>
        </w:trPr>
        <w:tc>
          <w:tcPr>
            <w:tcW w:type="dxa" w:w="1080"/>
            <w:tcMar>
              <w:top w:w="80" w:type="dxa"/>
              <w:start w:w="120" w:type="dxa"/>
              <w:bottom w:w="80" w:type="dxa"/>
              <w:end w:w="120" w:type="dxa"/>
            </w:tcMar>
            <w:vAlign w:val="center"/>
          </w:tcPr>
          <w:p>
            <w:pPr>
              <w:spacing w:after="30"/>
            </w:pPr>
            <w:r>
              <w:rPr>
                <w:sz w:val="13"/>
              </w:rPr>
              <w:t>EVD-015</w:t>
            </w:r>
          </w:p>
        </w:tc>
        <w:tc>
          <w:tcPr>
            <w:tcW w:type="dxa" w:w="2880"/>
            <w:tcMar>
              <w:top w:w="80" w:type="dxa"/>
              <w:start w:w="120" w:type="dxa"/>
              <w:bottom w:w="80" w:type="dxa"/>
              <w:end w:w="120" w:type="dxa"/>
            </w:tcMar>
            <w:vAlign w:val="center"/>
          </w:tcPr>
          <w:p>
            <w:pPr>
              <w:spacing w:after="30"/>
            </w:pPr>
            <w:r>
              <w:rPr>
                <w:sz w:val="13"/>
              </w:rPr>
              <w:t>Settings schema</w:t>
            </w:r>
          </w:p>
        </w:tc>
        <w:tc>
          <w:tcPr>
            <w:tcW w:type="dxa" w:w="1224"/>
            <w:tcMar>
              <w:top w:w="80" w:type="dxa"/>
              <w:start w:w="120" w:type="dxa"/>
              <w:bottom w:w="80" w:type="dxa"/>
              <w:end w:w="120" w:type="dxa"/>
            </w:tcMar>
            <w:vAlign w:val="center"/>
          </w:tcPr>
          <w:p>
            <w:pPr>
              <w:spacing w:after="30"/>
            </w:pPr>
            <w:r>
              <w:rPr>
                <w:sz w:val="13"/>
              </w:rPr>
              <w:t>Verified</w:t>
            </w:r>
          </w:p>
        </w:tc>
        <w:tc>
          <w:tcPr>
            <w:tcW w:type="dxa" w:w="4176"/>
            <w:tcMar>
              <w:top w:w="80" w:type="dxa"/>
              <w:start w:w="120" w:type="dxa"/>
              <w:bottom w:w="80" w:type="dxa"/>
              <w:end w:w="120" w:type="dxa"/>
            </w:tcMar>
            <w:vAlign w:val="center"/>
          </w:tcPr>
          <w:p>
            <w:pPr>
              <w:spacing w:after="30"/>
            </w:pPr>
            <w:r>
              <w:rPr>
                <w:sz w:val="13"/>
              </w:rPr>
              <w:t>Enterprise policy, MCP, hook, skill, plugin and sandbox controls.</w:t>
            </w:r>
          </w:p>
        </w:tc>
      </w:tr>
      <w:tr>
        <w:trPr>
          <w:cantSplit/>
        </w:trPr>
        <w:tc>
          <w:tcPr>
            <w:tcW w:type="dxa" w:w="1080"/>
            <w:tcMar>
              <w:top w:w="80" w:type="dxa"/>
              <w:start w:w="120" w:type="dxa"/>
              <w:bottom w:w="80" w:type="dxa"/>
              <w:end w:w="120" w:type="dxa"/>
            </w:tcMar>
            <w:vAlign w:val="center"/>
            <w:shd w:fill="F3F6F8"/>
          </w:tcPr>
          <w:p>
            <w:pPr>
              <w:spacing w:after="30"/>
            </w:pPr>
            <w:r>
              <w:rPr>
                <w:sz w:val="13"/>
              </w:rPr>
              <w:t>EVD-016</w:t>
            </w:r>
          </w:p>
        </w:tc>
        <w:tc>
          <w:tcPr>
            <w:tcW w:type="dxa" w:w="2880"/>
            <w:tcMar>
              <w:top w:w="80" w:type="dxa"/>
              <w:start w:w="120" w:type="dxa"/>
              <w:bottom w:w="80" w:type="dxa"/>
              <w:end w:w="120" w:type="dxa"/>
            </w:tcMar>
            <w:vAlign w:val="center"/>
            <w:shd w:fill="F3F6F8"/>
          </w:tcPr>
          <w:p>
            <w:pPr>
              <w:spacing w:after="30"/>
            </w:pPr>
            <w:r>
              <w:rPr>
                <w:sz w:val="13"/>
              </w:rPr>
              <w:t>Runtime readiness</w:t>
            </w:r>
          </w:p>
        </w:tc>
        <w:tc>
          <w:tcPr>
            <w:tcW w:type="dxa" w:w="1224"/>
            <w:tcMar>
              <w:top w:w="80" w:type="dxa"/>
              <w:start w:w="120" w:type="dxa"/>
              <w:bottom w:w="80" w:type="dxa"/>
              <w:end w:w="120" w:type="dxa"/>
            </w:tcMar>
            <w:vAlign w:val="center"/>
            <w:shd w:fill="F3F6F8"/>
          </w:tcPr>
          <w:p>
            <w:pPr>
              <w:spacing w:after="30"/>
            </w:pPr>
            <w:r>
              <w:rPr>
                <w:sz w:val="13"/>
              </w:rPr>
              <w:t>Verified</w:t>
            </w:r>
          </w:p>
        </w:tc>
        <w:tc>
          <w:tcPr>
            <w:tcW w:type="dxa" w:w="4176"/>
            <w:tcMar>
              <w:top w:w="80" w:type="dxa"/>
              <w:start w:w="120" w:type="dxa"/>
              <w:bottom w:w="80" w:type="dxa"/>
              <w:end w:w="120" w:type="dxa"/>
            </w:tcMar>
            <w:vAlign w:val="center"/>
            <w:shd w:fill="F3F6F8"/>
          </w:tcPr>
          <w:p>
            <w:pPr>
              <w:spacing w:after="30"/>
            </w:pPr>
            <w:r>
              <w:rPr>
                <w:sz w:val="13"/>
              </w:rPr>
              <w:t>No disposable representative host; no activation.</w:t>
            </w:r>
          </w:p>
        </w:tc>
      </w:tr>
      <w:tr>
        <w:trPr>
          <w:cantSplit/>
        </w:trPr>
        <w:tc>
          <w:tcPr>
            <w:tcW w:type="dxa" w:w="1080"/>
            <w:tcMar>
              <w:top w:w="80" w:type="dxa"/>
              <w:start w:w="120" w:type="dxa"/>
              <w:bottom w:w="80" w:type="dxa"/>
              <w:end w:w="120" w:type="dxa"/>
            </w:tcMar>
            <w:vAlign w:val="center"/>
          </w:tcPr>
          <w:p>
            <w:pPr>
              <w:spacing w:after="30"/>
            </w:pPr>
            <w:r>
              <w:rPr>
                <w:sz w:val="13"/>
              </w:rPr>
              <w:t>EVD-017</w:t>
            </w:r>
          </w:p>
        </w:tc>
        <w:tc>
          <w:tcPr>
            <w:tcW w:type="dxa" w:w="2880"/>
            <w:tcMar>
              <w:top w:w="80" w:type="dxa"/>
              <w:start w:w="120" w:type="dxa"/>
              <w:bottom w:w="80" w:type="dxa"/>
              <w:end w:w="120" w:type="dxa"/>
            </w:tcMar>
            <w:vAlign w:val="center"/>
          </w:tcPr>
          <w:p>
            <w:pPr>
              <w:spacing w:after="30"/>
            </w:pPr>
            <w:r>
              <w:rPr>
                <w:sz w:val="13"/>
              </w:rPr>
              <w:t>MCP/skills inventory</w:t>
            </w:r>
          </w:p>
        </w:tc>
        <w:tc>
          <w:tcPr>
            <w:tcW w:type="dxa" w:w="1224"/>
            <w:tcMar>
              <w:top w:w="80" w:type="dxa"/>
              <w:start w:w="120" w:type="dxa"/>
              <w:bottom w:w="80" w:type="dxa"/>
              <w:end w:w="120" w:type="dxa"/>
            </w:tcMar>
            <w:vAlign w:val="center"/>
          </w:tcPr>
          <w:p>
            <w:pPr>
              <w:spacing w:after="30"/>
            </w:pPr>
            <w:r>
              <w:rPr>
                <w:sz w:val="13"/>
              </w:rPr>
              <w:t>Verified/Unknown</w:t>
            </w:r>
          </w:p>
        </w:tc>
        <w:tc>
          <w:tcPr>
            <w:tcW w:type="dxa" w:w="4176"/>
            <w:tcMar>
              <w:top w:w="80" w:type="dxa"/>
              <w:start w:w="120" w:type="dxa"/>
              <w:bottom w:w="80" w:type="dxa"/>
              <w:end w:w="120" w:type="dxa"/>
            </w:tcMar>
            <w:vAlign w:val="center"/>
          </w:tcPr>
          <w:p>
            <w:pPr>
              <w:spacing w:after="30"/>
            </w:pPr>
            <w:r>
              <w:rPr>
                <w:sz w:val="13"/>
              </w:rPr>
              <w:t>Hidden IDE MCP documented; embedded bundled skill list unavailable.</w:t>
            </w:r>
          </w:p>
        </w:tc>
      </w:tr>
    </w:tbl>
    <w:p>
      <w:pPr>
        <w:spacing w:after="40"/>
      </w:pPr>
    </w:p>
    <w:p>
      <w:pPr>
        <w:pStyle w:val="Heading1"/>
      </w:pPr>
      <w:r>
        <w:t>References</w:t>
      </w:r>
    </w:p>
    <w:tbl>
      <w:tblPr>
        <w:tblStyle w:val="TableGrid"/>
        <w:tblW w:type="auto" w:w="0"/>
        <w:tblLayout w:type="fixed"/>
        <w:tblLook w:firstColumn="1" w:firstRow="1" w:lastColumn="0" w:lastRow="0" w:noHBand="0" w:noVBand="1" w:val="04A0"/>
      </w:tblPr>
      <w:tblGrid>
        <w:gridCol w:w="1152"/>
        <w:gridCol w:w="3888"/>
        <w:gridCol w:w="4320"/>
      </w:tblGrid>
      <w:tr>
        <w:trPr>
          <w:tblHeader/>
        </w:trPr>
        <w:tc>
          <w:tcPr>
            <w:tcW w:type="dxa" w:w="3120"/>
            <w:shd w:fill="17365D"/>
            <w:tcMar>
              <w:top w:w="80" w:type="dxa"/>
              <w:start w:w="120" w:type="dxa"/>
              <w:bottom w:w="80" w:type="dxa"/>
              <w:end w:w="120" w:type="dxa"/>
            </w:tcMar>
          </w:tcPr>
          <w:p>
            <w:r>
              <w:rPr>
                <w:b/>
                <w:color w:val="FFFFFF"/>
                <w:sz w:val="14"/>
              </w:rPr>
              <w:t>ID</w:t>
            </w:r>
          </w:p>
        </w:tc>
        <w:tc>
          <w:tcPr>
            <w:tcW w:type="dxa" w:w="3120"/>
            <w:shd w:fill="17365D"/>
            <w:tcMar>
              <w:top w:w="80" w:type="dxa"/>
              <w:start w:w="120" w:type="dxa"/>
              <w:bottom w:w="80" w:type="dxa"/>
              <w:end w:w="120" w:type="dxa"/>
            </w:tcMar>
          </w:tcPr>
          <w:p>
            <w:r>
              <w:rPr>
                <w:b/>
                <w:color w:val="FFFFFF"/>
                <w:sz w:val="14"/>
              </w:rPr>
              <w:t>Source</w:t>
            </w:r>
          </w:p>
        </w:tc>
        <w:tc>
          <w:tcPr>
            <w:tcW w:type="dxa" w:w="3120"/>
            <w:shd w:fill="17365D"/>
            <w:tcMar>
              <w:top w:w="80" w:type="dxa"/>
              <w:start w:w="120" w:type="dxa"/>
              <w:bottom w:w="80" w:type="dxa"/>
              <w:end w:w="120" w:type="dxa"/>
            </w:tcMar>
          </w:tcPr>
          <w:p>
            <w:r>
              <w:rPr>
                <w:b/>
                <w:color w:val="FFFFFF"/>
                <w:sz w:val="14"/>
              </w:rPr>
              <w:t>External link</w:t>
            </w:r>
          </w:p>
        </w:tc>
      </w:tr>
      <w:tr>
        <w:tc>
          <w:tcPr>
            <w:tcW w:type="dxa" w:w="1152"/>
            <w:tcMar>
              <w:top w:w="80" w:type="dxa"/>
              <w:start w:w="120" w:type="dxa"/>
              <w:bottom w:w="80" w:type="dxa"/>
              <w:end w:w="120" w:type="dxa"/>
            </w:tcMar>
          </w:tcPr>
          <w:p>
            <w:bookmarkStart w:id="100" w:name="REF_001"/>
            <w:r>
              <w:rPr>
                <w:sz w:val="13"/>
              </w:rPr>
              <w:t>REF-001</w:t>
            </w:r>
            <w:bookmarkEnd w:id="100"/>
          </w:p>
        </w:tc>
        <w:tc>
          <w:tcPr>
            <w:tcW w:type="dxa" w:w="3888"/>
            <w:tcMar>
              <w:top w:w="80" w:type="dxa"/>
              <w:start w:w="120" w:type="dxa"/>
              <w:bottom w:w="80" w:type="dxa"/>
              <w:end w:w="120" w:type="dxa"/>
            </w:tcMar>
          </w:tcPr>
          <w:p>
            <w:r>
              <w:rPr>
                <w:sz w:val="13"/>
              </w:rPr>
            </w:r>
            <w:hyperlink r:id="rId12">
              <w:r>
                <w:rPr>
                  <w:color w:val="0563C1"/>
                  <w:u w:val="single"/>
                </w:rPr>
                <w:t>Claude Code for VS Code Marketplace listing</w:t>
              </w:r>
            </w:hyperlink>
          </w:p>
        </w:tc>
        <w:tc>
          <w:tcPr>
            <w:tcW w:type="dxa" w:w="4320"/>
            <w:tcMar>
              <w:top w:w="80" w:type="dxa"/>
              <w:start w:w="120" w:type="dxa"/>
              <w:bottom w:w="80" w:type="dxa"/>
              <w:end w:w="120" w:type="dxa"/>
            </w:tcMar>
          </w:tcPr>
          <w:p>
            <w:r>
              <w:rPr>
                <w:sz w:val="13"/>
              </w:rPr>
            </w:r>
            <w:hyperlink r:id="rId12">
              <w:r>
                <w:rPr>
                  <w:color w:val="0563C1"/>
                  <w:u w:val="single"/>
                </w:rPr>
                <w:t>Open official source</w:t>
              </w:r>
            </w:hyperlink>
          </w:p>
        </w:tc>
      </w:tr>
      <w:tr>
        <w:tc>
          <w:tcPr>
            <w:tcW w:type="dxa" w:w="1152"/>
            <w:tcMar>
              <w:top w:w="80" w:type="dxa"/>
              <w:start w:w="120" w:type="dxa"/>
              <w:bottom w:w="80" w:type="dxa"/>
              <w:end w:w="120" w:type="dxa"/>
            </w:tcMar>
          </w:tcPr>
          <w:p>
            <w:bookmarkStart w:id="101" w:name="REF_002"/>
            <w:r>
              <w:rPr>
                <w:sz w:val="13"/>
              </w:rPr>
              <w:t>REF-002</w:t>
            </w:r>
            <w:bookmarkEnd w:id="101"/>
          </w:p>
        </w:tc>
        <w:tc>
          <w:tcPr>
            <w:tcW w:type="dxa" w:w="3888"/>
            <w:tcMar>
              <w:top w:w="80" w:type="dxa"/>
              <w:start w:w="120" w:type="dxa"/>
              <w:bottom w:w="80" w:type="dxa"/>
              <w:end w:w="120" w:type="dxa"/>
            </w:tcMar>
          </w:tcPr>
          <w:p>
            <w:r>
              <w:rPr>
                <w:sz w:val="13"/>
              </w:rPr>
            </w:r>
            <w:hyperlink r:id="rId13">
              <w:r>
                <w:rPr>
                  <w:color w:val="0563C1"/>
                  <w:u w:val="single"/>
                </w:rPr>
                <w:t>Visual Studio Marketplace Gallery metadata API</w:t>
              </w:r>
            </w:hyperlink>
          </w:p>
        </w:tc>
        <w:tc>
          <w:tcPr>
            <w:tcW w:type="dxa" w:w="4320"/>
            <w:tcMar>
              <w:top w:w="80" w:type="dxa"/>
              <w:start w:w="120" w:type="dxa"/>
              <w:bottom w:w="80" w:type="dxa"/>
              <w:end w:w="120" w:type="dxa"/>
            </w:tcMar>
          </w:tcPr>
          <w:p>
            <w:r>
              <w:rPr>
                <w:sz w:val="13"/>
              </w:rPr>
            </w:r>
            <w:hyperlink r:id="rId13">
              <w:r>
                <w:rPr>
                  <w:color w:val="0563C1"/>
                  <w:u w:val="single"/>
                </w:rPr>
                <w:t>Open official source</w:t>
              </w:r>
            </w:hyperlink>
          </w:p>
        </w:tc>
      </w:tr>
      <w:tr>
        <w:tc>
          <w:tcPr>
            <w:tcW w:type="dxa" w:w="1152"/>
            <w:tcMar>
              <w:top w:w="80" w:type="dxa"/>
              <w:start w:w="120" w:type="dxa"/>
              <w:bottom w:w="80" w:type="dxa"/>
              <w:end w:w="120" w:type="dxa"/>
            </w:tcMar>
          </w:tcPr>
          <w:p>
            <w:bookmarkStart w:id="102" w:name="REF_003"/>
            <w:r>
              <w:rPr>
                <w:sz w:val="13"/>
              </w:rPr>
              <w:t>REF-003</w:t>
            </w:r>
            <w:bookmarkEnd w:id="102"/>
          </w:p>
        </w:tc>
        <w:tc>
          <w:tcPr>
            <w:tcW w:type="dxa" w:w="3888"/>
            <w:tcMar>
              <w:top w:w="80" w:type="dxa"/>
              <w:start w:w="120" w:type="dxa"/>
              <w:bottom w:w="80" w:type="dxa"/>
              <w:end w:w="120" w:type="dxa"/>
            </w:tcMar>
          </w:tcPr>
          <w:p>
            <w:r>
              <w:rPr>
                <w:sz w:val="13"/>
              </w:rPr>
            </w:r>
            <w:hyperlink r:id="rId14">
              <w:r>
                <w:rPr>
                  <w:color w:val="0563C1"/>
                  <w:u w:val="single"/>
                </w:rPr>
                <w:t>Anthropic: Use Claude Code in VS Code</w:t>
              </w:r>
            </w:hyperlink>
          </w:p>
        </w:tc>
        <w:tc>
          <w:tcPr>
            <w:tcW w:type="dxa" w:w="4320"/>
            <w:tcMar>
              <w:top w:w="80" w:type="dxa"/>
              <w:start w:w="120" w:type="dxa"/>
              <w:bottom w:w="80" w:type="dxa"/>
              <w:end w:w="120" w:type="dxa"/>
            </w:tcMar>
          </w:tcPr>
          <w:p>
            <w:r>
              <w:rPr>
                <w:sz w:val="13"/>
              </w:rPr>
            </w:r>
            <w:hyperlink r:id="rId14">
              <w:r>
                <w:rPr>
                  <w:color w:val="0563C1"/>
                  <w:u w:val="single"/>
                </w:rPr>
                <w:t>Open official source</w:t>
              </w:r>
            </w:hyperlink>
          </w:p>
        </w:tc>
      </w:tr>
      <w:tr>
        <w:tc>
          <w:tcPr>
            <w:tcW w:type="dxa" w:w="1152"/>
            <w:tcMar>
              <w:top w:w="80" w:type="dxa"/>
              <w:start w:w="120" w:type="dxa"/>
              <w:bottom w:w="80" w:type="dxa"/>
              <w:end w:w="120" w:type="dxa"/>
            </w:tcMar>
          </w:tcPr>
          <w:p>
            <w:bookmarkStart w:id="103" w:name="REF_004"/>
            <w:r>
              <w:rPr>
                <w:sz w:val="13"/>
              </w:rPr>
              <w:t>REF-004</w:t>
            </w:r>
            <w:bookmarkEnd w:id="103"/>
          </w:p>
        </w:tc>
        <w:tc>
          <w:tcPr>
            <w:tcW w:type="dxa" w:w="3888"/>
            <w:tcMar>
              <w:top w:w="80" w:type="dxa"/>
              <w:start w:w="120" w:type="dxa"/>
              <w:bottom w:w="80" w:type="dxa"/>
              <w:end w:w="120" w:type="dxa"/>
            </w:tcMar>
          </w:tcPr>
          <w:p>
            <w:r>
              <w:rPr>
                <w:sz w:val="13"/>
              </w:rPr>
            </w:r>
            <w:hyperlink r:id="rId15">
              <w:r>
                <w:rPr>
                  <w:color w:val="0563C1"/>
                  <w:u w:val="single"/>
                </w:rPr>
                <w:t>Anthropic Claude Code official repository</w:t>
              </w:r>
            </w:hyperlink>
          </w:p>
        </w:tc>
        <w:tc>
          <w:tcPr>
            <w:tcW w:type="dxa" w:w="4320"/>
            <w:tcMar>
              <w:top w:w="80" w:type="dxa"/>
              <w:start w:w="120" w:type="dxa"/>
              <w:bottom w:w="80" w:type="dxa"/>
              <w:end w:w="120" w:type="dxa"/>
            </w:tcMar>
          </w:tcPr>
          <w:p>
            <w:r>
              <w:rPr>
                <w:sz w:val="13"/>
              </w:rPr>
            </w:r>
            <w:hyperlink r:id="rId15">
              <w:r>
                <w:rPr>
                  <w:color w:val="0563C1"/>
                  <w:u w:val="single"/>
                </w:rPr>
                <w:t>Open official source</w:t>
              </w:r>
            </w:hyperlink>
          </w:p>
        </w:tc>
      </w:tr>
      <w:tr>
        <w:tc>
          <w:tcPr>
            <w:tcW w:type="dxa" w:w="1152"/>
            <w:tcMar>
              <w:top w:w="80" w:type="dxa"/>
              <w:start w:w="120" w:type="dxa"/>
              <w:bottom w:w="80" w:type="dxa"/>
              <w:end w:w="120" w:type="dxa"/>
            </w:tcMar>
          </w:tcPr>
          <w:p>
            <w:bookmarkStart w:id="104" w:name="REF_005"/>
            <w:r>
              <w:rPr>
                <w:sz w:val="13"/>
              </w:rPr>
              <w:t>REF-005</w:t>
            </w:r>
            <w:bookmarkEnd w:id="104"/>
          </w:p>
        </w:tc>
        <w:tc>
          <w:tcPr>
            <w:tcW w:type="dxa" w:w="3888"/>
            <w:tcMar>
              <w:top w:w="80" w:type="dxa"/>
              <w:start w:w="120" w:type="dxa"/>
              <w:bottom w:w="80" w:type="dxa"/>
              <w:end w:w="120" w:type="dxa"/>
            </w:tcMar>
          </w:tcPr>
          <w:p>
            <w:r>
              <w:rPr>
                <w:sz w:val="13"/>
              </w:rPr>
            </w:r>
            <w:hyperlink r:id="rId16">
              <w:r>
                <w:rPr>
                  <w:color w:val="0563C1"/>
                  <w:u w:val="single"/>
                </w:rPr>
                <w:t>Anthropic Claude Code v2.1.220 release</w:t>
              </w:r>
            </w:hyperlink>
          </w:p>
        </w:tc>
        <w:tc>
          <w:tcPr>
            <w:tcW w:type="dxa" w:w="4320"/>
            <w:tcMar>
              <w:top w:w="80" w:type="dxa"/>
              <w:start w:w="120" w:type="dxa"/>
              <w:bottom w:w="80" w:type="dxa"/>
              <w:end w:w="120" w:type="dxa"/>
            </w:tcMar>
          </w:tcPr>
          <w:p>
            <w:r>
              <w:rPr>
                <w:sz w:val="13"/>
              </w:rPr>
            </w:r>
            <w:hyperlink r:id="rId16">
              <w:r>
                <w:rPr>
                  <w:color w:val="0563C1"/>
                  <w:u w:val="single"/>
                </w:rPr>
                <w:t>Open official source</w:t>
              </w:r>
            </w:hyperlink>
          </w:p>
        </w:tc>
      </w:tr>
      <w:tr>
        <w:tc>
          <w:tcPr>
            <w:tcW w:type="dxa" w:w="1152"/>
            <w:tcMar>
              <w:top w:w="80" w:type="dxa"/>
              <w:start w:w="120" w:type="dxa"/>
              <w:bottom w:w="80" w:type="dxa"/>
              <w:end w:w="120" w:type="dxa"/>
            </w:tcMar>
          </w:tcPr>
          <w:p>
            <w:bookmarkStart w:id="105" w:name="REF_006"/>
            <w:r>
              <w:rPr>
                <w:sz w:val="13"/>
              </w:rPr>
              <w:t>REF-006</w:t>
            </w:r>
            <w:bookmarkEnd w:id="105"/>
          </w:p>
        </w:tc>
        <w:tc>
          <w:tcPr>
            <w:tcW w:type="dxa" w:w="3888"/>
            <w:tcMar>
              <w:top w:w="80" w:type="dxa"/>
              <w:start w:w="120" w:type="dxa"/>
              <w:bottom w:w="80" w:type="dxa"/>
              <w:end w:w="120" w:type="dxa"/>
            </w:tcMar>
          </w:tcPr>
          <w:p>
            <w:r>
              <w:rPr>
                <w:sz w:val="13"/>
              </w:rPr>
            </w:r>
            <w:hyperlink r:id="rId17">
              <w:r>
                <w:rPr>
                  <w:color w:val="0563C1"/>
                  <w:u w:val="single"/>
                </w:rPr>
                <w:t>Anthropic: Claude Code security</w:t>
              </w:r>
            </w:hyperlink>
          </w:p>
        </w:tc>
        <w:tc>
          <w:tcPr>
            <w:tcW w:type="dxa" w:w="4320"/>
            <w:tcMar>
              <w:top w:w="80" w:type="dxa"/>
              <w:start w:w="120" w:type="dxa"/>
              <w:bottom w:w="80" w:type="dxa"/>
              <w:end w:w="120" w:type="dxa"/>
            </w:tcMar>
          </w:tcPr>
          <w:p>
            <w:r>
              <w:rPr>
                <w:sz w:val="13"/>
              </w:rPr>
            </w:r>
            <w:hyperlink r:id="rId17">
              <w:r>
                <w:rPr>
                  <w:color w:val="0563C1"/>
                  <w:u w:val="single"/>
                </w:rPr>
                <w:t>Open official source</w:t>
              </w:r>
            </w:hyperlink>
          </w:p>
        </w:tc>
      </w:tr>
      <w:tr>
        <w:tc>
          <w:tcPr>
            <w:tcW w:type="dxa" w:w="1152"/>
            <w:tcMar>
              <w:top w:w="80" w:type="dxa"/>
              <w:start w:w="120" w:type="dxa"/>
              <w:bottom w:w="80" w:type="dxa"/>
              <w:end w:w="120" w:type="dxa"/>
            </w:tcMar>
          </w:tcPr>
          <w:p>
            <w:bookmarkStart w:id="106" w:name="REF_007"/>
            <w:r>
              <w:rPr>
                <w:sz w:val="13"/>
              </w:rPr>
              <w:t>REF-007</w:t>
            </w:r>
            <w:bookmarkEnd w:id="106"/>
          </w:p>
        </w:tc>
        <w:tc>
          <w:tcPr>
            <w:tcW w:type="dxa" w:w="3888"/>
            <w:tcMar>
              <w:top w:w="80" w:type="dxa"/>
              <w:start w:w="120" w:type="dxa"/>
              <w:bottom w:w="80" w:type="dxa"/>
              <w:end w:w="120" w:type="dxa"/>
            </w:tcMar>
          </w:tcPr>
          <w:p>
            <w:r>
              <w:rPr>
                <w:sz w:val="13"/>
              </w:rPr>
            </w:r>
            <w:hyperlink r:id="rId18">
              <w:r>
                <w:rPr>
                  <w:color w:val="0563C1"/>
                  <w:u w:val="single"/>
                </w:rPr>
                <w:t>Anthropic: Configure permissions</w:t>
              </w:r>
            </w:hyperlink>
          </w:p>
        </w:tc>
        <w:tc>
          <w:tcPr>
            <w:tcW w:type="dxa" w:w="4320"/>
            <w:tcMar>
              <w:top w:w="80" w:type="dxa"/>
              <w:start w:w="120" w:type="dxa"/>
              <w:bottom w:w="80" w:type="dxa"/>
              <w:end w:w="120" w:type="dxa"/>
            </w:tcMar>
          </w:tcPr>
          <w:p>
            <w:r>
              <w:rPr>
                <w:sz w:val="13"/>
              </w:rPr>
            </w:r>
            <w:hyperlink r:id="rId18">
              <w:r>
                <w:rPr>
                  <w:color w:val="0563C1"/>
                  <w:u w:val="single"/>
                </w:rPr>
                <w:t>Open official source</w:t>
              </w:r>
            </w:hyperlink>
          </w:p>
        </w:tc>
      </w:tr>
      <w:tr>
        <w:tc>
          <w:tcPr>
            <w:tcW w:type="dxa" w:w="1152"/>
            <w:tcMar>
              <w:top w:w="80" w:type="dxa"/>
              <w:start w:w="120" w:type="dxa"/>
              <w:bottom w:w="80" w:type="dxa"/>
              <w:end w:w="120" w:type="dxa"/>
            </w:tcMar>
          </w:tcPr>
          <w:p>
            <w:bookmarkStart w:id="107" w:name="REF_008"/>
            <w:r>
              <w:rPr>
                <w:sz w:val="13"/>
              </w:rPr>
              <w:t>REF-008</w:t>
            </w:r>
            <w:bookmarkEnd w:id="107"/>
          </w:p>
        </w:tc>
        <w:tc>
          <w:tcPr>
            <w:tcW w:type="dxa" w:w="3888"/>
            <w:tcMar>
              <w:top w:w="80" w:type="dxa"/>
              <w:start w:w="120" w:type="dxa"/>
              <w:bottom w:w="80" w:type="dxa"/>
              <w:end w:w="120" w:type="dxa"/>
            </w:tcMar>
          </w:tcPr>
          <w:p>
            <w:r>
              <w:rPr>
                <w:sz w:val="13"/>
              </w:rPr>
            </w:r>
            <w:hyperlink r:id="rId19">
              <w:r>
                <w:rPr>
                  <w:color w:val="0563C1"/>
                  <w:u w:val="single"/>
                </w:rPr>
                <w:t>Anthropic: Claude Code data usage</w:t>
              </w:r>
            </w:hyperlink>
          </w:p>
        </w:tc>
        <w:tc>
          <w:tcPr>
            <w:tcW w:type="dxa" w:w="4320"/>
            <w:tcMar>
              <w:top w:w="80" w:type="dxa"/>
              <w:start w:w="120" w:type="dxa"/>
              <w:bottom w:w="80" w:type="dxa"/>
              <w:end w:w="120" w:type="dxa"/>
            </w:tcMar>
          </w:tcPr>
          <w:p>
            <w:r>
              <w:rPr>
                <w:sz w:val="13"/>
              </w:rPr>
            </w:r>
            <w:hyperlink r:id="rId19">
              <w:r>
                <w:rPr>
                  <w:color w:val="0563C1"/>
                  <w:u w:val="single"/>
                </w:rPr>
                <w:t>Open official source</w:t>
              </w:r>
            </w:hyperlink>
          </w:p>
        </w:tc>
      </w:tr>
      <w:tr>
        <w:tc>
          <w:tcPr>
            <w:tcW w:type="dxa" w:w="1152"/>
            <w:tcMar>
              <w:top w:w="80" w:type="dxa"/>
              <w:start w:w="120" w:type="dxa"/>
              <w:bottom w:w="80" w:type="dxa"/>
              <w:end w:w="120" w:type="dxa"/>
            </w:tcMar>
          </w:tcPr>
          <w:p>
            <w:bookmarkStart w:id="108" w:name="REF_009"/>
            <w:r>
              <w:rPr>
                <w:sz w:val="13"/>
              </w:rPr>
              <w:t>REF-009</w:t>
            </w:r>
            <w:bookmarkEnd w:id="108"/>
          </w:p>
        </w:tc>
        <w:tc>
          <w:tcPr>
            <w:tcW w:type="dxa" w:w="3888"/>
            <w:tcMar>
              <w:top w:w="80" w:type="dxa"/>
              <w:start w:w="120" w:type="dxa"/>
              <w:bottom w:w="80" w:type="dxa"/>
              <w:end w:w="120" w:type="dxa"/>
            </w:tcMar>
          </w:tcPr>
          <w:p>
            <w:r>
              <w:rPr>
                <w:sz w:val="13"/>
              </w:rPr>
            </w:r>
            <w:hyperlink r:id="rId20">
              <w:r>
                <w:rPr>
                  <w:color w:val="0563C1"/>
                  <w:u w:val="single"/>
                </w:rPr>
                <w:t>Anthropic: Legal and compliance</w:t>
              </w:r>
            </w:hyperlink>
          </w:p>
        </w:tc>
        <w:tc>
          <w:tcPr>
            <w:tcW w:type="dxa" w:w="4320"/>
            <w:tcMar>
              <w:top w:w="80" w:type="dxa"/>
              <w:start w:w="120" w:type="dxa"/>
              <w:bottom w:w="80" w:type="dxa"/>
              <w:end w:w="120" w:type="dxa"/>
            </w:tcMar>
          </w:tcPr>
          <w:p>
            <w:r>
              <w:rPr>
                <w:sz w:val="13"/>
              </w:rPr>
            </w:r>
            <w:hyperlink r:id="rId20">
              <w:r>
                <w:rPr>
                  <w:color w:val="0563C1"/>
                  <w:u w:val="single"/>
                </w:rPr>
                <w:t>Open official source</w:t>
              </w:r>
            </w:hyperlink>
          </w:p>
        </w:tc>
      </w:tr>
      <w:tr>
        <w:tc>
          <w:tcPr>
            <w:tcW w:type="dxa" w:w="1152"/>
            <w:tcMar>
              <w:top w:w="80" w:type="dxa"/>
              <w:start w:w="120" w:type="dxa"/>
              <w:bottom w:w="80" w:type="dxa"/>
              <w:end w:w="120" w:type="dxa"/>
            </w:tcMar>
          </w:tcPr>
          <w:p>
            <w:bookmarkStart w:id="109" w:name="REF_010"/>
            <w:r>
              <w:rPr>
                <w:sz w:val="13"/>
              </w:rPr>
              <w:t>REF-010</w:t>
            </w:r>
            <w:bookmarkEnd w:id="109"/>
          </w:p>
        </w:tc>
        <w:tc>
          <w:tcPr>
            <w:tcW w:type="dxa" w:w="3888"/>
            <w:tcMar>
              <w:top w:w="80" w:type="dxa"/>
              <w:start w:w="120" w:type="dxa"/>
              <w:bottom w:w="80" w:type="dxa"/>
              <w:end w:w="120" w:type="dxa"/>
            </w:tcMar>
          </w:tcPr>
          <w:p>
            <w:r>
              <w:rPr>
                <w:sz w:val="13"/>
              </w:rPr>
            </w:r>
            <w:hyperlink r:id="rId21">
              <w:r>
                <w:rPr>
                  <w:color w:val="0563C1"/>
                  <w:u w:val="single"/>
                </w:rPr>
                <w:t>Anthropic Privacy Policy</w:t>
              </w:r>
            </w:hyperlink>
          </w:p>
        </w:tc>
        <w:tc>
          <w:tcPr>
            <w:tcW w:type="dxa" w:w="4320"/>
            <w:tcMar>
              <w:top w:w="80" w:type="dxa"/>
              <w:start w:w="120" w:type="dxa"/>
              <w:bottom w:w="80" w:type="dxa"/>
              <w:end w:w="120" w:type="dxa"/>
            </w:tcMar>
          </w:tcPr>
          <w:p>
            <w:r>
              <w:rPr>
                <w:sz w:val="13"/>
              </w:rPr>
            </w:r>
            <w:hyperlink r:id="rId21">
              <w:r>
                <w:rPr>
                  <w:color w:val="0563C1"/>
                  <w:u w:val="single"/>
                </w:rPr>
                <w:t>Open official source</w:t>
              </w:r>
            </w:hyperlink>
          </w:p>
        </w:tc>
      </w:tr>
      <w:tr>
        <w:tc>
          <w:tcPr>
            <w:tcW w:type="dxa" w:w="1152"/>
            <w:tcMar>
              <w:top w:w="80" w:type="dxa"/>
              <w:start w:w="120" w:type="dxa"/>
              <w:bottom w:w="80" w:type="dxa"/>
              <w:end w:w="120" w:type="dxa"/>
            </w:tcMar>
          </w:tcPr>
          <w:p>
            <w:bookmarkStart w:id="110" w:name="REF_011"/>
            <w:r>
              <w:rPr>
                <w:sz w:val="13"/>
              </w:rPr>
              <w:t>REF-011</w:t>
            </w:r>
            <w:bookmarkEnd w:id="110"/>
          </w:p>
        </w:tc>
        <w:tc>
          <w:tcPr>
            <w:tcW w:type="dxa" w:w="3888"/>
            <w:tcMar>
              <w:top w:w="80" w:type="dxa"/>
              <w:start w:w="120" w:type="dxa"/>
              <w:bottom w:w="80" w:type="dxa"/>
              <w:end w:w="120" w:type="dxa"/>
            </w:tcMar>
          </w:tcPr>
          <w:p>
            <w:r>
              <w:rPr>
                <w:sz w:val="13"/>
              </w:rPr>
            </w:r>
            <w:hyperlink r:id="rId22">
              <w:r>
                <w:rPr>
                  <w:color w:val="0563C1"/>
                  <w:u w:val="single"/>
                </w:rPr>
                <w:t>Anthropic Claude Code security advisories</w:t>
              </w:r>
            </w:hyperlink>
          </w:p>
        </w:tc>
        <w:tc>
          <w:tcPr>
            <w:tcW w:type="dxa" w:w="4320"/>
            <w:tcMar>
              <w:top w:w="80" w:type="dxa"/>
              <w:start w:w="120" w:type="dxa"/>
              <w:bottom w:w="80" w:type="dxa"/>
              <w:end w:w="120" w:type="dxa"/>
            </w:tcMar>
          </w:tcPr>
          <w:p>
            <w:r>
              <w:rPr>
                <w:sz w:val="13"/>
              </w:rPr>
            </w:r>
            <w:hyperlink r:id="rId22">
              <w:r>
                <w:rPr>
                  <w:color w:val="0563C1"/>
                  <w:u w:val="single"/>
                </w:rPr>
                <w:t>Open official source</w:t>
              </w:r>
            </w:hyperlink>
          </w:p>
        </w:tc>
      </w:tr>
      <w:tr>
        <w:tc>
          <w:tcPr>
            <w:tcW w:type="dxa" w:w="1152"/>
            <w:tcMar>
              <w:top w:w="80" w:type="dxa"/>
              <w:start w:w="120" w:type="dxa"/>
              <w:bottom w:w="80" w:type="dxa"/>
              <w:end w:w="120" w:type="dxa"/>
            </w:tcMar>
          </w:tcPr>
          <w:p>
            <w:bookmarkStart w:id="111" w:name="REF_012"/>
            <w:r>
              <w:rPr>
                <w:sz w:val="13"/>
              </w:rPr>
              <w:t>REF-012</w:t>
            </w:r>
            <w:bookmarkEnd w:id="111"/>
          </w:p>
        </w:tc>
        <w:tc>
          <w:tcPr>
            <w:tcW w:type="dxa" w:w="3888"/>
            <w:tcMar>
              <w:top w:w="80" w:type="dxa"/>
              <w:start w:w="120" w:type="dxa"/>
              <w:bottom w:w="80" w:type="dxa"/>
              <w:end w:w="120" w:type="dxa"/>
            </w:tcMar>
          </w:tcPr>
          <w:p>
            <w:r>
              <w:rPr>
                <w:sz w:val="13"/>
              </w:rPr>
            </w:r>
            <w:hyperlink r:id="rId23">
              <w:r>
                <w:rPr>
                  <w:color w:val="0563C1"/>
                  <w:u w:val="single"/>
                </w:rPr>
                <w:t>Anthropic: Extend Claude with skills</w:t>
              </w:r>
            </w:hyperlink>
          </w:p>
        </w:tc>
        <w:tc>
          <w:tcPr>
            <w:tcW w:type="dxa" w:w="4320"/>
            <w:tcMar>
              <w:top w:w="80" w:type="dxa"/>
              <w:start w:w="120" w:type="dxa"/>
              <w:bottom w:w="80" w:type="dxa"/>
              <w:end w:w="120" w:type="dxa"/>
            </w:tcMar>
          </w:tcPr>
          <w:p>
            <w:r>
              <w:rPr>
                <w:sz w:val="13"/>
              </w:rPr>
            </w:r>
            <w:hyperlink r:id="rId23">
              <w:r>
                <w:rPr>
                  <w:color w:val="0563C1"/>
                  <w:u w:val="single"/>
                </w:rPr>
                <w:t>Open official source</w:t>
              </w:r>
            </w:hyperlink>
          </w:p>
        </w:tc>
      </w:tr>
      <w:tr>
        <w:tc>
          <w:tcPr>
            <w:tcW w:type="dxa" w:w="1152"/>
            <w:tcMar>
              <w:top w:w="80" w:type="dxa"/>
              <w:start w:w="120" w:type="dxa"/>
              <w:bottom w:w="80" w:type="dxa"/>
              <w:end w:w="120" w:type="dxa"/>
            </w:tcMar>
          </w:tcPr>
          <w:p>
            <w:bookmarkStart w:id="112" w:name="REF_013"/>
            <w:r>
              <w:rPr>
                <w:sz w:val="13"/>
              </w:rPr>
              <w:t>REF-013</w:t>
            </w:r>
            <w:bookmarkEnd w:id="112"/>
          </w:p>
        </w:tc>
        <w:tc>
          <w:tcPr>
            <w:tcW w:type="dxa" w:w="3888"/>
            <w:tcMar>
              <w:top w:w="80" w:type="dxa"/>
              <w:start w:w="120" w:type="dxa"/>
              <w:bottom w:w="80" w:type="dxa"/>
              <w:end w:w="120" w:type="dxa"/>
            </w:tcMar>
          </w:tcPr>
          <w:p>
            <w:r>
              <w:rPr>
                <w:sz w:val="13"/>
              </w:rPr>
            </w:r>
            <w:hyperlink r:id="rId24">
              <w:r>
                <w:rPr>
                  <w:color w:val="0563C1"/>
                  <w:u w:val="single"/>
                </w:rPr>
                <w:t>Anthropic: Extend Claude Code feature overview</w:t>
              </w:r>
            </w:hyperlink>
          </w:p>
        </w:tc>
        <w:tc>
          <w:tcPr>
            <w:tcW w:type="dxa" w:w="4320"/>
            <w:tcMar>
              <w:top w:w="80" w:type="dxa"/>
              <w:start w:w="120" w:type="dxa"/>
              <w:bottom w:w="80" w:type="dxa"/>
              <w:end w:w="120" w:type="dxa"/>
            </w:tcMar>
          </w:tcPr>
          <w:p>
            <w:r>
              <w:rPr>
                <w:sz w:val="13"/>
              </w:rPr>
            </w:r>
            <w:hyperlink r:id="rId24">
              <w:r>
                <w:rPr>
                  <w:color w:val="0563C1"/>
                  <w:u w:val="single"/>
                </w:rPr>
                <w:t>Open official source</w:t>
              </w:r>
            </w:hyperlink>
          </w:p>
        </w:tc>
      </w:tr>
      <w:tr>
        <w:tc>
          <w:tcPr>
            <w:tcW w:type="dxa" w:w="1152"/>
            <w:tcMar>
              <w:top w:w="80" w:type="dxa"/>
              <w:start w:w="120" w:type="dxa"/>
              <w:bottom w:w="80" w:type="dxa"/>
              <w:end w:w="120" w:type="dxa"/>
            </w:tcMar>
          </w:tcPr>
          <w:p>
            <w:bookmarkStart w:id="113" w:name="REF_014"/>
            <w:r>
              <w:rPr>
                <w:sz w:val="13"/>
              </w:rPr>
              <w:t>REF-014</w:t>
            </w:r>
            <w:bookmarkEnd w:id="113"/>
          </w:p>
        </w:tc>
        <w:tc>
          <w:tcPr>
            <w:tcW w:type="dxa" w:w="3888"/>
            <w:tcMar>
              <w:top w:w="80" w:type="dxa"/>
              <w:start w:w="120" w:type="dxa"/>
              <w:bottom w:w="80" w:type="dxa"/>
              <w:end w:w="120" w:type="dxa"/>
            </w:tcMar>
          </w:tcPr>
          <w:p>
            <w:r>
              <w:rPr>
                <w:sz w:val="13"/>
              </w:rPr>
            </w:r>
            <w:hyperlink r:id="rId25">
              <w:r>
                <w:rPr>
                  <w:color w:val="0563C1"/>
                  <w:u w:val="single"/>
                </w:rPr>
                <w:t>OWASP Top 10 for LLM Applications</w:t>
              </w:r>
            </w:hyperlink>
          </w:p>
        </w:tc>
        <w:tc>
          <w:tcPr>
            <w:tcW w:type="dxa" w:w="4320"/>
            <w:tcMar>
              <w:top w:w="80" w:type="dxa"/>
              <w:start w:w="120" w:type="dxa"/>
              <w:bottom w:w="80" w:type="dxa"/>
              <w:end w:w="120" w:type="dxa"/>
            </w:tcMar>
          </w:tcPr>
          <w:p>
            <w:r>
              <w:rPr>
                <w:sz w:val="13"/>
              </w:rPr>
            </w:r>
            <w:hyperlink r:id="rId25">
              <w:r>
                <w:rPr>
                  <w:color w:val="0563C1"/>
                  <w:u w:val="single"/>
                </w:rPr>
                <w:t>Open official source</w:t>
              </w:r>
            </w:hyperlink>
          </w:p>
        </w:tc>
      </w:tr>
      <w:tr>
        <w:tc>
          <w:tcPr>
            <w:tcW w:type="dxa" w:w="1152"/>
            <w:tcMar>
              <w:top w:w="80" w:type="dxa"/>
              <w:start w:w="120" w:type="dxa"/>
              <w:bottom w:w="80" w:type="dxa"/>
              <w:end w:w="120" w:type="dxa"/>
            </w:tcMar>
          </w:tcPr>
          <w:p>
            <w:bookmarkStart w:id="114" w:name="REF_015"/>
            <w:r>
              <w:rPr>
                <w:sz w:val="13"/>
              </w:rPr>
              <w:t>REF-015</w:t>
            </w:r>
            <w:bookmarkEnd w:id="114"/>
          </w:p>
        </w:tc>
        <w:tc>
          <w:tcPr>
            <w:tcW w:type="dxa" w:w="3888"/>
            <w:tcMar>
              <w:top w:w="80" w:type="dxa"/>
              <w:start w:w="120" w:type="dxa"/>
              <w:bottom w:w="80" w:type="dxa"/>
              <w:end w:w="120" w:type="dxa"/>
            </w:tcMar>
          </w:tcPr>
          <w:p>
            <w:r>
              <w:rPr>
                <w:sz w:val="13"/>
              </w:rPr>
            </w:r>
            <w:hyperlink r:id="rId26">
              <w:r>
                <w:rPr>
                  <w:color w:val="0563C1"/>
                  <w:u w:val="single"/>
                </w:rPr>
                <w:t>OWASP Agentic AI threats and mitigations</w:t>
              </w:r>
            </w:hyperlink>
          </w:p>
        </w:tc>
        <w:tc>
          <w:tcPr>
            <w:tcW w:type="dxa" w:w="4320"/>
            <w:tcMar>
              <w:top w:w="80" w:type="dxa"/>
              <w:start w:w="120" w:type="dxa"/>
              <w:bottom w:w="80" w:type="dxa"/>
              <w:end w:w="120" w:type="dxa"/>
            </w:tcMar>
          </w:tcPr>
          <w:p>
            <w:r>
              <w:rPr>
                <w:sz w:val="13"/>
              </w:rPr>
            </w:r>
            <w:hyperlink r:id="rId26">
              <w:r>
                <w:rPr>
                  <w:color w:val="0563C1"/>
                  <w:u w:val="single"/>
                </w:rPr>
                <w:t>Open official source</w:t>
              </w:r>
            </w:hyperlink>
          </w:p>
        </w:tc>
      </w:tr>
      <w:tr>
        <w:tc>
          <w:tcPr>
            <w:tcW w:type="dxa" w:w="1152"/>
            <w:tcMar>
              <w:top w:w="80" w:type="dxa"/>
              <w:start w:w="120" w:type="dxa"/>
              <w:bottom w:w="80" w:type="dxa"/>
              <w:end w:w="120" w:type="dxa"/>
            </w:tcMar>
          </w:tcPr>
          <w:p>
            <w:bookmarkStart w:id="115" w:name="REF_016"/>
            <w:r>
              <w:rPr>
                <w:sz w:val="13"/>
              </w:rPr>
              <w:t>REF-016</w:t>
            </w:r>
            <w:bookmarkEnd w:id="115"/>
          </w:p>
        </w:tc>
        <w:tc>
          <w:tcPr>
            <w:tcW w:type="dxa" w:w="3888"/>
            <w:tcMar>
              <w:top w:w="80" w:type="dxa"/>
              <w:start w:w="120" w:type="dxa"/>
              <w:bottom w:w="80" w:type="dxa"/>
              <w:end w:w="120" w:type="dxa"/>
            </w:tcMar>
          </w:tcPr>
          <w:p>
            <w:r>
              <w:rPr>
                <w:sz w:val="13"/>
              </w:rPr>
            </w:r>
            <w:hyperlink r:id="rId27">
              <w:r>
                <w:rPr>
                  <w:color w:val="0563C1"/>
                  <w:u w:val="single"/>
                </w:rPr>
                <w:t>OWASP Application Security Verification Standard 5.0.0</w:t>
              </w:r>
            </w:hyperlink>
          </w:p>
        </w:tc>
        <w:tc>
          <w:tcPr>
            <w:tcW w:type="dxa" w:w="4320"/>
            <w:tcMar>
              <w:top w:w="80" w:type="dxa"/>
              <w:start w:w="120" w:type="dxa"/>
              <w:bottom w:w="80" w:type="dxa"/>
              <w:end w:w="120" w:type="dxa"/>
            </w:tcMar>
          </w:tcPr>
          <w:p>
            <w:r>
              <w:rPr>
                <w:sz w:val="13"/>
              </w:rPr>
            </w:r>
            <w:hyperlink r:id="rId27">
              <w:r>
                <w:rPr>
                  <w:color w:val="0563C1"/>
                  <w:u w:val="single"/>
                </w:rPr>
                <w:t>Open official source</w:t>
              </w:r>
            </w:hyperlink>
          </w:p>
        </w:tc>
      </w:tr>
      <w:tr>
        <w:tc>
          <w:tcPr>
            <w:tcW w:type="dxa" w:w="1152"/>
            <w:tcMar>
              <w:top w:w="80" w:type="dxa"/>
              <w:start w:w="120" w:type="dxa"/>
              <w:bottom w:w="80" w:type="dxa"/>
              <w:end w:w="120" w:type="dxa"/>
            </w:tcMar>
          </w:tcPr>
          <w:p>
            <w:bookmarkStart w:id="116" w:name="REF_017"/>
            <w:r>
              <w:rPr>
                <w:sz w:val="13"/>
              </w:rPr>
              <w:t>REF-017</w:t>
            </w:r>
            <w:bookmarkEnd w:id="116"/>
          </w:p>
        </w:tc>
        <w:tc>
          <w:tcPr>
            <w:tcW w:type="dxa" w:w="3888"/>
            <w:tcMar>
              <w:top w:w="80" w:type="dxa"/>
              <w:start w:w="120" w:type="dxa"/>
              <w:bottom w:w="80" w:type="dxa"/>
              <w:end w:w="120" w:type="dxa"/>
            </w:tcMar>
          </w:tcPr>
          <w:p>
            <w:r>
              <w:rPr>
                <w:sz w:val="13"/>
              </w:rPr>
            </w:r>
            <w:hyperlink r:id="rId28">
              <w:r>
                <w:rPr>
                  <w:color w:val="0563C1"/>
                  <w:u w:val="single"/>
                </w:rPr>
                <w:t>MITRE ATLAS</w:t>
              </w:r>
            </w:hyperlink>
          </w:p>
        </w:tc>
        <w:tc>
          <w:tcPr>
            <w:tcW w:type="dxa" w:w="4320"/>
            <w:tcMar>
              <w:top w:w="80" w:type="dxa"/>
              <w:start w:w="120" w:type="dxa"/>
              <w:bottom w:w="80" w:type="dxa"/>
              <w:end w:w="120" w:type="dxa"/>
            </w:tcMar>
          </w:tcPr>
          <w:p>
            <w:r>
              <w:rPr>
                <w:sz w:val="13"/>
              </w:rPr>
            </w:r>
            <w:hyperlink r:id="rId28">
              <w:r>
                <w:rPr>
                  <w:color w:val="0563C1"/>
                  <w:u w:val="single"/>
                </w:rPr>
                <w:t>Open official source</w:t>
              </w:r>
            </w:hyperlink>
          </w:p>
        </w:tc>
      </w:tr>
      <w:tr>
        <w:tc>
          <w:tcPr>
            <w:tcW w:type="dxa" w:w="1152"/>
            <w:tcMar>
              <w:top w:w="80" w:type="dxa"/>
              <w:start w:w="120" w:type="dxa"/>
              <w:bottom w:w="80" w:type="dxa"/>
              <w:end w:w="120" w:type="dxa"/>
            </w:tcMar>
          </w:tcPr>
          <w:p>
            <w:bookmarkStart w:id="117" w:name="REF_018"/>
            <w:r>
              <w:rPr>
                <w:sz w:val="13"/>
              </w:rPr>
              <w:t>REF-018</w:t>
            </w:r>
            <w:bookmarkEnd w:id="117"/>
          </w:p>
        </w:tc>
        <w:tc>
          <w:tcPr>
            <w:tcW w:type="dxa" w:w="3888"/>
            <w:tcMar>
              <w:top w:w="80" w:type="dxa"/>
              <w:start w:w="120" w:type="dxa"/>
              <w:bottom w:w="80" w:type="dxa"/>
              <w:end w:w="120" w:type="dxa"/>
            </w:tcMar>
          </w:tcPr>
          <w:p>
            <w:r>
              <w:rPr>
                <w:sz w:val="13"/>
              </w:rPr>
            </w:r>
            <w:hyperlink r:id="rId29">
              <w:r>
                <w:rPr>
                  <w:color w:val="0563C1"/>
                  <w:u w:val="single"/>
                </w:rPr>
                <w:t>NIST AI Risk Management Framework 1.0</w:t>
              </w:r>
            </w:hyperlink>
          </w:p>
        </w:tc>
        <w:tc>
          <w:tcPr>
            <w:tcW w:type="dxa" w:w="4320"/>
            <w:tcMar>
              <w:top w:w="80" w:type="dxa"/>
              <w:start w:w="120" w:type="dxa"/>
              <w:bottom w:w="80" w:type="dxa"/>
              <w:end w:w="120" w:type="dxa"/>
            </w:tcMar>
          </w:tcPr>
          <w:p>
            <w:r>
              <w:rPr>
                <w:sz w:val="13"/>
              </w:rPr>
            </w:r>
            <w:hyperlink r:id="rId29">
              <w:r>
                <w:rPr>
                  <w:color w:val="0563C1"/>
                  <w:u w:val="single"/>
                </w:rPr>
                <w:t>Open official source</w:t>
              </w:r>
            </w:hyperlink>
          </w:p>
        </w:tc>
      </w:tr>
      <w:tr>
        <w:tc>
          <w:tcPr>
            <w:tcW w:type="dxa" w:w="1152"/>
            <w:tcMar>
              <w:top w:w="80" w:type="dxa"/>
              <w:start w:w="120" w:type="dxa"/>
              <w:bottom w:w="80" w:type="dxa"/>
              <w:end w:w="120" w:type="dxa"/>
            </w:tcMar>
          </w:tcPr>
          <w:p>
            <w:bookmarkStart w:id="118" w:name="REF_019"/>
            <w:r>
              <w:rPr>
                <w:sz w:val="13"/>
              </w:rPr>
              <w:t>REF-019</w:t>
            </w:r>
            <w:bookmarkEnd w:id="118"/>
          </w:p>
        </w:tc>
        <w:tc>
          <w:tcPr>
            <w:tcW w:type="dxa" w:w="3888"/>
            <w:tcMar>
              <w:top w:w="80" w:type="dxa"/>
              <w:start w:w="120" w:type="dxa"/>
              <w:bottom w:w="80" w:type="dxa"/>
              <w:end w:w="120" w:type="dxa"/>
            </w:tcMar>
          </w:tcPr>
          <w:p>
            <w:r>
              <w:rPr>
                <w:sz w:val="13"/>
              </w:rPr>
            </w:r>
            <w:hyperlink r:id="rId30">
              <w:r>
                <w:rPr>
                  <w:color w:val="0563C1"/>
                  <w:u w:val="single"/>
                </w:rPr>
                <w:t>NIST AI 600-1 Generative AI Profile</w:t>
              </w:r>
            </w:hyperlink>
          </w:p>
        </w:tc>
        <w:tc>
          <w:tcPr>
            <w:tcW w:type="dxa" w:w="4320"/>
            <w:tcMar>
              <w:top w:w="80" w:type="dxa"/>
              <w:start w:w="120" w:type="dxa"/>
              <w:bottom w:w="80" w:type="dxa"/>
              <w:end w:w="120" w:type="dxa"/>
            </w:tcMar>
          </w:tcPr>
          <w:p>
            <w:r>
              <w:rPr>
                <w:sz w:val="13"/>
              </w:rPr>
            </w:r>
            <w:hyperlink r:id="rId30">
              <w:r>
                <w:rPr>
                  <w:color w:val="0563C1"/>
                  <w:u w:val="single"/>
                </w:rPr>
                <w:t>Open official source</w:t>
              </w:r>
            </w:hyperlink>
          </w:p>
        </w:tc>
      </w:tr>
      <w:tr>
        <w:tc>
          <w:tcPr>
            <w:tcW w:type="dxa" w:w="1152"/>
            <w:tcMar>
              <w:top w:w="80" w:type="dxa"/>
              <w:start w:w="120" w:type="dxa"/>
              <w:bottom w:w="80" w:type="dxa"/>
              <w:end w:w="120" w:type="dxa"/>
            </w:tcMar>
          </w:tcPr>
          <w:p>
            <w:bookmarkStart w:id="119" w:name="REF_020"/>
            <w:r>
              <w:rPr>
                <w:sz w:val="13"/>
              </w:rPr>
              <w:t>REF-020</w:t>
            </w:r>
            <w:bookmarkEnd w:id="119"/>
          </w:p>
        </w:tc>
        <w:tc>
          <w:tcPr>
            <w:tcW w:type="dxa" w:w="3888"/>
            <w:tcMar>
              <w:top w:w="80" w:type="dxa"/>
              <w:start w:w="120" w:type="dxa"/>
              <w:bottom w:w="80" w:type="dxa"/>
              <w:end w:w="120" w:type="dxa"/>
            </w:tcMar>
          </w:tcPr>
          <w:p>
            <w:r>
              <w:rPr>
                <w:sz w:val="13"/>
              </w:rPr>
            </w:r>
            <w:hyperlink r:id="rId31">
              <w:r>
                <w:rPr>
                  <w:color w:val="0563C1"/>
                  <w:u w:val="single"/>
                </w:rPr>
                <w:t>NCSC Guidelines for Secure AI System Development</w:t>
              </w:r>
            </w:hyperlink>
          </w:p>
        </w:tc>
        <w:tc>
          <w:tcPr>
            <w:tcW w:type="dxa" w:w="4320"/>
            <w:tcMar>
              <w:top w:w="80" w:type="dxa"/>
              <w:start w:w="120" w:type="dxa"/>
              <w:bottom w:w="80" w:type="dxa"/>
              <w:end w:w="120" w:type="dxa"/>
            </w:tcMar>
          </w:tcPr>
          <w:p>
            <w:r>
              <w:rPr>
                <w:sz w:val="13"/>
              </w:rPr>
            </w:r>
            <w:hyperlink r:id="rId31">
              <w:r>
                <w:rPr>
                  <w:color w:val="0563C1"/>
                  <w:u w:val="single"/>
                </w:rPr>
                <w:t>Open official source</w:t>
              </w:r>
            </w:hyperlink>
          </w:p>
        </w:tc>
      </w:tr>
      <w:tr>
        <w:tc>
          <w:tcPr>
            <w:tcW w:type="dxa" w:w="1152"/>
            <w:tcMar>
              <w:top w:w="80" w:type="dxa"/>
              <w:start w:w="120" w:type="dxa"/>
              <w:bottom w:w="80" w:type="dxa"/>
              <w:end w:w="120" w:type="dxa"/>
            </w:tcMar>
          </w:tcPr>
          <w:p>
            <w:bookmarkStart w:id="120" w:name="REF_021"/>
            <w:r>
              <w:rPr>
                <w:sz w:val="13"/>
              </w:rPr>
              <w:t>REF-021</w:t>
            </w:r>
            <w:bookmarkEnd w:id="120"/>
          </w:p>
        </w:tc>
        <w:tc>
          <w:tcPr>
            <w:tcW w:type="dxa" w:w="3888"/>
            <w:tcMar>
              <w:top w:w="80" w:type="dxa"/>
              <w:start w:w="120" w:type="dxa"/>
              <w:bottom w:w="80" w:type="dxa"/>
              <w:end w:w="120" w:type="dxa"/>
            </w:tcMar>
          </w:tcPr>
          <w:p>
            <w:r>
              <w:rPr>
                <w:sz w:val="13"/>
              </w:rPr>
            </w:r>
            <w:hyperlink r:id="rId32">
              <w:r>
                <w:rPr>
                  <w:color w:val="0563C1"/>
                  <w:u w:val="single"/>
                </w:rPr>
                <w:t>CIS Critical Security Controls v8.1</w:t>
              </w:r>
            </w:hyperlink>
          </w:p>
        </w:tc>
        <w:tc>
          <w:tcPr>
            <w:tcW w:type="dxa" w:w="4320"/>
            <w:tcMar>
              <w:top w:w="80" w:type="dxa"/>
              <w:start w:w="120" w:type="dxa"/>
              <w:bottom w:w="80" w:type="dxa"/>
              <w:end w:w="120" w:type="dxa"/>
            </w:tcMar>
          </w:tcPr>
          <w:p>
            <w:r>
              <w:rPr>
                <w:sz w:val="13"/>
              </w:rPr>
            </w:r>
            <w:hyperlink r:id="rId32">
              <w:r>
                <w:rPr>
                  <w:color w:val="0563C1"/>
                  <w:u w:val="single"/>
                </w:rPr>
                <w:t>Open official source</w:t>
              </w:r>
            </w:hyperlink>
          </w:p>
        </w:tc>
      </w:tr>
      <w:tr>
        <w:tc>
          <w:tcPr>
            <w:tcW w:type="dxa" w:w="1152"/>
            <w:tcMar>
              <w:top w:w="80" w:type="dxa"/>
              <w:start w:w="120" w:type="dxa"/>
              <w:bottom w:w="80" w:type="dxa"/>
              <w:end w:w="120" w:type="dxa"/>
            </w:tcMar>
          </w:tcPr>
          <w:p>
            <w:bookmarkStart w:id="121" w:name="REF_022"/>
            <w:r>
              <w:rPr>
                <w:sz w:val="13"/>
              </w:rPr>
              <w:t>REF-022</w:t>
            </w:r>
            <w:bookmarkEnd w:id="121"/>
          </w:p>
        </w:tc>
        <w:tc>
          <w:tcPr>
            <w:tcW w:type="dxa" w:w="3888"/>
            <w:tcMar>
              <w:top w:w="80" w:type="dxa"/>
              <w:start w:w="120" w:type="dxa"/>
              <w:bottom w:w="80" w:type="dxa"/>
              <w:end w:w="120" w:type="dxa"/>
            </w:tcMar>
          </w:tcPr>
          <w:p>
            <w:r>
              <w:rPr>
                <w:sz w:val="13"/>
              </w:rPr>
            </w:r>
            <w:hyperlink r:id="rId33">
              <w:r>
                <w:rPr>
                  <w:color w:val="0563C1"/>
                  <w:u w:val="single"/>
                </w:rPr>
                <w:t>ICO guidance on AI and data protection</w:t>
              </w:r>
            </w:hyperlink>
          </w:p>
        </w:tc>
        <w:tc>
          <w:tcPr>
            <w:tcW w:type="dxa" w:w="4320"/>
            <w:tcMar>
              <w:top w:w="80" w:type="dxa"/>
              <w:start w:w="120" w:type="dxa"/>
              <w:bottom w:w="80" w:type="dxa"/>
              <w:end w:w="120" w:type="dxa"/>
            </w:tcMar>
          </w:tcPr>
          <w:p>
            <w:r>
              <w:rPr>
                <w:sz w:val="13"/>
              </w:rPr>
            </w:r>
            <w:hyperlink r:id="rId33">
              <w:r>
                <w:rPr>
                  <w:color w:val="0563C1"/>
                  <w:u w:val="single"/>
                </w:rPr>
                <w:t>Open official source</w:t>
              </w:r>
            </w:hyperlink>
          </w:p>
        </w:tc>
      </w:tr>
      <w:tr>
        <w:tc>
          <w:tcPr>
            <w:tcW w:type="dxa" w:w="1152"/>
            <w:tcMar>
              <w:top w:w="80" w:type="dxa"/>
              <w:start w:w="120" w:type="dxa"/>
              <w:bottom w:w="80" w:type="dxa"/>
              <w:end w:w="120" w:type="dxa"/>
            </w:tcMar>
          </w:tcPr>
          <w:p>
            <w:bookmarkStart w:id="122" w:name="REF_023"/>
            <w:r>
              <w:rPr>
                <w:sz w:val="13"/>
              </w:rPr>
              <w:t>REF-023</w:t>
            </w:r>
            <w:bookmarkEnd w:id="122"/>
          </w:p>
        </w:tc>
        <w:tc>
          <w:tcPr>
            <w:tcW w:type="dxa" w:w="3888"/>
            <w:tcMar>
              <w:top w:w="80" w:type="dxa"/>
              <w:start w:w="120" w:type="dxa"/>
              <w:bottom w:w="80" w:type="dxa"/>
              <w:end w:w="120" w:type="dxa"/>
            </w:tcMar>
          </w:tcPr>
          <w:p>
            <w:r>
              <w:rPr>
                <w:sz w:val="13"/>
              </w:rPr>
            </w:r>
            <w:hyperlink r:id="rId34">
              <w:r>
                <w:rPr>
                  <w:color w:val="0563C1"/>
                  <w:u w:val="single"/>
                </w:rPr>
                <w:t>FCA operational resilience</w:t>
              </w:r>
            </w:hyperlink>
          </w:p>
        </w:tc>
        <w:tc>
          <w:tcPr>
            <w:tcW w:type="dxa" w:w="4320"/>
            <w:tcMar>
              <w:top w:w="80" w:type="dxa"/>
              <w:start w:w="120" w:type="dxa"/>
              <w:bottom w:w="80" w:type="dxa"/>
              <w:end w:w="120" w:type="dxa"/>
            </w:tcMar>
          </w:tcPr>
          <w:p>
            <w:r>
              <w:rPr>
                <w:sz w:val="13"/>
              </w:rPr>
            </w:r>
            <w:hyperlink r:id="rId34">
              <w:r>
                <w:rPr>
                  <w:color w:val="0563C1"/>
                  <w:u w:val="single"/>
                </w:rPr>
                <w:t>Open official source</w:t>
              </w:r>
            </w:hyperlink>
          </w:p>
        </w:tc>
      </w:tr>
      <w:tr>
        <w:tc>
          <w:tcPr>
            <w:tcW w:type="dxa" w:w="1152"/>
            <w:tcMar>
              <w:top w:w="80" w:type="dxa"/>
              <w:start w:w="120" w:type="dxa"/>
              <w:bottom w:w="80" w:type="dxa"/>
              <w:end w:w="120" w:type="dxa"/>
            </w:tcMar>
          </w:tcPr>
          <w:p>
            <w:bookmarkStart w:id="123" w:name="REF_024"/>
            <w:r>
              <w:rPr>
                <w:sz w:val="13"/>
              </w:rPr>
              <w:t>REF-024</w:t>
            </w:r>
            <w:bookmarkEnd w:id="123"/>
          </w:p>
        </w:tc>
        <w:tc>
          <w:tcPr>
            <w:tcW w:type="dxa" w:w="3888"/>
            <w:tcMar>
              <w:top w:w="80" w:type="dxa"/>
              <w:start w:w="120" w:type="dxa"/>
              <w:bottom w:w="80" w:type="dxa"/>
              <w:end w:w="120" w:type="dxa"/>
            </w:tcMar>
          </w:tcPr>
          <w:p>
            <w:r>
              <w:rPr>
                <w:sz w:val="13"/>
              </w:rPr>
            </w:r>
            <w:hyperlink r:id="rId35">
              <w:r>
                <w:rPr>
                  <w:color w:val="0563C1"/>
                  <w:u w:val="single"/>
                </w:rPr>
                <w:t>PRA SS2/21 outsourcing and third-party risk management</w:t>
              </w:r>
            </w:hyperlink>
          </w:p>
        </w:tc>
        <w:tc>
          <w:tcPr>
            <w:tcW w:type="dxa" w:w="4320"/>
            <w:tcMar>
              <w:top w:w="80" w:type="dxa"/>
              <w:start w:w="120" w:type="dxa"/>
              <w:bottom w:w="80" w:type="dxa"/>
              <w:end w:w="120" w:type="dxa"/>
            </w:tcMar>
          </w:tcPr>
          <w:p>
            <w:r>
              <w:rPr>
                <w:sz w:val="13"/>
              </w:rPr>
            </w:r>
            <w:hyperlink r:id="rId35">
              <w:r>
                <w:rPr>
                  <w:color w:val="0563C1"/>
                  <w:u w:val="single"/>
                </w:rPr>
                <w:t>Open official source</w:t>
              </w:r>
            </w:hyperlink>
          </w:p>
        </w:tc>
      </w:tr>
      <w:tr>
        <w:tc>
          <w:tcPr>
            <w:tcW w:type="dxa" w:w="1152"/>
            <w:tcMar>
              <w:top w:w="80" w:type="dxa"/>
              <w:start w:w="120" w:type="dxa"/>
              <w:bottom w:w="80" w:type="dxa"/>
              <w:end w:w="120" w:type="dxa"/>
            </w:tcMar>
          </w:tcPr>
          <w:p>
            <w:bookmarkStart w:id="124" w:name="REF_025"/>
            <w:r>
              <w:rPr>
                <w:sz w:val="13"/>
              </w:rPr>
              <w:t>REF-025</w:t>
            </w:r>
            <w:bookmarkEnd w:id="124"/>
          </w:p>
        </w:tc>
        <w:tc>
          <w:tcPr>
            <w:tcW w:type="dxa" w:w="3888"/>
            <w:tcMar>
              <w:top w:w="80" w:type="dxa"/>
              <w:start w:w="120" w:type="dxa"/>
              <w:bottom w:w="80" w:type="dxa"/>
              <w:end w:w="120" w:type="dxa"/>
            </w:tcMar>
          </w:tcPr>
          <w:p>
            <w:r>
              <w:rPr>
                <w:sz w:val="13"/>
              </w:rPr>
            </w:r>
            <w:hyperlink r:id="rId36">
              <w:r>
                <w:rPr>
                  <w:color w:val="0563C1"/>
                  <w:u w:val="single"/>
                </w:rPr>
                <w:t>Data Protection Act 2018</w:t>
              </w:r>
            </w:hyperlink>
          </w:p>
        </w:tc>
        <w:tc>
          <w:tcPr>
            <w:tcW w:type="dxa" w:w="4320"/>
            <w:tcMar>
              <w:top w:w="80" w:type="dxa"/>
              <w:start w:w="120" w:type="dxa"/>
              <w:bottom w:w="80" w:type="dxa"/>
              <w:end w:w="120" w:type="dxa"/>
            </w:tcMar>
          </w:tcPr>
          <w:p>
            <w:r>
              <w:rPr>
                <w:sz w:val="13"/>
              </w:rPr>
            </w:r>
            <w:hyperlink r:id="rId36">
              <w:r>
                <w:rPr>
                  <w:color w:val="0563C1"/>
                  <w:u w:val="single"/>
                </w:rPr>
                <w:t>Open official source</w:t>
              </w:r>
            </w:hyperlink>
          </w:p>
        </w:tc>
      </w:tr>
      <w:tr>
        <w:tc>
          <w:tcPr>
            <w:tcW w:type="dxa" w:w="1152"/>
            <w:tcMar>
              <w:top w:w="80" w:type="dxa"/>
              <w:start w:w="120" w:type="dxa"/>
              <w:bottom w:w="80" w:type="dxa"/>
              <w:end w:w="120" w:type="dxa"/>
            </w:tcMar>
          </w:tcPr>
          <w:p>
            <w:bookmarkStart w:id="125" w:name="REF_026"/>
            <w:r>
              <w:rPr>
                <w:sz w:val="13"/>
              </w:rPr>
              <w:t>REF-026</w:t>
            </w:r>
            <w:bookmarkEnd w:id="125"/>
          </w:p>
        </w:tc>
        <w:tc>
          <w:tcPr>
            <w:tcW w:type="dxa" w:w="3888"/>
            <w:tcMar>
              <w:top w:w="80" w:type="dxa"/>
              <w:start w:w="120" w:type="dxa"/>
              <w:bottom w:w="80" w:type="dxa"/>
              <w:end w:w="120" w:type="dxa"/>
            </w:tcMar>
          </w:tcPr>
          <w:p>
            <w:r>
              <w:rPr>
                <w:sz w:val="13"/>
              </w:rPr>
            </w:r>
            <w:hyperlink r:id="rId37">
              <w:r>
                <w:rPr>
                  <w:color w:val="0563C1"/>
                  <w:u w:val="single"/>
                </w:rPr>
                <w:t>Model Context Protocol specification</w:t>
              </w:r>
            </w:hyperlink>
          </w:p>
        </w:tc>
        <w:tc>
          <w:tcPr>
            <w:tcW w:type="dxa" w:w="4320"/>
            <w:tcMar>
              <w:top w:w="80" w:type="dxa"/>
              <w:start w:w="120" w:type="dxa"/>
              <w:bottom w:w="80" w:type="dxa"/>
              <w:end w:w="120" w:type="dxa"/>
            </w:tcMar>
          </w:tcPr>
          <w:p>
            <w:r>
              <w:rPr>
                <w:sz w:val="13"/>
              </w:rPr>
            </w:r>
            <w:hyperlink r:id="rId37">
              <w:r>
                <w:rPr>
                  <w:color w:val="0563C1"/>
                  <w:u w:val="single"/>
                </w:rPr>
                <w:t>Open official source</w:t>
              </w:r>
            </w:hyperlink>
          </w:p>
        </w:tc>
      </w:tr>
    </w:tbl>
    <w:p>
      <w:pPr>
        <w:pStyle w:val="Heading1"/>
      </w:pPr>
      <w:r>
        <w:t>Appendix A - SBOM-Style File Inventory</w:t>
      </w:r>
    </w:p>
    <w:p>
      <w:r>
        <w:t>This is a file-level inventory, not a vendor-attested component SBOM. The complete 29-file hash inventory is retained in `vsix-inventory.json`.</w:t>
      </w:r>
    </w:p>
    <w:tbl>
      <w:tblPr>
        <w:tblStyle w:val="TableGrid"/>
        <w:tblW w:type="auto" w:w="0"/>
        <w:jc w:val="center"/>
        <w:tblLayout w:type="fixed"/>
        <w:tblLook w:firstColumn="1" w:firstRow="1" w:lastColumn="0" w:lastRow="0" w:noHBand="0" w:noVBand="1" w:val="04A0"/>
      </w:tblPr>
      <w:tblGrid>
        <w:gridCol w:w="4320"/>
        <w:gridCol w:w="1152"/>
        <w:gridCol w:w="2304"/>
        <w:gridCol w:w="1584"/>
      </w:tblGrid>
      <w:tr>
        <w:trPr>
          <w:tblHeader/>
        </w:trPr>
        <w:tc>
          <w:tcPr>
            <w:tcW w:type="dxa" w:w="4320"/>
            <w:shd w:fill="17365D"/>
            <w:tcMar>
              <w:top w:w="80" w:type="dxa"/>
              <w:start w:w="120" w:type="dxa"/>
              <w:bottom w:w="80" w:type="dxa"/>
              <w:end w:w="120" w:type="dxa"/>
            </w:tcMar>
            <w:vAlign w:val="center"/>
          </w:tcPr>
          <w:p>
            <w:r>
              <w:rPr>
                <w:b/>
                <w:color w:val="FFFFFF"/>
                <w:sz w:val="12"/>
              </w:rPr>
              <w:t>Path</w:t>
            </w:r>
          </w:p>
        </w:tc>
        <w:tc>
          <w:tcPr>
            <w:tcW w:type="dxa" w:w="1152"/>
            <w:shd w:fill="17365D"/>
            <w:tcMar>
              <w:top w:w="80" w:type="dxa"/>
              <w:start w:w="120" w:type="dxa"/>
              <w:bottom w:w="80" w:type="dxa"/>
              <w:end w:w="120" w:type="dxa"/>
            </w:tcMar>
            <w:vAlign w:val="center"/>
          </w:tcPr>
          <w:p>
            <w:r>
              <w:rPr>
                <w:b/>
                <w:color w:val="FFFFFF"/>
                <w:sz w:val="12"/>
              </w:rPr>
              <w:t>Bytes</w:t>
            </w:r>
          </w:p>
        </w:tc>
        <w:tc>
          <w:tcPr>
            <w:tcW w:type="dxa" w:w="2304"/>
            <w:shd w:fill="17365D"/>
            <w:tcMar>
              <w:top w:w="80" w:type="dxa"/>
              <w:start w:w="120" w:type="dxa"/>
              <w:bottom w:w="80" w:type="dxa"/>
              <w:end w:w="120" w:type="dxa"/>
            </w:tcMar>
            <w:vAlign w:val="center"/>
          </w:tcPr>
          <w:p>
            <w:r>
              <w:rPr>
                <w:b/>
                <w:color w:val="FFFFFF"/>
                <w:sz w:val="12"/>
              </w:rPr>
              <w:t>SHA-256 prefix</w:t>
            </w:r>
          </w:p>
        </w:tc>
        <w:tc>
          <w:tcPr>
            <w:tcW w:type="dxa" w:w="1584"/>
            <w:shd w:fill="17365D"/>
            <w:tcMar>
              <w:top w:w="80" w:type="dxa"/>
              <w:start w:w="120" w:type="dxa"/>
              <w:bottom w:w="80" w:type="dxa"/>
              <w:end w:w="120" w:type="dxa"/>
            </w:tcMar>
            <w:vAlign w:val="center"/>
          </w:tcPr>
          <w:p>
            <w:r>
              <w:rPr>
                <w:b/>
                <w:color w:val="FFFFFF"/>
                <w:sz w:val="12"/>
              </w:rPr>
              <w:t>State</w:t>
            </w:r>
          </w:p>
        </w:tc>
      </w:tr>
      <w:tr>
        <w:trPr>
          <w:cantSplit/>
        </w:trPr>
        <w:tc>
          <w:tcPr>
            <w:tcW w:type="dxa" w:w="4320"/>
            <w:tcMar>
              <w:top w:w="80" w:type="dxa"/>
              <w:start w:w="120" w:type="dxa"/>
              <w:bottom w:w="80" w:type="dxa"/>
              <w:end w:w="120" w:type="dxa"/>
            </w:tcMar>
            <w:vAlign w:val="center"/>
          </w:tcPr>
          <w:p>
            <w:pPr>
              <w:spacing w:after="30"/>
            </w:pPr>
            <w:r>
              <w:rPr>
                <w:sz w:val="12"/>
              </w:rPr>
              <w:t>extension/claude-code-settings.schema.json</w:t>
            </w:r>
          </w:p>
        </w:tc>
        <w:tc>
          <w:tcPr>
            <w:tcW w:type="dxa" w:w="1152"/>
            <w:tcMar>
              <w:top w:w="80" w:type="dxa"/>
              <w:start w:w="120" w:type="dxa"/>
              <w:bottom w:w="80" w:type="dxa"/>
              <w:end w:w="120" w:type="dxa"/>
            </w:tcMar>
            <w:vAlign w:val="center"/>
          </w:tcPr>
          <w:p>
            <w:pPr>
              <w:spacing w:after="30"/>
            </w:pPr>
            <w:r>
              <w:rPr>
                <w:sz w:val="12"/>
              </w:rPr>
              <w:t>133239</w:t>
            </w:r>
          </w:p>
        </w:tc>
        <w:tc>
          <w:tcPr>
            <w:tcW w:type="dxa" w:w="2304"/>
            <w:tcMar>
              <w:top w:w="80" w:type="dxa"/>
              <w:start w:w="120" w:type="dxa"/>
              <w:bottom w:w="80" w:type="dxa"/>
              <w:end w:w="120" w:type="dxa"/>
            </w:tcMar>
            <w:vAlign w:val="center"/>
          </w:tcPr>
          <w:p>
            <w:pPr>
              <w:spacing w:after="30"/>
            </w:pPr>
            <w:r>
              <w:rPr>
                <w:sz w:val="12"/>
              </w:rPr>
              <w:t>4015caace8147ca0...</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extension/extension.js</w:t>
            </w:r>
          </w:p>
        </w:tc>
        <w:tc>
          <w:tcPr>
            <w:tcW w:type="dxa" w:w="1152"/>
            <w:tcMar>
              <w:top w:w="80" w:type="dxa"/>
              <w:start w:w="120" w:type="dxa"/>
              <w:bottom w:w="80" w:type="dxa"/>
              <w:end w:w="120" w:type="dxa"/>
            </w:tcMar>
            <w:vAlign w:val="center"/>
            <w:shd w:fill="F3F6F8"/>
          </w:tcPr>
          <w:p>
            <w:pPr>
              <w:spacing w:after="30"/>
            </w:pPr>
            <w:r>
              <w:rPr>
                <w:sz w:val="12"/>
              </w:rPr>
              <w:t>2650012</w:t>
            </w:r>
          </w:p>
        </w:tc>
        <w:tc>
          <w:tcPr>
            <w:tcW w:type="dxa" w:w="2304"/>
            <w:tcMar>
              <w:top w:w="80" w:type="dxa"/>
              <w:start w:w="120" w:type="dxa"/>
              <w:bottom w:w="80" w:type="dxa"/>
              <w:end w:w="120" w:type="dxa"/>
            </w:tcMar>
            <w:vAlign w:val="center"/>
            <w:shd w:fill="F3F6F8"/>
          </w:tcPr>
          <w:p>
            <w:pPr>
              <w:spacing w:after="30"/>
            </w:pPr>
            <w:r>
              <w:rPr>
                <w:sz w:val="12"/>
              </w:rPr>
              <w:t>fa21620fa84e4399...</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extension/package.json</w:t>
            </w:r>
          </w:p>
        </w:tc>
        <w:tc>
          <w:tcPr>
            <w:tcW w:type="dxa" w:w="1152"/>
            <w:tcMar>
              <w:top w:w="80" w:type="dxa"/>
              <w:start w:w="120" w:type="dxa"/>
              <w:bottom w:w="80" w:type="dxa"/>
              <w:end w:w="120" w:type="dxa"/>
            </w:tcMar>
            <w:vAlign w:val="center"/>
          </w:tcPr>
          <w:p>
            <w:pPr>
              <w:spacing w:after="30"/>
            </w:pPr>
            <w:r>
              <w:rPr>
                <w:sz w:val="12"/>
              </w:rPr>
              <w:t>16707</w:t>
            </w:r>
          </w:p>
        </w:tc>
        <w:tc>
          <w:tcPr>
            <w:tcW w:type="dxa" w:w="2304"/>
            <w:tcMar>
              <w:top w:w="80" w:type="dxa"/>
              <w:start w:w="120" w:type="dxa"/>
              <w:bottom w:w="80" w:type="dxa"/>
              <w:end w:w="120" w:type="dxa"/>
            </w:tcMar>
            <w:vAlign w:val="center"/>
          </w:tcPr>
          <w:p>
            <w:pPr>
              <w:spacing w:after="30"/>
            </w:pPr>
            <w:r>
              <w:rPr>
                <w:sz w:val="12"/>
              </w:rPr>
              <w:t>72b3761b7615ce4e...</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extension/resources/AcceptMode.jpg</w:t>
            </w:r>
          </w:p>
        </w:tc>
        <w:tc>
          <w:tcPr>
            <w:tcW w:type="dxa" w:w="1152"/>
            <w:tcMar>
              <w:top w:w="80" w:type="dxa"/>
              <w:start w:w="120" w:type="dxa"/>
              <w:bottom w:w="80" w:type="dxa"/>
              <w:end w:w="120" w:type="dxa"/>
            </w:tcMar>
            <w:vAlign w:val="center"/>
            <w:shd w:fill="F3F6F8"/>
          </w:tcPr>
          <w:p>
            <w:pPr>
              <w:spacing w:after="30"/>
            </w:pPr>
            <w:r>
              <w:rPr>
                <w:sz w:val="12"/>
              </w:rPr>
              <w:t>136014</w:t>
            </w:r>
          </w:p>
        </w:tc>
        <w:tc>
          <w:tcPr>
            <w:tcW w:type="dxa" w:w="2304"/>
            <w:tcMar>
              <w:top w:w="80" w:type="dxa"/>
              <w:start w:w="120" w:type="dxa"/>
              <w:bottom w:w="80" w:type="dxa"/>
              <w:end w:w="120" w:type="dxa"/>
            </w:tcMar>
            <w:vAlign w:val="center"/>
            <w:shd w:fill="F3F6F8"/>
          </w:tcPr>
          <w:p>
            <w:pPr>
              <w:spacing w:after="30"/>
            </w:pPr>
            <w:r>
              <w:rPr>
                <w:sz w:val="12"/>
              </w:rPr>
              <w:t>a0743d51d1aeddb8...</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extension/resources/HighlightText.jpg</w:t>
            </w:r>
          </w:p>
        </w:tc>
        <w:tc>
          <w:tcPr>
            <w:tcW w:type="dxa" w:w="1152"/>
            <w:tcMar>
              <w:top w:w="80" w:type="dxa"/>
              <w:start w:w="120" w:type="dxa"/>
              <w:bottom w:w="80" w:type="dxa"/>
              <w:end w:w="120" w:type="dxa"/>
            </w:tcMar>
            <w:vAlign w:val="center"/>
          </w:tcPr>
          <w:p>
            <w:pPr>
              <w:spacing w:after="30"/>
            </w:pPr>
            <w:r>
              <w:rPr>
                <w:sz w:val="12"/>
              </w:rPr>
              <w:t>218828</w:t>
            </w:r>
          </w:p>
        </w:tc>
        <w:tc>
          <w:tcPr>
            <w:tcW w:type="dxa" w:w="2304"/>
            <w:tcMar>
              <w:top w:w="80" w:type="dxa"/>
              <w:start w:w="120" w:type="dxa"/>
              <w:bottom w:w="80" w:type="dxa"/>
              <w:end w:w="120" w:type="dxa"/>
            </w:tcMar>
            <w:vAlign w:val="center"/>
          </w:tcPr>
          <w:p>
            <w:pPr>
              <w:spacing w:after="30"/>
            </w:pPr>
            <w:r>
              <w:rPr>
                <w:sz w:val="12"/>
              </w:rPr>
              <w:t>ff2d8dcad131cc48...</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extension/resources/PlanMode.jpg</w:t>
            </w:r>
          </w:p>
        </w:tc>
        <w:tc>
          <w:tcPr>
            <w:tcW w:type="dxa" w:w="1152"/>
            <w:tcMar>
              <w:top w:w="80" w:type="dxa"/>
              <w:start w:w="120" w:type="dxa"/>
              <w:bottom w:w="80" w:type="dxa"/>
              <w:end w:w="120" w:type="dxa"/>
            </w:tcMar>
            <w:vAlign w:val="center"/>
            <w:shd w:fill="F3F6F8"/>
          </w:tcPr>
          <w:p>
            <w:pPr>
              <w:spacing w:after="30"/>
            </w:pPr>
            <w:r>
              <w:rPr>
                <w:sz w:val="12"/>
              </w:rPr>
              <w:t>128933</w:t>
            </w:r>
          </w:p>
        </w:tc>
        <w:tc>
          <w:tcPr>
            <w:tcW w:type="dxa" w:w="2304"/>
            <w:tcMar>
              <w:top w:w="80" w:type="dxa"/>
              <w:start w:w="120" w:type="dxa"/>
              <w:bottom w:w="80" w:type="dxa"/>
              <w:end w:w="120" w:type="dxa"/>
            </w:tcMar>
            <w:vAlign w:val="center"/>
            <w:shd w:fill="F3F6F8"/>
          </w:tcPr>
          <w:p>
            <w:pPr>
              <w:spacing w:after="30"/>
            </w:pPr>
            <w:r>
              <w:rPr>
                <w:sz w:val="12"/>
              </w:rPr>
              <w:t>6c03b792c19858c7...</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extension/resources/audio-capture/arm64-darwin/audio-capture.node</w:t>
            </w:r>
          </w:p>
        </w:tc>
        <w:tc>
          <w:tcPr>
            <w:tcW w:type="dxa" w:w="1152"/>
            <w:tcMar>
              <w:top w:w="80" w:type="dxa"/>
              <w:start w:w="120" w:type="dxa"/>
              <w:bottom w:w="80" w:type="dxa"/>
              <w:end w:w="120" w:type="dxa"/>
            </w:tcMar>
            <w:vAlign w:val="center"/>
          </w:tcPr>
          <w:p>
            <w:pPr>
              <w:spacing w:after="30"/>
            </w:pPr>
            <w:r>
              <w:rPr>
                <w:sz w:val="12"/>
              </w:rPr>
              <w:t>438064</w:t>
            </w:r>
          </w:p>
        </w:tc>
        <w:tc>
          <w:tcPr>
            <w:tcW w:type="dxa" w:w="2304"/>
            <w:tcMar>
              <w:top w:w="80" w:type="dxa"/>
              <w:start w:w="120" w:type="dxa"/>
              <w:bottom w:w="80" w:type="dxa"/>
              <w:end w:w="120" w:type="dxa"/>
            </w:tcMar>
            <w:vAlign w:val="center"/>
          </w:tcPr>
          <w:p>
            <w:pPr>
              <w:spacing w:after="30"/>
            </w:pPr>
            <w:r>
              <w:rPr>
                <w:sz w:val="12"/>
              </w:rPr>
              <w:t>40e2f7d86d17aab6...</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extension/resources/native-binary/claude</w:t>
            </w:r>
          </w:p>
        </w:tc>
        <w:tc>
          <w:tcPr>
            <w:tcW w:type="dxa" w:w="1152"/>
            <w:tcMar>
              <w:top w:w="80" w:type="dxa"/>
              <w:start w:w="120" w:type="dxa"/>
              <w:bottom w:w="80" w:type="dxa"/>
              <w:end w:w="120" w:type="dxa"/>
            </w:tcMar>
            <w:vAlign w:val="center"/>
            <w:shd w:fill="F3F6F8"/>
          </w:tcPr>
          <w:p>
            <w:pPr>
              <w:spacing w:after="30"/>
            </w:pPr>
            <w:r>
              <w:rPr>
                <w:sz w:val="12"/>
              </w:rPr>
              <w:t>256908272</w:t>
            </w:r>
          </w:p>
        </w:tc>
        <w:tc>
          <w:tcPr>
            <w:tcW w:type="dxa" w:w="2304"/>
            <w:tcMar>
              <w:top w:w="80" w:type="dxa"/>
              <w:start w:w="120" w:type="dxa"/>
              <w:bottom w:w="80" w:type="dxa"/>
              <w:end w:w="120" w:type="dxa"/>
            </w:tcMar>
            <w:vAlign w:val="center"/>
            <w:shd w:fill="F3F6F8"/>
          </w:tcPr>
          <w:p>
            <w:pPr>
              <w:spacing w:after="30"/>
            </w:pPr>
            <w:r>
              <w:rPr>
                <w:sz w:val="12"/>
              </w:rPr>
              <w:t>8addc857f3fe64d5...</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extension/resources/walkthrough/chat.png</w:t>
            </w:r>
          </w:p>
        </w:tc>
        <w:tc>
          <w:tcPr>
            <w:tcW w:type="dxa" w:w="1152"/>
            <w:tcMar>
              <w:top w:w="80" w:type="dxa"/>
              <w:start w:w="120" w:type="dxa"/>
              <w:bottom w:w="80" w:type="dxa"/>
              <w:end w:w="120" w:type="dxa"/>
            </w:tcMar>
            <w:vAlign w:val="center"/>
          </w:tcPr>
          <w:p>
            <w:pPr>
              <w:spacing w:after="30"/>
            </w:pPr>
            <w:r>
              <w:rPr>
                <w:sz w:val="12"/>
              </w:rPr>
              <w:t>127137</w:t>
            </w:r>
          </w:p>
        </w:tc>
        <w:tc>
          <w:tcPr>
            <w:tcW w:type="dxa" w:w="2304"/>
            <w:tcMar>
              <w:top w:w="80" w:type="dxa"/>
              <w:start w:w="120" w:type="dxa"/>
              <w:bottom w:w="80" w:type="dxa"/>
              <w:end w:w="120" w:type="dxa"/>
            </w:tcMar>
            <w:vAlign w:val="center"/>
          </w:tcPr>
          <w:p>
            <w:pPr>
              <w:spacing w:after="30"/>
            </w:pPr>
            <w:r>
              <w:rPr>
                <w:sz w:val="12"/>
              </w:rPr>
              <w:t>2e3f26e7ce4680e5...</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extension/resources/walkthrough/click.png</w:t>
            </w:r>
          </w:p>
        </w:tc>
        <w:tc>
          <w:tcPr>
            <w:tcW w:type="dxa" w:w="1152"/>
            <w:tcMar>
              <w:top w:w="80" w:type="dxa"/>
              <w:start w:w="120" w:type="dxa"/>
              <w:bottom w:w="80" w:type="dxa"/>
              <w:end w:w="120" w:type="dxa"/>
            </w:tcMar>
            <w:vAlign w:val="center"/>
            <w:shd w:fill="F3F6F8"/>
          </w:tcPr>
          <w:p>
            <w:pPr>
              <w:spacing w:after="30"/>
            </w:pPr>
            <w:r>
              <w:rPr>
                <w:sz w:val="12"/>
              </w:rPr>
              <w:t>132059</w:t>
            </w:r>
          </w:p>
        </w:tc>
        <w:tc>
          <w:tcPr>
            <w:tcW w:type="dxa" w:w="2304"/>
            <w:tcMar>
              <w:top w:w="80" w:type="dxa"/>
              <w:start w:w="120" w:type="dxa"/>
              <w:bottom w:w="80" w:type="dxa"/>
              <w:end w:w="120" w:type="dxa"/>
            </w:tcMar>
            <w:vAlign w:val="center"/>
            <w:shd w:fill="F3F6F8"/>
          </w:tcPr>
          <w:p>
            <w:pPr>
              <w:spacing w:after="30"/>
            </w:pPr>
            <w:r>
              <w:rPr>
                <w:sz w:val="12"/>
              </w:rPr>
              <w:t>1cf064e8ecfe0363...</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extension/resources/walkthrough/welcome.png</w:t>
            </w:r>
          </w:p>
        </w:tc>
        <w:tc>
          <w:tcPr>
            <w:tcW w:type="dxa" w:w="1152"/>
            <w:tcMar>
              <w:top w:w="80" w:type="dxa"/>
              <w:start w:w="120" w:type="dxa"/>
              <w:bottom w:w="80" w:type="dxa"/>
              <w:end w:w="120" w:type="dxa"/>
            </w:tcMar>
            <w:vAlign w:val="center"/>
          </w:tcPr>
          <w:p>
            <w:pPr>
              <w:spacing w:after="30"/>
            </w:pPr>
            <w:r>
              <w:rPr>
                <w:sz w:val="12"/>
              </w:rPr>
              <w:t>112125</w:t>
            </w:r>
          </w:p>
        </w:tc>
        <w:tc>
          <w:tcPr>
            <w:tcW w:type="dxa" w:w="2304"/>
            <w:tcMar>
              <w:top w:w="80" w:type="dxa"/>
              <w:start w:w="120" w:type="dxa"/>
              <w:bottom w:w="80" w:type="dxa"/>
              <w:end w:w="120" w:type="dxa"/>
            </w:tcMar>
            <w:vAlign w:val="center"/>
          </w:tcPr>
          <w:p>
            <w:pPr>
              <w:spacing w:after="30"/>
            </w:pPr>
            <w:r>
              <w:rPr>
                <w:sz w:val="12"/>
              </w:rPr>
              <w:t>9f46167b114df862...</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extension/resources/welcome-art-dark.svg</w:t>
            </w:r>
          </w:p>
        </w:tc>
        <w:tc>
          <w:tcPr>
            <w:tcW w:type="dxa" w:w="1152"/>
            <w:tcMar>
              <w:top w:w="80" w:type="dxa"/>
              <w:start w:w="120" w:type="dxa"/>
              <w:bottom w:w="80" w:type="dxa"/>
              <w:end w:w="120" w:type="dxa"/>
            </w:tcMar>
            <w:vAlign w:val="center"/>
            <w:shd w:fill="F3F6F8"/>
          </w:tcPr>
          <w:p>
            <w:pPr>
              <w:spacing w:after="30"/>
            </w:pPr>
            <w:r>
              <w:rPr>
                <w:sz w:val="12"/>
              </w:rPr>
              <w:t>228426</w:t>
            </w:r>
          </w:p>
        </w:tc>
        <w:tc>
          <w:tcPr>
            <w:tcW w:type="dxa" w:w="2304"/>
            <w:tcMar>
              <w:top w:w="80" w:type="dxa"/>
              <w:start w:w="120" w:type="dxa"/>
              <w:bottom w:w="80" w:type="dxa"/>
              <w:end w:w="120" w:type="dxa"/>
            </w:tcMar>
            <w:vAlign w:val="center"/>
            <w:shd w:fill="F3F6F8"/>
          </w:tcPr>
          <w:p>
            <w:pPr>
              <w:spacing w:after="30"/>
            </w:pPr>
            <w:r>
              <w:rPr>
                <w:sz w:val="12"/>
              </w:rPr>
              <w:t>9d8924739e3a7395...</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extension/resources/welcome-art-light.svg</w:t>
            </w:r>
          </w:p>
        </w:tc>
        <w:tc>
          <w:tcPr>
            <w:tcW w:type="dxa" w:w="1152"/>
            <w:tcMar>
              <w:top w:w="80" w:type="dxa"/>
              <w:start w:w="120" w:type="dxa"/>
              <w:bottom w:w="80" w:type="dxa"/>
              <w:end w:w="120" w:type="dxa"/>
            </w:tcMar>
            <w:vAlign w:val="center"/>
          </w:tcPr>
          <w:p>
            <w:pPr>
              <w:spacing w:after="30"/>
            </w:pPr>
            <w:r>
              <w:rPr>
                <w:sz w:val="12"/>
              </w:rPr>
              <w:t>214192</w:t>
            </w:r>
          </w:p>
        </w:tc>
        <w:tc>
          <w:tcPr>
            <w:tcW w:type="dxa" w:w="2304"/>
            <w:tcMar>
              <w:top w:w="80" w:type="dxa"/>
              <w:start w:w="120" w:type="dxa"/>
              <w:bottom w:w="80" w:type="dxa"/>
              <w:end w:w="120" w:type="dxa"/>
            </w:tcMar>
            <w:vAlign w:val="center"/>
          </w:tcPr>
          <w:p>
            <w:pPr>
              <w:spacing w:after="30"/>
            </w:pPr>
            <w:r>
              <w:rPr>
                <w:sz w:val="12"/>
              </w:rPr>
              <w:t>5d148dc07670e92e...</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extension/webview/index.css</w:t>
            </w:r>
          </w:p>
        </w:tc>
        <w:tc>
          <w:tcPr>
            <w:tcW w:type="dxa" w:w="1152"/>
            <w:tcMar>
              <w:top w:w="80" w:type="dxa"/>
              <w:start w:w="120" w:type="dxa"/>
              <w:bottom w:w="80" w:type="dxa"/>
              <w:end w:w="120" w:type="dxa"/>
            </w:tcMar>
            <w:vAlign w:val="center"/>
            <w:shd w:fill="F3F6F8"/>
          </w:tcPr>
          <w:p>
            <w:pPr>
              <w:spacing w:after="30"/>
            </w:pPr>
            <w:r>
              <w:rPr>
                <w:sz w:val="12"/>
              </w:rPr>
              <w:t>379116</w:t>
            </w:r>
          </w:p>
        </w:tc>
        <w:tc>
          <w:tcPr>
            <w:tcW w:type="dxa" w:w="2304"/>
            <w:tcMar>
              <w:top w:w="80" w:type="dxa"/>
              <w:start w:w="120" w:type="dxa"/>
              <w:bottom w:w="80" w:type="dxa"/>
              <w:end w:w="120" w:type="dxa"/>
            </w:tcMar>
            <w:vAlign w:val="center"/>
            <w:shd w:fill="F3F6F8"/>
          </w:tcPr>
          <w:p>
            <w:pPr>
              <w:spacing w:after="30"/>
            </w:pPr>
            <w:r>
              <w:rPr>
                <w:sz w:val="12"/>
              </w:rPr>
              <w:t>ce1517f17aa295b8...</w:t>
            </w:r>
          </w:p>
        </w:tc>
        <w:tc>
          <w:tcPr>
            <w:tcW w:type="dxa" w:w="1584"/>
            <w:tcMar>
              <w:top w:w="80" w:type="dxa"/>
              <w:start w:w="120" w:type="dxa"/>
              <w:bottom w:w="80" w:type="dxa"/>
              <w:end w:w="120" w:type="dxa"/>
            </w:tcMar>
            <w:vAlign w:val="center"/>
            <w:shd w:fill="F3F6F8"/>
          </w:tcPr>
          <w:p>
            <w:pPr>
              <w:spacing w:after="30"/>
            </w:pPr>
            <w:r>
              <w:rPr>
                <w:sz w:val="12"/>
              </w:rPr>
              <w:t>Verified</w:t>
            </w:r>
          </w:p>
        </w:tc>
      </w:tr>
      <w:tr>
        <w:trPr>
          <w:cantSplit/>
        </w:trPr>
        <w:tc>
          <w:tcPr>
            <w:tcW w:type="dxa" w:w="4320"/>
            <w:tcMar>
              <w:top w:w="80" w:type="dxa"/>
              <w:start w:w="120" w:type="dxa"/>
              <w:bottom w:w="80" w:type="dxa"/>
              <w:end w:w="120" w:type="dxa"/>
            </w:tcMar>
            <w:vAlign w:val="center"/>
          </w:tcPr>
          <w:p>
            <w:pPr>
              <w:spacing w:after="30"/>
            </w:pPr>
            <w:r>
              <w:rPr>
                <w:sz w:val="12"/>
              </w:rPr>
              <w:t>extension/webview/index.js</w:t>
            </w:r>
          </w:p>
        </w:tc>
        <w:tc>
          <w:tcPr>
            <w:tcW w:type="dxa" w:w="1152"/>
            <w:tcMar>
              <w:top w:w="80" w:type="dxa"/>
              <w:start w:w="120" w:type="dxa"/>
              <w:bottom w:w="80" w:type="dxa"/>
              <w:end w:w="120" w:type="dxa"/>
            </w:tcMar>
            <w:vAlign w:val="center"/>
          </w:tcPr>
          <w:p>
            <w:pPr>
              <w:spacing w:after="30"/>
            </w:pPr>
            <w:r>
              <w:rPr>
                <w:sz w:val="12"/>
              </w:rPr>
              <w:t>4811066</w:t>
            </w:r>
          </w:p>
        </w:tc>
        <w:tc>
          <w:tcPr>
            <w:tcW w:type="dxa" w:w="2304"/>
            <w:tcMar>
              <w:top w:w="80" w:type="dxa"/>
              <w:start w:w="120" w:type="dxa"/>
              <w:bottom w:w="80" w:type="dxa"/>
              <w:end w:w="120" w:type="dxa"/>
            </w:tcMar>
            <w:vAlign w:val="center"/>
          </w:tcPr>
          <w:p>
            <w:pPr>
              <w:spacing w:after="30"/>
            </w:pPr>
            <w:r>
              <w:rPr>
                <w:sz w:val="12"/>
              </w:rPr>
              <w:t>c06c44d5e45fc848...</w:t>
            </w:r>
          </w:p>
        </w:tc>
        <w:tc>
          <w:tcPr>
            <w:tcW w:type="dxa" w:w="1584"/>
            <w:tcMar>
              <w:top w:w="80" w:type="dxa"/>
              <w:start w:w="120" w:type="dxa"/>
              <w:bottom w:w="80" w:type="dxa"/>
              <w:end w:w="120" w:type="dxa"/>
            </w:tcMar>
            <w:vAlign w:val="center"/>
          </w:tcPr>
          <w:p>
            <w:pPr>
              <w:spacing w:after="30"/>
            </w:pPr>
            <w:r>
              <w:rPr>
                <w:sz w:val="12"/>
              </w:rPr>
              <w:t>Verified</w:t>
            </w:r>
          </w:p>
        </w:tc>
      </w:tr>
      <w:tr>
        <w:trPr>
          <w:cantSplit/>
        </w:trPr>
        <w:tc>
          <w:tcPr>
            <w:tcW w:type="dxa" w:w="4320"/>
            <w:tcMar>
              <w:top w:w="80" w:type="dxa"/>
              <w:start w:w="120" w:type="dxa"/>
              <w:bottom w:w="80" w:type="dxa"/>
              <w:end w:w="120" w:type="dxa"/>
            </w:tcMar>
            <w:vAlign w:val="center"/>
            <w:shd w:fill="F3F6F8"/>
          </w:tcPr>
          <w:p>
            <w:pPr>
              <w:spacing w:after="30"/>
            </w:pPr>
            <w:r>
              <w:rPr>
                <w:sz w:val="12"/>
              </w:rPr>
              <w:t>extension.vsixmanifest</w:t>
            </w:r>
          </w:p>
        </w:tc>
        <w:tc>
          <w:tcPr>
            <w:tcW w:type="dxa" w:w="1152"/>
            <w:tcMar>
              <w:top w:w="80" w:type="dxa"/>
              <w:start w:w="120" w:type="dxa"/>
              <w:bottom w:w="80" w:type="dxa"/>
              <w:end w:w="120" w:type="dxa"/>
            </w:tcMar>
            <w:vAlign w:val="center"/>
            <w:shd w:fill="F3F6F8"/>
          </w:tcPr>
          <w:p>
            <w:pPr>
              <w:spacing w:after="30"/>
            </w:pPr>
            <w:r>
              <w:rPr>
                <w:sz w:val="12"/>
              </w:rPr>
              <w:t>2149</w:t>
            </w:r>
          </w:p>
        </w:tc>
        <w:tc>
          <w:tcPr>
            <w:tcW w:type="dxa" w:w="2304"/>
            <w:tcMar>
              <w:top w:w="80" w:type="dxa"/>
              <w:start w:w="120" w:type="dxa"/>
              <w:bottom w:w="80" w:type="dxa"/>
              <w:end w:w="120" w:type="dxa"/>
            </w:tcMar>
            <w:vAlign w:val="center"/>
            <w:shd w:fill="F3F6F8"/>
          </w:tcPr>
          <w:p>
            <w:pPr>
              <w:spacing w:after="30"/>
            </w:pPr>
            <w:r>
              <w:rPr>
                <w:sz w:val="12"/>
              </w:rPr>
              <w:t>a0e82369e6bbd470...</w:t>
            </w:r>
          </w:p>
        </w:tc>
        <w:tc>
          <w:tcPr>
            <w:tcW w:type="dxa" w:w="1584"/>
            <w:tcMar>
              <w:top w:w="80" w:type="dxa"/>
              <w:start w:w="120" w:type="dxa"/>
              <w:bottom w:w="80" w:type="dxa"/>
              <w:end w:w="120" w:type="dxa"/>
            </w:tcMar>
            <w:vAlign w:val="center"/>
            <w:shd w:fill="F3F6F8"/>
          </w:tcPr>
          <w:p>
            <w:pPr>
              <w:spacing w:after="30"/>
            </w:pPr>
            <w:r>
              <w:rPr>
                <w:sz w:val="12"/>
              </w:rPr>
              <w:t>Verified</w:t>
            </w:r>
          </w:p>
        </w:tc>
      </w:tr>
    </w:tbl>
    <w:p>
      <w:pPr>
        <w:spacing w:after="40"/>
      </w:pPr>
    </w:p>
    <w:p>
      <w:pPr>
        <w:pStyle w:val="Heading1"/>
      </w:pPr>
      <w:r>
        <w:t>Appendix B - Runtime Host Verification Procedure</w:t>
      </w:r>
    </w:p>
    <w:p>
      <w:r>
        <w:t>Use a revertible macOS Apple Silicon VM/isolated endpoint with VS Code 1.98+, clean profiles, synthetic commercial tenant/repository, restricted egress, EDR/DNS/proxy capture and a tested snapshot. Install the exact local VSIX only after hash/signature verification. Exercise read-only, edit, shell, Git, notebook, MCP, plugin, skill, hook, update, logout and uninstall paths. Replay prompt-injection and vendor-advisory regression cases. Revoke credentials, compare all deltas and restore the snapshot.</w:t>
      </w:r>
    </w:p>
    <w:p>
      <w:pPr>
        <w:pStyle w:val="Heading1"/>
      </w:pPr>
      <w:r>
        <w:t>Appendix C - Validated Stage Outputs</w:t>
      </w:r>
    </w:p>
    <w:p>
      <w:r>
        <w:t>The following stage texts are the validated report inputs. Their SHA-256 values are bound in `stage-manifest.json`; report assembly fails if a stage hash changes.</w:t>
      </w:r>
    </w:p>
    <w:p>
      <w:pPr>
        <w:pStyle w:val="Heading2"/>
      </w:pPr>
      <w:r>
        <w:t>01. Intake, identity, scope, selections and readiness</w:t>
      </w:r>
    </w:p>
    <w:p>
      <w:r>
        <w:t>Validated SHA-256: a35e585a9db58b121f214b575a952bc448a353f443eb614f53acccd171f4148b.</w:t>
      </w:r>
    </w:p>
    <w:p>
      <w:r>
        <w:t xml:space="preserve">Decision status is </w:t>
      </w:r>
      <w:r>
        <w:rPr>
          <w:b/>
        </w:rPr>
        <w:t>Partially ready</w:t>
      </w:r>
      <w:r>
        <w:t xml:space="preserve">. The exact target is the domain-verified Anthropic Marketplace listing </w:t>
      </w:r>
      <w:r>
        <w:rPr>
          <w:b/>
        </w:rPr>
        <w:t>Claude Code for VS Code</w:t>
      </w:r>
      <w:r>
        <w:t>, extension identifier `anthropic.claude-code`, version 2.1.220. The version was published on 25 July 2026 and is the latest stable Marketplace and official GitHub release observed on 26 July 2026. The acquired artefact is the Marketplace `darwin-arm64` VSIX because the assessment workstation is Apple Silicon macOS. Windows, Linux, Alpine and x64/ARM64 variants are recorded but were not downloaded or scanned. The assessment covers VS Code and compatible VS Code hosts only. Microsoft Visual Studio is unsupported by this listing and receives an explicit not-applicable status rather than a fabricated assessment.</w:t>
      </w:r>
    </w:p>
    <w:p>
      <w:r>
        <w:t xml:space="preserve">The enterprise context is a Large UK Insurance business with managed endpoints, commercial Anthropic terms, synthetic test data, and no production credentials. Static package/source analysis, static malware review, privacy review and runtime analysis are all selected </w:t>
      </w:r>
      <w:r>
        <w:rPr>
          <w:b/>
        </w:rPr>
        <w:t>Yes</w:t>
      </w:r>
      <w:r>
        <w:t>. No branch was opted out. Static, provenance, archive, binary, advisory, privacy and Word-report capabilities are available. Runtime remains selected but blocked because no disposable VM or separately isolated endpoint with a clean VS Code profile, restricted egress, synthetic Anthropic account, host telemetry and tested rollback was available. A temporary VS Code profile alone would not contain a hostile native binary from the host filesystem or user secrets, so the normal workstation was not used for activation.</w:t>
      </w:r>
    </w:p>
    <w:p>
      <w:r>
        <w:t xml:space="preserve">The approval decision is therefore </w:t>
      </w:r>
      <w:r>
        <w:rPr>
          <w:b/>
        </w:rPr>
        <w:t>Defer pending evidence</w:t>
      </w:r>
      <w:r>
        <w:t xml:space="preserve"> with High overall residual risk. This is not a malware verdict and does not allege a current exploitable CVE in 2.1.220. It means the available evidence cannot support production or regulated-data deployment. A bounded pilot may proceed only after an enterprise owner accepts the stated preconditions: current commercial/Enterprise identity, zero-data-retention where contractually available, managed settings, manual permission mode, fail-closed sandboxing, restricted MCP/plugins/hooks/skills, short or disabled local transcript persistence, nonessential-traffic controls, egress filtering and representative runtime evidence.</w:t>
      </w:r>
    </w:p>
    <w:p>
      <w:r>
        <w:t>Identity confidence is High. Package-to-source equivalence confidence is Low because the public repository does not provide the full VSIX/CLI source or a reproducible build path. Runtime confidence is Low because no extension process, authentication flow, network session, host delta, update or uninstall was observed. The conservative supported VS Code floor is 1.98.0 because the Marketplace details page states 1.98.0+, while the package manifest and current documentation state 1.94.0+; the contradiction requires vendor clarification or host testing.</w:t>
      </w:r>
    </w:p>
    <w:p>
      <w:pPr>
        <w:pStyle w:val="Heading2"/>
      </w:pPr>
      <w:r>
        <w:t>02. Evidence plan and register baseline</w:t>
      </w:r>
    </w:p>
    <w:p>
      <w:r>
        <w:t>Validated SHA-256: 96478f4dffd026bc4a7451df63ade01a9afe827e516d64bc8d2b352197ac1e00.</w:t>
      </w:r>
    </w:p>
    <w:p>
      <w:r>
        <w:t>The evidence plan prioritises exact Marketplace bytes and metadata, official Anthropic product documentation, the official tagged repository snapshot, package manifests, native signatures, current vendor advisories, current standards/regulator sources and directly observed scanner outputs. Stable identifiers use `EVD-nnn` for preserved or observed evidence and `REF-nnn` for externally cited sources. Material claims require a primary source, direct observation, or an explicit `Inferred`, `Unknown`, `Not observed` or `Not applicable` label.</w:t>
      </w:r>
    </w:p>
    <w:p>
      <w:r>
        <w:t>Acquisition evidence covers the Marketplace listing and Gallery API, all platform-variant metadata, the exact `darwin-arm64` VSIX, the official GitHub v2.1.220 release/tag, and an unlinked source archive. The VSIX and source archive were downloaded without installation, hashed, checked for traversal, absolute paths, links, special files and excessive expansion, then inspected from verified copies. Raw untrusted package bytes and source payloads remain ignored by repository policy; durable manifests, hashes and scanner results preserve reproducibility without publishing third-party payloads.</w:t>
      </w:r>
    </w:p>
    <w:p>
      <w:r>
        <w:t>Static-analysis evidence covers `package.json`, `extension.vsixmanifest`, settings schema, 29-file package inventory, activation events, commands, webviews, native binaries, code signatures, linked libraries, obvious configuration surfaces, strings, MCP/skill/plugin/hook capability descriptions and source-repository examples. The analysis explicitly records that four large artefacts were skipped by Semgrep and that the public repository is not full product source. Static scanners are signals only; every result receives manual scope and reachability triage.</w:t>
      </w:r>
    </w:p>
    <w:p>
      <w:r>
        <w:t>The malware branch covers SHA-256, file types, code signing, archive anomalies, ClamAV, assessment-local YARA heuristics, Semgrep, Trivy, Syft, Grype, OSV availability, native library metadata, obfuscation/minification and source/package correspondence. Reputation uploads were not used. Detonation was not authorised and did not occur. Runtime planning covers before/after filesystem, process, network, configuration, credential-store, VS Code extension/profile, MCP, skill, hook, plugin, telemetry, transcript, update and uninstall evidence in a disposable environment.</w:t>
      </w:r>
    </w:p>
    <w:p>
      <w:r>
        <w:t>The privacy and regulatory evidence plan covers prompts, code, diffs, selections, diagnostics, notebook execution, terminal output, repository metadata, credentials, local plaintext transcripts, telemetry, feedback, retention, model training choices, processors/recipients, international transfers, deletion, DPIA screening, operational resilience and third-party exit. Enterprise applicability remains scoped: actual FCA/PRA status, important business service impact, materiality and outsourcing classification must be verified by the deploying firm.</w:t>
      </w:r>
    </w:p>
    <w:p>
      <w:pPr>
        <w:pStyle w:val="Heading2"/>
      </w:pPr>
      <w:r>
        <w:t>03. Acquisition provenance and immutable artefacts</w:t>
      </w:r>
    </w:p>
    <w:p>
      <w:r>
        <w:t>Validated SHA-256: 04bee1c85e03f08de758f9c5977ed188bb0937af911f32eed3ac11787425ff8a.</w:t>
      </w:r>
    </w:p>
    <w:p>
      <w:r>
        <w:t>The Marketplace Gallery API resolved version 2.1.220 across eight platform targets. The acquired macOS ARM64 VSIX SHA-256 is `e671f210ab9becb2c737e6e937ebb7eb002ced0e2263ebe056077854f8333978`, exactly matching the Gallery property for that target. The archive contains 29 regular files and expands to 266,744,446 bytes. Preflight found no traversal, absolute path, symlink or special-file members. The package manifest identifies publisher `Anthropic`, name `claude-code`, display name `Claude Code for VS Code`, version 2.1.220, main entry `extension.js` and VS Code engine `^1.94.0`.</w:t>
      </w:r>
    </w:p>
    <w:p>
      <w:r>
        <w:t>The official GitHub release `v2.1.220` was published at 2026-07-25T01:35:55Z and points to commit prefix `7ef6eec`. The codeload tag archive SHA-256 is `86f4f99e066068374c18401001ec604e2265235f878cde164cc875f31de49dad`. Safe extraction found 334 members, 229 files, 104 directories, no links and no special files. One root component was stripped and Git metadata was absent. The snapshot is treated as immutable untrusted input.</w:t>
      </w:r>
    </w:p>
    <w:p>
      <w:r>
        <w:t>The public repository is authoritative for product identity, release notes, security reporting, examples, optional plugins and governance artefacts, but it is not a full source release of the VSIX. The package includes a 256,908,272-byte native `claude` binary, a 438,064-byte audio-capture Node module, a 2,650,012-byte extension bundle and a 4,811,066-byte webview bundle. No corresponding complete sources or reproducible extension build were observed in the tagged repository. Consequently, source-to-package comparison is limited to version, product behavior, repository/plugin examples and public documentation.</w:t>
      </w:r>
    </w:p>
    <w:p>
      <w:r>
        <w:t>The main native executable SHA-256 is `8addc857f3fe64d5a0368af9ee50321b50afb4a6918ba3ef018ab84f5dbbe081`. Apple `codesign` reports Developer ID Application `Anthropic PBC (Q6L2SF6YDW)`, hardened runtime and a signing timestamp of 24 July 2026. The audio module SHA-256 is `40e2f7d86d17aab60e51598d037f62bd07e8288dc3f697728f5051d59107f585`; it is ad-hoc/linker-signed with no TeamIdentifier. Signature evidence establishes byte integrity and signing identity for the main executable, not product safety, source correspondence or runtime behavior.</w:t>
      </w:r>
    </w:p>
    <w:p>
      <w:pPr>
        <w:pStyle w:val="Heading2"/>
      </w:pPr>
      <w:r>
        <w:t>04. Static package, source, manifest, dependency and binary inspection</w:t>
      </w:r>
    </w:p>
    <w:p>
      <w:r>
        <w:t>Validated SHA-256: d2380c9dc2ba249b160311c473c0cbf876260f4e5870c9513e58f33b7cf07b0e.</w:t>
      </w:r>
    </w:p>
    <w:p>
      <w:r>
        <w:t>The VSIX activates on `onStartupFinished` and its webview panel. It declares that untrusted workspaces are unsupported, so enterprise tests must confirm that VS Code Restricted Mode prevents activation and that Claude Code does not process repository-controlled configuration before trust. The extension contributes a native webview/sidebar, commands to open sessions, create worktrees, update, log out, accept/reject diffs, install plugins, show logs and use a terminal interface. It can read editor selection/current files, propose changes, run terminal commands with permission and coordinate a bundled native CLI.</w:t>
      </w:r>
    </w:p>
    <w:p>
      <w:r>
        <w:t>Security-relevant settings include machine-scoped environment variables and a process-wrapper executable path; permission modes `default`, `plan`, `acceptEdits` and `bypassPermissions`; a setting that permits dangerous permission skipping; automatic Python environment activation; automatic save before reads/writes; plugin installation; MCP configuration; hooks; skills; sandboxing; remote control; background agents; workflows; telemetry/feedback controls; transcript retention; managed version bounds; and multiple enterprise lockdown controls. Project or user configuration can materially change trust unless managed policy prevents it.</w:t>
      </w:r>
    </w:p>
    <w:p>
      <w:r>
        <w:t>The schema provides strong enterprise controls when deployed correctly: `allowManagedPermissionRulesOnly`, `allowManagedMcpServersOnly`, `allowManagedHooksOnly`, MCP allow/deny lists, marketplace allow/block lists, `strictPluginOnlyCustomization`, `disableSideloadFlags`, `disableSkillShellExecution`, `disableAllHooks`, `disableRemoteControl`, `disableAgentView`, `requiredMinimumVersion`, `requiredMaximumVersion`, sandbox credential masking/denial, file/network restrictions and a fail-on-degraded-sandbox option. Several defaults are permissive or warning-only, including sandbox fallback when fail-closed is unset and the ability to allow unsandboxed commands. These are configuration risks, not defects proven in version 2.1.220.</w:t>
      </w:r>
    </w:p>
    <w:p>
      <w:r>
        <w:t>Semgrep 1.171.0 scanned 245 files with 1,752 rules and returned 21 warnings. Ten mutable GitHub Action references, six example-infrastructure hardening observations, one global IFS pattern, one Docker sudo pattern and two dynamic `urllib` calls in an optional security-guidance plugin were manually triaged. The dynamic URLs derive from administrator-controlled `ANTHROPIC_BASE_URL`; enterprise deployments should still allowlist schemes/hosts. No signal establishes a vulnerability in the shipped extension. Four files larger than one MiB were skipped, including the minified extension/webview bundles and native code, so the result is incomplete.</w:t>
      </w:r>
    </w:p>
    <w:p>
      <w:r>
        <w:t>The public repository includes ten `SKILL.md` files inside optional plugins. None is present in the 29-file VSIX, so they are not automatically installed artefacts. The opaque native binary/schema also refers to bundled skills and workflows, but their exact embedded content could not be enumerated without authorised runtime or deeper binary reverse engineering. This is `Unknown`, not `None`. Optional plugin skill and hook risks are assessed independently in stage 10.</w:t>
      </w:r>
    </w:p>
    <w:p>
      <w:pPr>
        <w:pStyle w:val="Heading2"/>
      </w:pPr>
      <w:r>
        <w:t>05. Per-IDE installation, activation, update and residue</w:t>
      </w:r>
    </w:p>
    <w:p>
      <w:r>
        <w:t>Validated SHA-256: 5fa60efe28f709f65489c7638599e095f084dc2e0e74493b7a9bf0fbf0ad0450.</w:t>
      </w:r>
    </w:p>
    <w:p>
      <w:r>
        <w:rPr>
          <w:b/>
        </w:rPr>
        <w:t>VS Code.</w:t>
      </w:r>
      <w:r>
        <w:t xml:space="preserve"> Expected Marketplace installation places the platform-specific extension beneath the configured VS Code extensions directory and creates host extension metadata/cache records. The acquired package contains 29 files. High-impact items are `extension.js`, `webview/index.js`, the `claude` native executable, the audio-capture module, settings schema, images and walkthrough content. Activation occurs after startup completes or when the Claude webview is opened. The extension launches the native process and exposes editor integration; exact child process arguments, IPC transport, ports and environment propagation were not observed.</w:t>
      </w:r>
    </w:p>
    <w:p>
      <w:r>
        <w:t>Expected user and project state includes VS Code settings, `~/.claude/settings.json`, `~/.claude/settings.local.json`, project `.claude/settings.json`, `.claude/settings.local.json`, `.claude/skills/`, `.claude/commands/`, `.claude/agents/`, `.claude/plugins/`, `.mcp.json`, managed settings, marketplace/plugin caches, OAuth or API-provider configuration, transcripts under `~/.claude/projects/`, plans, logs, feedback bundles and update state. Project files must be treated as attacker-controlled. The settings schema shows machine-scoped environment variables, executable helper/process-wrapper paths and hook commands; these require administrative allowlists and safe path ownership.</w:t>
      </w:r>
    </w:p>
    <w:p>
      <w:r>
        <w:t>The extension declares no service, driver, kernel extension, scheduled task or operating-system login item. None was observed by static archive inspection. That does not prove absence after activation or auto-update. The main binary is Developer-ID signed; the audio module is only ad-hoc signed. The package has no dependency lockfile or vendor SBOM. Update behavior includes Marketplace updates and an extension update command; the embedded CLI also exposes update channels and required version bounds. Enterprises should use a managed allowlisted version window and re-assess package hashes on change.</w:t>
      </w:r>
    </w:p>
    <w:p>
      <w:r>
        <w:t>Uninstall is expected to remove the VS Code extension directory but may leave `~/.claude` settings, transcripts, credentials or secure-storage entries, plugins, MCP registrations, hooks, skill directories, logs, worktrees, caches and Marketplace/update state. Exact residue is Unknown until runtime. The host verification plan must capture before/after and uninstall deltas and prove credentials/session data are removed or intentionally retained under policy.</w:t>
      </w:r>
    </w:p>
    <w:p>
      <w:r>
        <w:rPr>
          <w:b/>
        </w:rPr>
        <w:t>Microsoft Visual Studio.</w:t>
      </w:r>
      <w:r>
        <w:t xml:space="preserve"> The official listing is a VS Code extension and provides no Microsoft Visual Studio VSIX support. Microsoft Visual Studio installation paths, registry entries, MEF components, services, processes and uninstall behavior are `Not applicable`. A similarly named third-party Visual Studio extension was excluded from identity scope. No conclusion from this report authorises that product.</w:t>
      </w:r>
    </w:p>
    <w:p>
      <w:pPr>
        <w:pStyle w:val="Heading2"/>
      </w:pPr>
      <w:r>
        <w:t>06. Architecture, trust boundaries, data flows, privilege and privacy</w:t>
      </w:r>
    </w:p>
    <w:p>
      <w:r>
        <w:t>Validated SHA-256: 4e31debc0b21625dec6af34ac5bb4a4916418f6e8c7cb93891398a94f9088f5a.</w:t>
      </w:r>
    </w:p>
    <w:p>
      <w:r>
        <w:t>The primary trust chain is: user and repository-controlled content -&gt; VS Code extension host/webview -&gt; Anthropic extension bundle -&gt; bundled native Claude process -&gt; local tools, terminal, filesystem, Git, notebooks and configured MCP servers -&gt; Anthropic API or approved third-party model provider -&gt; model output -&gt; proposed or approved changes. Secondary boundaries include OAuth/API keys, VS Code secret storage, shell environment, settings/helpers, plugin marketplaces, hooks, skills, agents, MCP tools/resources/prompts, remote control, telemetry/error reporting, feedback and local transcript storage.</w:t>
      </w:r>
    </w:p>
    <w:p>
      <w:r>
        <w:t>Attacker-controlled inputs include repository files, `CLAUDE.md`, project settings, skills, hooks, MCP configuration, dependency scripts, issue/PR content, websites fetched by tools, model output, tool output, clipboard/selection content and plugin marketplace content. A hostile instruction can attempt prompt injection, permission fatigue, tool misuse, secret access, destructive commands, data exfiltration, persistence through configuration or cross-server confused-deputy behavior. VS Code workspace trust, Claude Code trust confirmation, deny-first managed permissions, sandboxing and timely user approval are separate layers; no single layer should be treated as sufficient.</w:t>
      </w:r>
    </w:p>
    <w:p>
      <w:r>
        <w:t>The built-in IDE MCP server is hidden from normal `/mcp` configuration and supports diagnostics plus Jupyter code execution. Vendor documentation states notebook execution inserts a cell and requires a separate native Quick Pick confirmation. This is a meaningful control but requires runtime proof and does not govern unrelated MCP servers. Project MCP servers, plugins and skills can widen the tool surface. Enterprise configuration should default to no project MCP servers, no sideloading, no project hooks/skills/plugins and explicit schema/name allowlists until each artefact is assessed.</w:t>
      </w:r>
    </w:p>
    <w:p>
      <w:r>
        <w:t>Data classes include source code, diffs, file paths, prompts, model outputs, terminal commands/results, repository metadata, issues, identities, logs, diagnostics, notebook cells/results, credentials, secrets, insurance customer or employee information, vulnerability data, business plans and audit records. Vendor documentation states prompts/code/outputs are sent over TLS to the selected model provider; local transcripts are plaintext under `~/.claude/projects/` for 30 days by default; commercial traffic is not used for model training unless the customer opts in; standard commercial retention is 30 days and zero-data-retention is available for qualifying Enterprise organizations.</w:t>
      </w:r>
    </w:p>
    <w:p>
      <w:r>
        <w:t>Telemetry and Sentry error reporting can be disabled; feedback can transmit conversation history and code when explicitly submitted; nonessential traffic can be disabled globally. These are vendor claims requiring contractual and runtime verification. Controller/processor roles, subprocessors, transfers, retention, deletion, feedback handling, log access and model-provider differences must be documented in the DPIA and procurement record. Production customer data remains prohibited until those controls and the representative runtime evidence are complete.</w:t>
      </w:r>
    </w:p>
    <w:p>
      <w:pPr>
        <w:pStyle w:val="Heading2"/>
      </w:pPr>
      <w:r>
        <w:t>07. Runtime plan, blocked capability and closure evidence</w:t>
      </w:r>
    </w:p>
    <w:p>
      <w:r>
        <w:t>Validated SHA-256: 2415681979ba24535230963c0320265531f246a75a86aea15875b7f7b41ed2da.</w:t>
      </w:r>
    </w:p>
    <w:p>
      <w:r>
        <w:t xml:space="preserve">Runtime analysis remains selected </w:t>
      </w:r>
      <w:r>
        <w:rPr>
          <w:b/>
        </w:rPr>
        <w:t>Yes</w:t>
      </w:r>
      <w:r>
        <w:t xml:space="preserve"> and is </w:t>
      </w:r>
      <w:r>
        <w:rPr>
          <w:b/>
        </w:rPr>
        <w:t>Blocked</w:t>
      </w:r>
      <w:r>
        <w:t>. No assessed code was executed or activated. The extension was not installed into the user's normal VS Code profile, the bundled native executable was not launched, authentication was not attempted, and no Anthropic/MCP/telemetry endpoint was contacted with credentials. A temporary profile on the same host would not prevent a hostile native executable from reading user-accessible files or network state, so it was not treated as sufficient isolation.</w:t>
      </w:r>
    </w:p>
    <w:p>
      <w:r>
        <w:t>Closure requires a disposable, revertible macOS Apple Silicon VM or isolated endpoint matching a managed production build, VS Code 1.98.0 or later, a clean extension/profile directory, a synthetic repository with seeded prompt-injection fixtures, a synthetic commercial Anthropic tenant, least-privilege credentials, restricted egress with DNS/TLS metadata capture, accurate time, endpoint telemetry and a tested rollback snapshot. A separate Windows host is required if the Windows VSIX will be approved; each platform variant must be hashed and tested independently.</w:t>
      </w:r>
    </w:p>
    <w:p>
      <w:r>
        <w:t>The baseline must capture filesystem trees/hashes, user and workspace settings, environment variables, extension inventory, processes, listening sockets, DNS/network flows, keychain/secret-store metadata, `~/.claude` state, plugins, marketplaces, skills, hooks, agents, MCP configuration, notebook/Jupyter state, worktrees, logs and scheduled/persistent mechanisms. The test must install the exact VSIX offline, verify signature/hash, exercise read-only questions, file reads, proposed edits, denied and approved terminal commands, Git actions, web fetch, MCP denial, notebook execution confirmation, plugin installation denial, update behavior, session resumption and logout.</w:t>
      </w:r>
    </w:p>
    <w:p>
      <w:r>
        <w:t>Adversarial tests must cover hostile repository instructions, symlink/path confusion, command parsing, chained shell operators, settings injection, malicious MCP tool descriptions/results, schema drift, cross-server data leakage, permission fatigue, bypass mode, accept-edits mode, sandbox degradation, unsandboxed-command requests, credential-file access, environment leakage, WebFetch domain controls, hooks and skills with tool pre-approval. Each expected denial must be observed at both permission and OS-enforcement layers.</w:t>
      </w:r>
    </w:p>
    <w:p>
      <w:r>
        <w:t>Cleanup must uninstall the extension, remove the disposable profile, revoke synthetic credentials, confirm no processes/listeners remain, compare file/config/keychain/log deltas, identify intended residue and restore the snapshot. Evidence must include tool versions, timestamps, hashes, screenshots where needed, network destinations, exact consent prompts and negative-test results. Until these tests pass, the decision remains `Defer pending evidence`.</w:t>
      </w:r>
    </w:p>
    <w:p>
      <w:pPr>
        <w:pStyle w:val="Heading2"/>
      </w:pPr>
      <w:r>
        <w:t>08. Malware, IOC, obfuscation, native code and supply chain</w:t>
      </w:r>
    </w:p>
    <w:p>
      <w:r>
        <w:t>Validated SHA-256: 64899073a5ed83079dd64576e8dc5437a216670f355e08645b7e7d2260c9057f.</w:t>
      </w:r>
    </w:p>
    <w:p>
      <w:r>
        <w:t>Static malware triage found no independent evidence that the acquired VSIX is malicious. ClamAV 1.5.3 with database 28071 scanned 256 files and 226.51 MiB with zero infections. The VSIX and source archive had no unsafe archive members. No macros, drivers, scheduled tasks, operating-system service definitions, login items, embedded secondary archives or unexplained installer scripts were observed in the package. Clean results are evidence only and do not prove safety.</w:t>
      </w:r>
    </w:p>
    <w:p>
      <w:r>
        <w:t>Assessment-local YARA heuristics matched dynamic-code/encoding strings in the extension bundle, several shell/credential/persistence/reverse-shell vocabulary clusters in the native binary and dynamic-code/encoding terms in an optional security-guidance hook. Manual triage found that this vocabulary is expected in an agentic coding product designed to execute developer commands, inspect configuration and teach security patterns. No matched rule independently proves payload delivery, credential theft or persistence. Because the native binary is opaque and large, deeper control-flow/reverse-engineering analysis remains unperformed.</w:t>
      </w:r>
    </w:p>
    <w:p>
      <w:r>
        <w:t>The main native executable carries a valid Anthropic Developer ID signature and hardened-runtime flag. The audio-capture module is ad-hoc signed and links to Apple CoreAudio/AudioUnit frameworks. The ad-hoc signature provides integrity within the package but not publisher identity. The audio capability increases microphone/privacy sensitivity; static packaging alone cannot show when capture starts, which consent prompt appears, whether audio is retained, or which endpoints receive it.</w:t>
      </w:r>
    </w:p>
    <w:p>
      <w:r>
        <w:t>The public repository does not provide complete extension/CLI source corresponding to the VSIX, so reproducible-build comparison is unavailable. The VSIX bundles minified JavaScript/webview code and a large native executable without a vendor SBOM. Syft identified no package components, OSV found no recognised package source, Trivy found no language manifests/vulnerabilities/secrets, and Grype had no components to match. Those zero counts describe scanner visibility, not absence of dependencies or vulnerabilities.</w:t>
      </w:r>
    </w:p>
    <w:p>
      <w:r>
        <w:t>Published GitHub advisories include recent high- and medium-severity command-validation, trust-dialog, sandbox, path, WebFetch and temporary-file flaws. Version 2.1.220 is above every currently published patched threshold applicable to `@anthropic-ai/claude-code` or the VS Code extension. Historical advisory density supports strict version enforcement, rapid patching and regression testing, but those patched advisories are not reported as current vulnerabilities.</w:t>
      </w:r>
    </w:p>
    <w:p>
      <w:pPr>
        <w:pStyle w:val="Heading2"/>
      </w:pPr>
      <w:r>
        <w:t>09. SBOM-style inventory and vulnerability/advisory triage</w:t>
      </w:r>
    </w:p>
    <w:p>
      <w:r>
        <w:t>Validated SHA-256: 247e193849db23928ad9ff601255689e4ecc8ae9f30ffec8f3155cee1b9b6547.</w:t>
      </w:r>
    </w:p>
    <w:p>
      <w:r>
        <w:t xml:space="preserve">The deliverable is an </w:t>
      </w:r>
      <w:r>
        <w:rPr>
          <w:b/>
        </w:rPr>
        <w:t>SBOM-style inventory</w:t>
      </w:r>
      <w:r>
        <w:t>, not a complete vendor-attested SBOM. The VSIX contains 29 files. Four material code artefacts are the signed native Claude executable, ad-hoc-signed audio-capture Node module, minified extension bundle and minified webview bundle. Other items are manifests, JSON schema, images, SVGs, CSS and walkthrough content. Each file has size and SHA-256 in `vsix-inventory.json`.</w:t>
      </w:r>
    </w:p>
    <w:p>
      <w:r>
        <w:t>Syft 1.49.0 emitted a valid CycloneDX 1.7 document describing only the scanned directory because it could not identify embedded package components. Grype returned zero matches over that empty component set. Trivy 0.72.0 reported no recognised language-specific files, vulnerabilities, misconfigurations or secrets in the extracted package. OSV Scanner 2.4.0 found no package sources in the public snapshot. No inference of “zero dependencies” or “zero CVEs” is permitted from these tool results.</w:t>
      </w:r>
    </w:p>
    <w:p>
      <w:r>
        <w:t>The advisory review used Anthropic's public GitHub security advisories and current vulnerable ranges. Version 2.1.220 is newer than the latest listed fix threshold 2.1.163 for Claude Code advisories observed on 26 July 2026. The historical classes are directly relevant to enterprise tests: workspace trust bypass, worktree path confusion, symlink following, command validation bypass, settings injection, WebFetch domain validation, pre-trust environment leakage and insecure temporary files. Regression cases should be carried into the runtime acceptance suite.</w:t>
      </w:r>
    </w:p>
    <w:p>
      <w:r>
        <w:t>No Marketplace VSIX signature chain independent of the asset digest was evaluated. The Marketplace SHA-256 matched exactly, and the main macOS native binary was publisher-signed. Windows Authenticode, Linux/Alpine package properties and x64 variants remain Unknown. Approval must be platform-specific: a clean macOS ARM64 static result cannot be generalized to unacquired bytes.</w:t>
      </w:r>
    </w:p>
    <w:p>
      <w:r>
        <w:t>Remediation evidence should include a vendor SBOM or signed provenance/attestation mapping the VSIX, native CLI and audio module to source and dependencies; repeatable build information or an independent third-party assurance report; platform-specific signatures; and a supported disclosure/change-notification process. Enterprise inventory should store the exact VSIX digest, extension ID/version/platform, allowed model provider, managed settings version and approval expiry.</w:t>
      </w:r>
    </w:p>
    <w:p>
      <w:pPr>
        <w:pStyle w:val="Heading2"/>
      </w:pPr>
      <w:r>
        <w:t>10. MCP, prompts/resources and installed Agent Skills assessment</w:t>
      </w:r>
    </w:p>
    <w:p>
      <w:r>
        <w:t>Validated SHA-256: 76993bccd023fecc6b7b8dc3b0ea90ad334bc2897f84a38ab4fbe8816c70faeb.</w:t>
      </w:r>
    </w:p>
    <w:p>
      <w:r>
        <w:t>MCP is applicable. The extension supports configured MCP servers and runs a hidden local IDE MCP server for editor diagnostics and Jupyter execution. Vendor documentation states Jupyter execution requires a separate native Quick Pick confirmation. The settings schema can enable all project MCP servers, approve named `.mcp.json` servers, apply enterprise allow/deny lists, restrict settings to managed MCP policy and disable automatically fetched Claude.ai connectors. Enterprise default must be deny-all with explicit server identity, transport, command/URL, schema, auth, tool-name and data-class approval.</w:t>
      </w:r>
    </w:p>
    <w:p>
      <w:r>
        <w:t>No standalone MCP server definitions, tools, resources or prompt templates were bundled as visible VSIX files. The hidden IDE server's two documented tools are `mcp__ide__getDiagnostics` (read-only) and `mcp__ide__executeCode` (writes/executes a notebook cell with confirmation). Runtime tools/list, actual schemas, transport/port, authentication and error behavior remain Unknown. MCP configuration supplied by repositories, plugins or users is untrusted and can introduce local child processes, remote endpoints, tokens and tool poisoning.</w:t>
      </w:r>
    </w:p>
    <w:p>
      <w:r>
        <w:t>No `SKILL.md` file appears in the 29-file VSIX. The settings schema nevertheless refers to bundled skills/workflows and supports project/user/plugin skills, skill listing, overrides, shell execution and disabling bundled skills. Exact embedded bundled skill bytes could not be enumerated statically from the opaque native binary. Enterprises should set `disableBundledSkills` during initial validation or obtain an enumerated, version-bound list and assess each before enabling.</w:t>
      </w:r>
    </w:p>
    <w:p>
      <w:r>
        <w:t xml:space="preserve">The tagged public repository contains ten optional skills across separately installable plugins: `frontend-design`; `writing-rules`; `claude-opus-4-5-migration`; and seven `plugin-dev` skills covering agents, commands, hooks, MCP integration, plugin settings, plugin structure and skill development. They are not installed by the VSIX. Common decision: </w:t>
      </w:r>
      <w:r>
        <w:rPr>
          <w:b/>
        </w:rPr>
        <w:t>Do not approve by default; assess and allowlist independently before installation</w:t>
      </w:r>
      <w:r>
        <w:t>. Risks include broad/ambiguous trigger text, automatic invocation, prompt injection, pre-approved tools, Bash/shell helpers, remote references, mutable marketplace updates, hook persistence, MCP child processes/endpoints and generated configuration.</w:t>
      </w:r>
    </w:p>
    <w:p>
      <w:r>
        <w:t>Per-skill summary: `frontend-design` is instruction-only and Low residual risk when no tools are pre-approved; `writing-rules` generates local hook rules and is Moderate because resulting hooks can warn/block behavior; migration guidance is Low to Moderate because it can change prompts/code; agent/command/hook/MCP/plugin-settings/plugin-structure/skill-development skills are Moderate to High because they help generate executable agents, commands, hooks, scripts, MCP servers or tool allowlists. Required controls are immutable source/version, transitive-file review, `disableSkillShellExecution`, managed marketplace allowlist, deny-first tools, no wildcard MCP/Bash permissions, code review of generated scripts/config, isolated tests, logging and explicit uninstall.</w:t>
      </w:r>
    </w:p>
    <w:p>
      <w:pPr>
        <w:pStyle w:val="Heading2"/>
      </w:pPr>
      <w:r>
        <w:t>11. Privacy, records, sector and regulatory assessment</w:t>
      </w:r>
    </w:p>
    <w:p>
      <w:r>
        <w:t>Validated SHA-256: 509a9e661e09186297635b366cb304938b0f807336a2027cef71df12888ad89c.</w:t>
      </w:r>
    </w:p>
    <w:p>
      <w:r>
        <w:t>UK GDPR, the Data Protection Act 2018 and ICO AI/data-protection guidance are applicable because prompts, source repositories, diagnostics, collaboration content, transcripts, logs and feedback can contain personal data. The deploying firm must identify controller/processor roles, purpose and lawful basis, minimise data, document recipients/subprocessors and transfers, set retention/deletion, protect data subject rights, conduct DPIA screening and apply privacy by design/default. The assessment does not certify compliance.</w:t>
      </w:r>
    </w:p>
    <w:p>
      <w:r>
        <w:t>Vendor documentation states that commercial users' prompts/code are not used to train models unless the customer opts in; standard commercial retention is 30 days; qualifying Enterprise organizations can enable zero-data-retention; and local session transcripts are plaintext under `~/.claude/projects/` for 30 days by default. Consumer-account training choices and retention differ and are unsuitable for regulated enterprise use. Production approval should require a managed commercial/Enterprise tenant, approved provider route, ZDR where required, product feedback disabled, nonessential traffic disabled and local session persistence disabled or reduced to the minimum justified period.</w:t>
      </w:r>
    </w:p>
    <w:p>
      <w:r>
        <w:t>Telemetry is described as operational metrics without code/file paths; Sentry handles error logs; feedback can include conversation history and code when submitted. The runtime test must verify actual destinations, TLS/proxy behavior, payload classes where inspection is lawful, opt-out behavior, local logs and deletion. Audio capture is packaged and requires explicit microphone/privacy testing. Credentials must remain in approved secure storage and be excluded from transcripts, telemetry, feedback and support bundles.</w:t>
      </w:r>
    </w:p>
    <w:p>
      <w:r>
        <w:t>For a UK insurer, FCA/PRA operational-resilience, outsourcing/third-party, accountability, auditability, information-security, exit and concentration expectations are conditionally applicable. The firm must confirm actual authorisation status, materiality, important business services, deployment scope and contractual arrangement. The extension should not become an unmonitored dependency for an important business service. Required controls include service inventory, risk owner, approved use cases, change monitoring, incident playbooks, fallback/manual operation, supplier exit and periodic assurance.</w:t>
      </w:r>
    </w:p>
    <w:p>
      <w:r>
        <w:t>PECR may apply to device storage/access or communications depending on implementation and workforce notices. EU AI Act or DORA is not assumed merely because the default context is UK insurance; reassess for EU entities, users or services. Records of prompts/outputs and code changes must satisfy legal hold, audit and deletion needs without creating unnecessary personal/confidential-data stores. Customer, claims, health, payment, authentication, production-vulnerability and regulated decision data remain prohibited until a DPIA and use-case approval say otherwise.</w:t>
      </w:r>
    </w:p>
    <w:p>
      <w:pPr>
        <w:pStyle w:val="Heading2"/>
      </w:pPr>
      <w:r>
        <w:t>12. Complete framework dispositions and mappings</w:t>
      </w:r>
    </w:p>
    <w:p>
      <w:r>
        <w:t>Validated SHA-256: 699f2f931c34601561311af943be45456088c71ffdb4ecd1a99036cd8705e77f.</w:t>
      </w:r>
    </w:p>
    <w:p>
      <w:r>
        <w:t>OWASP Top 10 for LLM Applications is applicable: prompt injection, sensitive-information disclosure, supply chain, data/model poisoning, improper output handling, excessive agency, system prompt leakage, vector/retrieval risks where connectors are used, misinformation and unbounded consumption inform findings CC-001 through CC-010. The most material paths are hostile repository instructions -&gt; tool selection -&gt; terminal/files/MCP, and prompts/code/transcripts -&gt; provider/telemetry/feedback/local storage.</w:t>
      </w:r>
    </w:p>
    <w:p>
      <w:r>
        <w:t>OWASP Agentic AI is applicable: goal hijacking, tool misuse, privilege abuse, identity/credential compromise, memory/context poisoning, insecure inter-agent communication, cascading failures, human-agent trust exploitation and agentic supply chain are credible. OWASP MCP guidance is applicable because the product hosts and connects MCP. Controls include server/tool allowlists, schema snapshots, per-call consent, token scoping, transport/auth validation, output sanitisation, rate limits, audit and denial of dynamic/unapproved discovery.</w:t>
      </w:r>
    </w:p>
    <w:p>
      <w:r>
        <w:t>MITRE ATLAS is applied selectively to prompt injection, context poisoning, AI agent tool invocation, exfiltration through tool invocation and supply-chain compromise. NIST AI RMF 1.0 and NIST AI 600-1 organize governance, scope, measurement, third-party, privacy, human oversight, information integrity, security and incident management. CIS Controls v8.1 applies to inventory, secure configuration, access, vulnerability management, logging, malware defenses, network monitoring, providers, application security, incident response and testing.</w:t>
      </w:r>
    </w:p>
    <w:p>
      <w:r>
        <w:t>ISO/IEC 27001:2022 Annex A is applicable to supplier/cloud relationships, identity/access, acceptable use, configuration, vulnerability management, logging/monitoring, data leakage prevention, secure development/change and incident management. NCSC secure-AI guidance applies across secure design, development, deployment, operation, supply chain and incident response. These mappings support controls; they do not certify the vendor or deploying organization.</w:t>
      </w:r>
    </w:p>
    <w:p>
      <w:r>
        <w:t>OWASP ASVS 5.0.0 Level 2 is partly applicable to the extension webview, provider/API authentication, access control, input/output handling, cryptography, communications, files, configuration and logging. Browser-session requirements not present in the inspected surface are Not applicable. UK GDPR/DPA 2018/ICO is applicable. FCA/PRA is conditionally applicable after firm/materiality verification. PECR is conditional. Microsoft Visual Studio-specific mappings are Not applicable because the product is unsupported there.</w:t>
      </w:r>
    </w:p>
    <w:p>
      <w:pPr>
        <w:pStyle w:val="Heading2"/>
      </w:pPr>
      <w:r>
        <w:t>13. Validated finding records and consolidated risk register</w:t>
      </w:r>
    </w:p>
    <w:p>
      <w:r>
        <w:t>Validated SHA-256: da64481bc2cea18351aa6023eb260b9c098d41fa2b63ba4df974435fac43cc2e.</w:t>
      </w:r>
    </w:p>
    <w:p>
      <w:r>
        <w:rPr>
          <w:b/>
        </w:rPr>
        <w:t>CC-001 Representative runtime evidence is unavailable.</w:t>
      </w:r>
      <w:r>
        <w:t xml:space="preserve"> A static-only approval could miss actual activation, child processes, network destinations, credential storage, consent, telemetry, transcript, update and uninstall behavior. Inherent likelihood 3, impact 4, score 12 High. Existing static/provenance controls are Moderate (2). Residual likelihood 3, impact 4, score 12 High. Owner: Endpoint Security Testing. Priority: P1 before pilot. Verification: complete the isolated plan in stage 7.</w:t>
      </w:r>
    </w:p>
    <w:p>
      <w:r>
        <w:rPr>
          <w:b/>
        </w:rPr>
        <w:t>CC-002 Agent authority can exceed user intent.</w:t>
      </w:r>
      <w:r>
        <w:t xml:space="preserve"> Hostile repository or tool content can steer terminal, file, Git, notebook or MCP actions; bypass/accept-edits modes and permission fatigue widen exposure. Inherent 4x5=20 Critical. Existing trust, permissions, sandbox and confirmations are Moderate (2) but configuration-dependent. Residual 3x4=12 High. Owner: Developer Platform. P1. Verify deny-first managed policy and adversarial negative tests.</w:t>
      </w:r>
    </w:p>
    <w:p>
      <w:r>
        <w:rPr>
          <w:b/>
        </w:rPr>
        <w:t>CC-003 Prompt, code and transcript privacy/retention may conflict with regulated use.</w:t>
      </w:r>
      <w:r>
        <w:t xml:space="preserve"> Prompts/code/outputs cross provider boundaries and plaintext local transcripts default to 30 days. Inherent 4x5=20 Critical. Commercial non-training terms, TLS, ZDR option and opt-outs are Moderate (2). Residual 3x4=12 High. Owner: Privacy and Data Protection. P1. Verify Enterprise/ZDR, disable persistence/nonessential traffic, DPIA and deletion.</w:t>
      </w:r>
    </w:p>
    <w:p>
      <w:r>
        <w:rPr>
          <w:b/>
        </w:rPr>
        <w:t>CC-004 Plugins, hooks, skills and MCP create an extensible supply-chain boundary.</w:t>
      </w:r>
      <w:r>
        <w:t xml:space="preserve"> Repository/user sources can add instructions, scripts, endpoints, tool permissions and persistent hooks. Inherent 4x5=20 Critical. Managed allow/deny/strict controls are Moderate (2) when configured. Residual 3x4=12 High. Owner: Software Supply Chain and Developer Platform. P1. Deny by default; assess immutable artefacts independently.</w:t>
      </w:r>
    </w:p>
    <w:p>
      <w:r>
        <w:rPr>
          <w:b/>
        </w:rPr>
        <w:t>CC-005 Opaque native code and incomplete source correspondence limit assurance.</w:t>
      </w:r>
      <w:r>
        <w:t xml:space="preserve"> The signed 257 MB native binary, ad-hoc audio module and minified bundles cannot be reproduced from the public repository; scanners could not inventory dependencies. Inherent 3x5=15 High. Marketplace hash and Developer ID signature are Moderate (2). Residual 2x5=10 High. Owner: Third-Party Risk. P1. Obtain SBOM/provenance, platform signatures and assurance evidence.</w:t>
      </w:r>
    </w:p>
    <w:p>
      <w:r>
        <w:rPr>
          <w:b/>
        </w:rPr>
        <w:t>CC-006 Recent security-advisory history demands enforced updates and regression tests.</w:t>
      </w:r>
      <w:r>
        <w:t xml:space="preserve"> Current 2.1.220 is outside published ranges, but recent classes include command, trust, sandbox, path and exfiltration flaws. Inherent 3x5=15 High. Public advisories and rapid fixes are Moderate (2). Residual 2x4=8 Moderate. Owner: Vulnerability Management. P1/P2. Enforce version bounds, monitor advisories and replay regressions.</w:t>
      </w:r>
    </w:p>
    <w:p>
      <w:r>
        <w:rPr>
          <w:b/>
        </w:rPr>
        <w:t>CC-007 Auto-update and platform-variant drift can invalidate approval.</w:t>
      </w:r>
      <w:r>
        <w:t xml:space="preserve"> Marketplace and embedded update paths can change code; only macOS ARM64 was acquired. Inherent 4x4=16 High. Version fields and hashes are Moderate (2). Residual 3x3=9 Moderate. Owner: Endpoint Engineering. P2. Stage updates, pin approved windows and hash every platform.</w:t>
      </w:r>
    </w:p>
    <w:p>
      <w:r>
        <w:rPr>
          <w:b/>
        </w:rPr>
        <w:t>CC-008 Compatibility and workspace-trust behavior need host proof.</w:t>
      </w:r>
      <w:r>
        <w:t xml:space="preserve"> Marketplace says VS Code 1.98+, manifest/docs 1.94+; the manifest says untrusted workspaces are unsupported. Inherent 3x3=9 Moderate. Host Restricted Mode is potentially Strong but untested (1 recorded because not verified). Residual 2x3=6 Moderate. Owner: Endpoint Engineering. P2. Use 1.98+ and verify activation denial before trust.</w:t>
      </w:r>
    </w:p>
    <w:p>
      <w:r>
        <w:rPr>
          <w:b/>
        </w:rPr>
        <w:t>CC-009 Built-in and external MCP tool behavior is incompletely observed.</w:t>
      </w:r>
      <w:r>
        <w:t xml:space="preserve"> Hidden IDE MCP plus configurable servers can read diagnostics, execute notebook code and reach third parties. Inherent 3x5=15 High. Jupyter Quick Pick and managed MCP controls are Moderate (2). Residual 3x3=9 Moderate. Owner: AI Platform Security. P1. Snapshot tools/schemas, deny unknown servers/tools, validate consent and output handling.</w:t>
      </w:r>
    </w:p>
    <w:p>
      <w:r>
        <w:rPr>
          <w:b/>
        </w:rPr>
        <w:t>CC-010 Optional skill/plugin artefacts require independent approval.</w:t>
      </w:r>
      <w:r>
        <w:t xml:space="preserve"> Ten repository skills and related scripts/hooks are separately installable and can generate or pre-authorise powerful behavior. Inherent 3x5=15 High. Not installed by default and managed controls are Moderate (2). Residual 2x4=8 Moderate. Owner: Plugin Governance. P2. Transitive review, immutable pin, no wildcard tools, isolated testing and audit.</w:t>
      </w:r>
    </w:p>
    <w:p>
      <w:pPr>
        <w:pStyle w:val="Heading2"/>
      </w:pPr>
      <w:r>
        <w:t>14. Enterprise controls, detection, monitoring and verification</w:t>
      </w:r>
    </w:p>
    <w:p>
      <w:r>
        <w:t>Validated SHA-256: d12b36005c5c77654ccfaa26332ca427aa5d700f9daee98ebd33666d900c1c02.</w:t>
      </w:r>
    </w:p>
    <w:p>
      <w:r>
        <w:rPr>
          <w:b/>
        </w:rPr>
        <w:t>Before pilot (0-30 days):</w:t>
      </w:r>
      <w:r>
        <w:t xml:space="preserve"> assign accountable Developer Platform, Security, Privacy, Third-Party Risk and Endpoint owners; approve only extension ID/version/platform/digest; use a managed commercial/Enterprise tenant; complete DPIA and supplier review; set conservative VS Code 1.98+; deploy managed settings that force manual/default permission mode, deny bypass, fail closed when sandbox unavailable, disallow unsandboxed commands, protect credential files/environment, restrict readable/writable roots and restrict network domains.</w:t>
      </w:r>
    </w:p>
    <w:p>
      <w:r>
        <w:t>Disable project/user MCP, hooks, plugins, skills and sideload flags unless explicitly allowlisted. Use strict known marketplaces, disable shell execution in skills, disable remote control/background agent/workflows where not required, set managed-only permission/hook/MCP sources, disable feedback/nonessential traffic, disable or minimise local transcript persistence, enforce provider and organization identity, and configure required minimum/maximum versions. Do not store API keys in project files or ordinary environment variables when approved secure broker/storage is available.</w:t>
      </w:r>
    </w:p>
    <w:p>
      <w:r>
        <w:rPr>
          <w:b/>
        </w:rPr>
        <w:t>Pilot (30-60 days):</w:t>
      </w:r>
      <w:r>
        <w:t xml:space="preserve"> execute the stage-7 runtime plan with synthetic data. Capture tools/schemas, process trees, connections, files, logs, keychain metadata and residue. Test prompt injection, command parsing, symlink/worktree/path cases from vendor advisories, MCP tool poisoning, notebook consent, restricted workspaces, plugin installation denial, update staging and rollback. Validate that sandbox denial is OS-enforced and that policy cannot be weakened by repository or user files.</w:t>
      </w:r>
    </w:p>
    <w:p>
      <w:r>
        <w:rPr>
          <w:b/>
        </w:rPr>
        <w:t>Operational monitoring:</w:t>
      </w:r>
      <w:r>
        <w:t xml:space="preserve"> inventory extension ID/version/platform/hash and managed policy version; alert on unapproved versions, new extensions, settings drift, bypass mode, sandbox degradation, MCP server/tool changes, marketplace/plugin additions, hook/skill file creation, unexpected child processes, new listening ports, outbound domains, transcript/feedback growth, authentication failures and policy-helper/process-wrapper changes. Retain logs proportionately without collecting source/prompt content by default.</w:t>
      </w:r>
    </w:p>
    <w:p>
      <w:r>
        <w:rPr>
          <w:b/>
        </w:rPr>
        <w:t>Response and exit:</w:t>
      </w:r>
      <w:r>
        <w:t xml:space="preserve"> maintain rapid disable/uninstall, credential revocation, version rollback, network block and marketplace/MCP kill switches. Incident playbooks cover suspected prompt injection, secret exposure, malicious plugin/skill/MCP, compromised update, transcript leak and provider incident. Quarterly and material-change reviews must reassess advisories, hashes, provider terms, retention, subprocessors, capabilities and residual risk. Exit evidence must prove removal of extension, processes, secrets, plugins, MCP, hooks, skills, transcripts and caches or document authorised retention.</w:t>
      </w:r>
    </w:p>
    <w:p>
      <w:pPr>
        <w:pStyle w:val="Heading2"/>
      </w:pPr>
      <w:r>
        <w:t>15. Claim-to-evidence manifest and report QA record</w:t>
      </w:r>
    </w:p>
    <w:p>
      <w:r>
        <w:t>Validated SHA-256: 5ac34e76f3c52d32c4c132ec02ae12449cbffc827297d26c419320aff02c201f.</w:t>
      </w:r>
    </w:p>
    <w:p>
      <w:r>
        <w:t>Claim groups are bound as follows. Identity/version/platform/publisher claims use Marketplace listing/Gallery metadata and exact package manifest (`EVD-001` through `EVD-004`). Archive contents, hashes, source provenance and native signatures use `EVD-003` through `EVD-006`. Static behavior, scanner scope and manual triage use `EVD-004`, `EVD-007`, `EVD-008`, `EVD-009` and `EVD-012`. Advisory disposition uses `EVD-013`. Privacy/telemetry/retention claims use current primary vendor documentation (`EVD-010`, `EVD-011`). MCP and Agent Skill claims use package schema, vendor docs and repository inventory (`EVD-004`, `EVD-010`, `EVD-017`). Runtime limitations use `EVD-016`.</w:t>
      </w:r>
    </w:p>
    <w:p>
      <w:r>
        <w:t>Evidence-state checks preserve `Verified`, `Inferred`, `Not observed`, `Not applicable` and `Unknown`. The report does not convert scanner non-detection into absence, an unsupported Visual Studio surface into an assessment, a current patched version into a vulnerable finding, a public repository into complete product source, or a runtime plan into runtime evidence. Internal governance and lessons material is excluded from all assessment artefacts.</w:t>
      </w:r>
    </w:p>
    <w:p>
      <w:r>
        <w:t>Scoring checks recalculate every finding as likelihood times impact and apply bands 1-4 Low, 5-9 Moderate, 10-16 High and 17-25 Critical. Control strength is descriptive and residual likelihood/impact are independently rescored. Each finding includes scope, scenario, evidence, controls, remediation, owner, priority, target/trigger, verification and confidence.</w:t>
      </w:r>
    </w:p>
    <w:p>
      <w:r>
        <w:t>Report assembly is allowed only from all 15 hash-bound validated stages. The DOCX must include five executive outcomes, explicit decision/conditions, self-contained VS Code and Visual Studio parts, Agent Skills disposition, at least one accessible trust-boundary figure, detailed findings, risk legend, framework dispositions, controls/monitoring, evidence register, references and appendices. Every in-text `REF-nnn` must link to a unique bookmark and every reference entry must link externally.</w:t>
      </w:r>
    </w:p>
    <w:p>
      <w:r>
        <w:t>Final QA remains pending until the generated DOCX passes the repository validator, native Microsoft Word rendering and every-page inspection, accessibility audit, metadata/privacy scrub and audit, bookmark/external-link inspection, scoring check, secure review and final SHA-256 readback. Any deterministic or visual failure is a shipping blocker. The final QA JSON will bind the report digest, page count, render result and all eight quality checks.</w:t>
      </w:r>
    </w:p>
    <w:p>
      <w:pPr>
        <w:pStyle w:val="Heading1"/>
      </w:pPr>
      <w:r>
        <w:t>Glossary</w:t>
      </w:r>
    </w:p>
    <w:tbl>
      <w:tblPr>
        <w:tblStyle w:val="TableGrid"/>
        <w:tblW w:type="auto" w:w="0"/>
        <w:jc w:val="center"/>
        <w:tblLayout w:type="fixed"/>
        <w:tblLook w:firstColumn="1" w:firstRow="1" w:lastColumn="0" w:lastRow="0" w:noHBand="0" w:noVBand="1" w:val="04A0"/>
      </w:tblPr>
      <w:tblGrid>
        <w:gridCol w:w="1872"/>
        <w:gridCol w:w="7488"/>
      </w:tblGrid>
      <w:tr>
        <w:trPr>
          <w:tblHeader/>
        </w:trPr>
        <w:tc>
          <w:tcPr>
            <w:tcW w:type="dxa" w:w="1872"/>
            <w:shd w:fill="17365D"/>
            <w:tcMar>
              <w:top w:w="80" w:type="dxa"/>
              <w:start w:w="120" w:type="dxa"/>
              <w:bottom w:w="80" w:type="dxa"/>
              <w:end w:w="120" w:type="dxa"/>
            </w:tcMar>
            <w:vAlign w:val="center"/>
          </w:tcPr>
          <w:p>
            <w:r>
              <w:rPr>
                <w:b/>
                <w:color w:val="FFFFFF"/>
                <w:sz w:val="14"/>
              </w:rPr>
              <w:t>Term</w:t>
            </w:r>
          </w:p>
        </w:tc>
        <w:tc>
          <w:tcPr>
            <w:tcW w:type="dxa" w:w="7488"/>
            <w:shd w:fill="17365D"/>
            <w:tcMar>
              <w:top w:w="80" w:type="dxa"/>
              <w:start w:w="120" w:type="dxa"/>
              <w:bottom w:w="80" w:type="dxa"/>
              <w:end w:w="120" w:type="dxa"/>
            </w:tcMar>
            <w:vAlign w:val="center"/>
          </w:tcPr>
          <w:p>
            <w:r>
              <w:rPr>
                <w:b/>
                <w:color w:val="FFFFFF"/>
                <w:sz w:val="14"/>
              </w:rPr>
              <w:t>Meaning</w:t>
            </w:r>
          </w:p>
        </w:tc>
      </w:tr>
      <w:tr>
        <w:trPr>
          <w:cantSplit/>
        </w:trPr>
        <w:tc>
          <w:tcPr>
            <w:tcW w:type="dxa" w:w="1872"/>
            <w:tcMar>
              <w:top w:w="80" w:type="dxa"/>
              <w:start w:w="120" w:type="dxa"/>
              <w:bottom w:w="80" w:type="dxa"/>
              <w:end w:w="120" w:type="dxa"/>
            </w:tcMar>
            <w:vAlign w:val="center"/>
          </w:tcPr>
          <w:p>
            <w:pPr>
              <w:spacing w:after="30"/>
            </w:pPr>
            <w:r>
              <w:rPr>
                <w:sz w:val="14"/>
              </w:rPr>
              <w:t>Agent Skill</w:t>
            </w:r>
          </w:p>
        </w:tc>
        <w:tc>
          <w:tcPr>
            <w:tcW w:type="dxa" w:w="7488"/>
            <w:tcMar>
              <w:top w:w="80" w:type="dxa"/>
              <w:start w:w="120" w:type="dxa"/>
              <w:bottom w:w="80" w:type="dxa"/>
              <w:end w:w="120" w:type="dxa"/>
            </w:tcMar>
            <w:vAlign w:val="center"/>
          </w:tcPr>
          <w:p>
            <w:pPr>
              <w:spacing w:after="30"/>
            </w:pPr>
            <w:r>
              <w:rPr>
                <w:sz w:val="14"/>
              </w:rPr>
              <w:t>A governed instruction artefact, typically SKILL.md plus transitive files, distinct from MCP tools.</w:t>
            </w:r>
          </w:p>
        </w:tc>
      </w:tr>
      <w:tr>
        <w:trPr>
          <w:cantSplit/>
        </w:trPr>
        <w:tc>
          <w:tcPr>
            <w:tcW w:type="dxa" w:w="1872"/>
            <w:tcMar>
              <w:top w:w="80" w:type="dxa"/>
              <w:start w:w="120" w:type="dxa"/>
              <w:bottom w:w="80" w:type="dxa"/>
              <w:end w:w="120" w:type="dxa"/>
            </w:tcMar>
            <w:vAlign w:val="center"/>
            <w:shd w:fill="F3F6F8"/>
          </w:tcPr>
          <w:p>
            <w:pPr>
              <w:spacing w:after="30"/>
            </w:pPr>
            <w:r>
              <w:rPr>
                <w:sz w:val="14"/>
              </w:rPr>
              <w:t>MCP</w:t>
            </w:r>
          </w:p>
        </w:tc>
        <w:tc>
          <w:tcPr>
            <w:tcW w:type="dxa" w:w="7488"/>
            <w:tcMar>
              <w:top w:w="80" w:type="dxa"/>
              <w:start w:w="120" w:type="dxa"/>
              <w:bottom w:w="80" w:type="dxa"/>
              <w:end w:w="120" w:type="dxa"/>
            </w:tcMar>
            <w:vAlign w:val="center"/>
            <w:shd w:fill="F3F6F8"/>
          </w:tcPr>
          <w:p>
            <w:pPr>
              <w:spacing w:after="30"/>
            </w:pPr>
            <w:r>
              <w:rPr>
                <w:sz w:val="14"/>
              </w:rPr>
              <w:t>Model Context Protocol for connecting hosts/models to servers, tools, resources and prompts.</w:t>
            </w:r>
          </w:p>
        </w:tc>
      </w:tr>
      <w:tr>
        <w:trPr>
          <w:cantSplit/>
        </w:trPr>
        <w:tc>
          <w:tcPr>
            <w:tcW w:type="dxa" w:w="1872"/>
            <w:tcMar>
              <w:top w:w="80" w:type="dxa"/>
              <w:start w:w="120" w:type="dxa"/>
              <w:bottom w:w="80" w:type="dxa"/>
              <w:end w:w="120" w:type="dxa"/>
            </w:tcMar>
            <w:vAlign w:val="center"/>
          </w:tcPr>
          <w:p>
            <w:pPr>
              <w:spacing w:after="30"/>
            </w:pPr>
            <w:r>
              <w:rPr>
                <w:sz w:val="14"/>
              </w:rPr>
              <w:t>ZDR</w:t>
            </w:r>
          </w:p>
        </w:tc>
        <w:tc>
          <w:tcPr>
            <w:tcW w:type="dxa" w:w="7488"/>
            <w:tcMar>
              <w:top w:w="80" w:type="dxa"/>
              <w:start w:w="120" w:type="dxa"/>
              <w:bottom w:w="80" w:type="dxa"/>
              <w:end w:w="120" w:type="dxa"/>
            </w:tcMar>
            <w:vAlign w:val="center"/>
          </w:tcPr>
          <w:p>
            <w:pPr>
              <w:spacing w:after="30"/>
            </w:pPr>
            <w:r>
              <w:rPr>
                <w:sz w:val="14"/>
              </w:rPr>
              <w:t>Zero Data Retention, subject to provider contract and organization configuration.</w:t>
            </w:r>
          </w:p>
        </w:tc>
      </w:tr>
      <w:tr>
        <w:trPr>
          <w:cantSplit/>
        </w:trPr>
        <w:tc>
          <w:tcPr>
            <w:tcW w:type="dxa" w:w="1872"/>
            <w:tcMar>
              <w:top w:w="80" w:type="dxa"/>
              <w:start w:w="120" w:type="dxa"/>
              <w:bottom w:w="80" w:type="dxa"/>
              <w:end w:w="120" w:type="dxa"/>
            </w:tcMar>
            <w:vAlign w:val="center"/>
            <w:shd w:fill="F3F6F8"/>
          </w:tcPr>
          <w:p>
            <w:pPr>
              <w:spacing w:after="30"/>
            </w:pPr>
            <w:r>
              <w:rPr>
                <w:sz w:val="14"/>
              </w:rPr>
              <w:t>VSIX</w:t>
            </w:r>
          </w:p>
        </w:tc>
        <w:tc>
          <w:tcPr>
            <w:tcW w:type="dxa" w:w="7488"/>
            <w:tcMar>
              <w:top w:w="80" w:type="dxa"/>
              <w:start w:w="120" w:type="dxa"/>
              <w:bottom w:w="80" w:type="dxa"/>
              <w:end w:w="120" w:type="dxa"/>
            </w:tcMar>
            <w:vAlign w:val="center"/>
            <w:shd w:fill="F3F6F8"/>
          </w:tcPr>
          <w:p>
            <w:pPr>
              <w:spacing w:after="30"/>
            </w:pPr>
            <w:r>
              <w:rPr>
                <w:sz w:val="14"/>
              </w:rPr>
              <w:t>Visual Studio Code extension package; not equivalent to a Microsoft Visual Studio extension.</w:t>
            </w:r>
          </w:p>
        </w:tc>
      </w:tr>
      <w:tr>
        <w:trPr>
          <w:cantSplit/>
        </w:trPr>
        <w:tc>
          <w:tcPr>
            <w:tcW w:type="dxa" w:w="1872"/>
            <w:tcMar>
              <w:top w:w="80" w:type="dxa"/>
              <w:start w:w="120" w:type="dxa"/>
              <w:bottom w:w="80" w:type="dxa"/>
              <w:end w:w="120" w:type="dxa"/>
            </w:tcMar>
            <w:vAlign w:val="center"/>
          </w:tcPr>
          <w:p>
            <w:pPr>
              <w:spacing w:after="30"/>
            </w:pPr>
            <w:r>
              <w:rPr>
                <w:sz w:val="14"/>
              </w:rPr>
              <w:t>Residual risk</w:t>
            </w:r>
          </w:p>
        </w:tc>
        <w:tc>
          <w:tcPr>
            <w:tcW w:type="dxa" w:w="7488"/>
            <w:tcMar>
              <w:top w:w="80" w:type="dxa"/>
              <w:start w:w="120" w:type="dxa"/>
              <w:bottom w:w="80" w:type="dxa"/>
              <w:end w:w="120" w:type="dxa"/>
            </w:tcMar>
            <w:vAlign w:val="center"/>
          </w:tcPr>
          <w:p>
            <w:pPr>
              <w:spacing w:after="30"/>
            </w:pPr>
            <w:r>
              <w:rPr>
                <w:sz w:val="14"/>
              </w:rPr>
              <w:t>Risk remaining after considering verified controls.</w:t>
            </w:r>
          </w:p>
        </w:tc>
      </w:tr>
      <w:tr>
        <w:trPr>
          <w:cantSplit/>
        </w:trPr>
        <w:tc>
          <w:tcPr>
            <w:tcW w:type="dxa" w:w="1872"/>
            <w:tcMar>
              <w:top w:w="80" w:type="dxa"/>
              <w:start w:w="120" w:type="dxa"/>
              <w:bottom w:w="80" w:type="dxa"/>
              <w:end w:w="120" w:type="dxa"/>
            </w:tcMar>
            <w:vAlign w:val="center"/>
            <w:shd w:fill="F3F6F8"/>
          </w:tcPr>
          <w:p>
            <w:pPr>
              <w:spacing w:after="30"/>
            </w:pPr>
            <w:r>
              <w:rPr>
                <w:sz w:val="14"/>
              </w:rPr>
              <w:t>Verified / Inferred / Unknown</w:t>
            </w:r>
          </w:p>
        </w:tc>
        <w:tc>
          <w:tcPr>
            <w:tcW w:type="dxa" w:w="7488"/>
            <w:tcMar>
              <w:top w:w="80" w:type="dxa"/>
              <w:start w:w="120" w:type="dxa"/>
              <w:bottom w:w="80" w:type="dxa"/>
              <w:end w:w="120" w:type="dxa"/>
            </w:tcMar>
            <w:vAlign w:val="center"/>
            <w:shd w:fill="F3F6F8"/>
          </w:tcPr>
          <w:p>
            <w:pPr>
              <w:spacing w:after="30"/>
            </w:pPr>
            <w:r>
              <w:rPr>
                <w:sz w:val="14"/>
              </w:rPr>
              <w:t>Evidence dispositions separating observation, reasoning and unavailable evidence.</w:t>
            </w:r>
          </w:p>
        </w:tc>
      </w:tr>
    </w:tbl>
    <w:p>
      <w:pPr>
        <w:spacing w:after="40"/>
      </w:pPr>
    </w:p>
    <w:p>
      <w:pPr>
        <w:pStyle w:val="Heading1"/>
      </w:pPr>
      <w:r>
        <w:t>Final QA Record</w:t>
      </w:r>
    </w:p>
    <w:p>
      <w:r>
        <w:t>The retained `final-qa.json` records deterministic report validation, Microsoft Word page count and every-page inspection, accessibility, metadata/privacy, citation-link, scoring and secure-review results, plus the final report SHA-256. The report is not deliverable as authoritative until all checks pass.</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INTERNAL | </w:t>
    </w:r>
    <w:r>
      <w:rPr>
        <w:color w:val="666666"/>
        <w:sz w:val="16"/>
      </w:rPr>
      <w:fldChar w:fldCharType="begin"/>
    </w:r>
    <w:r>
      <w:rPr>
        <w:color w:val="666666"/>
        <w:sz w:val="16"/>
      </w:rPr>
      <w:instrText xml:space="preserve">PAGE</w:instrText>
    </w:r>
    <w:r>
      <w:rPr>
        <w:color w:val="666666"/>
        <w:sz w:val="16"/>
      </w:rPr>
      <w:fldChar w:fldCharType="separate"/>
    </w:r>
    <w:r>
      <w:rPr>
        <w:color w:val="666666"/>
        <w:sz w:val="16"/>
      </w:rPr>
      <w:t xml:space="preserve">1</w:t>
    </w:r>
    <w:r>
      <w:rPr>
        <w:color w:val="666666"/>
        <w:sz w:val="16"/>
      </w:rPr>
      <w:fldChar w:fldCharType="end"/>
    </w:r>
    <w:r>
      <w:rPr>
        <w:color w:val="666666"/>
        <w:sz w:val="16"/>
      </w:rPr>
      <w:t xml:space="preserve"> | 2026-07-26-v1.0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Claude Code for VS Code | Security Assessment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B8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5B8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245B8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anthropic.claude-code" TargetMode="External"/><Relationship Id="rId13" Type="http://schemas.openxmlformats.org/officeDocument/2006/relationships/hyperlink" Target="https://marketplace.visualstudio.com/_apis/public/gallery/extensionquery" TargetMode="External"/><Relationship Id="rId14" Type="http://schemas.openxmlformats.org/officeDocument/2006/relationships/hyperlink" Target="https://code.claude.com/docs/en/vs-code" TargetMode="External"/><Relationship Id="rId15" Type="http://schemas.openxmlformats.org/officeDocument/2006/relationships/hyperlink" Target="https://github.com/anthropics/claude-code" TargetMode="External"/><Relationship Id="rId16" Type="http://schemas.openxmlformats.org/officeDocument/2006/relationships/hyperlink" Target="https://github.com/anthropics/claude-code/releases/tag/v2.1.220" TargetMode="External"/><Relationship Id="rId17" Type="http://schemas.openxmlformats.org/officeDocument/2006/relationships/hyperlink" Target="https://code.claude.com/docs/en/security" TargetMode="External"/><Relationship Id="rId18" Type="http://schemas.openxmlformats.org/officeDocument/2006/relationships/hyperlink" Target="https://code.claude.com/docs/en/permissions" TargetMode="External"/><Relationship Id="rId19" Type="http://schemas.openxmlformats.org/officeDocument/2006/relationships/hyperlink" Target="https://code.claude.com/docs/en/data-usage" TargetMode="External"/><Relationship Id="rId20" Type="http://schemas.openxmlformats.org/officeDocument/2006/relationships/hyperlink" Target="https://code.claude.com/docs/en/legal-and-compliance" TargetMode="External"/><Relationship Id="rId21" Type="http://schemas.openxmlformats.org/officeDocument/2006/relationships/hyperlink" Target="https://www.anthropic.com/legal/privacy" TargetMode="External"/><Relationship Id="rId22" Type="http://schemas.openxmlformats.org/officeDocument/2006/relationships/hyperlink" Target="https://github.com/anthropics/claude-code/security/advisories" TargetMode="External"/><Relationship Id="rId23" Type="http://schemas.openxmlformats.org/officeDocument/2006/relationships/hyperlink" Target="https://code.claude.com/docs/en/skills" TargetMode="External"/><Relationship Id="rId24" Type="http://schemas.openxmlformats.org/officeDocument/2006/relationships/hyperlink" Target="https://code.claude.com/docs/en/features-overview" TargetMode="External"/><Relationship Id="rId25" Type="http://schemas.openxmlformats.org/officeDocument/2006/relationships/hyperlink" Target="https://genai.owasp.org/llm-top-10/" TargetMode="External"/><Relationship Id="rId26" Type="http://schemas.openxmlformats.org/officeDocument/2006/relationships/hyperlink" Target="https://genai.owasp.org/resource/agentic-ai-threats-and-mitigations/" TargetMode="External"/><Relationship Id="rId27" Type="http://schemas.openxmlformats.org/officeDocument/2006/relationships/hyperlink" Target="https://github.com/OWASP/ASVS/releases/tag/v5.0.0_release" TargetMode="External"/><Relationship Id="rId28" Type="http://schemas.openxmlformats.org/officeDocument/2006/relationships/hyperlink" Target="https://atlas.mitre.org/" TargetMode="External"/><Relationship Id="rId29" Type="http://schemas.openxmlformats.org/officeDocument/2006/relationships/hyperlink" Target="https://www.nist.gov/publications/artificial-intelligence-risk-management-framework-ai-rmf-10" TargetMode="External"/><Relationship Id="rId30" Type="http://schemas.openxmlformats.org/officeDocument/2006/relationships/hyperlink" Target="https://www.nist.gov/itl/ai-risk-management-framework/ai-risk-management-framework-resources" TargetMode="External"/><Relationship Id="rId31" Type="http://schemas.openxmlformats.org/officeDocument/2006/relationships/hyperlink" Target="https://www.ncsc.gov.uk/collection/guidelines-secure-ai-system-development" TargetMode="External"/><Relationship Id="rId32" Type="http://schemas.openxmlformats.org/officeDocument/2006/relationships/hyperlink" Target="https://www.cisecurity.org/controls" TargetMode="External"/><Relationship Id="rId33" Type="http://schemas.openxmlformats.org/officeDocument/2006/relationships/hyperlink" Target="https://ico.org.uk/for-organisations/uk-gdpr-guidance-and-resources/artificial-intelligence/guidance-on-ai-and-data-protection/about-this-guidance/" TargetMode="External"/><Relationship Id="rId34" Type="http://schemas.openxmlformats.org/officeDocument/2006/relationships/hyperlink" Target="https://www.fca.org.uk/firms/operational-resilience" TargetMode="External"/><Relationship Id="rId35" Type="http://schemas.openxmlformats.org/officeDocument/2006/relationships/hyperlink" Target="https://www.bankofengland.co.uk/prudential-regulation/publication/2021/march/outsourcing-and-third-party-risk-management-ss" TargetMode="External"/><Relationship Id="rId36" Type="http://schemas.openxmlformats.org/officeDocument/2006/relationships/hyperlink" Target="https://www.legislation.gov.uk/ukpga/2018/12/contents" TargetMode="External"/><Relationship Id="rId37" Type="http://schemas.openxmlformats.org/officeDocument/2006/relationships/hyperlink" Target="https://modelcontextprotocol.io/specification/2025-1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Anthropic Claude Code for VS Code 2.1.220 Security Assessment</dc:title>
  <dc:subject>Evidence-led VS Code extension security assessment</dc:subject>
  <dc:creator>SoloSentry Assessment Environment</dc:creator>
  <cp:keywords>VS Code, Claude Code, Anthropic, security, privacy, MCP, Agent Skills</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