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48"/>
          <w:lang w:val="en-GB"/>
        </w:rPr>
        <w:t>Postman MCP Server Local and Remote Deployment Security Assessment</w:t>
      </w:r>
    </w:p>
    <w:p>
      <w:pPr>
        <w:jc w:val="center"/>
      </w:pPr>
      <w:r>
        <w:rPr>
          <w:i/>
          <w:lang w:val="en-GB"/>
        </w:rPr>
        <w:t>Microsoft IDE AI Extension Security Assessment</w:t>
      </w:r>
    </w:p>
    <w:p>
      <w:pPr>
        <w:pStyle w:val="Heading1"/>
      </w:pPr>
      <w:r>
        <w:rPr>
          <w:lang w:val="en-GB"/>
        </w:rPr>
        <w:t>Document Control</w:t>
      </w:r>
    </w:p>
    <w:p>
      <w:pPr>
        <w:pStyle w:val="Caption"/>
      </w:pPr>
      <w:r>
        <w:rPr>
          <w:b/>
          <w:lang w:val="en-GB"/>
        </w:rPr>
        <w:t>Table 1 — Document control</w:t>
      </w:r>
    </w:p>
    <w:tbl>
      <w:tblPr>
        <w:tblStyle w:val="TableGrid"/>
        <w:tblW w:type="dxa" w:w="9360"/>
        <w:tblLayout w:type="fixed"/>
        <w:tblLook w:firstColumn="1" w:firstRow="1" w:lastColumn="0" w:lastRow="0" w:noHBand="0" w:noVBand="1" w:val="04A0"/>
        <w:tblInd w:w="120" w:type="dxa"/>
      </w:tblPr>
      <w:tblGrid>
        <w:gridCol w:w="1938"/>
        <w:gridCol w:w="7422"/>
      </w:tblGrid>
      <w:tr>
        <w:trPr>
          <w:tblHeader w:val="true"/>
        </w:trPr>
        <w:tc>
          <w:tcPr>
            <w:tcW w:type="dxa" w:w="1938"/>
            <w:shd w:fill="F2F4F7"/>
            <w:vAlign w:val="center"/>
            <w:tcMar>
              <w:top w:w="80" w:type="dxa"/>
              <w:start w:w="120" w:type="dxa"/>
              <w:bottom w:w="80" w:type="dxa"/>
              <w:end w:w="120" w:type="dxa"/>
            </w:tcMar>
          </w:tcPr>
          <w:p>
            <w:r>
              <w:rPr>
                <w:b/>
                <w:sz w:val="16"/>
                <w:lang w:val="en-GB"/>
              </w:rPr>
              <w:t>Field</w:t>
            </w:r>
          </w:p>
        </w:tc>
        <w:tc>
          <w:tcPr>
            <w:tcW w:type="dxa" w:w="7422"/>
            <w:shd w:fill="F2F4F7"/>
            <w:vAlign w:val="center"/>
            <w:tcMar>
              <w:top w:w="80" w:type="dxa"/>
              <w:start w:w="120" w:type="dxa"/>
              <w:bottom w:w="80" w:type="dxa"/>
              <w:end w:w="120" w:type="dxa"/>
            </w:tcMar>
          </w:tcPr>
          <w:p>
            <w:r>
              <w:rPr>
                <w:b/>
                <w:sz w:val="16"/>
                <w:lang w:val="en-GB"/>
              </w:rPr>
              <w:t>Value</w:t>
            </w:r>
          </w:p>
        </w:tc>
      </w:tr>
      <w:tr>
        <w:tc>
          <w:tcPr>
            <w:tcW w:type="dxa" w:w="1938"/>
            <w:vAlign w:val="center"/>
            <w:tcMar>
              <w:top w:w="80" w:type="dxa"/>
              <w:start w:w="120" w:type="dxa"/>
              <w:bottom w:w="80" w:type="dxa"/>
              <w:end w:w="120" w:type="dxa"/>
            </w:tcMar>
          </w:tcPr>
          <w:p>
            <w:r>
              <w:rPr>
                <w:sz w:val="16"/>
                <w:lang w:val="en-GB"/>
              </w:rPr>
              <w:t>Assessment</w:t>
            </w:r>
          </w:p>
        </w:tc>
        <w:tc>
          <w:tcPr>
            <w:tcW w:type="dxa" w:w="7422"/>
            <w:vAlign w:val="center"/>
            <w:tcMar>
              <w:top w:w="80" w:type="dxa"/>
              <w:start w:w="120" w:type="dxa"/>
              <w:bottom w:w="80" w:type="dxa"/>
              <w:end w:w="120" w:type="dxa"/>
            </w:tcMar>
          </w:tcPr>
          <w:p>
            <w:r>
              <w:rPr>
                <w:sz w:val="16"/>
                <w:lang w:val="en-GB"/>
              </w:rPr>
              <w:t>Postman MCP Server</w:t>
            </w:r>
          </w:p>
        </w:tc>
      </w:tr>
      <w:tr>
        <w:tc>
          <w:tcPr>
            <w:tcW w:type="dxa" w:w="1938"/>
            <w:vAlign w:val="center"/>
            <w:tcMar>
              <w:top w:w="80" w:type="dxa"/>
              <w:start w:w="120" w:type="dxa"/>
              <w:bottom w:w="80" w:type="dxa"/>
              <w:end w:w="120" w:type="dxa"/>
            </w:tcMar>
          </w:tcPr>
          <w:p>
            <w:r>
              <w:rPr>
                <w:sz w:val="16"/>
                <w:lang w:val="en-GB"/>
              </w:rPr>
              <w:t>Target</w:t>
            </w:r>
          </w:p>
        </w:tc>
        <w:tc>
          <w:tcPr>
            <w:tcW w:type="dxa" w:w="7422"/>
            <w:vAlign w:val="center"/>
            <w:tcMar>
              <w:top w:w="80" w:type="dxa"/>
              <w:start w:w="120" w:type="dxa"/>
              <w:bottom w:w="80" w:type="dxa"/>
              <w:end w:w="120" w:type="dxa"/>
            </w:tcMar>
          </w:tcPr>
          <w:p>
            <w:r>
              <w:rPr>
                <w:sz w:val="16"/>
                <w:lang w:val="en-GB"/>
              </w:rPr>
              <w:t>Postman MCP Server Local and Remote Deployment Security Assessment</w:t>
            </w:r>
          </w:p>
        </w:tc>
      </w:tr>
      <w:tr>
        <w:tc>
          <w:tcPr>
            <w:tcW w:type="dxa" w:w="1938"/>
            <w:vAlign w:val="center"/>
            <w:tcMar>
              <w:top w:w="80" w:type="dxa"/>
              <w:start w:w="120" w:type="dxa"/>
              <w:bottom w:w="80" w:type="dxa"/>
              <w:end w:w="120" w:type="dxa"/>
            </w:tcMar>
          </w:tcPr>
          <w:p>
            <w:r>
              <w:rPr>
                <w:sz w:val="16"/>
                <w:lang w:val="en-GB"/>
              </w:rPr>
              <w:t>Publisher</w:t>
            </w:r>
          </w:p>
        </w:tc>
        <w:tc>
          <w:tcPr>
            <w:tcW w:type="dxa" w:w="7422"/>
            <w:vAlign w:val="center"/>
            <w:tcMar>
              <w:top w:w="80" w:type="dxa"/>
              <w:start w:w="120" w:type="dxa"/>
              <w:bottom w:w="80" w:type="dxa"/>
              <w:end w:w="120" w:type="dxa"/>
            </w:tcMar>
          </w:tcPr>
          <w:p>
            <w:r>
              <w:rPr>
                <w:sz w:val="16"/>
                <w:lang w:val="en-GB"/>
              </w:rPr>
              <w:t>Postman Inc</w:t>
            </w:r>
          </w:p>
        </w:tc>
      </w:tr>
      <w:tr>
        <w:tc>
          <w:tcPr>
            <w:tcW w:type="dxa" w:w="1938"/>
            <w:vAlign w:val="center"/>
            <w:tcMar>
              <w:top w:w="80" w:type="dxa"/>
              <w:start w:w="120" w:type="dxa"/>
              <w:bottom w:w="80" w:type="dxa"/>
              <w:end w:w="120" w:type="dxa"/>
            </w:tcMar>
          </w:tcPr>
          <w:p>
            <w:r>
              <w:rPr>
                <w:sz w:val="16"/>
                <w:lang w:val="en-GB"/>
              </w:rPr>
              <w:t>Extension ID</w:t>
            </w:r>
          </w:p>
        </w:tc>
        <w:tc>
          <w:tcPr>
            <w:tcW w:type="dxa" w:w="7422"/>
            <w:vAlign w:val="center"/>
            <w:tcMar>
              <w:top w:w="80" w:type="dxa"/>
              <w:start w:w="120" w:type="dxa"/>
              <w:bottom w:w="80" w:type="dxa"/>
              <w:end w:w="120" w:type="dxa"/>
            </w:tcMar>
          </w:tcPr>
          <w:p>
            <w:r>
              <w:rPr>
                <w:sz w:val="16"/>
                <w:lang w:val="en-GB"/>
              </w:rPr>
              <w:t>@postman/postman-mcp-server; com.postman/postman-mcp-server</w:t>
            </w:r>
          </w:p>
        </w:tc>
      </w:tr>
      <w:tr>
        <w:tc>
          <w:tcPr>
            <w:tcW w:type="dxa" w:w="1938"/>
            <w:vAlign w:val="center"/>
            <w:tcMar>
              <w:top w:w="80" w:type="dxa"/>
              <w:start w:w="120" w:type="dxa"/>
              <w:bottom w:w="80" w:type="dxa"/>
              <w:end w:w="120" w:type="dxa"/>
            </w:tcMar>
          </w:tcPr>
          <w:p>
            <w:r>
              <w:rPr>
                <w:sz w:val="16"/>
                <w:lang w:val="en-GB"/>
              </w:rPr>
              <w:t>Version</w:t>
            </w:r>
          </w:p>
        </w:tc>
        <w:tc>
          <w:tcPr>
            <w:tcW w:type="dxa" w:w="7422"/>
            <w:vAlign w:val="center"/>
            <w:tcMar>
              <w:top w:w="80" w:type="dxa"/>
              <w:start w:w="120" w:type="dxa"/>
              <w:bottom w:w="80" w:type="dxa"/>
              <w:end w:w="120" w:type="dxa"/>
            </w:tcMar>
          </w:tcPr>
          <w:p>
            <w:r>
              <w:rPr>
                <w:sz w:val="16"/>
                <w:lang w:val="en-GB"/>
              </w:rPr>
              <w:t>2.13.0</w:t>
            </w:r>
          </w:p>
        </w:tc>
      </w:tr>
      <w:tr>
        <w:tc>
          <w:tcPr>
            <w:tcW w:type="dxa" w:w="1938"/>
            <w:vAlign w:val="center"/>
            <w:tcMar>
              <w:top w:w="80" w:type="dxa"/>
              <w:start w:w="120" w:type="dxa"/>
              <w:bottom w:w="80" w:type="dxa"/>
              <w:end w:w="120" w:type="dxa"/>
            </w:tcMar>
          </w:tcPr>
          <w:p>
            <w:r>
              <w:rPr>
                <w:sz w:val="16"/>
                <w:lang w:val="en-GB"/>
              </w:rPr>
              <w:t>Run key</w:t>
            </w:r>
          </w:p>
        </w:tc>
        <w:tc>
          <w:tcPr>
            <w:tcW w:type="dxa" w:w="7422"/>
            <w:vAlign w:val="center"/>
            <w:tcMar>
              <w:top w:w="80" w:type="dxa"/>
              <w:start w:w="120" w:type="dxa"/>
              <w:bottom w:w="80" w:type="dxa"/>
              <w:end w:w="120" w:type="dxa"/>
            </w:tcMar>
          </w:tcPr>
          <w:p>
            <w:r>
              <w:rPr>
                <w:sz w:val="16"/>
                <w:lang w:val="en-GB"/>
              </w:rPr>
              <w:t>2026-10-07-v1.0</w:t>
            </w:r>
          </w:p>
        </w:tc>
      </w:tr>
      <w:tr>
        <w:tc>
          <w:tcPr>
            <w:tcW w:type="dxa" w:w="1938"/>
            <w:vAlign w:val="center"/>
            <w:tcMar>
              <w:top w:w="80" w:type="dxa"/>
              <w:start w:w="120" w:type="dxa"/>
              <w:bottom w:w="80" w:type="dxa"/>
              <w:end w:w="120" w:type="dxa"/>
            </w:tcMar>
          </w:tcPr>
          <w:p>
            <w:r>
              <w:rPr>
                <w:sz w:val="16"/>
                <w:lang w:val="en-GB"/>
              </w:rPr>
              <w:t>Distribution</w:t>
            </w:r>
          </w:p>
        </w:tc>
        <w:tc>
          <w:tcPr>
            <w:tcW w:type="dxa" w:w="7422"/>
            <w:vAlign w:val="center"/>
            <w:tcMar>
              <w:top w:w="80" w:type="dxa"/>
              <w:start w:w="120" w:type="dxa"/>
              <w:bottom w:w="80" w:type="dxa"/>
              <w:end w:w="120" w:type="dxa"/>
            </w:tcMar>
          </w:tcPr>
          <w:p>
            <w:r>
              <w:rPr>
                <w:sz w:val="16"/>
                <w:lang w:val="en-GB"/>
              </w:rPr>
              <w:t>Public distribution</w:t>
            </w:r>
          </w:p>
        </w:tc>
      </w:tr>
      <w:tr>
        <w:tc>
          <w:tcPr>
            <w:tcW w:type="dxa" w:w="1938"/>
            <w:vAlign w:val="center"/>
            <w:tcMar>
              <w:top w:w="80" w:type="dxa"/>
              <w:start w:w="120" w:type="dxa"/>
              <w:bottom w:w="80" w:type="dxa"/>
              <w:end w:w="120" w:type="dxa"/>
            </w:tcMar>
          </w:tcPr>
          <w:p>
            <w:r>
              <w:rPr>
                <w:sz w:val="16"/>
                <w:lang w:val="en-GB"/>
              </w:rPr>
              <w:t>Decision</w:t>
            </w:r>
          </w:p>
        </w:tc>
        <w:tc>
          <w:tcPr>
            <w:tcW w:type="dxa" w:w="7422"/>
            <w:vAlign w:val="center"/>
            <w:tcMar>
              <w:top w:w="80" w:type="dxa"/>
              <w:start w:w="120" w:type="dxa"/>
              <w:bottom w:w="80" w:type="dxa"/>
              <w:end w:w="120" w:type="dxa"/>
            </w:tcMar>
          </w:tcPr>
          <w:p>
            <w:r>
              <w:rPr>
                <w:sz w:val="16"/>
                <w:lang w:val="en-GB"/>
              </w:rPr>
              <w:t>Defer pending evidence</w:t>
            </w:r>
          </w:p>
        </w:tc>
      </w:tr>
    </w:tbl>
    <w:p/>
    <w:p>
      <w:pPr>
        <w:pStyle w:val="Heading1"/>
      </w:pPr>
      <w:r>
        <w:rPr>
          <w:lang w:val="en-GB"/>
        </w:rPr>
        <w:t>Revision History</w:t>
      </w:r>
    </w:p>
    <w:p>
      <w:pPr>
        <w:pStyle w:val="Caption"/>
      </w:pPr>
      <w:r>
        <w:rPr>
          <w:b/>
          <w:lang w:val="en-GB"/>
        </w:rPr>
        <w:t>Table 2 — Revision history</w:t>
      </w:r>
    </w:p>
    <w:tbl>
      <w:tblPr>
        <w:tblStyle w:val="TableGrid"/>
        <w:tblW w:type="dxa" w:w="9360"/>
        <w:tblLayout w:type="fixed"/>
        <w:tblLook w:firstColumn="1" w:firstRow="1" w:lastColumn="0" w:lastRow="0" w:noHBand="0" w:noVBand="1" w:val="04A0"/>
        <w:tblInd w:w="120" w:type="dxa"/>
      </w:tblPr>
      <w:tblGrid>
        <w:gridCol w:w="1577"/>
        <w:gridCol w:w="1256"/>
        <w:gridCol w:w="2648"/>
        <w:gridCol w:w="3879"/>
      </w:tblGrid>
      <w:tr>
        <w:trPr>
          <w:tblHeader w:val="true"/>
        </w:trPr>
        <w:tc>
          <w:tcPr>
            <w:tcW w:type="dxa" w:w="1577"/>
            <w:shd w:fill="F2F4F7"/>
            <w:vAlign w:val="center"/>
            <w:tcMar>
              <w:top w:w="80" w:type="dxa"/>
              <w:start w:w="120" w:type="dxa"/>
              <w:bottom w:w="80" w:type="dxa"/>
              <w:end w:w="120" w:type="dxa"/>
            </w:tcMar>
          </w:tcPr>
          <w:p>
            <w:r>
              <w:rPr>
                <w:b/>
                <w:sz w:val="16"/>
                <w:lang w:val="en-GB"/>
              </w:rPr>
              <w:t>Document version</w:t>
            </w:r>
          </w:p>
        </w:tc>
        <w:tc>
          <w:tcPr>
            <w:tcW w:type="dxa" w:w="1256"/>
            <w:shd w:fill="F2F4F7"/>
            <w:vAlign w:val="center"/>
            <w:tcMar>
              <w:top w:w="80" w:type="dxa"/>
              <w:start w:w="120" w:type="dxa"/>
              <w:bottom w:w="80" w:type="dxa"/>
              <w:end w:w="120" w:type="dxa"/>
            </w:tcMar>
          </w:tcPr>
          <w:p>
            <w:r>
              <w:rPr>
                <w:b/>
                <w:sz w:val="16"/>
                <w:lang w:val="en-GB"/>
              </w:rPr>
              <w:t>Date</w:t>
            </w:r>
          </w:p>
        </w:tc>
        <w:tc>
          <w:tcPr>
            <w:tcW w:type="dxa" w:w="2648"/>
            <w:shd w:fill="F2F4F7"/>
            <w:vAlign w:val="center"/>
            <w:tcMar>
              <w:top w:w="80" w:type="dxa"/>
              <w:start w:w="120" w:type="dxa"/>
              <w:bottom w:w="80" w:type="dxa"/>
              <w:end w:w="120" w:type="dxa"/>
            </w:tcMar>
          </w:tcPr>
          <w:p>
            <w:r>
              <w:rPr>
                <w:b/>
                <w:sz w:val="16"/>
                <w:lang w:val="en-GB"/>
              </w:rPr>
              <w:t>Status</w:t>
            </w:r>
          </w:p>
        </w:tc>
        <w:tc>
          <w:tcPr>
            <w:tcW w:type="dxa" w:w="3879"/>
            <w:shd w:fill="F2F4F7"/>
            <w:vAlign w:val="center"/>
            <w:tcMar>
              <w:top w:w="80" w:type="dxa"/>
              <w:start w:w="120" w:type="dxa"/>
              <w:bottom w:w="80" w:type="dxa"/>
              <w:end w:w="120" w:type="dxa"/>
            </w:tcMar>
          </w:tcPr>
          <w:p>
            <w:r>
              <w:rPr>
                <w:b/>
                <w:sz w:val="16"/>
                <w:lang w:val="en-GB"/>
              </w:rPr>
              <w:t>Change</w:t>
            </w:r>
          </w:p>
        </w:tc>
      </w:tr>
      <w:tr>
        <w:tc>
          <w:tcPr>
            <w:tcW w:type="dxa" w:w="1577"/>
            <w:vAlign w:val="center"/>
            <w:tcMar>
              <w:top w:w="80" w:type="dxa"/>
              <w:start w:w="120" w:type="dxa"/>
              <w:bottom w:w="80" w:type="dxa"/>
              <w:end w:w="120" w:type="dxa"/>
            </w:tcMar>
          </w:tcPr>
          <w:p>
            <w:r>
              <w:rPr>
                <w:sz w:val="16"/>
                <w:lang w:val="en-GB"/>
              </w:rPr>
              <w:t>1.0</w:t>
            </w:r>
          </w:p>
        </w:tc>
        <w:tc>
          <w:tcPr>
            <w:tcW w:type="dxa" w:w="1256"/>
            <w:vAlign w:val="center"/>
            <w:tcMar>
              <w:top w:w="80" w:type="dxa"/>
              <w:start w:w="120" w:type="dxa"/>
              <w:bottom w:w="80" w:type="dxa"/>
              <w:end w:w="120" w:type="dxa"/>
            </w:tcMar>
          </w:tcPr>
          <w:p>
            <w:r>
              <w:rPr>
                <w:sz w:val="16"/>
                <w:lang w:val="en-GB"/>
              </w:rPr>
              <w:t>2026-10-07</w:t>
            </w:r>
          </w:p>
        </w:tc>
        <w:tc>
          <w:tcPr>
            <w:tcW w:type="dxa" w:w="2648"/>
            <w:vAlign w:val="center"/>
            <w:tcMar>
              <w:top w:w="80" w:type="dxa"/>
              <w:start w:w="120" w:type="dxa"/>
              <w:bottom w:w="80" w:type="dxa"/>
              <w:end w:w="120" w:type="dxa"/>
            </w:tcMar>
          </w:tcPr>
          <w:p>
            <w:r>
              <w:rPr>
                <w:sz w:val="16"/>
                <w:lang w:val="en-GB"/>
              </w:rPr>
              <w:t>Assessment completed; deployment deferred</w:t>
            </w:r>
          </w:p>
        </w:tc>
        <w:tc>
          <w:tcPr>
            <w:tcW w:type="dxa" w:w="3879"/>
            <w:vAlign w:val="center"/>
            <w:tcMar>
              <w:top w:w="80" w:type="dxa"/>
              <w:start w:w="120" w:type="dxa"/>
              <w:bottom w:w="80" w:type="dxa"/>
              <w:end w:w="120" w:type="dxa"/>
            </w:tcMar>
          </w:tcPr>
          <w:p>
            <w:r>
              <w:rPr>
                <w:sz w:val="16"/>
                <w:lang w:val="en-GB"/>
              </w:rPr>
              <w:t>Initial local 2.13.0 and documented remote US EU assessment</w:t>
            </w:r>
          </w:p>
        </w:tc>
      </w:tr>
    </w:tbl>
    <w:p/>
    <w:p>
      <w:r>
        <w:rPr>
          <w:lang w:val="en-GB"/>
        </w:rPr>
        <w:br w:type="page"/>
      </w:r>
    </w:p>
    <w:p>
      <w:pPr>
        <w:pStyle w:val="TOCHeading"/>
      </w:pPr>
      <w:r>
        <w:rPr>
          <w:lang w:val="en-GB"/>
        </w:rPr>
        <w:t>Contents</w:t>
      </w:r>
    </w:p>
    <w:p>
      <w:fldSimple w:instr="TOC \o &quot;1-3&quot; \h \z \u" w:dirty="true"/>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lang w:val="en-GB"/>
        </w:rPr>
        <w:t>Executive Summary</w:t>
      </w:r>
    </w:p>
    <w:p>
      <w:r>
        <w:rPr>
          <w:lang w:val="en-GB"/>
        </w:rPr>
        <w:t>Decision: Defer pending evidence. Overall residual risk: High. Scope is Postman MCP Server 2.13.0 local deployment and current documented hosted US/EU service in VS Code and Visual Studio; exact IDE builds and hosted release identifiers are unverified.</w:t>
      </w:r>
    </w:p>
    <w:p>
      <w:pPr>
        <w:pStyle w:val="ListBullet"/>
      </w:pPr>
      <w:r>
        <w:rPr>
          <w:lang w:val="en-GB"/>
        </w:rPr>
        <w:t xml:space="preserve">Defer enterprise approval in both IDEs and all modes until authenticated isolated runtime and tenant/data assurance evidence is available. </w:t>
      </w:r>
      <w:hyperlink w:anchor="REF_005">
        <w:r>
          <w:rPr>
            <w:rStyle w:val="Hyperlink"/>
            <w:lang w:val="en-GB"/>
          </w:rPr>
          <w:t>[REF-005]</w:t>
        </w:r>
      </w:hyperlink>
      <w:r>
        <w:rPr>
          <w:lang w:val="en-GB"/>
        </w:rPr>
        <w:t xml:space="preserve"> </w:t>
      </w:r>
      <w:hyperlink w:anchor="REF_006">
        <w:r>
          <w:rPr>
            <w:rStyle w:val="Hyperlink"/>
            <w:lang w:val="en-GB"/>
          </w:rPr>
          <w:t>[REF-006]</w:t>
        </w:r>
      </w:hyperlink>
    </w:p>
    <w:p>
      <w:pPr>
        <w:pStyle w:val="ListBullet"/>
      </w:pPr>
      <w:r>
        <w:rPr>
          <w:lang w:val="en-GB"/>
        </w:rPr>
        <w:t xml:space="preserve">Local collection execution uploads run contents to Postman independently of the general MCP telemetry opt-in switch; local does not mean offline. </w:t>
      </w:r>
      <w:hyperlink w:anchor="REF_002">
        <w:r>
          <w:rPr>
            <w:rStyle w:val="Hyperlink"/>
            <w:lang w:val="en-GB"/>
          </w:rPr>
          <w:t>[REF-002]</w:t>
        </w:r>
      </w:hyperlink>
      <w:r>
        <w:rPr>
          <w:lang w:val="en-GB"/>
        </w:rPr>
        <w:t xml:space="preserve"> </w:t>
      </w:r>
      <w:hyperlink w:anchor="REF_003">
        <w:r>
          <w:rPr>
            <w:rStyle w:val="Hyperlink"/>
            <w:lang w:val="en-GB"/>
          </w:rPr>
          <w:t>[REF-003]</w:t>
        </w:r>
      </w:hyperlink>
    </w:p>
    <w:p>
      <w:pPr>
        <w:pStyle w:val="ListBullet"/>
      </w:pPr>
      <w:r>
        <w:rPr>
          <w:lang w:val="en-GB"/>
        </w:rPr>
        <w:t xml:space="preserve">Minimal includes write and execution tools. Require explicit approved tool/account/network boundaries rather than relying on the toolset name. </w:t>
      </w:r>
      <w:hyperlink w:anchor="REF_002">
        <w:r>
          <w:rPr>
            <w:rStyle w:val="Hyperlink"/>
            <w:lang w:val="en-GB"/>
          </w:rPr>
          <w:t>[REF-002]</w:t>
        </w:r>
      </w:hyperlink>
    </w:p>
    <w:p>
      <w:pPr>
        <w:pStyle w:val="ListBullet"/>
      </w:pPr>
      <w:r>
        <w:rPr>
          <w:lang w:val="en-GB"/>
        </w:rPr>
        <w:t xml:space="preserve">US hosted OAuth and EU/local API keys need different credential controls; EU storage does not prove EU-only processing. </w:t>
      </w:r>
      <w:hyperlink w:anchor="REF_004">
        <w:r>
          <w:rPr>
            <w:rStyle w:val="Hyperlink"/>
            <w:lang w:val="en-GB"/>
          </w:rPr>
          <w:t>[REF-004]</w:t>
        </w:r>
      </w:hyperlink>
      <w:r>
        <w:rPr>
          <w:lang w:val="en-GB"/>
        </w:rPr>
        <w:t xml:space="preserve"> </w:t>
      </w:r>
      <w:hyperlink w:anchor="REF_007">
        <w:r>
          <w:rPr>
            <w:rStyle w:val="Hyperlink"/>
            <w:lang w:val="en-GB"/>
          </w:rPr>
          <w:t>[REF-007]</w:t>
        </w:r>
      </w:hyperlink>
      <w:r>
        <w:rPr>
          <w:lang w:val="en-GB"/>
        </w:rPr>
        <w:t xml:space="preserve"> </w:t>
      </w:r>
      <w:hyperlink w:anchor="REF_008">
        <w:r>
          <w:rPr>
            <w:rStyle w:val="Hyperlink"/>
            <w:lang w:val="en-GB"/>
          </w:rPr>
          <w:t>[REF-008]</w:t>
        </w:r>
      </w:hyperlink>
    </w:p>
    <w:p>
      <w:pPr>
        <w:pStyle w:val="ListBullet"/>
      </w:pPr>
      <w:r>
        <w:rPr>
          <w:lang w:val="en-GB"/>
        </w:rPr>
        <w:t xml:space="preserve">Package 2.13.0 integrity/signatures and compiled source parity passed; scanner and advisory evidence remain bounded and the installed dependency closure is unverified. </w:t>
      </w:r>
      <w:hyperlink w:anchor="REF_001">
        <w:r>
          <w:rPr>
            <w:rStyle w:val="Hyperlink"/>
            <w:lang w:val="en-GB"/>
          </w:rPr>
          <w:t>[REF-001]</w:t>
        </w:r>
      </w:hyperlink>
      <w:r>
        <w:rPr>
          <w:lang w:val="en-GB"/>
        </w:rPr>
        <w:t xml:space="preserve"> </w:t>
      </w:r>
      <w:hyperlink w:anchor="REF_002">
        <w:r>
          <w:rPr>
            <w:rStyle w:val="Hyperlink"/>
            <w:lang w:val="en-GB"/>
          </w:rPr>
          <w:t>[REF-002]</w:t>
        </w:r>
      </w:hyperlink>
      <w:r>
        <w:rPr>
          <w:lang w:val="en-GB"/>
        </w:rPr>
        <w:t xml:space="preserve"> </w:t>
      </w:r>
      <w:hyperlink w:anchor="REF_026">
        <w:r>
          <w:rPr>
            <w:rStyle w:val="Hyperlink"/>
            <w:lang w:val="en-GB"/>
          </w:rPr>
          <w:t>[REF-026]</w:t>
        </w:r>
      </w:hyperlink>
    </w:p>
    <w:p>
      <w:pPr>
        <w:pStyle w:val="Heading2"/>
      </w:pPr>
      <w:r>
        <w:rPr>
          <w:lang w:val="en-GB"/>
        </w:rPr>
        <w:t>Approval Conditions and Immediate Actions</w:t>
      </w:r>
    </w:p>
    <w:p>
      <w:pPr>
        <w:pStyle w:val="ListNumber"/>
      </w:pPr>
      <w:r>
        <w:rPr>
          <w:lang w:val="en-GB"/>
        </w:rPr>
        <w:t xml:space="preserve">Provide disposable representative OS/IDE hosts, synthetic Postman account and restricted network; complete consent, authorization, run-data, revocation and uninstall tests. </w:t>
      </w:r>
      <w:hyperlink w:anchor="REF_005">
        <w:r>
          <w:rPr>
            <w:rStyle w:val="Hyperlink"/>
            <w:lang w:val="en-GB"/>
          </w:rPr>
          <w:t>[REF-005]</w:t>
        </w:r>
      </w:hyperlink>
      <w:r>
        <w:rPr>
          <w:lang w:val="en-GB"/>
        </w:rPr>
        <w:t xml:space="preserve"> </w:t>
      </w:r>
      <w:hyperlink w:anchor="REF_006">
        <w:r>
          <w:rPr>
            <w:rStyle w:val="Hyperlink"/>
            <w:lang w:val="en-GB"/>
          </w:rPr>
          <w:t>[REF-006]</w:t>
        </w:r>
      </w:hyperlink>
    </w:p>
    <w:p>
      <w:pPr>
        <w:pStyle w:val="ListNumber"/>
      </w:pPr>
      <w:r>
        <w:rPr>
          <w:lang w:val="en-GB"/>
        </w:rPr>
        <w:t xml:space="preserve">Approve exact artefact/closure or hosted build/schema, tool subset, account role, API targets and model-provider data scope. </w:t>
      </w:r>
      <w:hyperlink w:anchor="REF_001">
        <w:r>
          <w:rPr>
            <w:rStyle w:val="Hyperlink"/>
            <w:lang w:val="en-GB"/>
          </w:rPr>
          <w:t>[REF-001]</w:t>
        </w:r>
      </w:hyperlink>
      <w:r>
        <w:rPr>
          <w:lang w:val="en-GB"/>
        </w:rPr>
        <w:t xml:space="preserve"> </w:t>
      </w:r>
      <w:hyperlink w:anchor="REF_004">
        <w:r>
          <w:rPr>
            <w:rStyle w:val="Hyperlink"/>
            <w:lang w:val="en-GB"/>
          </w:rPr>
          <w:t>[REF-004]</w:t>
        </w:r>
      </w:hyperlink>
    </w:p>
    <w:p>
      <w:pPr>
        <w:pStyle w:val="ListNumber"/>
      </w:pPr>
      <w:r>
        <w:rPr>
          <w:lang w:val="en-GB"/>
        </w:rPr>
        <w:t xml:space="preserve">Close run-record transfer, secret handling and processor/retention/transfer evidence before real confidential or personal data is permitted. </w:t>
      </w:r>
      <w:hyperlink w:anchor="REF_002">
        <w:r>
          <w:rPr>
            <w:rStyle w:val="Hyperlink"/>
            <w:lang w:val="en-GB"/>
          </w:rPr>
          <w:t>[REF-002]</w:t>
        </w:r>
      </w:hyperlink>
      <w:r>
        <w:rPr>
          <w:lang w:val="en-GB"/>
        </w:rPr>
        <w:t xml:space="preserve"> </w:t>
      </w:r>
      <w:hyperlink w:anchor="REF_007">
        <w:r>
          <w:rPr>
            <w:rStyle w:val="Hyperlink"/>
            <w:lang w:val="en-GB"/>
          </w:rPr>
          <w:t>[REF-007]</w:t>
        </w:r>
      </w:hyperlink>
      <w:r>
        <w:rPr>
          <w:lang w:val="en-GB"/>
        </w:rPr>
        <w:t xml:space="preserve"> </w:t>
      </w:r>
      <w:hyperlink w:anchor="REF_019">
        <w:r>
          <w:rPr>
            <w:rStyle w:val="Hyperlink"/>
            <w:lang w:val="en-GB"/>
          </w:rPr>
          <w:t>[REF-019]</w:t>
        </w:r>
      </w:hyperlink>
    </w:p>
    <w:p>
      <w:pPr>
        <w:pStyle w:val="ListNumber"/>
      </w:pPr>
      <w:r>
        <w:rPr>
          <w:lang w:val="en-GB"/>
        </w:rPr>
        <w:t xml:space="preserve">Assign accountable enterprise owners and record regulated-entity status, materiality, exit plan and residual-risk acceptance. </w:t>
      </w:r>
      <w:hyperlink w:anchor="REF_020">
        <w:r>
          <w:rPr>
            <w:rStyle w:val="Hyperlink"/>
            <w:lang w:val="en-GB"/>
          </w:rPr>
          <w:t>[REF-020]</w:t>
        </w:r>
      </w:hyperlink>
      <w:r>
        <w:rPr>
          <w:lang w:val="en-GB"/>
        </w:rPr>
        <w:t xml:space="preserve"> </w:t>
      </w:r>
      <w:hyperlink w:anchor="REF_021">
        <w:r>
          <w:rPr>
            <w:rStyle w:val="Hyperlink"/>
            <w:lang w:val="en-GB"/>
          </w:rPr>
          <w:t>[REF-021]</w:t>
        </w:r>
      </w:hyperlink>
      <w:r>
        <w:rPr>
          <w:lang w:val="en-GB"/>
        </w:rPr>
        <w:t xml:space="preserve"> </w:t>
      </w:r>
      <w:hyperlink w:anchor="REF_022">
        <w:r>
          <w:rPr>
            <w:rStyle w:val="Hyperlink"/>
            <w:lang w:val="en-GB"/>
          </w:rPr>
          <w:t>[REF-022]</w:t>
        </w:r>
      </w:hyperlink>
    </w:p>
    <w:p>
      <w:pPr>
        <w:pStyle w:val="Heading2"/>
      </w:pPr>
      <w:r>
        <w:rPr>
          <w:lang w:val="en-GB"/>
        </w:rPr>
        <w:t>Architecture and Trust-Boundary Figure</w:t>
      </w:r>
    </w:p>
    <w:p>
      <w:r>
        <w:rPr>
          <w:lang w:val="en-GB"/>
        </w:rPr>
        <w:drawing>
          <wp:inline xmlns:a="http://schemas.openxmlformats.org/drawingml/2006/main" xmlns:pic="http://schemas.openxmlformats.org/drawingml/2006/picture">
            <wp:extent cx="5943600" cy="3632200"/>
            <wp:docPr id="1" name="Local and hosted Postman MCP trust boundaries" title="Local and hosted Postman MCP trust boundaries" descr="IDE and model context invoke a local STDIO server or hosted HTTP server, which calls Postman API. Local collection execution also reaches downstream APIs and uploads run records. REF-002 REF-0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2200"/>
                    </a:xfrm>
                    <a:prstGeom prst="rect"/>
                  </pic:spPr>
                </pic:pic>
              </a:graphicData>
            </a:graphic>
          </wp:inline>
        </w:drawing>
      </w:r>
    </w:p>
    <w:p>
      <w:pPr>
        <w:pStyle w:val="Caption"/>
      </w:pPr>
      <w:r>
        <w:rPr>
          <w:lang w:val="en-GB"/>
        </w:rPr>
        <w:t>Figure 1 — Local and hosted Postman MCP trust boundaries</w:t>
      </w:r>
    </w:p>
    <w:p>
      <w:pPr>
        <w:pStyle w:val="Heading1"/>
      </w:pPr>
      <w:r>
        <w:rPr>
          <w:lang w:val="en-GB"/>
        </w:rPr>
        <w:t>Purpose Function Overview</w:t>
      </w:r>
    </w:p>
    <w:p>
      <w:r>
        <w:rPr>
          <w:lang w:val="en-GB"/>
        </w:rPr>
        <w:t xml:space="preserve">Postman MCP Server connects an AI coding assistant to Postman workspaces, collections, specifications and environments. The business benefit is faster API discovery and maintenance, with actions initiated through the assistant. Its authority comes from the account credential and enabled tools, so an apparently conversational request can become a remote data change or collection run. This assessment compares deployment choices for a large UK insurer considering managed developer tooling. </w:t>
      </w:r>
      <w:hyperlink w:anchor="REF_002">
        <w:r>
          <w:rPr>
            <w:rStyle w:val="Hyperlink"/>
            <w:lang w:val="en-GB"/>
          </w:rPr>
          <w:t>[REF-002]</w:t>
        </w:r>
      </w:hyperlink>
      <w:r>
        <w:rPr>
          <w:lang w:val="en-GB"/>
        </w:rPr>
        <w:t xml:space="preserve"> </w:t>
      </w:r>
      <w:hyperlink w:anchor="REF_003">
        <w:r>
          <w:rPr>
            <w:rStyle w:val="Hyperlink"/>
            <w:lang w:val="en-GB"/>
          </w:rPr>
          <w:t>[REF-003]</w:t>
        </w:r>
      </w:hyperlink>
      <w:r>
        <w:rPr>
          <w:lang w:val="en-GB"/>
        </w:rPr>
        <w:t xml:space="preserve"> </w:t>
      </w:r>
      <w:hyperlink w:anchor="REF_004">
        <w:r>
          <w:rPr>
            <w:rStyle w:val="Hyperlink"/>
            <w:lang w:val="en-GB"/>
          </w:rPr>
          <w:t>[REF-004]</w:t>
        </w:r>
      </w:hyperlink>
    </w:p>
    <w:p>
      <w:r>
        <w:rPr>
          <w:lang w:val="en-GB"/>
        </w:rPr>
        <w:t xml:space="preserve">The target is the official MCP server, not the Postman VS Code extension, an unofficial similarly named server, or a generated API MCP server. Local means the server process runs beside the client using STDIO. Remote means the IDE connects to a Postman-hosted HTTP endpoint. Neither choice establishes where the independent IDE model provider processes context. Selecting an EU Postman endpoint does not change that provider agreement. </w:t>
      </w:r>
      <w:hyperlink w:anchor="REF_002">
        <w:r>
          <w:rPr>
            <w:rStyle w:val="Hyperlink"/>
            <w:lang w:val="en-GB"/>
          </w:rPr>
          <w:t>[REF-002]</w:t>
        </w:r>
      </w:hyperlink>
      <w:r>
        <w:rPr>
          <w:lang w:val="en-GB"/>
        </w:rPr>
        <w:t xml:space="preserve"> </w:t>
      </w:r>
      <w:hyperlink w:anchor="REF_004">
        <w:r>
          <w:rPr>
            <w:rStyle w:val="Hyperlink"/>
            <w:lang w:val="en-GB"/>
          </w:rPr>
          <w:t>[REF-004]</w:t>
        </w:r>
      </w:hyperlink>
      <w:r>
        <w:rPr>
          <w:lang w:val="en-GB"/>
        </w:rPr>
        <w:t xml:space="preserve"> </w:t>
      </w:r>
      <w:hyperlink w:anchor="REF_008">
        <w:r>
          <w:rPr>
            <w:rStyle w:val="Hyperlink"/>
            <w:lang w:val="en-GB"/>
          </w:rPr>
          <w:t>[REF-008]</w:t>
        </w:r>
      </w:hyperlink>
    </w:p>
    <w:p>
      <w:pPr>
        <w:pStyle w:val="Heading1"/>
      </w:pPr>
      <w:r>
        <w:rPr>
          <w:lang w:val="en-GB"/>
        </w:rPr>
        <w:t>Scope Assumptions Methodology and Assessment Criteria</w:t>
      </w:r>
    </w:p>
    <w:p>
      <w:r>
        <w:rPr>
          <w:lang w:val="en-GB"/>
        </w:rPr>
        <w:t xml:space="preserve">Scope covers local npm 2.13.0 STDIO, the documented Docker deployment design, and current hosted US and EU modes, with separate VS Code and Visual Studio assessments. Latest stable was the requested default; npm resolved 2.13.0 during acquisition on 7 October 2026. The hosted service is assessed as documented on that date, because its release identifier and deployed source digest were not available. Docker image bytes and desktop MCP bundles were not acquired and are not equated to the npm artefact. </w:t>
      </w:r>
      <w:hyperlink w:anchor="REF_001">
        <w:r>
          <w:rPr>
            <w:rStyle w:val="Hyperlink"/>
            <w:lang w:val="en-GB"/>
          </w:rPr>
          <w:t>[REF-001]</w:t>
        </w:r>
      </w:hyperlink>
      <w:r>
        <w:rPr>
          <w:lang w:val="en-GB"/>
        </w:rPr>
        <w:t xml:space="preserve"> </w:t>
      </w:r>
      <w:hyperlink w:anchor="REF_002">
        <w:r>
          <w:rPr>
            <w:rStyle w:val="Hyperlink"/>
            <w:lang w:val="en-GB"/>
          </w:rPr>
          <w:t>[REF-002]</w:t>
        </w:r>
      </w:hyperlink>
      <w:r>
        <w:rPr>
          <w:lang w:val="en-GB"/>
        </w:rPr>
        <w:t xml:space="preserve"> </w:t>
      </w:r>
      <w:hyperlink w:anchor="REF_003">
        <w:r>
          <w:rPr>
            <w:rStyle w:val="Hyperlink"/>
            <w:lang w:val="en-GB"/>
          </w:rPr>
          <w:t>[REF-003]</w:t>
        </w:r>
      </w:hyperlink>
      <w:r>
        <w:rPr>
          <w:lang w:val="en-GB"/>
        </w:rPr>
        <w:t xml:space="preserve"> </w:t>
      </w:r>
      <w:hyperlink w:anchor="REF_004">
        <w:r>
          <w:rPr>
            <w:rStyle w:val="Hyperlink"/>
            <w:lang w:val="en-GB"/>
          </w:rPr>
          <w:t>[REF-004]</w:t>
        </w:r>
      </w:hyperlink>
    </w:p>
    <w:p>
      <w:r>
        <w:rPr>
          <w:lang w:val="en-GB"/>
        </w:rPr>
        <w:t>Static source/package analysis, static malware review, runtime analysis and privacy review are all selected Yes. No disposable environment, synthetic Postman account or exact enterprise IDE build was supplied. Runtime remains Blocked rather than being changed to No. This report therefore defers enterprise deployment approval; it supports a scoped test plan rather than acceptance of production access. No extension installation, package execution, credential access, destructive testing, persistence experiment or callback was performed.</w:t>
      </w:r>
    </w:p>
    <w:p>
      <w:r>
        <w:rPr>
          <w:lang w:val="en-GB"/>
        </w:rPr>
        <w:t>Methods include immutable acquisition, package/source equality comparison, source-to-sink tracing, toolset inventory, static scanner review, exact-version advisory queries, framework mapping and independent bounded review. Verified denotes a supported source fact; Inferred denotes a reasoned consequence; Not observed describes a bounded search; Not applicable identifies an irrelevant surface; Unknown and Blocked retain missing evidence. Vendor documentation verifies the existence of a claim, not its operational effectiveness.</w:t>
      </w:r>
    </w:p>
    <w:p>
      <w:pPr>
        <w:pStyle w:val="Caption"/>
      </w:pPr>
      <w:r>
        <w:rPr>
          <w:b/>
          <w:lang w:val="en-GB"/>
        </w:rPr>
        <w:t>Assessment boundaries</w:t>
      </w:r>
    </w:p>
    <w:tbl>
      <w:tblPr>
        <w:tblStyle w:val="TableGrid"/>
        <w:tblW w:type="dxa" w:w="9360"/>
        <w:tblLayout w:type="fixed"/>
        <w:tblLook w:firstColumn="1" w:firstRow="1" w:lastColumn="0" w:lastRow="0" w:noHBand="0" w:noVBand="1" w:val="04A0"/>
        <w:tblInd w:w="120" w:type="dxa"/>
      </w:tblPr>
      <w:tblGrid>
        <w:gridCol w:w="1440"/>
        <w:gridCol w:w="3273"/>
        <w:gridCol w:w="4647"/>
      </w:tblGrid>
      <w:tr>
        <w:trPr>
          <w:tblHeader w:val="true"/>
        </w:trPr>
        <w:tc>
          <w:tcPr>
            <w:tcW w:type="dxa" w:w="1440"/>
            <w:shd w:fill="F2F4F7"/>
            <w:vAlign w:val="center"/>
            <w:tcMar>
              <w:top w:w="80" w:type="dxa"/>
              <w:start w:w="120" w:type="dxa"/>
              <w:bottom w:w="80" w:type="dxa"/>
              <w:end w:w="120" w:type="dxa"/>
            </w:tcMar>
          </w:tcPr>
          <w:p>
            <w:r>
              <w:rPr>
                <w:b/>
                <w:sz w:val="16"/>
                <w:lang w:val="en-GB"/>
              </w:rPr>
              <w:t>Area</w:t>
            </w:r>
          </w:p>
        </w:tc>
        <w:tc>
          <w:tcPr>
            <w:tcW w:type="dxa" w:w="3273"/>
            <w:shd w:fill="F2F4F7"/>
            <w:vAlign w:val="center"/>
            <w:tcMar>
              <w:top w:w="80" w:type="dxa"/>
              <w:start w:w="120" w:type="dxa"/>
              <w:bottom w:w="80" w:type="dxa"/>
              <w:end w:w="120" w:type="dxa"/>
            </w:tcMar>
          </w:tcPr>
          <w:p>
            <w:r>
              <w:rPr>
                <w:b/>
                <w:sz w:val="16"/>
                <w:lang w:val="en-GB"/>
              </w:rPr>
              <w:t>Included</w:t>
            </w:r>
          </w:p>
        </w:tc>
        <w:tc>
          <w:tcPr>
            <w:tcW w:type="dxa" w:w="4647"/>
            <w:shd w:fill="F2F4F7"/>
            <w:vAlign w:val="center"/>
            <w:tcMar>
              <w:top w:w="80" w:type="dxa"/>
              <w:start w:w="120" w:type="dxa"/>
              <w:bottom w:w="80" w:type="dxa"/>
              <w:end w:w="120" w:type="dxa"/>
            </w:tcMar>
          </w:tcPr>
          <w:p>
            <w:r>
              <w:rPr>
                <w:b/>
                <w:sz w:val="16"/>
                <w:lang w:val="en-GB"/>
              </w:rPr>
              <w:t>Limitation</w:t>
            </w:r>
          </w:p>
        </w:tc>
      </w:tr>
      <w:tr>
        <w:tc>
          <w:tcPr>
            <w:tcW w:type="dxa" w:w="1440"/>
            <w:vAlign w:val="center"/>
            <w:tcMar>
              <w:top w:w="80" w:type="dxa"/>
              <w:start w:w="120" w:type="dxa"/>
              <w:bottom w:w="80" w:type="dxa"/>
              <w:end w:w="120" w:type="dxa"/>
            </w:tcMar>
          </w:tcPr>
          <w:p>
            <w:r>
              <w:rPr>
                <w:sz w:val="16"/>
                <w:lang w:val="en-GB"/>
              </w:rPr>
              <w:t>Platforms</w:t>
            </w:r>
          </w:p>
        </w:tc>
        <w:tc>
          <w:tcPr>
            <w:tcW w:type="dxa" w:w="3273"/>
            <w:vAlign w:val="center"/>
            <w:tcMar>
              <w:top w:w="80" w:type="dxa"/>
              <w:start w:w="120" w:type="dxa"/>
              <w:bottom w:w="80" w:type="dxa"/>
              <w:end w:w="120" w:type="dxa"/>
            </w:tcMar>
          </w:tcPr>
          <w:p>
            <w:r>
              <w:rPr>
                <w:sz w:val="16"/>
                <w:lang w:val="en-GB"/>
              </w:rPr>
              <w:t>VS Code and Windows Visual Studio</w:t>
            </w:r>
          </w:p>
        </w:tc>
        <w:tc>
          <w:tcPr>
            <w:tcW w:type="dxa" w:w="4647"/>
            <w:vAlign w:val="center"/>
            <w:tcMar>
              <w:top w:w="80" w:type="dxa"/>
              <w:start w:w="120" w:type="dxa"/>
              <w:bottom w:w="80" w:type="dxa"/>
              <w:end w:w="120" w:type="dxa"/>
            </w:tcMar>
          </w:tcPr>
          <w:p>
            <w:r>
              <w:rPr>
                <w:sz w:val="16"/>
                <w:lang w:val="en-GB"/>
              </w:rPr>
              <w:t>No representative host or exact deployment versions supplied</w:t>
            </w:r>
          </w:p>
        </w:tc>
      </w:tr>
      <w:tr>
        <w:tc>
          <w:tcPr>
            <w:tcW w:type="dxa" w:w="1440"/>
            <w:vAlign w:val="center"/>
            <w:tcMar>
              <w:top w:w="80" w:type="dxa"/>
              <w:start w:w="120" w:type="dxa"/>
              <w:bottom w:w="80" w:type="dxa"/>
              <w:end w:w="120" w:type="dxa"/>
            </w:tcMar>
          </w:tcPr>
          <w:p>
            <w:r>
              <w:rPr>
                <w:sz w:val="16"/>
                <w:lang w:val="en-GB"/>
              </w:rPr>
              <w:t>Deployment</w:t>
            </w:r>
          </w:p>
        </w:tc>
        <w:tc>
          <w:tcPr>
            <w:tcW w:type="dxa" w:w="3273"/>
            <w:vAlign w:val="center"/>
            <w:tcMar>
              <w:top w:w="80" w:type="dxa"/>
              <w:start w:w="120" w:type="dxa"/>
              <w:bottom w:w="80" w:type="dxa"/>
              <w:end w:w="120" w:type="dxa"/>
            </w:tcMar>
          </w:tcPr>
          <w:p>
            <w:r>
              <w:rPr>
                <w:sz w:val="16"/>
                <w:lang w:val="en-GB"/>
              </w:rPr>
              <w:t>Local STDIO and hosted US/EU</w:t>
            </w:r>
          </w:p>
        </w:tc>
        <w:tc>
          <w:tcPr>
            <w:tcW w:type="dxa" w:w="4647"/>
            <w:vAlign w:val="center"/>
            <w:tcMar>
              <w:top w:w="80" w:type="dxa"/>
              <w:start w:w="120" w:type="dxa"/>
              <w:bottom w:w="80" w:type="dxa"/>
              <w:end w:w="120" w:type="dxa"/>
            </w:tcMar>
          </w:tcPr>
          <w:p>
            <w:r>
              <w:rPr>
                <w:sz w:val="16"/>
                <w:lang w:val="en-GB"/>
              </w:rPr>
              <w:t>No remote implementation or Docker image execution</w:t>
            </w:r>
          </w:p>
        </w:tc>
      </w:tr>
      <w:tr>
        <w:tc>
          <w:tcPr>
            <w:tcW w:type="dxa" w:w="1440"/>
            <w:vAlign w:val="center"/>
            <w:tcMar>
              <w:top w:w="80" w:type="dxa"/>
              <w:start w:w="120" w:type="dxa"/>
              <w:bottom w:w="80" w:type="dxa"/>
              <w:end w:w="120" w:type="dxa"/>
            </w:tcMar>
          </w:tcPr>
          <w:p>
            <w:r>
              <w:rPr>
                <w:sz w:val="16"/>
                <w:lang w:val="en-GB"/>
              </w:rPr>
              <w:t>Enterprise</w:t>
            </w:r>
          </w:p>
        </w:tc>
        <w:tc>
          <w:tcPr>
            <w:tcW w:type="dxa" w:w="3273"/>
            <w:vAlign w:val="center"/>
            <w:tcMar>
              <w:top w:w="80" w:type="dxa"/>
              <w:start w:w="120" w:type="dxa"/>
              <w:bottom w:w="80" w:type="dxa"/>
              <w:end w:w="120" w:type="dxa"/>
            </w:tcMar>
          </w:tcPr>
          <w:p>
            <w:r>
              <w:rPr>
                <w:sz w:val="16"/>
                <w:lang w:val="en-GB"/>
              </w:rPr>
              <w:t>Large UK insurer assumption</w:t>
            </w:r>
          </w:p>
        </w:tc>
        <w:tc>
          <w:tcPr>
            <w:tcW w:type="dxa" w:w="4647"/>
            <w:vAlign w:val="center"/>
            <w:tcMar>
              <w:top w:w="80" w:type="dxa"/>
              <w:start w:w="120" w:type="dxa"/>
              <w:bottom w:w="80" w:type="dxa"/>
              <w:end w:w="120" w:type="dxa"/>
            </w:tcMar>
          </w:tcPr>
          <w:p>
            <w:r>
              <w:rPr>
                <w:sz w:val="16"/>
                <w:lang w:val="en-GB"/>
              </w:rPr>
              <w:t>Regulated legal entity and materiality Unknown</w:t>
            </w:r>
          </w:p>
        </w:tc>
      </w:tr>
      <w:tr>
        <w:tc>
          <w:tcPr>
            <w:tcW w:type="dxa" w:w="1440"/>
            <w:vAlign w:val="center"/>
            <w:tcMar>
              <w:top w:w="80" w:type="dxa"/>
              <w:start w:w="120" w:type="dxa"/>
              <w:bottom w:w="80" w:type="dxa"/>
              <w:end w:w="120" w:type="dxa"/>
            </w:tcMar>
          </w:tcPr>
          <w:p>
            <w:r>
              <w:rPr>
                <w:sz w:val="16"/>
                <w:lang w:val="en-GB"/>
              </w:rPr>
              <w:t>Data</w:t>
            </w:r>
          </w:p>
        </w:tc>
        <w:tc>
          <w:tcPr>
            <w:tcW w:type="dxa" w:w="3273"/>
            <w:vAlign w:val="center"/>
            <w:tcMar>
              <w:top w:w="80" w:type="dxa"/>
              <w:start w:w="120" w:type="dxa"/>
              <w:bottom w:w="80" w:type="dxa"/>
              <w:end w:w="120" w:type="dxa"/>
            </w:tcMar>
          </w:tcPr>
          <w:p>
            <w:r>
              <w:rPr>
                <w:sz w:val="16"/>
                <w:lang w:val="en-GB"/>
              </w:rPr>
              <w:t>Synthetic-only test plan</w:t>
            </w:r>
          </w:p>
        </w:tc>
        <w:tc>
          <w:tcPr>
            <w:tcW w:type="dxa" w:w="4647"/>
            <w:vAlign w:val="center"/>
            <w:tcMar>
              <w:top w:w="80" w:type="dxa"/>
              <w:start w:w="120" w:type="dxa"/>
              <w:bottom w:w="80" w:type="dxa"/>
              <w:end w:w="120" w:type="dxa"/>
            </w:tcMar>
          </w:tcPr>
          <w:p>
            <w:r>
              <w:rPr>
                <w:sz w:val="16"/>
                <w:lang w:val="en-GB"/>
              </w:rPr>
              <w:t>No confidential records or production credentials</w:t>
            </w:r>
          </w:p>
        </w:tc>
      </w:tr>
      <w:tr>
        <w:tc>
          <w:tcPr>
            <w:tcW w:type="dxa" w:w="1440"/>
            <w:vAlign w:val="center"/>
            <w:tcMar>
              <w:top w:w="80" w:type="dxa"/>
              <w:start w:w="120" w:type="dxa"/>
              <w:bottom w:w="80" w:type="dxa"/>
              <w:end w:w="120" w:type="dxa"/>
            </w:tcMar>
          </w:tcPr>
          <w:p>
            <w:r>
              <w:rPr>
                <w:sz w:val="16"/>
                <w:lang w:val="en-GB"/>
              </w:rPr>
              <w:t>Deliverable</w:t>
            </w:r>
          </w:p>
        </w:tc>
        <w:tc>
          <w:tcPr>
            <w:tcW w:type="dxa" w:w="3273"/>
            <w:vAlign w:val="center"/>
            <w:tcMar>
              <w:top w:w="80" w:type="dxa"/>
              <w:start w:w="120" w:type="dxa"/>
              <w:bottom w:w="80" w:type="dxa"/>
              <w:end w:w="120" w:type="dxa"/>
            </w:tcMar>
          </w:tcPr>
          <w:p>
            <w:r>
              <w:rPr>
                <w:sz w:val="16"/>
                <w:lang w:val="en-GB"/>
              </w:rPr>
              <w:t>PUBLIC classified Word assessment</w:t>
            </w:r>
          </w:p>
        </w:tc>
        <w:tc>
          <w:tcPr>
            <w:tcW w:type="dxa" w:w="4647"/>
            <w:vAlign w:val="center"/>
            <w:tcMar>
              <w:top w:w="80" w:type="dxa"/>
              <w:start w:w="120" w:type="dxa"/>
              <w:bottom w:w="80" w:type="dxa"/>
              <w:end w:w="120" w:type="dxa"/>
            </w:tcMar>
          </w:tcPr>
          <w:p>
            <w:r>
              <w:rPr>
                <w:sz w:val="16"/>
                <w:lang w:val="en-GB"/>
              </w:rPr>
              <w:t>Publication and deployment require separate decisions</w:t>
            </w:r>
          </w:p>
        </w:tc>
      </w:tr>
    </w:tbl>
    <w:p/>
    <w:p>
      <w:pPr>
        <w:pStyle w:val="Heading1"/>
      </w:pPr>
      <w:r>
        <w:rPr>
          <w:lang w:val="en-GB"/>
        </w:rPr>
        <w:t>Product Identity and Version</w:t>
      </w:r>
    </w:p>
    <w:p>
      <w:r>
        <w:rPr>
          <w:lang w:val="en-GB"/>
        </w:rPr>
        <w:t xml:space="preserve">Publisher identity is Postman Inc through the official postmanlabs repository and npm namespace. Package identifier is @postman/postman-mcp-server; registry MCP name is com.postman/postman-mcp-server. Official display name is Postman MCP Server. This is an MCP integration rather than a distinct IDE VSIX, so extension-specific installation statistics and native IDE extension signatures are Not applicable to the acquired npm package. Licence is Apache-2.0. </w:t>
      </w:r>
      <w:hyperlink w:anchor="REF_001">
        <w:r>
          <w:rPr>
            <w:rStyle w:val="Hyperlink"/>
            <w:lang w:val="en-GB"/>
          </w:rPr>
          <w:t>[REF-001]</w:t>
        </w:r>
      </w:hyperlink>
      <w:r>
        <w:rPr>
          <w:lang w:val="en-GB"/>
        </w:rPr>
        <w:t xml:space="preserve"> </w:t>
      </w:r>
      <w:hyperlink w:anchor="REF_002">
        <w:r>
          <w:rPr>
            <w:rStyle w:val="Hyperlink"/>
            <w:lang w:val="en-GB"/>
          </w:rPr>
          <w:t>[REF-002]</w:t>
        </w:r>
      </w:hyperlink>
    </w:p>
    <w:p>
      <w:r>
        <w:rPr>
          <w:lang w:val="en-GB"/>
        </w:rPr>
        <w:t xml:space="preserve">Tag v2.13.0 resolves through an unsigned annotated tag to commit 21cb5ce08f407227d36db1c837084265dd075991. Package SHA-256 is 65eb450f38fe491c23246c4368a2e65583990b69f56db0a42547f9acb754c403; source archive SHA-256 is 2eee1f018447e4503252862b01bae1732a08ed37f0f11be1118074a1d4641d10. Both registry ECDSA signatures verified against the retrieved registry key and the package matched its SHA-512 integrity. SLSA provenance metadata was collected but full transparency-chain verification was not completed. </w:t>
      </w:r>
      <w:hyperlink w:anchor="REF_001">
        <w:r>
          <w:rPr>
            <w:rStyle w:val="Hyperlink"/>
            <w:lang w:val="en-GB"/>
          </w:rPr>
          <w:t>[REF-001]</w:t>
        </w:r>
      </w:hyperlink>
      <w:r>
        <w:rPr>
          <w:lang w:val="en-GB"/>
        </w:rPr>
        <w:t xml:space="preserve"> </w:t>
      </w:r>
      <w:hyperlink w:anchor="REF_002">
        <w:r>
          <w:rPr>
            <w:rStyle w:val="Hyperlink"/>
            <w:lang w:val="en-GB"/>
          </w:rPr>
          <w:t>[REF-002]</w:t>
        </w:r>
      </w:hyperlink>
    </w:p>
    <w:p>
      <w:pPr>
        <w:pStyle w:val="Caption"/>
      </w:pPr>
      <w:r>
        <w:rPr>
          <w:b/>
          <w:lang w:val="en-GB"/>
        </w:rPr>
        <w:t>Acquisition and identity</w:t>
      </w:r>
    </w:p>
    <w:tbl>
      <w:tblPr>
        <w:tblStyle w:val="TableGrid"/>
        <w:tblW w:type="dxa" w:w="9360"/>
        <w:tblLayout w:type="fixed"/>
        <w:tblLook w:firstColumn="1" w:firstRow="1" w:lastColumn="0" w:lastRow="0" w:noHBand="0" w:noVBand="1" w:val="04A0"/>
        <w:tblInd w:w="120" w:type="dxa"/>
      </w:tblPr>
      <w:tblGrid>
        <w:gridCol w:w="2160"/>
        <w:gridCol w:w="3979"/>
        <w:gridCol w:w="3221"/>
      </w:tblGrid>
      <w:tr>
        <w:trPr>
          <w:tblHeader w:val="true"/>
        </w:trPr>
        <w:tc>
          <w:tcPr>
            <w:tcW w:type="dxa" w:w="2160"/>
            <w:shd w:fill="F2F4F7"/>
            <w:vAlign w:val="center"/>
            <w:tcMar>
              <w:top w:w="80" w:type="dxa"/>
              <w:start w:w="120" w:type="dxa"/>
              <w:bottom w:w="80" w:type="dxa"/>
              <w:end w:w="120" w:type="dxa"/>
            </w:tcMar>
          </w:tcPr>
          <w:p>
            <w:r>
              <w:rPr>
                <w:b/>
                <w:sz w:val="16"/>
                <w:lang w:val="en-GB"/>
              </w:rPr>
              <w:t>Item</w:t>
            </w:r>
          </w:p>
        </w:tc>
        <w:tc>
          <w:tcPr>
            <w:tcW w:type="dxa" w:w="3979"/>
            <w:shd w:fill="F2F4F7"/>
            <w:vAlign w:val="center"/>
            <w:tcMar>
              <w:top w:w="80" w:type="dxa"/>
              <w:start w:w="120" w:type="dxa"/>
              <w:bottom w:w="80" w:type="dxa"/>
              <w:end w:w="120" w:type="dxa"/>
            </w:tcMar>
          </w:tcPr>
          <w:p>
            <w:r>
              <w:rPr>
                <w:b/>
                <w:sz w:val="16"/>
                <w:lang w:val="en-GB"/>
              </w:rPr>
              <w:t>Verified value</w:t>
            </w:r>
          </w:p>
        </w:tc>
        <w:tc>
          <w:tcPr>
            <w:tcW w:type="dxa" w:w="3221"/>
            <w:shd w:fill="F2F4F7"/>
            <w:vAlign w:val="center"/>
            <w:tcMar>
              <w:top w:w="80" w:type="dxa"/>
              <w:start w:w="120" w:type="dxa"/>
              <w:bottom w:w="80" w:type="dxa"/>
              <w:end w:w="120" w:type="dxa"/>
            </w:tcMar>
          </w:tcPr>
          <w:p>
            <w:r>
              <w:rPr>
                <w:b/>
                <w:sz w:val="16"/>
                <w:lang w:val="en-GB"/>
              </w:rPr>
              <w:t>Coverage</w:t>
            </w:r>
          </w:p>
        </w:tc>
      </w:tr>
      <w:tr>
        <w:tc>
          <w:tcPr>
            <w:tcW w:type="dxa" w:w="2160"/>
            <w:vAlign w:val="center"/>
            <w:tcMar>
              <w:top w:w="80" w:type="dxa"/>
              <w:start w:w="120" w:type="dxa"/>
              <w:bottom w:w="80" w:type="dxa"/>
              <w:end w:w="120" w:type="dxa"/>
            </w:tcMar>
          </w:tcPr>
          <w:p>
            <w:r>
              <w:rPr>
                <w:sz w:val="16"/>
                <w:lang w:val="en-GB"/>
              </w:rPr>
              <w:t>npm package</w:t>
            </w:r>
          </w:p>
        </w:tc>
        <w:tc>
          <w:tcPr>
            <w:tcW w:type="dxa" w:w="3979"/>
            <w:vAlign w:val="center"/>
            <w:tcMar>
              <w:top w:w="80" w:type="dxa"/>
              <w:start w:w="120" w:type="dxa"/>
              <w:bottom w:w="80" w:type="dxa"/>
              <w:end w:w="120" w:type="dxa"/>
            </w:tcMar>
          </w:tcPr>
          <w:p>
            <w:r>
              <w:rPr>
                <w:sz w:val="16"/>
                <w:lang w:val="en-GB"/>
              </w:rPr>
              <w:t>2.13.0; 130289 compressed bytes</w:t>
            </w:r>
          </w:p>
        </w:tc>
        <w:tc>
          <w:tcPr>
            <w:tcW w:type="dxa" w:w="3221"/>
            <w:vAlign w:val="center"/>
            <w:tcMar>
              <w:top w:w="80" w:type="dxa"/>
              <w:start w:w="120" w:type="dxa"/>
              <w:bottom w:w="80" w:type="dxa"/>
              <w:end w:w="120" w:type="dxa"/>
            </w:tcMar>
          </w:tcPr>
          <w:p>
            <w:r>
              <w:rPr>
                <w:sz w:val="16"/>
                <w:lang w:val="en-GB"/>
              </w:rPr>
              <w:t>255 regular package files</w:t>
            </w:r>
          </w:p>
        </w:tc>
      </w:tr>
      <w:tr>
        <w:tc>
          <w:tcPr>
            <w:tcW w:type="dxa" w:w="2160"/>
            <w:vAlign w:val="center"/>
            <w:tcMar>
              <w:top w:w="80" w:type="dxa"/>
              <w:start w:w="120" w:type="dxa"/>
              <w:bottom w:w="80" w:type="dxa"/>
              <w:end w:w="120" w:type="dxa"/>
            </w:tcMar>
          </w:tcPr>
          <w:p>
            <w:r>
              <w:rPr>
                <w:sz w:val="16"/>
                <w:lang w:val="en-GB"/>
              </w:rPr>
              <w:t>Source</w:t>
            </w:r>
          </w:p>
        </w:tc>
        <w:tc>
          <w:tcPr>
            <w:tcW w:type="dxa" w:w="3979"/>
            <w:vAlign w:val="center"/>
            <w:tcMar>
              <w:top w:w="80" w:type="dxa"/>
              <w:start w:w="120" w:type="dxa"/>
              <w:bottom w:w="80" w:type="dxa"/>
              <w:end w:w="120" w:type="dxa"/>
            </w:tcMar>
          </w:tcPr>
          <w:p>
            <w:r>
              <w:rPr>
                <w:sz w:val="16"/>
                <w:lang w:val="en-GB"/>
              </w:rPr>
              <w:t>Exact commit above; 349637 compressed bytes</w:t>
            </w:r>
          </w:p>
        </w:tc>
        <w:tc>
          <w:tcPr>
            <w:tcW w:type="dxa" w:w="3221"/>
            <w:vAlign w:val="center"/>
            <w:tcMar>
              <w:top w:w="80" w:type="dxa"/>
              <w:start w:w="120" w:type="dxa"/>
              <w:bottom w:w="80" w:type="dxa"/>
              <w:end w:w="120" w:type="dxa"/>
            </w:tcMar>
          </w:tcPr>
          <w:p>
            <w:r>
              <w:rPr>
                <w:sz w:val="16"/>
                <w:lang w:val="en-GB"/>
              </w:rPr>
              <w:t>547 regular source files</w:t>
            </w:r>
          </w:p>
        </w:tc>
      </w:tr>
      <w:tr>
        <w:tc>
          <w:tcPr>
            <w:tcW w:type="dxa" w:w="2160"/>
            <w:vAlign w:val="center"/>
            <w:tcMar>
              <w:top w:w="80" w:type="dxa"/>
              <w:start w:w="120" w:type="dxa"/>
              <w:bottom w:w="80" w:type="dxa"/>
              <w:end w:w="120" w:type="dxa"/>
            </w:tcMar>
          </w:tcPr>
          <w:p>
            <w:r>
              <w:rPr>
                <w:sz w:val="16"/>
                <w:lang w:val="en-GB"/>
              </w:rPr>
              <w:t>Runtime requirement</w:t>
            </w:r>
          </w:p>
        </w:tc>
        <w:tc>
          <w:tcPr>
            <w:tcW w:type="dxa" w:w="3979"/>
            <w:vAlign w:val="center"/>
            <w:tcMar>
              <w:top w:w="80" w:type="dxa"/>
              <w:start w:w="120" w:type="dxa"/>
              <w:bottom w:w="80" w:type="dxa"/>
              <w:end w:w="120" w:type="dxa"/>
            </w:tcMar>
          </w:tcPr>
          <w:p>
            <w:r>
              <w:rPr>
                <w:sz w:val="16"/>
                <w:lang w:val="en-GB"/>
              </w:rPr>
              <w:t>Node.js at least 20</w:t>
            </w:r>
          </w:p>
        </w:tc>
        <w:tc>
          <w:tcPr>
            <w:tcW w:type="dxa" w:w="3221"/>
            <w:vAlign w:val="center"/>
            <w:tcMar>
              <w:top w:w="80" w:type="dxa"/>
              <w:start w:w="120" w:type="dxa"/>
              <w:bottom w:w="80" w:type="dxa"/>
              <w:end w:w="120" w:type="dxa"/>
            </w:tcMar>
          </w:tcPr>
          <w:p>
            <w:r>
              <w:rPr>
                <w:sz w:val="16"/>
                <w:lang w:val="en-GB"/>
              </w:rPr>
              <w:t>No deployment runtime selected</w:t>
            </w:r>
          </w:p>
        </w:tc>
      </w:tr>
      <w:tr>
        <w:tc>
          <w:tcPr>
            <w:tcW w:type="dxa" w:w="2160"/>
            <w:vAlign w:val="center"/>
            <w:tcMar>
              <w:top w:w="80" w:type="dxa"/>
              <w:start w:w="120" w:type="dxa"/>
              <w:bottom w:w="80" w:type="dxa"/>
              <w:end w:w="120" w:type="dxa"/>
            </w:tcMar>
          </w:tcPr>
          <w:p>
            <w:r>
              <w:rPr>
                <w:sz w:val="16"/>
                <w:lang w:val="en-GB"/>
              </w:rPr>
              <w:t>Hosted US/EU</w:t>
            </w:r>
          </w:p>
        </w:tc>
        <w:tc>
          <w:tcPr>
            <w:tcW w:type="dxa" w:w="3979"/>
            <w:vAlign w:val="center"/>
            <w:tcMar>
              <w:top w:w="80" w:type="dxa"/>
              <w:start w:w="120" w:type="dxa"/>
              <w:bottom w:w="80" w:type="dxa"/>
              <w:end w:w="120" w:type="dxa"/>
            </w:tcMar>
          </w:tcPr>
          <w:p>
            <w:r>
              <w:rPr>
                <w:sz w:val="16"/>
                <w:lang w:val="en-GB"/>
              </w:rPr>
              <w:t>Vendor endpoint documentation</w:t>
            </w:r>
          </w:p>
        </w:tc>
        <w:tc>
          <w:tcPr>
            <w:tcW w:type="dxa" w:w="3221"/>
            <w:vAlign w:val="center"/>
            <w:tcMar>
              <w:top w:w="80" w:type="dxa"/>
              <w:start w:w="120" w:type="dxa"/>
              <w:bottom w:w="80" w:type="dxa"/>
              <w:end w:w="120" w:type="dxa"/>
            </w:tcMar>
          </w:tcPr>
          <w:p>
            <w:r>
              <w:rPr>
                <w:sz w:val="16"/>
                <w:lang w:val="en-GB"/>
              </w:rPr>
              <w:t>Deployed build Unknown</w:t>
            </w:r>
          </w:p>
        </w:tc>
      </w:tr>
      <w:tr>
        <w:tc>
          <w:tcPr>
            <w:tcW w:type="dxa" w:w="2160"/>
            <w:vAlign w:val="center"/>
            <w:tcMar>
              <w:top w:w="80" w:type="dxa"/>
              <w:start w:w="120" w:type="dxa"/>
              <w:bottom w:w="80" w:type="dxa"/>
              <w:end w:w="120" w:type="dxa"/>
            </w:tcMar>
          </w:tcPr>
          <w:p>
            <w:r>
              <w:rPr>
                <w:sz w:val="16"/>
                <w:lang w:val="en-GB"/>
              </w:rPr>
              <w:t>Source comparison</w:t>
            </w:r>
          </w:p>
        </w:tc>
        <w:tc>
          <w:tcPr>
            <w:tcW w:type="dxa" w:w="3979"/>
            <w:vAlign w:val="center"/>
            <w:tcMar>
              <w:top w:w="80" w:type="dxa"/>
              <w:start w:w="120" w:type="dxa"/>
              <w:bottom w:w="80" w:type="dxa"/>
              <w:end w:w="120" w:type="dxa"/>
            </w:tcMar>
          </w:tcPr>
          <w:p>
            <w:r>
              <w:rPr>
                <w:sz w:val="16"/>
                <w:lang w:val="en-GB"/>
              </w:rPr>
              <w:t>252 of 252 dist files byte-identical</w:t>
            </w:r>
          </w:p>
        </w:tc>
        <w:tc>
          <w:tcPr>
            <w:tcW w:type="dxa" w:w="3221"/>
            <w:vAlign w:val="center"/>
            <w:tcMar>
              <w:top w:w="80" w:type="dxa"/>
              <w:start w:w="120" w:type="dxa"/>
              <w:bottom w:w="80" w:type="dxa"/>
              <w:end w:w="120" w:type="dxa"/>
            </w:tcMar>
          </w:tcPr>
          <w:p>
            <w:r>
              <w:rPr>
                <w:sz w:val="16"/>
                <w:lang w:val="en-GB"/>
              </w:rPr>
              <w:t>No independent TypeScript rebuild</w:t>
            </w:r>
          </w:p>
        </w:tc>
      </w:tr>
    </w:tbl>
    <w:p/>
    <w:p>
      <w:pPr>
        <w:pStyle w:val="Heading1"/>
      </w:pPr>
      <w:r>
        <w:rPr>
          <w:lang w:val="en-GB"/>
        </w:rPr>
        <w:t>Part I VS Code Assessment</w:t>
      </w:r>
    </w:p>
    <w:p>
      <w:r>
        <w:rPr>
          <w:lang w:val="en-GB"/>
        </w:rPr>
        <w:t xml:space="preserve">VS Code decision: Defer pending evidence for local 2.13.0 and current documented remote US/EU endpoints. The integration provides MCP capabilities to the agent rather than installing a Postman-owned VSIX. Compatibility is documented directly for VS Code; Visual Studio generic MCP support is documented by Microsoft, while Postman-specific integration remains Inferred and untested. A release approved for one client does not authorise another client version. </w:t>
      </w:r>
      <w:hyperlink w:anchor="REF_002">
        <w:r>
          <w:rPr>
            <w:rStyle w:val="Hyperlink"/>
            <w:lang w:val="en-GB"/>
          </w:rPr>
          <w:t>[REF-002]</w:t>
        </w:r>
      </w:hyperlink>
      <w:r>
        <w:rPr>
          <w:lang w:val="en-GB"/>
        </w:rPr>
        <w:t xml:space="preserve"> </w:t>
      </w:r>
      <w:hyperlink w:anchor="REF_005">
        <w:r>
          <w:rPr>
            <w:rStyle w:val="Hyperlink"/>
            <w:lang w:val="en-GB"/>
          </w:rPr>
          <w:t>[REF-005]</w:t>
        </w:r>
      </w:hyperlink>
    </w:p>
    <w:p>
      <w:pPr>
        <w:pStyle w:val="Heading2"/>
      </w:pPr>
      <w:r>
        <w:rPr>
          <w:lang w:val="en-GB"/>
        </w:rPr>
        <w:t>VS Code Purpose Function and Supported Version</w:t>
      </w:r>
    </w:p>
    <w:p>
      <w:r>
        <w:rPr>
          <w:lang w:val="en-GB"/>
        </w:rPr>
        <w:t xml:space="preserve">The VS Code user can discover APIs, read collections and environments, edit Postman objects, or execute collections according to the selected toolset. Enabled tools are an exposure reduction mechanism, not proof of least-privilege account access. The server can act within the credential authority even if a host hides some tools. Use a dedicated synthetic workspace for initial testing and prove denial of cross-workspace and higher-privilege actions. </w:t>
      </w:r>
      <w:hyperlink w:anchor="REF_002">
        <w:r>
          <w:rPr>
            <w:rStyle w:val="Hyperlink"/>
            <w:lang w:val="en-GB"/>
          </w:rPr>
          <w:t>[REF-002]</w:t>
        </w:r>
      </w:hyperlink>
      <w:r>
        <w:rPr>
          <w:lang w:val="en-GB"/>
        </w:rPr>
        <w:t xml:space="preserve"> </w:t>
      </w:r>
      <w:hyperlink w:anchor="REF_004">
        <w:r>
          <w:rPr>
            <w:rStyle w:val="Hyperlink"/>
            <w:lang w:val="en-GB"/>
          </w:rPr>
          <w:t>[REF-004]</w:t>
        </w:r>
      </w:hyperlink>
      <w:r>
        <w:rPr>
          <w:lang w:val="en-GB"/>
        </w:rPr>
        <w:t xml:space="preserve"> </w:t>
      </w:r>
      <w:hyperlink w:anchor="REF_005">
        <w:r>
          <w:rPr>
            <w:rStyle w:val="Hyperlink"/>
            <w:lang w:val="en-GB"/>
          </w:rPr>
          <w:t>[REF-005]</w:t>
        </w:r>
      </w:hyperlink>
    </w:p>
    <w:p>
      <w:r>
        <w:rPr>
          <w:lang w:val="en-GB"/>
        </w:rPr>
        <w:t xml:space="preserve">VS Code MCP configuration and host policies are documented, but the intended VS Code build, Copilot extension, model and OS were not supplied. This assessment does not adopt the normal desktop installation as a test environment. </w:t>
      </w:r>
      <w:hyperlink w:anchor="REF_005">
        <w:r>
          <w:rPr>
            <w:rStyle w:val="Hyperlink"/>
            <w:lang w:val="en-GB"/>
          </w:rPr>
          <w:t>[REF-005]</w:t>
        </w:r>
      </w:hyperlink>
      <w:r>
        <w:rPr>
          <w:lang w:val="en-GB"/>
        </w:rPr>
        <w:t xml:space="preserve"> </w:t>
      </w:r>
      <w:hyperlink w:anchor="REF_029">
        <w:r>
          <w:rPr>
            <w:rStyle w:val="Hyperlink"/>
            <w:lang w:val="en-GB"/>
          </w:rPr>
          <w:t>[REF-029]</w:t>
        </w:r>
      </w:hyperlink>
    </w:p>
    <w:p>
      <w:pPr>
        <w:pStyle w:val="Heading2"/>
      </w:pPr>
      <w:r>
        <w:rPr>
          <w:lang w:val="en-GB"/>
        </w:rPr>
        <w:t>VS Code Architecture and Trust Boundaries</w:t>
      </w:r>
    </w:p>
    <w:p>
      <w:r>
        <w:rPr>
          <w:lang w:val="en-GB"/>
        </w:rPr>
        <w:t xml:space="preserve">The local chain is VS Code agent and MCP client, Node STDIO process, Postman API and optional downstream collection targets. Hosted mode replaces the local process boundary with Postman-managed HTTP transport. Model context, developer endpoint, tenant credential, tool outputs, API resources, request scripts and downstream APIs are separate trust domains. Host consent and upstream API authorization must both hold; schema validation alone cannot determine whether a business action is authorised. </w:t>
      </w:r>
      <w:hyperlink w:anchor="REF_002">
        <w:r>
          <w:rPr>
            <w:rStyle w:val="Hyperlink"/>
            <w:lang w:val="en-GB"/>
          </w:rPr>
          <w:t>[REF-002]</w:t>
        </w:r>
      </w:hyperlink>
      <w:r>
        <w:rPr>
          <w:lang w:val="en-GB"/>
        </w:rPr>
        <w:t xml:space="preserve"> </w:t>
      </w:r>
      <w:hyperlink w:anchor="REF_023">
        <w:r>
          <w:rPr>
            <w:rStyle w:val="Hyperlink"/>
            <w:lang w:val="en-GB"/>
          </w:rPr>
          <w:t>[REF-023]</w:t>
        </w:r>
      </w:hyperlink>
      <w:r>
        <w:rPr>
          <w:lang w:val="en-GB"/>
        </w:rPr>
        <w:t xml:space="preserve"> </w:t>
      </w:r>
      <w:hyperlink w:anchor="REF_024">
        <w:r>
          <w:rPr>
            <w:rStyle w:val="Hyperlink"/>
            <w:lang w:val="en-GB"/>
          </w:rPr>
          <w:t>[REF-024]</w:t>
        </w:r>
      </w:hyperlink>
    </w:p>
    <w:p>
      <w:r>
        <w:rPr>
          <w:lang w:val="en-GB"/>
        </w:rPr>
        <w:t xml:space="preserve">An attacker with permission to edit a shared collection, description, request, environment or returned document may influence tool arguments or agent decisions. This is a credible threat scenario, not an observed successful injection. Treat retrieved instructions as data, preview intended mutations, and restrict companion terminal/file/MCP tools so Postman output cannot quietly become wider host authority. Tool annotations remain hints and must not replace policy. </w:t>
      </w:r>
      <w:hyperlink w:anchor="REF_009">
        <w:r>
          <w:rPr>
            <w:rStyle w:val="Hyperlink"/>
            <w:lang w:val="en-GB"/>
          </w:rPr>
          <w:t>[REF-009]</w:t>
        </w:r>
      </w:hyperlink>
      <w:r>
        <w:rPr>
          <w:lang w:val="en-GB"/>
        </w:rPr>
        <w:t xml:space="preserve"> </w:t>
      </w:r>
      <w:hyperlink w:anchor="REF_010">
        <w:r>
          <w:rPr>
            <w:rStyle w:val="Hyperlink"/>
            <w:lang w:val="en-GB"/>
          </w:rPr>
          <w:t>[REF-010]</w:t>
        </w:r>
      </w:hyperlink>
      <w:r>
        <w:rPr>
          <w:lang w:val="en-GB"/>
        </w:rPr>
        <w:t xml:space="preserve"> </w:t>
      </w:r>
      <w:hyperlink w:anchor="REF_011">
        <w:r>
          <w:rPr>
            <w:rStyle w:val="Hyperlink"/>
            <w:lang w:val="en-GB"/>
          </w:rPr>
          <w:t>[REF-011]</w:t>
        </w:r>
      </w:hyperlink>
      <w:r>
        <w:rPr>
          <w:lang w:val="en-GB"/>
        </w:rPr>
        <w:t xml:space="preserve"> </w:t>
      </w:r>
      <w:hyperlink w:anchor="REF_024">
        <w:r>
          <w:rPr>
            <w:rStyle w:val="Hyperlink"/>
            <w:lang w:val="en-GB"/>
          </w:rPr>
          <w:t>[REF-024]</w:t>
        </w:r>
      </w:hyperlink>
    </w:p>
    <w:p>
      <w:pPr>
        <w:pStyle w:val="Heading2"/>
      </w:pPr>
      <w:r>
        <w:rPr>
          <w:lang w:val="en-GB"/>
        </w:rPr>
        <w:t>VS Code Data Flows Authentication and Network</w:t>
      </w:r>
    </w:p>
    <w:p>
      <w:r>
        <w:rPr>
          <w:lang w:val="en-GB"/>
        </w:rPr>
        <w:t xml:space="preserve">For VS Code local mode, POSTMAN_API_KEY is passed to the process and the API client places it in x-api-key. Default API hosts are api.postman.com or api.eu.postman.com. Hosted US supports documented OAuth or API key; hosted EU supports API key only. No authenticated handshake, token scope, refresh, revocation, cross-tenant denial, TLS interception or actual destination capture was performed. OAuth availability is preferable to an unmanaged static key only after its scopes, storage and issuer protections are verified. </w:t>
      </w:r>
      <w:hyperlink w:anchor="REF_002">
        <w:r>
          <w:rPr>
            <w:rStyle w:val="Hyperlink"/>
            <w:lang w:val="en-GB"/>
          </w:rPr>
          <w:t>[REF-002]</w:t>
        </w:r>
      </w:hyperlink>
      <w:r>
        <w:rPr>
          <w:lang w:val="en-GB"/>
        </w:rPr>
        <w:t xml:space="preserve"> </w:t>
      </w:r>
      <w:hyperlink w:anchor="REF_004">
        <w:r>
          <w:rPr>
            <w:rStyle w:val="Hyperlink"/>
            <w:lang w:val="en-GB"/>
          </w:rPr>
          <w:t>[REF-004]</w:t>
        </w:r>
      </w:hyperlink>
      <w:r>
        <w:rPr>
          <w:lang w:val="en-GB"/>
        </w:rPr>
        <w:t xml:space="preserve"> </w:t>
      </w:r>
      <w:hyperlink w:anchor="REF_023">
        <w:r>
          <w:rPr>
            <w:rStyle w:val="Hyperlink"/>
            <w:lang w:val="en-GB"/>
          </w:rPr>
          <w:t>[REF-023]</w:t>
        </w:r>
      </w:hyperlink>
    </w:p>
    <w:p>
      <w:r>
        <w:rPr>
          <w:lang w:val="en-GB"/>
        </w:rPr>
        <w:t xml:space="preserve">Local collections can issue requests to destinations reachable from the process, including internal APIs if the deployment network permits. The public runner has no own destination allowlist and follows redirects with certificate validation enabled. Isolate the process, deny unnecessary egress and metadata/private-network access by default, then allow only the approved synthetic API. The hosted runner egress policy is Unknown and must be evidenced separately. </w:t>
      </w:r>
      <w:hyperlink w:anchor="REF_002">
        <w:r>
          <w:rPr>
            <w:rStyle w:val="Hyperlink"/>
            <w:lang w:val="en-GB"/>
          </w:rPr>
          <w:t>[REF-002]</w:t>
        </w:r>
      </w:hyperlink>
      <w:r>
        <w:rPr>
          <w:lang w:val="en-GB"/>
        </w:rPr>
        <w:t xml:space="preserve"> </w:t>
      </w:r>
      <w:hyperlink w:anchor="REF_012">
        <w:r>
          <w:rPr>
            <w:rStyle w:val="Hyperlink"/>
            <w:lang w:val="en-GB"/>
          </w:rPr>
          <w:t>[REF-012]</w:t>
        </w:r>
      </w:hyperlink>
    </w:p>
    <w:p>
      <w:pPr>
        <w:pStyle w:val="Heading2"/>
      </w:pPr>
      <w:r>
        <w:rPr>
          <w:lang w:val="en-GB"/>
        </w:rPr>
        <w:t>VS Code Installation Manifest Updates and Uninstall</w:t>
      </w:r>
    </w:p>
    <w:p>
      <w:r>
        <w:rPr>
          <w:lang w:val="en-GB"/>
        </w:rPr>
        <w:t xml:space="preserve">Installation inventory is documentary and static, not a record of a live installation. Package files are compiled JavaScript, declarations/templates, README, licence and package metadata. No native binaries, drivers, services or scheduled-task registration were observed in the acquired package; dependencies and actual installer behavior were not executed. No webview, debug adapter or language server was identified as a Postman MCP component. These categories remain explicit rather than being silently omitted. </w:t>
      </w:r>
      <w:hyperlink w:anchor="REF_001">
        <w:r>
          <w:rPr>
            <w:rStyle w:val="Hyperlink"/>
            <w:lang w:val="en-GB"/>
          </w:rPr>
          <w:t>[REF-001]</w:t>
        </w:r>
      </w:hyperlink>
      <w:r>
        <w:rPr>
          <w:lang w:val="en-GB"/>
        </w:rPr>
        <w:t xml:space="preserve"> </w:t>
      </w:r>
      <w:hyperlink w:anchor="REF_002">
        <w:r>
          <w:rPr>
            <w:rStyle w:val="Hyperlink"/>
            <w:lang w:val="en-GB"/>
          </w:rPr>
          <w:t>[REF-002]</w:t>
        </w:r>
      </w:hyperlink>
    </w:p>
    <w:p>
      <w:r>
        <w:rPr>
          <w:lang w:val="en-GB"/>
        </w:rPr>
        <w:t xml:space="preserve">Remove the MCP registration and stop its child process on uninstall, then revoke the credential and remove task-owned package caches and local identifier residue according to retention policy. Hosted uninstall also requires revoking tokens and reviewing IDE/model history and cloud run records. Deleting configuration alone does not roll back API changes or erase records held by Postman. Package cache, log, credential and process deltas require before/after verification. </w:t>
      </w:r>
      <w:hyperlink w:anchor="REF_005">
        <w:r>
          <w:rPr>
            <w:rStyle w:val="Hyperlink"/>
            <w:lang w:val="en-GB"/>
          </w:rPr>
          <w:t>[REF-005]</w:t>
        </w:r>
      </w:hyperlink>
      <w:r>
        <w:rPr>
          <w:lang w:val="en-GB"/>
        </w:rPr>
        <w:t xml:space="preserve"> </w:t>
      </w:r>
      <w:hyperlink w:anchor="REF_006">
        <w:r>
          <w:rPr>
            <w:rStyle w:val="Hyperlink"/>
            <w:lang w:val="en-GB"/>
          </w:rPr>
          <w:t>[REF-006]</w:t>
        </w:r>
      </w:hyperlink>
    </w:p>
    <w:p>
      <w:pPr>
        <w:pStyle w:val="Caption"/>
      </w:pPr>
      <w:r>
        <w:rPr>
          <w:b/>
          <w:lang w:val="en-GB"/>
        </w:rPr>
        <w:t>VS Code expected installation manifest</w:t>
      </w:r>
    </w:p>
    <w:tbl>
      <w:tblPr>
        <w:tblStyle w:val="TableGrid"/>
        <w:tblW w:type="dxa" w:w="9360"/>
        <w:tblLayout w:type="fixed"/>
        <w:tblLook w:firstColumn="1" w:firstRow="1" w:lastColumn="0" w:lastRow="0" w:noHBand="0" w:noVBand="1" w:val="04A0"/>
        <w:tblInd w:w="120" w:type="dxa"/>
      </w:tblPr>
      <w:tblGrid>
        <w:gridCol w:w="1733"/>
        <w:gridCol w:w="3867"/>
        <w:gridCol w:w="3760"/>
      </w:tblGrid>
      <w:tr>
        <w:trPr>
          <w:tblHeader w:val="true"/>
        </w:trPr>
        <w:tc>
          <w:tcPr>
            <w:tcW w:type="dxa" w:w="1733"/>
            <w:shd w:fill="F2F4F7"/>
            <w:vAlign w:val="center"/>
            <w:tcMar>
              <w:top w:w="80" w:type="dxa"/>
              <w:start w:w="120" w:type="dxa"/>
              <w:bottom w:w="80" w:type="dxa"/>
              <w:end w:w="120" w:type="dxa"/>
            </w:tcMar>
          </w:tcPr>
          <w:p>
            <w:r>
              <w:rPr>
                <w:b/>
                <w:sz w:val="16"/>
                <w:lang w:val="en-GB"/>
              </w:rPr>
              <w:t>Item</w:t>
            </w:r>
          </w:p>
        </w:tc>
        <w:tc>
          <w:tcPr>
            <w:tcW w:type="dxa" w:w="3867"/>
            <w:shd w:fill="F2F4F7"/>
            <w:vAlign w:val="center"/>
            <w:tcMar>
              <w:top w:w="80" w:type="dxa"/>
              <w:start w:w="120" w:type="dxa"/>
              <w:bottom w:w="80" w:type="dxa"/>
              <w:end w:w="120" w:type="dxa"/>
            </w:tcMar>
          </w:tcPr>
          <w:p>
            <w:r>
              <w:rPr>
                <w:b/>
                <w:sz w:val="16"/>
                <w:lang w:val="en-GB"/>
              </w:rPr>
              <w:t>Path or form</w:t>
            </w:r>
          </w:p>
        </w:tc>
        <w:tc>
          <w:tcPr>
            <w:tcW w:type="dxa" w:w="3760"/>
            <w:shd w:fill="F2F4F7"/>
            <w:vAlign w:val="center"/>
            <w:tcMar>
              <w:top w:w="80" w:type="dxa"/>
              <w:start w:w="120" w:type="dxa"/>
              <w:bottom w:w="80" w:type="dxa"/>
              <w:end w:w="120" w:type="dxa"/>
            </w:tcMar>
          </w:tcPr>
          <w:p>
            <w:r>
              <w:rPr>
                <w:b/>
                <w:sz w:val="16"/>
                <w:lang w:val="en-GB"/>
              </w:rPr>
              <w:t>Evidence and caveat</w:t>
            </w:r>
          </w:p>
        </w:tc>
      </w:tr>
      <w:tr>
        <w:tc>
          <w:tcPr>
            <w:tcW w:type="dxa" w:w="1733"/>
            <w:vAlign w:val="center"/>
            <w:tcMar>
              <w:top w:w="80" w:type="dxa"/>
              <w:start w:w="120" w:type="dxa"/>
              <w:bottom w:w="80" w:type="dxa"/>
              <w:end w:w="120" w:type="dxa"/>
            </w:tcMar>
          </w:tcPr>
          <w:p>
            <w:r>
              <w:rPr>
                <w:sz w:val="16"/>
                <w:lang w:val="en-GB"/>
              </w:rPr>
              <w:t>MCP configuration</w:t>
            </w:r>
          </w:p>
        </w:tc>
        <w:tc>
          <w:tcPr>
            <w:tcW w:type="dxa" w:w="3867"/>
            <w:vAlign w:val="center"/>
            <w:tcMar>
              <w:top w:w="80" w:type="dxa"/>
              <w:start w:w="120" w:type="dxa"/>
              <w:bottom w:w="80" w:type="dxa"/>
              <w:end w:w="120" w:type="dxa"/>
            </w:tcMar>
          </w:tcPr>
          <w:p>
            <w:r>
              <w:rPr>
                <w:sz w:val="16"/>
                <w:lang w:val="en-GB"/>
              </w:rPr>
              <w:t>.vscode/mcp.json or approved user-profile MCP configuration</w:t>
            </w:r>
          </w:p>
        </w:tc>
        <w:tc>
          <w:tcPr>
            <w:tcW w:type="dxa" w:w="3760"/>
            <w:vAlign w:val="center"/>
            <w:tcMar>
              <w:top w:w="80" w:type="dxa"/>
              <w:start w:w="120" w:type="dxa"/>
              <w:bottom w:w="80" w:type="dxa"/>
              <w:end w:w="120" w:type="dxa"/>
            </w:tcMar>
          </w:tcPr>
          <w:p>
            <w:r>
              <w:rPr>
                <w:sz w:val="16"/>
                <w:lang w:val="en-GB"/>
              </w:rPr>
              <w:t>Expected only; review workspace-controlled launch command</w:t>
            </w:r>
          </w:p>
        </w:tc>
      </w:tr>
      <w:tr>
        <w:tc>
          <w:tcPr>
            <w:tcW w:type="dxa" w:w="1733"/>
            <w:vAlign w:val="center"/>
            <w:tcMar>
              <w:top w:w="80" w:type="dxa"/>
              <w:start w:w="120" w:type="dxa"/>
              <w:bottom w:w="80" w:type="dxa"/>
              <w:end w:w="120" w:type="dxa"/>
            </w:tcMar>
          </w:tcPr>
          <w:p>
            <w:r>
              <w:rPr>
                <w:sz w:val="16"/>
                <w:lang w:val="en-GB"/>
              </w:rPr>
              <w:t>Process and package</w:t>
            </w:r>
          </w:p>
        </w:tc>
        <w:tc>
          <w:tcPr>
            <w:tcW w:type="dxa" w:w="3867"/>
            <w:vAlign w:val="center"/>
            <w:tcMar>
              <w:top w:w="80" w:type="dxa"/>
              <w:start w:w="120" w:type="dxa"/>
              <w:bottom w:w="80" w:type="dxa"/>
              <w:end w:w="120" w:type="dxa"/>
            </w:tcMar>
          </w:tcPr>
          <w:p>
            <w:r>
              <w:rPr>
                <w:sz w:val="16"/>
                <w:lang w:val="en-GB"/>
              </w:rPr>
              <w:t>Node process plus approved cached npm dependency closure</w:t>
            </w:r>
          </w:p>
        </w:tc>
        <w:tc>
          <w:tcPr>
            <w:tcW w:type="dxa" w:w="3760"/>
            <w:vAlign w:val="center"/>
            <w:tcMar>
              <w:top w:w="80" w:type="dxa"/>
              <w:start w:w="120" w:type="dxa"/>
              <w:bottom w:w="80" w:type="dxa"/>
              <w:end w:w="120" w:type="dxa"/>
            </w:tcMar>
          </w:tcPr>
          <w:p>
            <w:r>
              <w:rPr>
                <w:sz w:val="16"/>
                <w:lang w:val="en-GB"/>
              </w:rPr>
              <w:t>Expected; no installation observed</w:t>
            </w:r>
          </w:p>
        </w:tc>
      </w:tr>
      <w:tr>
        <w:tc>
          <w:tcPr>
            <w:tcW w:type="dxa" w:w="1733"/>
            <w:vAlign w:val="center"/>
            <w:tcMar>
              <w:top w:w="80" w:type="dxa"/>
              <w:start w:w="120" w:type="dxa"/>
              <w:bottom w:w="80" w:type="dxa"/>
              <w:end w:w="120" w:type="dxa"/>
            </w:tcMar>
          </w:tcPr>
          <w:p>
            <w:r>
              <w:rPr>
                <w:sz w:val="16"/>
                <w:lang w:val="en-GB"/>
              </w:rPr>
              <w:t>Credentials</w:t>
            </w:r>
          </w:p>
        </w:tc>
        <w:tc>
          <w:tcPr>
            <w:tcW w:type="dxa" w:w="3867"/>
            <w:vAlign w:val="center"/>
            <w:tcMar>
              <w:top w:w="80" w:type="dxa"/>
              <w:start w:w="120" w:type="dxa"/>
              <w:bottom w:w="80" w:type="dxa"/>
              <w:end w:w="120" w:type="dxa"/>
            </w:tcMar>
          </w:tcPr>
          <w:p>
            <w:r>
              <w:rPr>
                <w:sz w:val="16"/>
                <w:lang w:val="en-GB"/>
              </w:rPr>
              <w:t>Secret input or managed injection into environment/header</w:t>
            </w:r>
          </w:p>
        </w:tc>
        <w:tc>
          <w:tcPr>
            <w:tcW w:type="dxa" w:w="3760"/>
            <w:vAlign w:val="center"/>
            <w:tcMar>
              <w:top w:w="80" w:type="dxa"/>
              <w:start w:w="120" w:type="dxa"/>
              <w:bottom w:w="80" w:type="dxa"/>
              <w:end w:w="120" w:type="dxa"/>
            </w:tcMar>
          </w:tcPr>
          <w:p>
            <w:r>
              <w:rPr>
                <w:sz w:val="16"/>
                <w:lang w:val="en-GB"/>
              </w:rPr>
              <w:t>Expected; never check plaintext keys into configuration</w:t>
            </w:r>
          </w:p>
        </w:tc>
      </w:tr>
      <w:tr>
        <w:tc>
          <w:tcPr>
            <w:tcW w:type="dxa" w:w="1733"/>
            <w:vAlign w:val="center"/>
            <w:tcMar>
              <w:top w:w="80" w:type="dxa"/>
              <w:start w:w="120" w:type="dxa"/>
              <w:bottom w:w="80" w:type="dxa"/>
              <w:end w:w="120" w:type="dxa"/>
            </w:tcMar>
          </w:tcPr>
          <w:p>
            <w:r>
              <w:rPr>
                <w:sz w:val="16"/>
                <w:lang w:val="en-GB"/>
              </w:rPr>
              <w:t>Local state</w:t>
            </w:r>
          </w:p>
        </w:tc>
        <w:tc>
          <w:tcPr>
            <w:tcW w:type="dxa" w:w="3867"/>
            <w:vAlign w:val="center"/>
            <w:tcMar>
              <w:top w:w="80" w:type="dxa"/>
              <w:start w:w="120" w:type="dxa"/>
              <w:bottom w:w="80" w:type="dxa"/>
              <w:end w:w="120" w:type="dxa"/>
            </w:tcMar>
          </w:tcPr>
          <w:p>
            <w:r>
              <w:rPr>
                <w:sz w:val="16"/>
                <w:lang w:val="en-GB"/>
              </w:rPr>
              <w:t>User .postman directory and mcp-telemetry-id</w:t>
            </w:r>
          </w:p>
        </w:tc>
        <w:tc>
          <w:tcPr>
            <w:tcW w:type="dxa" w:w="3760"/>
            <w:vAlign w:val="center"/>
            <w:tcMar>
              <w:top w:w="80" w:type="dxa"/>
              <w:start w:w="120" w:type="dxa"/>
              <w:bottom w:w="80" w:type="dxa"/>
              <w:end w:w="120" w:type="dxa"/>
            </w:tcMar>
          </w:tcPr>
          <w:p>
            <w:r>
              <w:rPr>
                <w:sz w:val="16"/>
                <w:lang w:val="en-GB"/>
              </w:rPr>
              <w:t>Static persistence path; residue untested</w:t>
            </w:r>
          </w:p>
        </w:tc>
      </w:tr>
      <w:tr>
        <w:tc>
          <w:tcPr>
            <w:tcW w:type="dxa" w:w="1733"/>
            <w:vAlign w:val="center"/>
            <w:tcMar>
              <w:top w:w="80" w:type="dxa"/>
              <w:start w:w="120" w:type="dxa"/>
              <w:bottom w:w="80" w:type="dxa"/>
              <w:end w:w="120" w:type="dxa"/>
            </w:tcMar>
          </w:tcPr>
          <w:p>
            <w:r>
              <w:rPr>
                <w:sz w:val="16"/>
                <w:lang w:val="en-GB"/>
              </w:rPr>
              <w:t>Hosted mode</w:t>
            </w:r>
          </w:p>
        </w:tc>
        <w:tc>
          <w:tcPr>
            <w:tcW w:type="dxa" w:w="3867"/>
            <w:vAlign w:val="center"/>
            <w:tcMar>
              <w:top w:w="80" w:type="dxa"/>
              <w:start w:w="120" w:type="dxa"/>
              <w:bottom w:w="80" w:type="dxa"/>
              <w:end w:w="120" w:type="dxa"/>
            </w:tcMar>
          </w:tcPr>
          <w:p>
            <w:r>
              <w:rPr>
                <w:sz w:val="16"/>
                <w:lang w:val="en-GB"/>
              </w:rPr>
              <w:t>MCP URL/auth state and host logs; no local server package</w:t>
            </w:r>
          </w:p>
        </w:tc>
        <w:tc>
          <w:tcPr>
            <w:tcW w:type="dxa" w:w="3760"/>
            <w:vAlign w:val="center"/>
            <w:tcMar>
              <w:top w:w="80" w:type="dxa"/>
              <w:start w:w="120" w:type="dxa"/>
              <w:bottom w:w="80" w:type="dxa"/>
              <w:end w:w="120" w:type="dxa"/>
            </w:tcMar>
          </w:tcPr>
          <w:p>
            <w:r>
              <w:rPr>
                <w:sz w:val="16"/>
                <w:lang w:val="en-GB"/>
              </w:rPr>
              <w:t>Expected; tokens/cache/uninstall residue Unknown</w:t>
            </w:r>
          </w:p>
        </w:tc>
      </w:tr>
    </w:tbl>
    <w:p/>
    <w:p>
      <w:pPr>
        <w:pStyle w:val="Heading2"/>
      </w:pPr>
      <w:r>
        <w:rPr>
          <w:lang w:val="en-GB"/>
        </w:rPr>
        <w:t>VS Code Runtime Processes Activation and Host Verification</w:t>
      </w:r>
    </w:p>
    <w:p>
      <w:r>
        <w:rPr>
          <w:lang w:val="en-GB"/>
        </w:rPr>
        <w:t xml:space="preserve">Local activation runs the selected Node entrypoint and imports tool modules; environment validation requires an API key before normal operation. Installed dependencies include Newman for collection execution. Removing a server should stop the host-managed process, but actual child-process termination, crash handling and cancellation were not observed. A container design does not prove filesystem isolation, egress restriction or secure credential injection. </w:t>
      </w:r>
      <w:hyperlink w:anchor="REF_002">
        <w:r>
          <w:rPr>
            <w:rStyle w:val="Hyperlink"/>
            <w:lang w:val="en-GB"/>
          </w:rPr>
          <w:t>[REF-002]</w:t>
        </w:r>
      </w:hyperlink>
      <w:r>
        <w:rPr>
          <w:lang w:val="en-GB"/>
        </w:rPr>
        <w:t xml:space="preserve"> </w:t>
      </w:r>
      <w:hyperlink w:anchor="REF_003">
        <w:r>
          <w:rPr>
            <w:rStyle w:val="Hyperlink"/>
            <w:lang w:val="en-GB"/>
          </w:rPr>
          <w:t>[REF-003]</w:t>
        </w:r>
      </w:hyperlink>
    </w:p>
    <w:p>
      <w:r>
        <w:rPr>
          <w:lang w:val="en-GB"/>
        </w:rPr>
        <w:t>The blocked runtime plan must cover a clean representative OS and exact IDE/Copilot versions, synthetic account, approved workspace, collection and API target, restrictive network policy and tested rollback. Capture configuration/files/processes/network and log baselines before activation; discover schemas, exercise read/write/run failures, revoke credentials, change capabilities and uninstall. Preserve synthetic results and hashes. No normal user profile should be used to substitute for a disposable host.</w:t>
      </w:r>
    </w:p>
    <w:p>
      <w:pPr>
        <w:pStyle w:val="Caption"/>
      </w:pPr>
      <w:r>
        <w:rPr>
          <w:b/>
          <w:lang w:val="en-GB"/>
        </w:rPr>
        <w:t>VS Code runtime gap closure</w:t>
      </w:r>
    </w:p>
    <w:tbl>
      <w:tblPr>
        <w:tblStyle w:val="TableGrid"/>
        <w:tblW w:type="dxa" w:w="9360"/>
        <w:tblLayout w:type="fixed"/>
        <w:tblLook w:firstColumn="1" w:firstRow="1" w:lastColumn="0" w:lastRow="0" w:noHBand="0" w:noVBand="1" w:val="04A0"/>
        <w:tblInd w:w="120" w:type="dxa"/>
      </w:tblPr>
      <w:tblGrid>
        <w:gridCol w:w="2065"/>
        <w:gridCol w:w="5942"/>
        <w:gridCol w:w="1353"/>
      </w:tblGrid>
      <w:tr>
        <w:trPr>
          <w:tblHeader w:val="true"/>
        </w:trPr>
        <w:tc>
          <w:tcPr>
            <w:tcW w:type="dxa" w:w="2065"/>
            <w:shd w:fill="F2F4F7"/>
            <w:vAlign w:val="center"/>
            <w:tcMar>
              <w:top w:w="80" w:type="dxa"/>
              <w:start w:w="120" w:type="dxa"/>
              <w:bottom w:w="80" w:type="dxa"/>
              <w:end w:w="120" w:type="dxa"/>
            </w:tcMar>
          </w:tcPr>
          <w:p>
            <w:r>
              <w:rPr>
                <w:b/>
                <w:sz w:val="16"/>
                <w:lang w:val="en-GB"/>
              </w:rPr>
              <w:t>Test</w:t>
            </w:r>
          </w:p>
        </w:tc>
        <w:tc>
          <w:tcPr>
            <w:tcW w:type="dxa" w:w="5942"/>
            <w:shd w:fill="F2F4F7"/>
            <w:vAlign w:val="center"/>
            <w:tcMar>
              <w:top w:w="80" w:type="dxa"/>
              <w:start w:w="120" w:type="dxa"/>
              <w:bottom w:w="80" w:type="dxa"/>
              <w:end w:w="120" w:type="dxa"/>
            </w:tcMar>
          </w:tcPr>
          <w:p>
            <w:r>
              <w:rPr>
                <w:b/>
                <w:sz w:val="16"/>
                <w:lang w:val="en-GB"/>
              </w:rPr>
              <w:t>Required evidence</w:t>
            </w:r>
          </w:p>
        </w:tc>
        <w:tc>
          <w:tcPr>
            <w:tcW w:type="dxa" w:w="1353"/>
            <w:shd w:fill="F2F4F7"/>
            <w:vAlign w:val="center"/>
            <w:tcMar>
              <w:top w:w="80" w:type="dxa"/>
              <w:start w:w="120" w:type="dxa"/>
              <w:bottom w:w="80" w:type="dxa"/>
              <w:end w:w="120" w:type="dxa"/>
            </w:tcMar>
          </w:tcPr>
          <w:p>
            <w:r>
              <w:rPr>
                <w:b/>
                <w:sz w:val="16"/>
                <w:lang w:val="en-GB"/>
              </w:rPr>
              <w:t>Status</w:t>
            </w:r>
          </w:p>
        </w:tc>
      </w:tr>
      <w:tr>
        <w:tc>
          <w:tcPr>
            <w:tcW w:type="dxa" w:w="2065"/>
            <w:vAlign w:val="center"/>
            <w:tcMar>
              <w:top w:w="80" w:type="dxa"/>
              <w:start w:w="120" w:type="dxa"/>
              <w:bottom w:w="80" w:type="dxa"/>
              <w:end w:w="120" w:type="dxa"/>
            </w:tcMar>
          </w:tcPr>
          <w:p>
            <w:r>
              <w:rPr>
                <w:sz w:val="16"/>
                <w:lang w:val="en-GB"/>
              </w:rPr>
              <w:t>Consent and trust</w:t>
            </w:r>
          </w:p>
        </w:tc>
        <w:tc>
          <w:tcPr>
            <w:tcW w:type="dxa" w:w="5942"/>
            <w:vAlign w:val="center"/>
            <w:tcMar>
              <w:top w:w="80" w:type="dxa"/>
              <w:start w:w="120" w:type="dxa"/>
              <w:bottom w:w="80" w:type="dxa"/>
              <w:end w:w="120" w:type="dxa"/>
            </w:tcMar>
          </w:tcPr>
          <w:p>
            <w:r>
              <w:rPr>
                <w:sz w:val="16"/>
                <w:lang w:val="en-GB"/>
              </w:rPr>
              <w:t>First-use and changed-schema prompts; reset and revocation</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Authentication</w:t>
            </w:r>
          </w:p>
        </w:tc>
        <w:tc>
          <w:tcPr>
            <w:tcW w:type="dxa" w:w="5942"/>
            <w:vAlign w:val="center"/>
            <w:tcMar>
              <w:top w:w="80" w:type="dxa"/>
              <w:start w:w="120" w:type="dxa"/>
              <w:bottom w:w="80" w:type="dxa"/>
              <w:end w:w="120" w:type="dxa"/>
            </w:tcMar>
          </w:tcPr>
          <w:p>
            <w:r>
              <w:rPr>
                <w:sz w:val="16"/>
                <w:lang w:val="en-GB"/>
              </w:rPr>
              <w:t>Synthetic successful/failed login and cross-workspace denial</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Runner</w:t>
            </w:r>
          </w:p>
        </w:tc>
        <w:tc>
          <w:tcPr>
            <w:tcW w:type="dxa" w:w="5942"/>
            <w:vAlign w:val="center"/>
            <w:tcMar>
              <w:top w:w="80" w:type="dxa"/>
              <w:start w:w="120" w:type="dxa"/>
              <w:bottom w:w="80" w:type="dxa"/>
              <w:end w:w="120" w:type="dxa"/>
            </w:tcMar>
          </w:tcPr>
          <w:p>
            <w:r>
              <w:rPr>
                <w:sz w:val="16"/>
                <w:lang w:val="en-GB"/>
              </w:rPr>
              <w:t>Allowed target, denied targets, script limit and cancellation</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Data transfer</w:t>
            </w:r>
          </w:p>
        </w:tc>
        <w:tc>
          <w:tcPr>
            <w:tcW w:type="dxa" w:w="5942"/>
            <w:vAlign w:val="center"/>
            <w:tcMar>
              <w:top w:w="80" w:type="dxa"/>
              <w:start w:w="120" w:type="dxa"/>
              <w:bottom w:w="80" w:type="dxa"/>
              <w:end w:w="120" w:type="dxa"/>
            </w:tcMar>
          </w:tcPr>
          <w:p>
            <w:r>
              <w:rPr>
                <w:sz w:val="16"/>
                <w:lang w:val="en-GB"/>
              </w:rPr>
              <w:t>Capture payloads and run-history visibility using synthetic marker</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Cleanup</w:t>
            </w:r>
          </w:p>
        </w:tc>
        <w:tc>
          <w:tcPr>
            <w:tcW w:type="dxa" w:w="5942"/>
            <w:vAlign w:val="center"/>
            <w:tcMar>
              <w:top w:w="80" w:type="dxa"/>
              <w:start w:w="120" w:type="dxa"/>
              <w:bottom w:w="80" w:type="dxa"/>
              <w:end w:w="120" w:type="dxa"/>
            </w:tcMar>
          </w:tcPr>
          <w:p>
            <w:r>
              <w:rPr>
                <w:sz w:val="16"/>
                <w:lang w:val="en-GB"/>
              </w:rPr>
              <w:t>Stopped processes, revoked tokens, cache and identifier residue</w:t>
            </w:r>
          </w:p>
        </w:tc>
        <w:tc>
          <w:tcPr>
            <w:tcW w:type="dxa" w:w="1353"/>
            <w:vAlign w:val="center"/>
            <w:tcMar>
              <w:top w:w="80" w:type="dxa"/>
              <w:start w:w="120" w:type="dxa"/>
              <w:bottom w:w="80" w:type="dxa"/>
              <w:end w:w="120" w:type="dxa"/>
            </w:tcMar>
          </w:tcPr>
          <w:p>
            <w:r>
              <w:rPr>
                <w:sz w:val="16"/>
                <w:lang w:val="en-GB"/>
              </w:rPr>
              <w:t>Blocked</w:t>
            </w:r>
          </w:p>
        </w:tc>
      </w:tr>
    </w:tbl>
    <w:p/>
    <w:p>
      <w:pPr>
        <w:pStyle w:val="Heading2"/>
      </w:pPr>
      <w:r>
        <w:rPr>
          <w:lang w:val="en-GB"/>
        </w:rPr>
        <w:t>VS Code Telemetry Privacy and Returned Content</w:t>
      </w:r>
    </w:p>
    <w:p>
      <w:r>
        <w:rPr>
          <w:lang w:val="en-GB"/>
        </w:rPr>
        <w:t xml:space="preserve">General MCP usage telemetry is off by default in the local public implementation. This does not prevent collection-run uploads: runner/index.ts invokes reportTelemetryAsync after execution, and telemetry.ts includes request URL/headers/body, response headers/body and assertion details in the collection run payload. A persistent install identifier is also created at startup independently of the opt-in flag. Operational disclosure and retention must be tested; do not describe the local mode as keeping all data on the endpoint. </w:t>
      </w:r>
      <w:hyperlink w:anchor="REF_002">
        <w:r>
          <w:rPr>
            <w:rStyle w:val="Hyperlink"/>
            <w:lang w:val="en-GB"/>
          </w:rPr>
          <w:t>[REF-002]</w:t>
        </w:r>
      </w:hyperlink>
      <w:r>
        <w:rPr>
          <w:lang w:val="en-GB"/>
        </w:rPr>
        <w:t xml:space="preserve"> </w:t>
      </w:r>
      <w:hyperlink w:anchor="REF_003">
        <w:r>
          <w:rPr>
            <w:rStyle w:val="Hyperlink"/>
            <w:lang w:val="en-GB"/>
          </w:rPr>
          <w:t>[REF-003]</w:t>
        </w:r>
      </w:hyperlink>
    </w:p>
    <w:p>
      <w:r>
        <w:rPr>
          <w:lang w:val="en-GB"/>
        </w:rPr>
        <w:t xml:space="preserve">When general telemetry is enabled, raw client metadata can be included in events. Context and environment tools also pass upstream material to the assistant without a server-side guarantee of secret redaction in the inspected local layer. Limit data at source, approve the independent model provider, and inspect synthetic error paths for leakage into client and stderr logs. Hosted telemetry is a vendor claim until destination, payload, identifiers and retention are observed. </w:t>
      </w:r>
      <w:hyperlink w:anchor="REF_002">
        <w:r>
          <w:rPr>
            <w:rStyle w:val="Hyperlink"/>
            <w:lang w:val="en-GB"/>
          </w:rPr>
          <w:t>[REF-002]</w:t>
        </w:r>
      </w:hyperlink>
      <w:r>
        <w:rPr>
          <w:lang w:val="en-GB"/>
        </w:rPr>
        <w:t xml:space="preserve"> </w:t>
      </w:r>
      <w:hyperlink w:anchor="REF_004">
        <w:r>
          <w:rPr>
            <w:rStyle w:val="Hyperlink"/>
            <w:lang w:val="en-GB"/>
          </w:rPr>
          <w:t>[REF-004]</w:t>
        </w:r>
      </w:hyperlink>
    </w:p>
    <w:p>
      <w:pPr>
        <w:pStyle w:val="Heading2"/>
      </w:pPr>
      <w:r>
        <w:rPr>
          <w:lang w:val="en-GB"/>
        </w:rPr>
        <w:t>VS Code MCP Surface and Agent Skills</w:t>
      </w:r>
    </w:p>
    <w:p>
      <w:r>
        <w:rPr>
          <w:lang w:val="en-GB"/>
        </w:rPr>
        <w:t xml:space="preserve">Configured unique local tool counts are Full 204, Minimal 42, Code 23, Learn 1 and Context Graph 2. Minimal includes create/update operations and runCollection; Full adds destructive, publishing, role-management and collaboration operations. Tool selection must follow the use case. A read-oriented Code subset still returns potentially sensitive API context and is not a universal security boundary. Hosted parity is documented but no versioned live tools/list was collected. </w:t>
      </w:r>
      <w:hyperlink w:anchor="REF_002">
        <w:r>
          <w:rPr>
            <w:rStyle w:val="Hyperlink"/>
            <w:lang w:val="en-GB"/>
          </w:rPr>
          <w:t>[REF-002]</w:t>
        </w:r>
      </w:hyperlink>
      <w:r>
        <w:rPr>
          <w:lang w:val="en-GB"/>
        </w:rPr>
        <w:t xml:space="preserve"> </w:t>
      </w:r>
      <w:hyperlink w:anchor="REF_004">
        <w:r>
          <w:rPr>
            <w:rStyle w:val="Hyperlink"/>
            <w:lang w:val="en-GB"/>
          </w:rPr>
          <w:t>[REF-004]</w:t>
        </w:r>
      </w:hyperlink>
    </w:p>
    <w:p>
      <w:r>
        <w:rPr>
          <w:lang w:val="en-GB"/>
        </w:rPr>
        <w:t xml:space="preserve">One resource registration, postman://instructions, was observed in index.ts. Registered MCP prompts and Agent Skill SKILL.md files were Not observed across the complete acquired source/package filenames and registration sites. Instruction-returning tools and MCP resources are not Agent Skills. No shared installed-skill approval is granted; separately distributed companion plugins or future skill installers require separate provenance and assessment. </w:t>
      </w:r>
      <w:hyperlink w:anchor="REF_002">
        <w:r>
          <w:rPr>
            <w:rStyle w:val="Hyperlink"/>
            <w:lang w:val="en-GB"/>
          </w:rPr>
          <w:t>[REF-002]</w:t>
        </w:r>
      </w:hyperlink>
      <w:r>
        <w:rPr>
          <w:lang w:val="en-GB"/>
        </w:rPr>
        <w:t xml:space="preserve"> </w:t>
      </w:r>
      <w:hyperlink w:anchor="REF_024">
        <w:r>
          <w:rPr>
            <w:rStyle w:val="Hyperlink"/>
            <w:lang w:val="en-GB"/>
          </w:rPr>
          <w:t>[REF-024]</w:t>
        </w:r>
      </w:hyperlink>
    </w:p>
    <w:p>
      <w:pPr>
        <w:pStyle w:val="Caption"/>
      </w:pPr>
      <w:r>
        <w:rPr>
          <w:b/>
          <w:lang w:val="en-GB"/>
        </w:rPr>
        <w:t>VS Code MCP capability disposition</w:t>
      </w:r>
    </w:p>
    <w:tbl>
      <w:tblPr>
        <w:tblStyle w:val="TableGrid"/>
        <w:tblW w:type="dxa" w:w="9360"/>
        <w:tblLayout w:type="fixed"/>
        <w:tblLook w:firstColumn="1" w:firstRow="1" w:lastColumn="0" w:lastRow="0" w:noHBand="0" w:noVBand="1" w:val="04A0"/>
        <w:tblInd w:w="120" w:type="dxa"/>
      </w:tblPr>
      <w:tblGrid>
        <w:gridCol w:w="2382"/>
        <w:gridCol w:w="3074"/>
        <w:gridCol w:w="3904"/>
      </w:tblGrid>
      <w:tr>
        <w:trPr>
          <w:tblHeader w:val="true"/>
        </w:trPr>
        <w:tc>
          <w:tcPr>
            <w:tcW w:type="dxa" w:w="2382"/>
            <w:shd w:fill="F2F4F7"/>
            <w:vAlign w:val="center"/>
            <w:tcMar>
              <w:top w:w="80" w:type="dxa"/>
              <w:start w:w="120" w:type="dxa"/>
              <w:bottom w:w="80" w:type="dxa"/>
              <w:end w:w="120" w:type="dxa"/>
            </w:tcMar>
          </w:tcPr>
          <w:p>
            <w:r>
              <w:rPr>
                <w:b/>
                <w:sz w:val="16"/>
                <w:lang w:val="en-GB"/>
              </w:rPr>
              <w:t>Surface</w:t>
            </w:r>
          </w:p>
        </w:tc>
        <w:tc>
          <w:tcPr>
            <w:tcW w:type="dxa" w:w="3074"/>
            <w:shd w:fill="F2F4F7"/>
            <w:vAlign w:val="center"/>
            <w:tcMar>
              <w:top w:w="80" w:type="dxa"/>
              <w:start w:w="120" w:type="dxa"/>
              <w:bottom w:w="80" w:type="dxa"/>
              <w:end w:w="120" w:type="dxa"/>
            </w:tcMar>
          </w:tcPr>
          <w:p>
            <w:r>
              <w:rPr>
                <w:b/>
                <w:sz w:val="16"/>
                <w:lang w:val="en-GB"/>
              </w:rPr>
              <w:t>Disposition</w:t>
            </w:r>
          </w:p>
        </w:tc>
        <w:tc>
          <w:tcPr>
            <w:tcW w:type="dxa" w:w="3904"/>
            <w:shd w:fill="F2F4F7"/>
            <w:vAlign w:val="center"/>
            <w:tcMar>
              <w:top w:w="80" w:type="dxa"/>
              <w:start w:w="120" w:type="dxa"/>
              <w:bottom w:w="80" w:type="dxa"/>
              <w:end w:w="120" w:type="dxa"/>
            </w:tcMar>
          </w:tcPr>
          <w:p>
            <w:r>
              <w:rPr>
                <w:b/>
                <w:sz w:val="16"/>
                <w:lang w:val="en-GB"/>
              </w:rPr>
              <w:t>Control</w:t>
            </w:r>
          </w:p>
        </w:tc>
      </w:tr>
      <w:tr>
        <w:tc>
          <w:tcPr>
            <w:tcW w:type="dxa" w:w="2382"/>
            <w:vAlign w:val="center"/>
            <w:tcMar>
              <w:top w:w="80" w:type="dxa"/>
              <w:start w:w="120" w:type="dxa"/>
              <w:bottom w:w="80" w:type="dxa"/>
              <w:end w:w="120" w:type="dxa"/>
            </w:tcMar>
          </w:tcPr>
          <w:p>
            <w:r>
              <w:rPr>
                <w:sz w:val="16"/>
                <w:lang w:val="en-GB"/>
              </w:rPr>
              <w:t>Tools</w:t>
            </w:r>
          </w:p>
        </w:tc>
        <w:tc>
          <w:tcPr>
            <w:tcW w:type="dxa" w:w="3074"/>
            <w:vAlign w:val="center"/>
            <w:tcMar>
              <w:top w:w="80" w:type="dxa"/>
              <w:start w:w="120" w:type="dxa"/>
              <w:bottom w:w="80" w:type="dxa"/>
              <w:end w:w="120" w:type="dxa"/>
            </w:tcMar>
          </w:tcPr>
          <w:p>
            <w:r>
              <w:rPr>
                <w:sz w:val="16"/>
                <w:lang w:val="en-GB"/>
              </w:rPr>
              <w:t>Verified static; runtime Unknown</w:t>
            </w:r>
          </w:p>
        </w:tc>
        <w:tc>
          <w:tcPr>
            <w:tcW w:type="dxa" w:w="3904"/>
            <w:vAlign w:val="center"/>
            <w:tcMar>
              <w:top w:w="80" w:type="dxa"/>
              <w:start w:w="120" w:type="dxa"/>
              <w:bottom w:w="80" w:type="dxa"/>
              <w:end w:w="120" w:type="dxa"/>
            </w:tcMar>
          </w:tcPr>
          <w:p>
            <w:r>
              <w:rPr>
                <w:sz w:val="16"/>
                <w:lang w:val="en-GB"/>
              </w:rPr>
              <w:t>Pin schemas and approve mutation/run calls</w:t>
            </w:r>
          </w:p>
        </w:tc>
      </w:tr>
      <w:tr>
        <w:tc>
          <w:tcPr>
            <w:tcW w:type="dxa" w:w="2382"/>
            <w:vAlign w:val="center"/>
            <w:tcMar>
              <w:top w:w="80" w:type="dxa"/>
              <w:start w:w="120" w:type="dxa"/>
              <w:bottom w:w="80" w:type="dxa"/>
              <w:end w:w="120" w:type="dxa"/>
            </w:tcMar>
          </w:tcPr>
          <w:p>
            <w:r>
              <w:rPr>
                <w:sz w:val="16"/>
                <w:lang w:val="en-GB"/>
              </w:rPr>
              <w:t>Resources</w:t>
            </w:r>
          </w:p>
        </w:tc>
        <w:tc>
          <w:tcPr>
            <w:tcW w:type="dxa" w:w="3074"/>
            <w:vAlign w:val="center"/>
            <w:tcMar>
              <w:top w:w="80" w:type="dxa"/>
              <w:start w:w="120" w:type="dxa"/>
              <w:bottom w:w="80" w:type="dxa"/>
              <w:end w:w="120" w:type="dxa"/>
            </w:tcMar>
          </w:tcPr>
          <w:p>
            <w:r>
              <w:rPr>
                <w:sz w:val="16"/>
                <w:lang w:val="en-GB"/>
              </w:rPr>
              <w:t>One instruction resource</w:t>
            </w:r>
          </w:p>
        </w:tc>
        <w:tc>
          <w:tcPr>
            <w:tcW w:type="dxa" w:w="3904"/>
            <w:vAlign w:val="center"/>
            <w:tcMar>
              <w:top w:w="80" w:type="dxa"/>
              <w:start w:w="120" w:type="dxa"/>
              <w:bottom w:w="80" w:type="dxa"/>
              <w:end w:w="120" w:type="dxa"/>
            </w:tcMar>
          </w:tcPr>
          <w:p>
            <w:r>
              <w:rPr>
                <w:sz w:val="16"/>
                <w:lang w:val="en-GB"/>
              </w:rPr>
              <w:t>Treat content as untrusted until reviewed</w:t>
            </w:r>
          </w:p>
        </w:tc>
      </w:tr>
      <w:tr>
        <w:tc>
          <w:tcPr>
            <w:tcW w:type="dxa" w:w="2382"/>
            <w:vAlign w:val="center"/>
            <w:tcMar>
              <w:top w:w="80" w:type="dxa"/>
              <w:start w:w="120" w:type="dxa"/>
              <w:bottom w:w="80" w:type="dxa"/>
              <w:end w:w="120" w:type="dxa"/>
            </w:tcMar>
          </w:tcPr>
          <w:p>
            <w:r>
              <w:rPr>
                <w:sz w:val="16"/>
                <w:lang w:val="en-GB"/>
              </w:rPr>
              <w:t>MCP prompts</w:t>
            </w:r>
          </w:p>
        </w:tc>
        <w:tc>
          <w:tcPr>
            <w:tcW w:type="dxa" w:w="3074"/>
            <w:vAlign w:val="center"/>
            <w:tcMar>
              <w:top w:w="80" w:type="dxa"/>
              <w:start w:w="120" w:type="dxa"/>
              <w:bottom w:w="80" w:type="dxa"/>
              <w:end w:w="120" w:type="dxa"/>
            </w:tcMar>
          </w:tcPr>
          <w:p>
            <w:r>
              <w:rPr>
                <w:sz w:val="16"/>
                <w:lang w:val="en-GB"/>
              </w:rPr>
              <w:t>Not observed in local registration</w:t>
            </w:r>
          </w:p>
        </w:tc>
        <w:tc>
          <w:tcPr>
            <w:tcW w:type="dxa" w:w="3904"/>
            <w:vAlign w:val="center"/>
            <w:tcMar>
              <w:top w:w="80" w:type="dxa"/>
              <w:start w:w="120" w:type="dxa"/>
              <w:bottom w:w="80" w:type="dxa"/>
              <w:end w:w="120" w:type="dxa"/>
            </w:tcMar>
          </w:tcPr>
          <w:p>
            <w:r>
              <w:rPr>
                <w:sz w:val="16"/>
                <w:lang w:val="en-GB"/>
              </w:rPr>
              <w:t>Recheck live capabilities and updates</w:t>
            </w:r>
          </w:p>
        </w:tc>
      </w:tr>
      <w:tr>
        <w:tc>
          <w:tcPr>
            <w:tcW w:type="dxa" w:w="2382"/>
            <w:vAlign w:val="center"/>
            <w:tcMar>
              <w:top w:w="80" w:type="dxa"/>
              <w:start w:w="120" w:type="dxa"/>
              <w:bottom w:w="80" w:type="dxa"/>
              <w:end w:w="120" w:type="dxa"/>
            </w:tcMar>
          </w:tcPr>
          <w:p>
            <w:r>
              <w:rPr>
                <w:sz w:val="16"/>
                <w:lang w:val="en-GB"/>
              </w:rPr>
              <w:t>Agent Skills</w:t>
            </w:r>
          </w:p>
        </w:tc>
        <w:tc>
          <w:tcPr>
            <w:tcW w:type="dxa" w:w="3074"/>
            <w:vAlign w:val="center"/>
            <w:tcMar>
              <w:top w:w="80" w:type="dxa"/>
              <w:start w:w="120" w:type="dxa"/>
              <w:bottom w:w="80" w:type="dxa"/>
              <w:end w:w="120" w:type="dxa"/>
            </w:tcMar>
          </w:tcPr>
          <w:p>
            <w:r>
              <w:rPr>
                <w:sz w:val="16"/>
                <w:lang w:val="en-GB"/>
              </w:rPr>
              <w:t>Not observed in acquired artefacts</w:t>
            </w:r>
          </w:p>
        </w:tc>
        <w:tc>
          <w:tcPr>
            <w:tcW w:type="dxa" w:w="3904"/>
            <w:vAlign w:val="center"/>
            <w:tcMar>
              <w:top w:w="80" w:type="dxa"/>
              <w:start w:w="120" w:type="dxa"/>
              <w:bottom w:w="80" w:type="dxa"/>
              <w:end w:w="120" w:type="dxa"/>
            </w:tcMar>
          </w:tcPr>
          <w:p>
            <w:r>
              <w:rPr>
                <w:sz w:val="16"/>
                <w:lang w:val="en-GB"/>
              </w:rPr>
              <w:t>No companion plugin or skill approval</w:t>
            </w:r>
          </w:p>
        </w:tc>
      </w:tr>
      <w:tr>
        <w:tc>
          <w:tcPr>
            <w:tcW w:type="dxa" w:w="2382"/>
            <w:vAlign w:val="center"/>
            <w:tcMar>
              <w:top w:w="80" w:type="dxa"/>
              <w:start w:w="120" w:type="dxa"/>
              <w:bottom w:w="80" w:type="dxa"/>
              <w:end w:w="120" w:type="dxa"/>
            </w:tcMar>
          </w:tcPr>
          <w:p>
            <w:r>
              <w:rPr>
                <w:sz w:val="16"/>
                <w:lang w:val="en-GB"/>
              </w:rPr>
              <w:t>Cross-server composition</w:t>
            </w:r>
          </w:p>
        </w:tc>
        <w:tc>
          <w:tcPr>
            <w:tcW w:type="dxa" w:w="3074"/>
            <w:vAlign w:val="center"/>
            <w:tcMar>
              <w:top w:w="80" w:type="dxa"/>
              <w:start w:w="120" w:type="dxa"/>
              <w:bottom w:w="80" w:type="dxa"/>
              <w:end w:w="120" w:type="dxa"/>
            </w:tcMar>
          </w:tcPr>
          <w:p>
            <w:r>
              <w:rPr>
                <w:sz w:val="16"/>
                <w:lang w:val="en-GB"/>
              </w:rPr>
              <w:t>Possible through host agent</w:t>
            </w:r>
          </w:p>
        </w:tc>
        <w:tc>
          <w:tcPr>
            <w:tcW w:type="dxa" w:w="3904"/>
            <w:vAlign w:val="center"/>
            <w:tcMar>
              <w:top w:w="80" w:type="dxa"/>
              <w:start w:w="120" w:type="dxa"/>
              <w:bottom w:w="80" w:type="dxa"/>
              <w:end w:w="120" w:type="dxa"/>
            </w:tcMar>
          </w:tcPr>
          <w:p>
            <w:r>
              <w:rPr>
                <w:sz w:val="16"/>
                <w:lang w:val="en-GB"/>
              </w:rPr>
              <w:t>Isolate authority and prevent context transfer</w:t>
            </w:r>
          </w:p>
        </w:tc>
      </w:tr>
    </w:tbl>
    <w:p/>
    <w:p>
      <w:pPr>
        <w:pStyle w:val="Heading2"/>
      </w:pPr>
      <w:r>
        <w:rPr>
          <w:lang w:val="en-GB"/>
        </w:rPr>
        <w:t>VS Code Supply Chain Dependencies and Malware Review</w:t>
      </w:r>
    </w:p>
    <w:p>
      <w:r>
        <w:rPr>
          <w:lang w:val="en-GB"/>
        </w:rPr>
        <w:t xml:space="preserve">All 252 npm dist files match the exact source snapshot dist bytes; 254 of 255 package files match their repository counterparts. package.json differs through publishing transformations, including removal of source scripts and different override representation, so npm installation is not a reproduction of the source pnpm lock. Direct dependencies include the MCP SDK, dotenv, Newman, Nunjucks, UUID and Zod, with ranges in the published metadata. Approve an entire resolved runtime closure and retain a fresh inventory, not just the top-level package version. </w:t>
      </w:r>
      <w:hyperlink w:anchor="REF_001">
        <w:r>
          <w:rPr>
            <w:rStyle w:val="Hyperlink"/>
            <w:lang w:val="en-GB"/>
          </w:rPr>
          <w:t>[REF-001]</w:t>
        </w:r>
      </w:hyperlink>
      <w:r>
        <w:rPr>
          <w:lang w:val="en-GB"/>
        </w:rPr>
        <w:t xml:space="preserve"> </w:t>
      </w:r>
      <w:hyperlink w:anchor="REF_002">
        <w:r>
          <w:rPr>
            <w:rStyle w:val="Hyperlink"/>
            <w:lang w:val="en-GB"/>
          </w:rPr>
          <w:t>[REF-002]</w:t>
        </w:r>
      </w:hyperlink>
    </w:p>
    <w:p>
      <w:r>
        <w:rPr>
          <w:lang w:val="en-GB"/>
        </w:rPr>
        <w:t xml:space="preserve">Semgrep 1.179.0 scanned 240 TypeScript files with 312 compatible rules and returned zero findings/errors. Three Pro-only rules and two ignored files were excluded; the earlier empty/unsupported scans are superseded. ClamAV 1.5.4 returned no detections in the acquired source/package. Following the requested refresh, antivirus daily database 28146 dated 7 October 2026 passed signature verification; the repeated scan covered 803 files and returned zero detections. No current approved YARA/IOC corpus was supplied. These are limited scan results, not malware-free certification. Native executable components were Not observed in the top-level package; transitive installed files and remote service internals remain Unknown. </w:t>
      </w:r>
      <w:hyperlink w:anchor="REF_001">
        <w:r>
          <w:rPr>
            <w:rStyle w:val="Hyperlink"/>
            <w:lang w:val="en-GB"/>
          </w:rPr>
          <w:t>[REF-001]</w:t>
        </w:r>
      </w:hyperlink>
      <w:r>
        <w:rPr>
          <w:lang w:val="en-GB"/>
        </w:rPr>
        <w:t xml:space="preserve"> </w:t>
      </w:r>
      <w:hyperlink w:anchor="REF_002">
        <w:r>
          <w:rPr>
            <w:rStyle w:val="Hyperlink"/>
            <w:lang w:val="en-GB"/>
          </w:rPr>
          <w:t>[REF-002]</w:t>
        </w:r>
      </w:hyperlink>
    </w:p>
    <w:p>
      <w:pPr>
        <w:pStyle w:val="Heading2"/>
      </w:pPr>
      <w:r>
        <w:rPr>
          <w:lang w:val="en-GB"/>
        </w:rPr>
        <w:t>VS Code Threat Scenarios and Findings</w:t>
      </w:r>
    </w:p>
    <w:p>
      <w:r>
        <w:rPr>
          <w:lang w:val="en-GB"/>
        </w:rPr>
        <w:t xml:space="preserve">F-001 covers local run-data transfer, F-002 collection execution reach, F-003 mutable dependency resolution, F-004 remote identity/privacy gaps, F-005 secret-bearing configuration and outputs, F-006 execution limits and annotation mismatch, and F-007 untested IDE consent/lifecycle controls. These records describe verified behavior, enterprise risks and evidence gaps; they are not all confirmed vulnerabilities. Detailed source locations, conditions, treatment and verification are retained in the individual finding records. </w:t>
      </w:r>
      <w:hyperlink w:anchor="REF_002">
        <w:r>
          <w:rPr>
            <w:rStyle w:val="Hyperlink"/>
            <w:lang w:val="en-GB"/>
          </w:rPr>
          <w:t>[REF-002]</w:t>
        </w:r>
      </w:hyperlink>
      <w:r>
        <w:rPr>
          <w:lang w:val="en-GB"/>
        </w:rPr>
        <w:t xml:space="preserve"> </w:t>
      </w:r>
      <w:hyperlink w:anchor="REF_012">
        <w:r>
          <w:rPr>
            <w:rStyle w:val="Hyperlink"/>
            <w:lang w:val="en-GB"/>
          </w:rPr>
          <w:t>[REF-012]</w:t>
        </w:r>
      </w:hyperlink>
    </w:p>
    <w:p>
      <w:r>
        <w:rPr>
          <w:lang w:val="en-GB"/>
        </w:rPr>
        <w:t>No CVSS score is assigned to a deployment-control gap or intended capability without a validated exploit and justified attack model. Enterprise risk uses likelihood and impact independently of confidence. Client policy, API roles and data minimisation may lower risk after tests demonstrate effectiveness; they have not been credited as effective tenant controls here.</w:t>
      </w:r>
    </w:p>
    <w:p>
      <w:pPr>
        <w:pStyle w:val="Heading2"/>
      </w:pPr>
      <w:r>
        <w:rPr>
          <w:lang w:val="en-GB"/>
        </w:rPr>
        <w:t>VS Code Framework Disposition and Requirement Mappings</w:t>
      </w:r>
    </w:p>
    <w:p>
      <w:r>
        <w:rPr>
          <w:lang w:val="en-GB"/>
        </w:rPr>
        <w:t xml:space="preserve">Baseline mappings apply to this IDE integration independently. ASVS 5.0.0 Level 2 is the target for relevant API/authentication/communication and data-protection surfaces, not a claim of all-ASVS conformance. STDIO has no browser cookie or webview surface in the inspected package; browser-specific controls are Not applicable to that component. Hosted OAuth client controls include V10.2.1 anti-forgery protection, with provider/client implementation effectiveness Unknown. </w:t>
      </w:r>
      <w:hyperlink w:anchor="REF_012">
        <w:r>
          <w:rPr>
            <w:rStyle w:val="Hyperlink"/>
            <w:lang w:val="en-GB"/>
          </w:rPr>
          <w:t>[REF-012]</w:t>
        </w:r>
      </w:hyperlink>
      <w:r>
        <w:rPr>
          <w:lang w:val="en-GB"/>
        </w:rPr>
        <w:t xml:space="preserve"> </w:t>
      </w:r>
      <w:hyperlink w:anchor="REF_023">
        <w:r>
          <w:rPr>
            <w:rStyle w:val="Hyperlink"/>
            <w:lang w:val="en-GB"/>
          </w:rPr>
          <w:t>[REF-023]</w:t>
        </w:r>
      </w:hyperlink>
    </w:p>
    <w:p>
      <w:r>
        <w:rPr>
          <w:lang w:val="en-GB"/>
        </w:rPr>
        <w:t xml:space="preserve">FCA/PRA duties remain conditional on the actual legal entity, regulated status and service materiality. PECR tracking and EU DORA/AI Act applicability need use-case screening; an EU endpoint alone does not establish jurisdictional scope. ISO control identifiers are review targets with edition metadata verified; licensed Annex A and organisation-specific conformity evidence were not inspected. </w:t>
      </w:r>
      <w:hyperlink w:anchor="REF_017">
        <w:r>
          <w:rPr>
            <w:rStyle w:val="Hyperlink"/>
            <w:lang w:val="en-GB"/>
          </w:rPr>
          <w:t>[REF-017]</w:t>
        </w:r>
      </w:hyperlink>
      <w:r>
        <w:rPr>
          <w:lang w:val="en-GB"/>
        </w:rPr>
        <w:t xml:space="preserve"> </w:t>
      </w:r>
      <w:hyperlink w:anchor="REF_019">
        <w:r>
          <w:rPr>
            <w:rStyle w:val="Hyperlink"/>
            <w:lang w:val="en-GB"/>
          </w:rPr>
          <w:t>[REF-019]</w:t>
        </w:r>
      </w:hyperlink>
      <w:r>
        <w:rPr>
          <w:lang w:val="en-GB"/>
        </w:rPr>
        <w:t xml:space="preserve"> </w:t>
      </w:r>
      <w:hyperlink w:anchor="REF_020">
        <w:r>
          <w:rPr>
            <w:rStyle w:val="Hyperlink"/>
            <w:lang w:val="en-GB"/>
          </w:rPr>
          <w:t>[REF-020]</w:t>
        </w:r>
      </w:hyperlink>
      <w:r>
        <w:rPr>
          <w:lang w:val="en-GB"/>
        </w:rPr>
        <w:t xml:space="preserve"> </w:t>
      </w:r>
      <w:hyperlink w:anchor="REF_022">
        <w:r>
          <w:rPr>
            <w:rStyle w:val="Hyperlink"/>
            <w:lang w:val="en-GB"/>
          </w:rPr>
          <w:t>[REF-022]</w:t>
        </w:r>
      </w:hyperlink>
    </w:p>
    <w:p>
      <w:pPr>
        <w:pStyle w:val="Caption"/>
      </w:pPr>
      <w:r>
        <w:rPr>
          <w:b/>
          <w:lang w:val="en-GB"/>
        </w:rPr>
        <w:t>VS Code complete framework dispositions</w:t>
      </w:r>
    </w:p>
    <w:tbl>
      <w:tblPr>
        <w:tblStyle w:val="TableGrid"/>
        <w:tblW w:type="dxa" w:w="9360"/>
        <w:tblLayout w:type="fixed"/>
        <w:tblLook w:firstColumn="1" w:firstRow="1" w:lastColumn="0" w:lastRow="0" w:noHBand="0" w:noVBand="1" w:val="04A0"/>
        <w:tblInd w:w="120" w:type="dxa"/>
      </w:tblPr>
      <w:tblGrid>
        <w:gridCol w:w="2023"/>
        <w:gridCol w:w="1878"/>
        <w:gridCol w:w="3616"/>
        <w:gridCol w:w="1843"/>
      </w:tblGrid>
      <w:tr>
        <w:trPr>
          <w:tblHeader w:val="true"/>
        </w:trPr>
        <w:tc>
          <w:tcPr>
            <w:tcW w:type="dxa" w:w="2023"/>
            <w:shd w:fill="F2F4F7"/>
            <w:vAlign w:val="center"/>
            <w:tcMar>
              <w:top w:w="80" w:type="dxa"/>
              <w:start w:w="120" w:type="dxa"/>
              <w:bottom w:w="80" w:type="dxa"/>
              <w:end w:w="120" w:type="dxa"/>
            </w:tcMar>
          </w:tcPr>
          <w:p>
            <w:r>
              <w:rPr>
                <w:b/>
                <w:sz w:val="16"/>
                <w:lang w:val="en-GB"/>
              </w:rPr>
              <w:t>Framework</w:t>
            </w:r>
          </w:p>
        </w:tc>
        <w:tc>
          <w:tcPr>
            <w:tcW w:type="dxa" w:w="1878"/>
            <w:shd w:fill="F2F4F7"/>
            <w:vAlign w:val="center"/>
            <w:tcMar>
              <w:top w:w="80" w:type="dxa"/>
              <w:start w:w="120" w:type="dxa"/>
              <w:bottom w:w="80" w:type="dxa"/>
              <w:end w:w="120" w:type="dxa"/>
            </w:tcMar>
          </w:tcPr>
          <w:p>
            <w:r>
              <w:rPr>
                <w:b/>
                <w:sz w:val="16"/>
                <w:lang w:val="en-GB"/>
              </w:rPr>
              <w:t>Disposition</w:t>
            </w:r>
          </w:p>
        </w:tc>
        <w:tc>
          <w:tcPr>
            <w:tcW w:type="dxa" w:w="3616"/>
            <w:shd w:fill="F2F4F7"/>
            <w:vAlign w:val="center"/>
            <w:tcMar>
              <w:top w:w="80" w:type="dxa"/>
              <w:start w:w="120" w:type="dxa"/>
              <w:bottom w:w="80" w:type="dxa"/>
              <w:end w:w="120" w:type="dxa"/>
            </w:tcMar>
          </w:tcPr>
          <w:p>
            <w:r>
              <w:rPr>
                <w:b/>
                <w:sz w:val="16"/>
                <w:lang w:val="en-GB"/>
              </w:rPr>
              <w:t>Mapping or required control</w:t>
            </w:r>
          </w:p>
        </w:tc>
        <w:tc>
          <w:tcPr>
            <w:tcW w:type="dxa" w:w="1843"/>
            <w:shd w:fill="F2F4F7"/>
            <w:vAlign w:val="center"/>
            <w:tcMar>
              <w:top w:w="80" w:type="dxa"/>
              <w:start w:w="120" w:type="dxa"/>
              <w:bottom w:w="80" w:type="dxa"/>
              <w:end w:w="120" w:type="dxa"/>
            </w:tcMar>
          </w:tcPr>
          <w:p>
            <w:r>
              <w:rPr>
                <w:b/>
                <w:sz w:val="16"/>
                <w:lang w:val="en-GB"/>
              </w:rPr>
              <w:t>Source</w:t>
            </w:r>
          </w:p>
        </w:tc>
      </w:tr>
      <w:tr>
        <w:tc>
          <w:tcPr>
            <w:tcW w:type="dxa" w:w="2023"/>
            <w:vAlign w:val="center"/>
            <w:tcMar>
              <w:top w:w="80" w:type="dxa"/>
              <w:start w:w="120" w:type="dxa"/>
              <w:bottom w:w="80" w:type="dxa"/>
              <w:end w:w="120" w:type="dxa"/>
            </w:tcMar>
          </w:tcPr>
          <w:p>
            <w:r>
              <w:rPr>
                <w:sz w:val="16"/>
                <w:lang w:val="en-GB"/>
              </w:rPr>
              <w:t>OWASP LLM 2026</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LLM01 injection, LLM02 disclosure, LLM03 agency, LLM04 supply chain, LLM06 consumption, LLM10 output; vector surface Not observed</w:t>
            </w:r>
          </w:p>
        </w:tc>
        <w:tc>
          <w:tcPr>
            <w:tcW w:type="dxa" w:w="1843"/>
            <w:vAlign w:val="center"/>
            <w:tcMar>
              <w:top w:w="80" w:type="dxa"/>
              <w:start w:w="120" w:type="dxa"/>
              <w:bottom w:w="80" w:type="dxa"/>
              <w:end w:w="120" w:type="dxa"/>
            </w:tcMar>
          </w:tcPr>
          <w:p>
            <w:hyperlink w:anchor="REF_009">
              <w:r>
                <w:rPr>
                  <w:rStyle w:val="Hyperlink"/>
                  <w:lang w:val="en-GB"/>
                </w:rPr>
                <w:t>[REF-009]</w:t>
              </w:r>
            </w:hyperlink>
          </w:p>
        </w:tc>
      </w:tr>
      <w:tr>
        <w:tc>
          <w:tcPr>
            <w:tcW w:type="dxa" w:w="2023"/>
            <w:vAlign w:val="center"/>
            <w:tcMar>
              <w:top w:w="80" w:type="dxa"/>
              <w:start w:w="120" w:type="dxa"/>
              <w:bottom w:w="80" w:type="dxa"/>
              <w:end w:w="120" w:type="dxa"/>
            </w:tcMar>
          </w:tcPr>
          <w:p>
            <w:r>
              <w:rPr>
                <w:sz w:val="16"/>
                <w:lang w:val="en-GB"/>
              </w:rPr>
              <w:t>OWASP Agentic 2026</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ASI01 goal hijack, ASI02 tool misuse, ASI03 privilege, ASI04 supply chain; ASI05 where collection scripts execute</w:t>
            </w:r>
          </w:p>
        </w:tc>
        <w:tc>
          <w:tcPr>
            <w:tcW w:type="dxa" w:w="1843"/>
            <w:vAlign w:val="center"/>
            <w:tcMar>
              <w:top w:w="80" w:type="dxa"/>
              <w:start w:w="120" w:type="dxa"/>
              <w:bottom w:w="80" w:type="dxa"/>
              <w:end w:w="120" w:type="dxa"/>
            </w:tcMar>
          </w:tcPr>
          <w:p>
            <w:hyperlink w:anchor="REF_010">
              <w:r>
                <w:rPr>
                  <w:rStyle w:val="Hyperlink"/>
                  <w:lang w:val="en-GB"/>
                </w:rPr>
                <w:t>[REF-010]</w:t>
              </w:r>
            </w:hyperlink>
          </w:p>
        </w:tc>
      </w:tr>
      <w:tr>
        <w:tc>
          <w:tcPr>
            <w:tcW w:type="dxa" w:w="2023"/>
            <w:vAlign w:val="center"/>
            <w:tcMar>
              <w:top w:w="80" w:type="dxa"/>
              <w:start w:w="120" w:type="dxa"/>
              <w:bottom w:w="80" w:type="dxa"/>
              <w:end w:w="120" w:type="dxa"/>
            </w:tcMar>
          </w:tcPr>
          <w:p>
            <w:r>
              <w:rPr>
                <w:sz w:val="16"/>
                <w:lang w:val="en-GB"/>
              </w:rPr>
              <w:t>MITRE ATLAS v2026.09</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AML.T0051 prompt injection, AML.T0057 leakage, AML.T0053 tool invocation, AML.T0010 supply chain</w:t>
            </w:r>
          </w:p>
        </w:tc>
        <w:tc>
          <w:tcPr>
            <w:tcW w:type="dxa" w:w="1843"/>
            <w:vAlign w:val="center"/>
            <w:tcMar>
              <w:top w:w="80" w:type="dxa"/>
              <w:start w:w="120" w:type="dxa"/>
              <w:bottom w:w="80" w:type="dxa"/>
              <w:end w:w="120" w:type="dxa"/>
            </w:tcMar>
          </w:tcPr>
          <w:p>
            <w:hyperlink w:anchor="REF_013">
              <w:r>
                <w:rPr>
                  <w:rStyle w:val="Hyperlink"/>
                  <w:lang w:val="en-GB"/>
                </w:rPr>
                <w:t>[REF-013]</w:t>
              </w:r>
            </w:hyperlink>
          </w:p>
        </w:tc>
      </w:tr>
      <w:tr>
        <w:tc>
          <w:tcPr>
            <w:tcW w:type="dxa" w:w="2023"/>
            <w:vAlign w:val="center"/>
            <w:tcMar>
              <w:top w:w="80" w:type="dxa"/>
              <w:start w:w="120" w:type="dxa"/>
              <w:bottom w:w="80" w:type="dxa"/>
              <w:end w:w="120" w:type="dxa"/>
            </w:tcMar>
          </w:tcPr>
          <w:p>
            <w:r>
              <w:rPr>
                <w:sz w:val="16"/>
                <w:lang w:val="en-GB"/>
              </w:rPr>
              <w:t>NIST AI RMF 1.0 and AI 600-1</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GOVERN 6 third-party policy; MAP data flow; MEASURE test evidence; MANAGE treatment and monitoring</w:t>
            </w:r>
          </w:p>
        </w:tc>
        <w:tc>
          <w:tcPr>
            <w:tcW w:type="dxa" w:w="1843"/>
            <w:vAlign w:val="center"/>
            <w:tcMar>
              <w:top w:w="80" w:type="dxa"/>
              <w:start w:w="120" w:type="dxa"/>
              <w:bottom w:w="80" w:type="dxa"/>
              <w:end w:w="120" w:type="dxa"/>
            </w:tcMar>
          </w:tcPr>
          <w:p>
            <w:hyperlink w:anchor="REF_014">
              <w:r>
                <w:rPr>
                  <w:rStyle w:val="Hyperlink"/>
                  <w:lang w:val="en-GB"/>
                </w:rPr>
                <w:t>[REF-014]</w:t>
              </w:r>
            </w:hyperlink>
            <w:r>
              <w:rPr>
                <w:sz w:val="16"/>
                <w:lang w:val="en-GB"/>
              </w:rPr>
              <w:t xml:space="preserve"> </w:t>
            </w:r>
            <w:hyperlink w:anchor="REF_015">
              <w:r>
                <w:rPr>
                  <w:rStyle w:val="Hyperlink"/>
                  <w:lang w:val="en-GB"/>
                </w:rPr>
                <w:t>[REF-015]</w:t>
              </w:r>
            </w:hyperlink>
          </w:p>
        </w:tc>
      </w:tr>
      <w:tr>
        <w:tc>
          <w:tcPr>
            <w:tcW w:type="dxa" w:w="2023"/>
            <w:vAlign w:val="center"/>
            <w:tcMar>
              <w:top w:w="80" w:type="dxa"/>
              <w:start w:w="120" w:type="dxa"/>
              <w:bottom w:w="80" w:type="dxa"/>
              <w:end w:w="120" w:type="dxa"/>
            </w:tcMar>
          </w:tcPr>
          <w:p>
            <w:r>
              <w:rPr>
                <w:sz w:val="16"/>
                <w:lang w:val="en-GB"/>
              </w:rPr>
              <w:t>CIS Controls v8.1</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6.8 RBAC, 8.1 logging process, 8.9 central logs, 15.1 provider inventory, 15.5 assessment, 15.6 monitoring, 15.7 decommissioning</w:t>
            </w:r>
          </w:p>
        </w:tc>
        <w:tc>
          <w:tcPr>
            <w:tcW w:type="dxa" w:w="1843"/>
            <w:vAlign w:val="center"/>
            <w:tcMar>
              <w:top w:w="80" w:type="dxa"/>
              <w:start w:w="120" w:type="dxa"/>
              <w:bottom w:w="80" w:type="dxa"/>
              <w:end w:w="120" w:type="dxa"/>
            </w:tcMar>
          </w:tcPr>
          <w:p>
            <w:hyperlink w:anchor="REF_016">
              <w:r>
                <w:rPr>
                  <w:rStyle w:val="Hyperlink"/>
                  <w:lang w:val="en-GB"/>
                </w:rPr>
                <w:t>[REF-016]</w:t>
              </w:r>
            </w:hyperlink>
          </w:p>
        </w:tc>
      </w:tr>
      <w:tr>
        <w:tc>
          <w:tcPr>
            <w:tcW w:type="dxa" w:w="2023"/>
            <w:vAlign w:val="center"/>
            <w:tcMar>
              <w:top w:w="80" w:type="dxa"/>
              <w:start w:w="120" w:type="dxa"/>
              <w:bottom w:w="80" w:type="dxa"/>
              <w:end w:w="120" w:type="dxa"/>
            </w:tcMar>
          </w:tcPr>
          <w:p>
            <w:r>
              <w:rPr>
                <w:sz w:val="16"/>
                <w:lang w:val="en-GB"/>
              </w:rPr>
              <w:t>ISO IEC 27001 2022 Amd 1 2024</w:t>
            </w:r>
          </w:p>
        </w:tc>
        <w:tc>
          <w:tcPr>
            <w:tcW w:type="dxa" w:w="1878"/>
            <w:vAlign w:val="center"/>
            <w:tcMar>
              <w:top w:w="80" w:type="dxa"/>
              <w:start w:w="120" w:type="dxa"/>
              <w:bottom w:w="80" w:type="dxa"/>
              <w:end w:w="120" w:type="dxa"/>
            </w:tcMar>
          </w:tcPr>
          <w:p>
            <w:r>
              <w:rPr>
                <w:sz w:val="16"/>
                <w:lang w:val="en-GB"/>
              </w:rPr>
              <w:t>Applicable good practice</w:t>
            </w:r>
          </w:p>
        </w:tc>
        <w:tc>
          <w:tcPr>
            <w:tcW w:type="dxa" w:w="3616"/>
            <w:vAlign w:val="center"/>
            <w:tcMar>
              <w:top w:w="80" w:type="dxa"/>
              <w:start w:w="120" w:type="dxa"/>
              <w:bottom w:w="80" w:type="dxa"/>
              <w:end w:w="120" w:type="dxa"/>
            </w:tcMar>
          </w:tcPr>
          <w:p>
            <w:r>
              <w:rPr>
                <w:sz w:val="16"/>
                <w:lang w:val="en-GB"/>
              </w:rPr>
              <w:t>Annex A 5.19 supplier relationships, 5.23 cloud use, 8.2 privilege, 8.15 logging as mapping targets; licensed text not inspected</w:t>
            </w:r>
          </w:p>
        </w:tc>
        <w:tc>
          <w:tcPr>
            <w:tcW w:type="dxa" w:w="1843"/>
            <w:vAlign w:val="center"/>
            <w:tcMar>
              <w:top w:w="80" w:type="dxa"/>
              <w:start w:w="120" w:type="dxa"/>
              <w:bottom w:w="80" w:type="dxa"/>
              <w:end w:w="120" w:type="dxa"/>
            </w:tcMar>
          </w:tcPr>
          <w:p>
            <w:hyperlink w:anchor="REF_017">
              <w:r>
                <w:rPr>
                  <w:rStyle w:val="Hyperlink"/>
                  <w:lang w:val="en-GB"/>
                </w:rPr>
                <w:t>[REF-017]</w:t>
              </w:r>
            </w:hyperlink>
          </w:p>
        </w:tc>
      </w:tr>
      <w:tr>
        <w:tc>
          <w:tcPr>
            <w:tcW w:type="dxa" w:w="2023"/>
            <w:vAlign w:val="center"/>
            <w:tcMar>
              <w:top w:w="80" w:type="dxa"/>
              <w:start w:w="120" w:type="dxa"/>
              <w:bottom w:w="80" w:type="dxa"/>
              <w:end w:w="120" w:type="dxa"/>
            </w:tcMar>
          </w:tcPr>
          <w:p>
            <w:r>
              <w:rPr>
                <w:sz w:val="16"/>
                <w:lang w:val="en-GB"/>
              </w:rPr>
              <w:t>NCSC secure AI v1.0</w:t>
            </w:r>
          </w:p>
        </w:tc>
        <w:tc>
          <w:tcPr>
            <w:tcW w:type="dxa" w:w="1878"/>
            <w:vAlign w:val="center"/>
            <w:tcMar>
              <w:top w:w="80" w:type="dxa"/>
              <w:start w:w="120" w:type="dxa"/>
              <w:bottom w:w="80" w:type="dxa"/>
              <w:end w:w="120" w:type="dxa"/>
            </w:tcMar>
          </w:tcPr>
          <w:p>
            <w:r>
              <w:rPr>
                <w:sz w:val="16"/>
                <w:lang w:val="en-GB"/>
              </w:rPr>
              <w:t>Applicable guidance</w:t>
            </w:r>
          </w:p>
        </w:tc>
        <w:tc>
          <w:tcPr>
            <w:tcW w:type="dxa" w:w="3616"/>
            <w:vAlign w:val="center"/>
            <w:tcMar>
              <w:top w:w="80" w:type="dxa"/>
              <w:start w:w="120" w:type="dxa"/>
              <w:bottom w:w="80" w:type="dxa"/>
              <w:end w:w="120" w:type="dxa"/>
            </w:tcMar>
          </w:tcPr>
          <w:p>
            <w:r>
              <w:rPr>
                <w:sz w:val="16"/>
                <w:lang w:val="en-GB"/>
              </w:rPr>
              <w:t>Design threat boundaries; secure deployment; monitor changes; retain incident and exit capability</w:t>
            </w:r>
          </w:p>
        </w:tc>
        <w:tc>
          <w:tcPr>
            <w:tcW w:type="dxa" w:w="1843"/>
            <w:vAlign w:val="center"/>
            <w:tcMar>
              <w:top w:w="80" w:type="dxa"/>
              <w:start w:w="120" w:type="dxa"/>
              <w:bottom w:w="80" w:type="dxa"/>
              <w:end w:w="120" w:type="dxa"/>
            </w:tcMar>
          </w:tcPr>
          <w:p>
            <w:hyperlink w:anchor="REF_018">
              <w:r>
                <w:rPr>
                  <w:rStyle w:val="Hyperlink"/>
                  <w:lang w:val="en-GB"/>
                </w:rPr>
                <w:t>[REF-018]</w:t>
              </w:r>
            </w:hyperlink>
          </w:p>
        </w:tc>
      </w:tr>
      <w:tr>
        <w:tc>
          <w:tcPr>
            <w:tcW w:type="dxa" w:w="2023"/>
            <w:vAlign w:val="center"/>
            <w:tcMar>
              <w:top w:w="80" w:type="dxa"/>
              <w:start w:w="120" w:type="dxa"/>
              <w:bottom w:w="80" w:type="dxa"/>
              <w:end w:w="120" w:type="dxa"/>
            </w:tcMar>
          </w:tcPr>
          <w:p>
            <w:r>
              <w:rPr>
                <w:sz w:val="16"/>
                <w:lang w:val="en-GB"/>
              </w:rPr>
              <w:t>OWASP MCP Top 10 2025</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Token/secret exposure, scope creep, tool poisoning, supply chain, contextual injection, auth, audit and over-sharing</w:t>
            </w:r>
          </w:p>
        </w:tc>
        <w:tc>
          <w:tcPr>
            <w:tcW w:type="dxa" w:w="1843"/>
            <w:vAlign w:val="center"/>
            <w:tcMar>
              <w:top w:w="80" w:type="dxa"/>
              <w:start w:w="120" w:type="dxa"/>
              <w:bottom w:w="80" w:type="dxa"/>
              <w:end w:w="120" w:type="dxa"/>
            </w:tcMar>
          </w:tcPr>
          <w:p>
            <w:hyperlink w:anchor="REF_011">
              <w:r>
                <w:rPr>
                  <w:rStyle w:val="Hyperlink"/>
                  <w:lang w:val="en-GB"/>
                </w:rPr>
                <w:t>[REF-011]</w:t>
              </w:r>
            </w:hyperlink>
          </w:p>
        </w:tc>
      </w:tr>
      <w:tr>
        <w:tc>
          <w:tcPr>
            <w:tcW w:type="dxa" w:w="2023"/>
            <w:vAlign w:val="center"/>
            <w:tcMar>
              <w:top w:w="80" w:type="dxa"/>
              <w:start w:w="120" w:type="dxa"/>
              <w:bottom w:w="80" w:type="dxa"/>
              <w:end w:w="120" w:type="dxa"/>
            </w:tcMar>
          </w:tcPr>
          <w:p>
            <w:r>
              <w:rPr>
                <w:sz w:val="16"/>
                <w:lang w:val="en-GB"/>
              </w:rPr>
              <w:t>OWASP ASVS 5.0.0 L2 target</w:t>
            </w:r>
          </w:p>
        </w:tc>
        <w:tc>
          <w:tcPr>
            <w:tcW w:type="dxa" w:w="1878"/>
            <w:vAlign w:val="center"/>
            <w:tcMar>
              <w:top w:w="80" w:type="dxa"/>
              <w:start w:w="120" w:type="dxa"/>
              <w:bottom w:w="80" w:type="dxa"/>
              <w:end w:w="120" w:type="dxa"/>
            </w:tcMar>
          </w:tcPr>
          <w:p>
            <w:r>
              <w:rPr>
                <w:sz w:val="16"/>
                <w:lang w:val="en-GB"/>
              </w:rPr>
              <w:t>Applicable API and HTTP surfaces</w:t>
            </w:r>
          </w:p>
        </w:tc>
        <w:tc>
          <w:tcPr>
            <w:tcW w:type="dxa" w:w="3616"/>
            <w:vAlign w:val="center"/>
            <w:tcMar>
              <w:top w:w="80" w:type="dxa"/>
              <w:start w:w="120" w:type="dxa"/>
              <w:bottom w:w="80" w:type="dxa"/>
              <w:end w:w="120" w:type="dxa"/>
            </w:tcMar>
          </w:tcPr>
          <w:p>
            <w:r>
              <w:rPr>
                <w:sz w:val="16"/>
                <w:lang w:val="en-GB"/>
              </w:rPr>
              <w:t>V1.3.6 SSRF, V2.2.1 input limits, V8.3.1 trusted-layer authorization, V12.1.1 TLS, V13.2.5 outbound allowlist, V14.2.3 sensitive transfer, V16.2.5 logging</w:t>
            </w:r>
          </w:p>
        </w:tc>
        <w:tc>
          <w:tcPr>
            <w:tcW w:type="dxa" w:w="1843"/>
            <w:vAlign w:val="center"/>
            <w:tcMar>
              <w:top w:w="80" w:type="dxa"/>
              <w:start w:w="120" w:type="dxa"/>
              <w:bottom w:w="80" w:type="dxa"/>
              <w:end w:w="120" w:type="dxa"/>
            </w:tcMar>
          </w:tcPr>
          <w:p>
            <w:hyperlink w:anchor="REF_012">
              <w:r>
                <w:rPr>
                  <w:rStyle w:val="Hyperlink"/>
                  <w:lang w:val="en-GB"/>
                </w:rPr>
                <w:t>[REF-012]</w:t>
              </w:r>
            </w:hyperlink>
          </w:p>
        </w:tc>
      </w:tr>
      <w:tr>
        <w:tc>
          <w:tcPr>
            <w:tcW w:type="dxa" w:w="2023"/>
            <w:vAlign w:val="center"/>
            <w:tcMar>
              <w:top w:w="80" w:type="dxa"/>
              <w:start w:w="120" w:type="dxa"/>
              <w:bottom w:w="80" w:type="dxa"/>
              <w:end w:w="120" w:type="dxa"/>
            </w:tcMar>
          </w:tcPr>
          <w:p>
            <w:r>
              <w:rPr>
                <w:sz w:val="16"/>
                <w:lang w:val="en-GB"/>
              </w:rPr>
              <w:t>UK GDPR DPA 2018 ICO</w:t>
            </w:r>
          </w:p>
        </w:tc>
        <w:tc>
          <w:tcPr>
            <w:tcW w:type="dxa" w:w="1878"/>
            <w:vAlign w:val="center"/>
            <w:tcMar>
              <w:top w:w="80" w:type="dxa"/>
              <w:start w:w="120" w:type="dxa"/>
              <w:bottom w:w="80" w:type="dxa"/>
              <w:end w:w="120" w:type="dxa"/>
            </w:tcMar>
          </w:tcPr>
          <w:p>
            <w:r>
              <w:rPr>
                <w:sz w:val="16"/>
                <w:lang w:val="en-GB"/>
              </w:rPr>
              <w:t>Applicable potential processing</w:t>
            </w:r>
          </w:p>
        </w:tc>
        <w:tc>
          <w:tcPr>
            <w:tcW w:type="dxa" w:w="3616"/>
            <w:vAlign w:val="center"/>
            <w:tcMar>
              <w:top w:w="80" w:type="dxa"/>
              <w:start w:w="120" w:type="dxa"/>
              <w:bottom w:w="80" w:type="dxa"/>
              <w:end w:w="120" w:type="dxa"/>
            </w:tcMar>
          </w:tcPr>
          <w:p>
            <w:r>
              <w:rPr>
                <w:sz w:val="16"/>
                <w:lang w:val="en-GB"/>
              </w:rPr>
              <w:t>Articles 5, 6, 25, 28, 30, 32, 35 and 44-49; actual personal data prohibited pending approval</w:t>
            </w:r>
          </w:p>
        </w:tc>
        <w:tc>
          <w:tcPr>
            <w:tcW w:type="dxa" w:w="1843"/>
            <w:vAlign w:val="center"/>
            <w:tcMar>
              <w:top w:w="80" w:type="dxa"/>
              <w:start w:w="120" w:type="dxa"/>
              <w:bottom w:w="80" w:type="dxa"/>
              <w:end w:w="120" w:type="dxa"/>
            </w:tcMar>
          </w:tcPr>
          <w:p>
            <w:hyperlink w:anchor="REF_019">
              <w:r>
                <w:rPr>
                  <w:rStyle w:val="Hyperlink"/>
                  <w:lang w:val="en-GB"/>
                </w:rPr>
                <w:t>[REF-019]</w:t>
              </w:r>
            </w:hyperlink>
            <w:r>
              <w:rPr>
                <w:sz w:val="16"/>
                <w:lang w:val="en-GB"/>
              </w:rPr>
              <w:t xml:space="preserve"> </w:t>
            </w:r>
            <w:hyperlink w:anchor="REF_030">
              <w:r>
                <w:rPr>
                  <w:rStyle w:val="Hyperlink"/>
                  <w:lang w:val="en-GB"/>
                </w:rPr>
                <w:t>[REF-030]</w:t>
              </w:r>
            </w:hyperlink>
          </w:p>
        </w:tc>
      </w:tr>
      <w:tr>
        <w:tc>
          <w:tcPr>
            <w:tcW w:type="dxa" w:w="2023"/>
            <w:vAlign w:val="center"/>
            <w:tcMar>
              <w:top w:w="80" w:type="dxa"/>
              <w:start w:w="120" w:type="dxa"/>
              <w:bottom w:w="80" w:type="dxa"/>
              <w:end w:w="120" w:type="dxa"/>
            </w:tcMar>
          </w:tcPr>
          <w:p>
            <w:r>
              <w:rPr>
                <w:sz w:val="16"/>
                <w:lang w:val="en-GB"/>
              </w:rPr>
              <w:t>FCA PRA insurance</w:t>
            </w:r>
          </w:p>
        </w:tc>
        <w:tc>
          <w:tcPr>
            <w:tcW w:type="dxa" w:w="1878"/>
            <w:vAlign w:val="center"/>
            <w:tcMar>
              <w:top w:w="80" w:type="dxa"/>
              <w:start w:w="120" w:type="dxa"/>
              <w:bottom w:w="80" w:type="dxa"/>
              <w:end w:w="120" w:type="dxa"/>
            </w:tcMar>
          </w:tcPr>
          <w:p>
            <w:r>
              <w:rPr>
                <w:sz w:val="16"/>
                <w:lang w:val="en-GB"/>
              </w:rPr>
              <w:t>Conditional applicability</w:t>
            </w:r>
          </w:p>
        </w:tc>
        <w:tc>
          <w:tcPr>
            <w:tcW w:type="dxa" w:w="3616"/>
            <w:vAlign w:val="center"/>
            <w:tcMar>
              <w:top w:w="80" w:type="dxa"/>
              <w:start w:w="120" w:type="dxa"/>
              <w:bottom w:w="80" w:type="dxa"/>
              <w:end w:w="120" w:type="dxa"/>
            </w:tcMar>
          </w:tcPr>
          <w:p>
            <w:r>
              <w:rPr>
                <w:sz w:val="16"/>
                <w:lang w:val="en-GB"/>
              </w:rPr>
              <w:t>Identify firm and service first; SYSC 13.9, resilience and current SS2/21; effectiveness Unknown</w:t>
            </w:r>
          </w:p>
        </w:tc>
        <w:tc>
          <w:tcPr>
            <w:tcW w:type="dxa" w:w="1843"/>
            <w:vAlign w:val="center"/>
            <w:tcMar>
              <w:top w:w="80" w:type="dxa"/>
              <w:start w:w="120" w:type="dxa"/>
              <w:bottom w:w="80" w:type="dxa"/>
              <w:end w:w="120" w:type="dxa"/>
            </w:tcMar>
          </w:tcPr>
          <w:p>
            <w:hyperlink w:anchor="REF_020">
              <w:r>
                <w:rPr>
                  <w:rStyle w:val="Hyperlink"/>
                  <w:lang w:val="en-GB"/>
                </w:rPr>
                <w:t>[REF-020]</w:t>
              </w:r>
            </w:hyperlink>
            <w:r>
              <w:rPr>
                <w:sz w:val="16"/>
                <w:lang w:val="en-GB"/>
              </w:rPr>
              <w:t xml:space="preserve"> </w:t>
            </w:r>
            <w:hyperlink w:anchor="REF_021">
              <w:r>
                <w:rPr>
                  <w:rStyle w:val="Hyperlink"/>
                  <w:lang w:val="en-GB"/>
                </w:rPr>
                <w:t>[REF-021]</w:t>
              </w:r>
            </w:hyperlink>
            <w:r>
              <w:rPr>
                <w:sz w:val="16"/>
                <w:lang w:val="en-GB"/>
              </w:rPr>
              <w:t xml:space="preserve"> </w:t>
            </w:r>
            <w:hyperlink w:anchor="REF_022">
              <w:r>
                <w:rPr>
                  <w:rStyle w:val="Hyperlink"/>
                  <w:lang w:val="en-GB"/>
                </w:rPr>
                <w:t>[REF-022]</w:t>
              </w:r>
            </w:hyperlink>
            <w:r>
              <w:rPr>
                <w:sz w:val="16"/>
                <w:lang w:val="en-GB"/>
              </w:rPr>
              <w:t xml:space="preserve"> </w:t>
            </w:r>
            <w:hyperlink w:anchor="REF_031">
              <w:r>
                <w:rPr>
                  <w:rStyle w:val="Hyperlink"/>
                  <w:lang w:val="en-GB"/>
                </w:rPr>
                <w:t>[REF-031]</w:t>
              </w:r>
            </w:hyperlink>
          </w:p>
        </w:tc>
      </w:tr>
      <w:tr>
        <w:tc>
          <w:tcPr>
            <w:tcW w:type="dxa" w:w="2023"/>
            <w:vAlign w:val="center"/>
            <w:tcMar>
              <w:top w:w="80" w:type="dxa"/>
              <w:start w:w="120" w:type="dxa"/>
              <w:bottom w:w="80" w:type="dxa"/>
              <w:end w:w="120" w:type="dxa"/>
            </w:tcMar>
          </w:tcPr>
          <w:p>
            <w:r>
              <w:rPr>
                <w:sz w:val="16"/>
                <w:lang w:val="en-GB"/>
              </w:rPr>
              <w:t>PECR EU DORA EU AI Act other sectors</w:t>
            </w:r>
          </w:p>
        </w:tc>
        <w:tc>
          <w:tcPr>
            <w:tcW w:type="dxa" w:w="1878"/>
            <w:vAlign w:val="center"/>
            <w:tcMar>
              <w:top w:w="80" w:type="dxa"/>
              <w:start w:w="120" w:type="dxa"/>
              <w:bottom w:w="80" w:type="dxa"/>
              <w:end w:w="120" w:type="dxa"/>
            </w:tcMar>
          </w:tcPr>
          <w:p>
            <w:r>
              <w:rPr>
                <w:sz w:val="16"/>
                <w:lang w:val="en-GB"/>
              </w:rPr>
              <w:t>Conditional screen</w:t>
            </w:r>
          </w:p>
        </w:tc>
        <w:tc>
          <w:tcPr>
            <w:tcW w:type="dxa" w:w="3616"/>
            <w:vAlign w:val="center"/>
            <w:tcMar>
              <w:top w:w="80" w:type="dxa"/>
              <w:start w:w="120" w:type="dxa"/>
              <w:bottom w:w="80" w:type="dxa"/>
              <w:end w:w="120" w:type="dxa"/>
            </w:tcMar>
          </w:tcPr>
          <w:p>
            <w:r>
              <w:rPr>
                <w:sz w:val="16"/>
                <w:lang w:val="en-GB"/>
              </w:rPr>
              <w:t>No marketing, device tracking or separate EU-regulated entity demonstrated; no direct legal applicability inferred from EU endpoint</w:t>
            </w:r>
          </w:p>
        </w:tc>
        <w:tc>
          <w:tcPr>
            <w:tcW w:type="dxa" w:w="1843"/>
            <w:vAlign w:val="center"/>
            <w:tcMar>
              <w:top w:w="80" w:type="dxa"/>
              <w:start w:w="120" w:type="dxa"/>
              <w:bottom w:w="80" w:type="dxa"/>
              <w:end w:w="120" w:type="dxa"/>
            </w:tcMar>
          </w:tcPr>
          <w:p>
            <w:hyperlink w:anchor="REF_019">
              <w:r>
                <w:rPr>
                  <w:rStyle w:val="Hyperlink"/>
                  <w:lang w:val="en-GB"/>
                </w:rPr>
                <w:t>[REF-019]</w:t>
              </w:r>
            </w:hyperlink>
            <w:r>
              <w:rPr>
                <w:sz w:val="16"/>
                <w:lang w:val="en-GB"/>
              </w:rPr>
              <w:t xml:space="preserve"> </w:t>
            </w:r>
            <w:hyperlink w:anchor="REF_020">
              <w:r>
                <w:rPr>
                  <w:rStyle w:val="Hyperlink"/>
                  <w:lang w:val="en-GB"/>
                </w:rPr>
                <w:t>[REF-020]</w:t>
              </w:r>
            </w:hyperlink>
          </w:p>
        </w:tc>
      </w:tr>
    </w:tbl>
    <w:p/>
    <w:p>
      <w:pPr>
        <w:pStyle w:val="Heading2"/>
      </w:pPr>
      <w:r>
        <w:rPr>
          <w:lang w:val="en-GB"/>
        </w:rPr>
        <w:t>VS Code Enterprise Controls and Detection</w:t>
      </w:r>
    </w:p>
    <w:p>
      <w:r>
        <w:rPr>
          <w:lang w:val="en-GB"/>
        </w:rPr>
        <w:t xml:space="preserve">Use an approved-server allowlist, immutable local artefact/closure, dedicated least-privilege account, per-tool decisions and classification controls. Avoid blanket auto-approval for collection execution, publishing, deletion, identity/role changes and cross-server tools. Host policy must constrain startup/configuration and operation independently; an account role limit does not stop exfiltration of data it is legitimately allowed to read. </w:t>
      </w:r>
      <w:hyperlink w:anchor="REF_005">
        <w:r>
          <w:rPr>
            <w:rStyle w:val="Hyperlink"/>
            <w:lang w:val="en-GB"/>
          </w:rPr>
          <w:t>[REF-005]</w:t>
        </w:r>
      </w:hyperlink>
      <w:r>
        <w:rPr>
          <w:lang w:val="en-GB"/>
        </w:rPr>
        <w:t xml:space="preserve"> </w:t>
      </w:r>
      <w:hyperlink w:anchor="REF_006">
        <w:r>
          <w:rPr>
            <w:rStyle w:val="Hyperlink"/>
            <w:lang w:val="en-GB"/>
          </w:rPr>
          <w:t>[REF-006]</w:t>
        </w:r>
      </w:hyperlink>
      <w:r>
        <w:rPr>
          <w:lang w:val="en-GB"/>
        </w:rPr>
        <w:t xml:space="preserve"> </w:t>
      </w:r>
      <w:hyperlink w:anchor="REF_011">
        <w:r>
          <w:rPr>
            <w:rStyle w:val="Hyperlink"/>
            <w:lang w:val="en-GB"/>
          </w:rPr>
          <w:t>[REF-011]</w:t>
        </w:r>
      </w:hyperlink>
      <w:r>
        <w:rPr>
          <w:lang w:val="en-GB"/>
        </w:rPr>
        <w:t xml:space="preserve"> </w:t>
      </w:r>
      <w:hyperlink w:anchor="REF_029">
        <w:r>
          <w:rPr>
            <w:rStyle w:val="Hyperlink"/>
            <w:lang w:val="en-GB"/>
          </w:rPr>
          <w:t>[REF-029]</w:t>
        </w:r>
      </w:hyperlink>
    </w:p>
    <w:p>
      <w:r>
        <w:rPr>
          <w:lang w:val="en-GB"/>
        </w:rPr>
        <w:t xml:space="preserve">Alert on new or changed server URLs/commands/tool schemas, unexpected collection runs, environment access, role changes, public publishing and non-approved destinations. Correlate IDE action, account identity and Postman audit/run events using non-sensitive identifiers. Logs must support accountability without retaining raw request bodies, tokens or claims/customer data. Validate alert coverage with synthetic deny tests and record which plan-level audit features are available. </w:t>
      </w:r>
      <w:hyperlink w:anchor="REF_002">
        <w:r>
          <w:rPr>
            <w:rStyle w:val="Hyperlink"/>
            <w:lang w:val="en-GB"/>
          </w:rPr>
          <w:t>[REF-002]</w:t>
        </w:r>
      </w:hyperlink>
      <w:r>
        <w:rPr>
          <w:lang w:val="en-GB"/>
        </w:rPr>
        <w:t xml:space="preserve"> </w:t>
      </w:r>
      <w:hyperlink w:anchor="REF_016">
        <w:r>
          <w:rPr>
            <w:rStyle w:val="Hyperlink"/>
            <w:lang w:val="en-GB"/>
          </w:rPr>
          <w:t>[REF-016]</w:t>
        </w:r>
      </w:hyperlink>
    </w:p>
    <w:p>
      <w:pPr>
        <w:pStyle w:val="Heading2"/>
      </w:pPr>
      <w:r>
        <w:rPr>
          <w:lang w:val="en-GB"/>
        </w:rPr>
        <w:t>VS Code Residual Risk Confidence Limitations and Approval</w:t>
      </w:r>
    </w:p>
    <w:p>
      <w:r>
        <w:rPr>
          <w:lang w:val="en-GB"/>
        </w:rPr>
        <w:t>Residual risk is High for the proposed enterprise scope because runtime consent, privilege boundaries, data transfer, installed dependency closure and hosted tenancy controls are unverified. Confidence is High for direct package/source facts, Medium for documented integration behavior and Low for actual tenant operational effectiveness. No production or confidential-data deployment is approved. The accountable decision owner should be the enterprise technology risk owner, supported by platform security, DPO and service owner; these are proposed roles, not identified approvals.</w:t>
      </w:r>
    </w:p>
    <w:p>
      <w:r>
        <w:rPr>
          <w:lang w:val="en-GB"/>
        </w:rPr>
        <w:t>Review on a package/dependency/endpoint/schema/authentication change, new data class or model provider, or when closure evidence becomes available. A time-based review alone cannot close the missing runtime tests. A future controlled synthetic pilot needs its own approved environment and acceptance criteria before residual likelihood or impact is reduced.</w:t>
      </w:r>
    </w:p>
    <w:p>
      <w:pPr>
        <w:pStyle w:val="Heading1"/>
      </w:pPr>
      <w:r>
        <w:rPr>
          <w:lang w:val="en-GB"/>
        </w:rPr>
        <w:t>Part II Visual Studio Assessment</w:t>
      </w:r>
    </w:p>
    <w:p>
      <w:r>
        <w:rPr>
          <w:lang w:val="en-GB"/>
        </w:rPr>
        <w:t xml:space="preserve">Visual Studio decision: Defer pending evidence for local 2.13.0 and current documented remote US/EU endpoints. The integration provides MCP capabilities to the agent rather than installing a Postman-owned VSIX. Compatibility is documented directly for VS Code; Visual Studio generic MCP support is documented by Microsoft, while Postman-specific integration remains Inferred and untested. A release approved for one client does not authorise another client version. </w:t>
      </w:r>
      <w:hyperlink w:anchor="REF_002">
        <w:r>
          <w:rPr>
            <w:rStyle w:val="Hyperlink"/>
            <w:lang w:val="en-GB"/>
          </w:rPr>
          <w:t>[REF-002]</w:t>
        </w:r>
      </w:hyperlink>
      <w:r>
        <w:rPr>
          <w:lang w:val="en-GB"/>
        </w:rPr>
        <w:t xml:space="preserve"> </w:t>
      </w:r>
      <w:hyperlink w:anchor="REF_006">
        <w:r>
          <w:rPr>
            <w:rStyle w:val="Hyperlink"/>
            <w:lang w:val="en-GB"/>
          </w:rPr>
          <w:t>[REF-006]</w:t>
        </w:r>
      </w:hyperlink>
    </w:p>
    <w:p>
      <w:pPr>
        <w:pStyle w:val="Heading2"/>
      </w:pPr>
      <w:r>
        <w:rPr>
          <w:lang w:val="en-GB"/>
        </w:rPr>
        <w:t>Visual Studio Purpose Function and Supported Version</w:t>
      </w:r>
    </w:p>
    <w:p>
      <w:r>
        <w:rPr>
          <w:lang w:val="en-GB"/>
        </w:rPr>
        <w:t xml:space="preserve">The Visual Studio user can discover APIs, read collections and environments, edit Postman objects, or execute collections according to the selected toolset. Enabled tools are an exposure reduction mechanism, not proof of least-privilege account access. The server can act within the credential authority even if a host hides some tools. Use a dedicated synthetic workspace for initial testing and prove denial of cross-workspace and higher-privilege actions. </w:t>
      </w:r>
      <w:hyperlink w:anchor="REF_002">
        <w:r>
          <w:rPr>
            <w:rStyle w:val="Hyperlink"/>
            <w:lang w:val="en-GB"/>
          </w:rPr>
          <w:t>[REF-002]</w:t>
        </w:r>
      </w:hyperlink>
      <w:r>
        <w:rPr>
          <w:lang w:val="en-GB"/>
        </w:rPr>
        <w:t xml:space="preserve"> </w:t>
      </w:r>
      <w:hyperlink w:anchor="REF_004">
        <w:r>
          <w:rPr>
            <w:rStyle w:val="Hyperlink"/>
            <w:lang w:val="en-GB"/>
          </w:rPr>
          <w:t>[REF-004]</w:t>
        </w:r>
      </w:hyperlink>
      <w:r>
        <w:rPr>
          <w:lang w:val="en-GB"/>
        </w:rPr>
        <w:t xml:space="preserve"> </w:t>
      </w:r>
      <w:hyperlink w:anchor="REF_006">
        <w:r>
          <w:rPr>
            <w:rStyle w:val="Hyperlink"/>
            <w:lang w:val="en-GB"/>
          </w:rPr>
          <w:t>[REF-006]</w:t>
        </w:r>
      </w:hyperlink>
    </w:p>
    <w:p>
      <w:r>
        <w:rPr>
          <w:lang w:val="en-GB"/>
        </w:rPr>
        <w:t xml:space="preserve">Microsoft documents support in Visual Studio 2026 and Visual Studio 2022 17.14 with current servicing recommended. The newer change-sensitive server trust dialog is documented for 2026 18.7 and later. Do not assume its presence on every 17.14 deployment, and do not treat first-seen baseline recording as a complete security review. </w:t>
      </w:r>
      <w:hyperlink w:anchor="REF_006">
        <w:r>
          <w:rPr>
            <w:rStyle w:val="Hyperlink"/>
            <w:lang w:val="en-GB"/>
          </w:rPr>
          <w:t>[REF-006]</w:t>
        </w:r>
      </w:hyperlink>
    </w:p>
    <w:p>
      <w:pPr>
        <w:pStyle w:val="Heading2"/>
      </w:pPr>
      <w:r>
        <w:rPr>
          <w:lang w:val="en-GB"/>
        </w:rPr>
        <w:t>Visual Studio Architecture and Trust Boundaries</w:t>
      </w:r>
    </w:p>
    <w:p>
      <w:r>
        <w:rPr>
          <w:lang w:val="en-GB"/>
        </w:rPr>
        <w:t xml:space="preserve">The local chain is Visual Studio agent and MCP client, Node STDIO process, Postman API and optional downstream collection targets. Hosted mode replaces the local process boundary with Postman-managed HTTP transport. Model context, developer endpoint, tenant credential, tool outputs, API resources, request scripts and downstream APIs are separate trust domains. Host consent and upstream API authorization must both hold; schema validation alone cannot determine whether a business action is authorised. </w:t>
      </w:r>
      <w:hyperlink w:anchor="REF_002">
        <w:r>
          <w:rPr>
            <w:rStyle w:val="Hyperlink"/>
            <w:lang w:val="en-GB"/>
          </w:rPr>
          <w:t>[REF-002]</w:t>
        </w:r>
      </w:hyperlink>
      <w:r>
        <w:rPr>
          <w:lang w:val="en-GB"/>
        </w:rPr>
        <w:t xml:space="preserve"> </w:t>
      </w:r>
      <w:hyperlink w:anchor="REF_023">
        <w:r>
          <w:rPr>
            <w:rStyle w:val="Hyperlink"/>
            <w:lang w:val="en-GB"/>
          </w:rPr>
          <w:t>[REF-023]</w:t>
        </w:r>
      </w:hyperlink>
      <w:r>
        <w:rPr>
          <w:lang w:val="en-GB"/>
        </w:rPr>
        <w:t xml:space="preserve"> </w:t>
      </w:r>
      <w:hyperlink w:anchor="REF_024">
        <w:r>
          <w:rPr>
            <w:rStyle w:val="Hyperlink"/>
            <w:lang w:val="en-GB"/>
          </w:rPr>
          <w:t>[REF-024]</w:t>
        </w:r>
      </w:hyperlink>
    </w:p>
    <w:p>
      <w:r>
        <w:rPr>
          <w:lang w:val="en-GB"/>
        </w:rPr>
        <w:t xml:space="preserve">An attacker with permission to edit a shared collection, description, request, environment or returned document may influence tool arguments or agent decisions. This is a credible threat scenario, not an observed successful injection. Treat retrieved instructions as data, preview intended mutations, and restrict companion terminal/file/MCP tools so Postman output cannot quietly become wider host authority. Tool annotations remain hints and must not replace policy. </w:t>
      </w:r>
      <w:hyperlink w:anchor="REF_009">
        <w:r>
          <w:rPr>
            <w:rStyle w:val="Hyperlink"/>
            <w:lang w:val="en-GB"/>
          </w:rPr>
          <w:t>[REF-009]</w:t>
        </w:r>
      </w:hyperlink>
      <w:r>
        <w:rPr>
          <w:lang w:val="en-GB"/>
        </w:rPr>
        <w:t xml:space="preserve"> </w:t>
      </w:r>
      <w:hyperlink w:anchor="REF_010">
        <w:r>
          <w:rPr>
            <w:rStyle w:val="Hyperlink"/>
            <w:lang w:val="en-GB"/>
          </w:rPr>
          <w:t>[REF-010]</w:t>
        </w:r>
      </w:hyperlink>
      <w:r>
        <w:rPr>
          <w:lang w:val="en-GB"/>
        </w:rPr>
        <w:t xml:space="preserve"> </w:t>
      </w:r>
      <w:hyperlink w:anchor="REF_011">
        <w:r>
          <w:rPr>
            <w:rStyle w:val="Hyperlink"/>
            <w:lang w:val="en-GB"/>
          </w:rPr>
          <w:t>[REF-011]</w:t>
        </w:r>
      </w:hyperlink>
      <w:r>
        <w:rPr>
          <w:lang w:val="en-GB"/>
        </w:rPr>
        <w:t xml:space="preserve"> </w:t>
      </w:r>
      <w:hyperlink w:anchor="REF_024">
        <w:r>
          <w:rPr>
            <w:rStyle w:val="Hyperlink"/>
            <w:lang w:val="en-GB"/>
          </w:rPr>
          <w:t>[REF-024]</w:t>
        </w:r>
      </w:hyperlink>
    </w:p>
    <w:p>
      <w:pPr>
        <w:pStyle w:val="Heading2"/>
      </w:pPr>
      <w:r>
        <w:rPr>
          <w:lang w:val="en-GB"/>
        </w:rPr>
        <w:t>Visual Studio Data Flows Authentication and Network</w:t>
      </w:r>
    </w:p>
    <w:p>
      <w:r>
        <w:rPr>
          <w:lang w:val="en-GB"/>
        </w:rPr>
        <w:t xml:space="preserve">For Visual Studio local mode, POSTMAN_API_KEY is passed to the process and the API client places it in x-api-key. Default API hosts are api.postman.com or api.eu.postman.com. Hosted US supports documented OAuth or API key; hosted EU supports API key only. No authenticated handshake, token scope, refresh, revocation, cross-tenant denial, TLS interception or actual destination capture was performed. OAuth availability is preferable to an unmanaged static key only after its scopes, storage and issuer protections are verified. </w:t>
      </w:r>
      <w:hyperlink w:anchor="REF_002">
        <w:r>
          <w:rPr>
            <w:rStyle w:val="Hyperlink"/>
            <w:lang w:val="en-GB"/>
          </w:rPr>
          <w:t>[REF-002]</w:t>
        </w:r>
      </w:hyperlink>
      <w:r>
        <w:rPr>
          <w:lang w:val="en-GB"/>
        </w:rPr>
        <w:t xml:space="preserve"> </w:t>
      </w:r>
      <w:hyperlink w:anchor="REF_004">
        <w:r>
          <w:rPr>
            <w:rStyle w:val="Hyperlink"/>
            <w:lang w:val="en-GB"/>
          </w:rPr>
          <w:t>[REF-004]</w:t>
        </w:r>
      </w:hyperlink>
      <w:r>
        <w:rPr>
          <w:lang w:val="en-GB"/>
        </w:rPr>
        <w:t xml:space="preserve"> </w:t>
      </w:r>
      <w:hyperlink w:anchor="REF_023">
        <w:r>
          <w:rPr>
            <w:rStyle w:val="Hyperlink"/>
            <w:lang w:val="en-GB"/>
          </w:rPr>
          <w:t>[REF-023]</w:t>
        </w:r>
      </w:hyperlink>
    </w:p>
    <w:p>
      <w:r>
        <w:rPr>
          <w:lang w:val="en-GB"/>
        </w:rPr>
        <w:t xml:space="preserve">Local collections can issue requests to destinations reachable from the process, including internal APIs if the deployment network permits. The public runner has no own destination allowlist and follows redirects with certificate validation enabled. Isolate the process, deny unnecessary egress and metadata/private-network access by default, then allow only the approved synthetic API. The hosted runner egress policy is Unknown and must be evidenced separately. </w:t>
      </w:r>
      <w:hyperlink w:anchor="REF_002">
        <w:r>
          <w:rPr>
            <w:rStyle w:val="Hyperlink"/>
            <w:lang w:val="en-GB"/>
          </w:rPr>
          <w:t>[REF-002]</w:t>
        </w:r>
      </w:hyperlink>
      <w:r>
        <w:rPr>
          <w:lang w:val="en-GB"/>
        </w:rPr>
        <w:t xml:space="preserve"> </w:t>
      </w:r>
      <w:hyperlink w:anchor="REF_012">
        <w:r>
          <w:rPr>
            <w:rStyle w:val="Hyperlink"/>
            <w:lang w:val="en-GB"/>
          </w:rPr>
          <w:t>[REF-012]</w:t>
        </w:r>
      </w:hyperlink>
    </w:p>
    <w:p>
      <w:pPr>
        <w:pStyle w:val="Heading2"/>
      </w:pPr>
      <w:r>
        <w:rPr>
          <w:lang w:val="en-GB"/>
        </w:rPr>
        <w:t>Visual Studio Installation Manifest Updates and Uninstall</w:t>
      </w:r>
    </w:p>
    <w:p>
      <w:r>
        <w:rPr>
          <w:lang w:val="en-GB"/>
        </w:rPr>
        <w:t xml:space="preserve">Installation inventory is documentary and static, not a record of a live installation. Package files are compiled JavaScript, declarations/templates, README, licence and package metadata. No native binaries, drivers, services or scheduled-task registration were observed in the acquired package; dependencies and actual installer behavior were not executed. No webview, debug adapter or language server was identified as a Postman MCP component. These categories remain explicit rather than being silently omitted. </w:t>
      </w:r>
      <w:hyperlink w:anchor="REF_001">
        <w:r>
          <w:rPr>
            <w:rStyle w:val="Hyperlink"/>
            <w:lang w:val="en-GB"/>
          </w:rPr>
          <w:t>[REF-001]</w:t>
        </w:r>
      </w:hyperlink>
      <w:r>
        <w:rPr>
          <w:lang w:val="en-GB"/>
        </w:rPr>
        <w:t xml:space="preserve"> </w:t>
      </w:r>
      <w:hyperlink w:anchor="REF_002">
        <w:r>
          <w:rPr>
            <w:rStyle w:val="Hyperlink"/>
            <w:lang w:val="en-GB"/>
          </w:rPr>
          <w:t>[REF-002]</w:t>
        </w:r>
      </w:hyperlink>
    </w:p>
    <w:p>
      <w:r>
        <w:rPr>
          <w:lang w:val="en-GB"/>
        </w:rPr>
        <w:t xml:space="preserve">Remove the MCP registration and stop its child process on uninstall, then revoke the credential and remove task-owned package caches and local identifier residue according to retention policy. Hosted uninstall also requires revoking tokens and reviewing IDE/model history and cloud run records. Deleting configuration alone does not roll back API changes or erase records held by Postman. Package cache, log, credential and process deltas require before/after verification. </w:t>
      </w:r>
      <w:hyperlink w:anchor="REF_005">
        <w:r>
          <w:rPr>
            <w:rStyle w:val="Hyperlink"/>
            <w:lang w:val="en-GB"/>
          </w:rPr>
          <w:t>[REF-005]</w:t>
        </w:r>
      </w:hyperlink>
      <w:r>
        <w:rPr>
          <w:lang w:val="en-GB"/>
        </w:rPr>
        <w:t xml:space="preserve"> </w:t>
      </w:r>
      <w:hyperlink w:anchor="REF_006">
        <w:r>
          <w:rPr>
            <w:rStyle w:val="Hyperlink"/>
            <w:lang w:val="en-GB"/>
          </w:rPr>
          <w:t>[REF-006]</w:t>
        </w:r>
      </w:hyperlink>
    </w:p>
    <w:p>
      <w:pPr>
        <w:pStyle w:val="Caption"/>
      </w:pPr>
      <w:r>
        <w:rPr>
          <w:b/>
          <w:lang w:val="en-GB"/>
        </w:rPr>
        <w:t>Visual Studio expected installation manifest</w:t>
      </w:r>
    </w:p>
    <w:tbl>
      <w:tblPr>
        <w:tblStyle w:val="TableGrid"/>
        <w:tblW w:type="dxa" w:w="9360"/>
        <w:tblLayout w:type="fixed"/>
        <w:tblLook w:firstColumn="1" w:firstRow="1" w:lastColumn="0" w:lastRow="0" w:noHBand="0" w:noVBand="1" w:val="04A0"/>
        <w:tblInd w:w="120" w:type="dxa"/>
      </w:tblPr>
      <w:tblGrid>
        <w:gridCol w:w="1644"/>
        <w:gridCol w:w="3688"/>
        <w:gridCol w:w="4028"/>
      </w:tblGrid>
      <w:tr>
        <w:trPr>
          <w:tblHeader w:val="true"/>
        </w:trPr>
        <w:tc>
          <w:tcPr>
            <w:tcW w:type="dxa" w:w="1644"/>
            <w:shd w:fill="F2F4F7"/>
            <w:vAlign w:val="center"/>
            <w:tcMar>
              <w:top w:w="80" w:type="dxa"/>
              <w:start w:w="120" w:type="dxa"/>
              <w:bottom w:w="80" w:type="dxa"/>
              <w:end w:w="120" w:type="dxa"/>
            </w:tcMar>
          </w:tcPr>
          <w:p>
            <w:r>
              <w:rPr>
                <w:b/>
                <w:sz w:val="16"/>
                <w:lang w:val="en-GB"/>
              </w:rPr>
              <w:t>Item</w:t>
            </w:r>
          </w:p>
        </w:tc>
        <w:tc>
          <w:tcPr>
            <w:tcW w:type="dxa" w:w="3688"/>
            <w:shd w:fill="F2F4F7"/>
            <w:vAlign w:val="center"/>
            <w:tcMar>
              <w:top w:w="80" w:type="dxa"/>
              <w:start w:w="120" w:type="dxa"/>
              <w:bottom w:w="80" w:type="dxa"/>
              <w:end w:w="120" w:type="dxa"/>
            </w:tcMar>
          </w:tcPr>
          <w:p>
            <w:r>
              <w:rPr>
                <w:b/>
                <w:sz w:val="16"/>
                <w:lang w:val="en-GB"/>
              </w:rPr>
              <w:t>Path or form</w:t>
            </w:r>
          </w:p>
        </w:tc>
        <w:tc>
          <w:tcPr>
            <w:tcW w:type="dxa" w:w="4028"/>
            <w:shd w:fill="F2F4F7"/>
            <w:vAlign w:val="center"/>
            <w:tcMar>
              <w:top w:w="80" w:type="dxa"/>
              <w:start w:w="120" w:type="dxa"/>
              <w:bottom w:w="80" w:type="dxa"/>
              <w:end w:w="120" w:type="dxa"/>
            </w:tcMar>
          </w:tcPr>
          <w:p>
            <w:r>
              <w:rPr>
                <w:b/>
                <w:sz w:val="16"/>
                <w:lang w:val="en-GB"/>
              </w:rPr>
              <w:t>Evidence and caveat</w:t>
            </w:r>
          </w:p>
        </w:tc>
      </w:tr>
      <w:tr>
        <w:tc>
          <w:tcPr>
            <w:tcW w:type="dxa" w:w="1644"/>
            <w:vAlign w:val="center"/>
            <w:tcMar>
              <w:top w:w="80" w:type="dxa"/>
              <w:start w:w="120" w:type="dxa"/>
              <w:bottom w:w="80" w:type="dxa"/>
              <w:end w:w="120" w:type="dxa"/>
            </w:tcMar>
          </w:tcPr>
          <w:p>
            <w:r>
              <w:rPr>
                <w:sz w:val="16"/>
                <w:lang w:val="en-GB"/>
              </w:rPr>
              <w:t>Global discovery</w:t>
            </w:r>
          </w:p>
        </w:tc>
        <w:tc>
          <w:tcPr>
            <w:tcW w:type="dxa" w:w="3688"/>
            <w:vAlign w:val="center"/>
            <w:tcMar>
              <w:top w:w="80" w:type="dxa"/>
              <w:start w:w="120" w:type="dxa"/>
              <w:bottom w:w="80" w:type="dxa"/>
              <w:end w:w="120" w:type="dxa"/>
            </w:tcMar>
          </w:tcPr>
          <w:p>
            <w:r>
              <w:rPr>
                <w:sz w:val="16"/>
                <w:lang w:val="en-GB"/>
              </w:rPr>
              <w:t>User .mcp.json</w:t>
            </w:r>
          </w:p>
        </w:tc>
        <w:tc>
          <w:tcPr>
            <w:tcW w:type="dxa" w:w="4028"/>
            <w:vAlign w:val="center"/>
            <w:tcMar>
              <w:top w:w="80" w:type="dxa"/>
              <w:start w:w="120" w:type="dxa"/>
              <w:bottom w:w="80" w:type="dxa"/>
              <w:end w:w="120" w:type="dxa"/>
            </w:tcMar>
          </w:tcPr>
          <w:p>
            <w:r>
              <w:rPr>
                <w:sz w:val="16"/>
                <w:lang w:val="en-GB"/>
              </w:rPr>
              <w:t>Expected; can affect every solution</w:t>
            </w:r>
          </w:p>
        </w:tc>
      </w:tr>
      <w:tr>
        <w:tc>
          <w:tcPr>
            <w:tcW w:type="dxa" w:w="1644"/>
            <w:vAlign w:val="center"/>
            <w:tcMar>
              <w:top w:w="80" w:type="dxa"/>
              <w:start w:w="120" w:type="dxa"/>
              <w:bottom w:w="80" w:type="dxa"/>
              <w:end w:w="120" w:type="dxa"/>
            </w:tcMar>
          </w:tcPr>
          <w:p>
            <w:r>
              <w:rPr>
                <w:sz w:val="16"/>
                <w:lang w:val="en-GB"/>
              </w:rPr>
              <w:t>Solution discovery</w:t>
            </w:r>
          </w:p>
        </w:tc>
        <w:tc>
          <w:tcPr>
            <w:tcW w:type="dxa" w:w="3688"/>
            <w:vAlign w:val="center"/>
            <w:tcMar>
              <w:top w:w="80" w:type="dxa"/>
              <w:start w:w="120" w:type="dxa"/>
              <w:bottom w:w="80" w:type="dxa"/>
              <w:end w:w="120" w:type="dxa"/>
            </w:tcMar>
          </w:tcPr>
          <w:p>
            <w:r>
              <w:rPr>
                <w:sz w:val="16"/>
                <w:lang w:val="en-GB"/>
              </w:rPr>
              <w:t>.vs/mcp.json, .mcp.json, .vscode/mcp.json, .cursor/mcp.json</w:t>
            </w:r>
          </w:p>
        </w:tc>
        <w:tc>
          <w:tcPr>
            <w:tcW w:type="dxa" w:w="4028"/>
            <w:vAlign w:val="center"/>
            <w:tcMar>
              <w:top w:w="80" w:type="dxa"/>
              <w:start w:w="120" w:type="dxa"/>
              <w:bottom w:w="80" w:type="dxa"/>
              <w:end w:w="120" w:type="dxa"/>
            </w:tcMar>
          </w:tcPr>
          <w:p>
            <w:r>
              <w:rPr>
                <w:sz w:val="16"/>
                <w:lang w:val="en-GB"/>
              </w:rPr>
              <w:t>Expected priority documented; configuration inheritance needs review</w:t>
            </w:r>
          </w:p>
        </w:tc>
      </w:tr>
      <w:tr>
        <w:tc>
          <w:tcPr>
            <w:tcW w:type="dxa" w:w="1644"/>
            <w:vAlign w:val="center"/>
            <w:tcMar>
              <w:top w:w="80" w:type="dxa"/>
              <w:start w:w="120" w:type="dxa"/>
              <w:bottom w:w="80" w:type="dxa"/>
              <w:end w:w="120" w:type="dxa"/>
            </w:tcMar>
          </w:tcPr>
          <w:p>
            <w:r>
              <w:rPr>
                <w:sz w:val="16"/>
                <w:lang w:val="en-GB"/>
              </w:rPr>
              <w:t>Process and package</w:t>
            </w:r>
          </w:p>
        </w:tc>
        <w:tc>
          <w:tcPr>
            <w:tcW w:type="dxa" w:w="3688"/>
            <w:vAlign w:val="center"/>
            <w:tcMar>
              <w:top w:w="80" w:type="dxa"/>
              <w:start w:w="120" w:type="dxa"/>
              <w:bottom w:w="80" w:type="dxa"/>
              <w:end w:w="120" w:type="dxa"/>
            </w:tcMar>
          </w:tcPr>
          <w:p>
            <w:r>
              <w:rPr>
                <w:sz w:val="16"/>
                <w:lang w:val="en-GB"/>
              </w:rPr>
              <w:t>Windows Node child process and approved dependency closure</w:t>
            </w:r>
          </w:p>
        </w:tc>
        <w:tc>
          <w:tcPr>
            <w:tcW w:type="dxa" w:w="4028"/>
            <w:vAlign w:val="center"/>
            <w:tcMar>
              <w:top w:w="80" w:type="dxa"/>
              <w:start w:w="120" w:type="dxa"/>
              <w:bottom w:w="80" w:type="dxa"/>
              <w:end w:w="120" w:type="dxa"/>
            </w:tcMar>
          </w:tcPr>
          <w:p>
            <w:r>
              <w:rPr>
                <w:sz w:val="16"/>
                <w:lang w:val="en-GB"/>
              </w:rPr>
              <w:t>Expected; no registry/process baseline</w:t>
            </w:r>
          </w:p>
        </w:tc>
      </w:tr>
      <w:tr>
        <w:tc>
          <w:tcPr>
            <w:tcW w:type="dxa" w:w="1644"/>
            <w:vAlign w:val="center"/>
            <w:tcMar>
              <w:top w:w="80" w:type="dxa"/>
              <w:start w:w="120" w:type="dxa"/>
              <w:bottom w:w="80" w:type="dxa"/>
              <w:end w:w="120" w:type="dxa"/>
            </w:tcMar>
          </w:tcPr>
          <w:p>
            <w:r>
              <w:rPr>
                <w:sz w:val="16"/>
                <w:lang w:val="en-GB"/>
              </w:rPr>
              <w:t>Credentials</w:t>
            </w:r>
          </w:p>
        </w:tc>
        <w:tc>
          <w:tcPr>
            <w:tcW w:type="dxa" w:w="3688"/>
            <w:vAlign w:val="center"/>
            <w:tcMar>
              <w:top w:w="80" w:type="dxa"/>
              <w:start w:w="120" w:type="dxa"/>
              <w:bottom w:w="80" w:type="dxa"/>
              <w:end w:w="120" w:type="dxa"/>
            </w:tcMar>
          </w:tcPr>
          <w:p>
            <w:r>
              <w:rPr>
                <w:sz w:val="16"/>
                <w:lang w:val="en-GB"/>
              </w:rPr>
              <w:t>Visual Studio-supported secret/keychain handling or injection</w:t>
            </w:r>
          </w:p>
        </w:tc>
        <w:tc>
          <w:tcPr>
            <w:tcW w:type="dxa" w:w="4028"/>
            <w:vAlign w:val="center"/>
            <w:tcMar>
              <w:top w:w="80" w:type="dxa"/>
              <w:start w:w="120" w:type="dxa"/>
              <w:bottom w:w="80" w:type="dxa"/>
              <w:end w:w="120" w:type="dxa"/>
            </w:tcMar>
          </w:tcPr>
          <w:p>
            <w:r>
              <w:rPr>
                <w:sz w:val="16"/>
                <w:lang w:val="en-GB"/>
              </w:rPr>
              <w:t>Expected; actual storage/export behavior Unknown</w:t>
            </w:r>
          </w:p>
        </w:tc>
      </w:tr>
      <w:tr>
        <w:tc>
          <w:tcPr>
            <w:tcW w:type="dxa" w:w="1644"/>
            <w:vAlign w:val="center"/>
            <w:tcMar>
              <w:top w:w="80" w:type="dxa"/>
              <w:start w:w="120" w:type="dxa"/>
              <w:bottom w:w="80" w:type="dxa"/>
              <w:end w:w="120" w:type="dxa"/>
            </w:tcMar>
          </w:tcPr>
          <w:p>
            <w:r>
              <w:rPr>
                <w:sz w:val="16"/>
                <w:lang w:val="en-GB"/>
              </w:rPr>
              <w:t>Local state</w:t>
            </w:r>
          </w:p>
        </w:tc>
        <w:tc>
          <w:tcPr>
            <w:tcW w:type="dxa" w:w="3688"/>
            <w:vAlign w:val="center"/>
            <w:tcMar>
              <w:top w:w="80" w:type="dxa"/>
              <w:start w:w="120" w:type="dxa"/>
              <w:bottom w:w="80" w:type="dxa"/>
              <w:end w:w="120" w:type="dxa"/>
            </w:tcMar>
          </w:tcPr>
          <w:p>
            <w:r>
              <w:rPr>
                <w:sz w:val="16"/>
                <w:lang w:val="en-GB"/>
              </w:rPr>
              <w:t>User .postman directory plus IDE auth/log state</w:t>
            </w:r>
          </w:p>
        </w:tc>
        <w:tc>
          <w:tcPr>
            <w:tcW w:type="dxa" w:w="4028"/>
            <w:vAlign w:val="center"/>
            <w:tcMar>
              <w:top w:w="80" w:type="dxa"/>
              <w:start w:w="120" w:type="dxa"/>
              <w:bottom w:w="80" w:type="dxa"/>
              <w:end w:w="120" w:type="dxa"/>
            </w:tcMar>
          </w:tcPr>
          <w:p>
            <w:r>
              <w:rPr>
                <w:sz w:val="16"/>
                <w:lang w:val="en-GB"/>
              </w:rPr>
              <w:t>Expected from portable code; Windows permissions/residue untested</w:t>
            </w:r>
          </w:p>
        </w:tc>
      </w:tr>
    </w:tbl>
    <w:p/>
    <w:p>
      <w:pPr>
        <w:pStyle w:val="Heading2"/>
      </w:pPr>
      <w:r>
        <w:rPr>
          <w:lang w:val="en-GB"/>
        </w:rPr>
        <w:t>Visual Studio Runtime Processes Activation and Host Verification</w:t>
      </w:r>
    </w:p>
    <w:p>
      <w:r>
        <w:rPr>
          <w:lang w:val="en-GB"/>
        </w:rPr>
        <w:t xml:space="preserve">Local activation runs the selected Node entrypoint and imports tool modules; environment validation requires an API key before normal operation. Installed dependencies include Newman for collection execution. Removing a server should stop the host-managed process, but actual child-process termination, crash handling and cancellation were not observed. A container design does not prove filesystem isolation, egress restriction or secure credential injection. </w:t>
      </w:r>
      <w:hyperlink w:anchor="REF_002">
        <w:r>
          <w:rPr>
            <w:rStyle w:val="Hyperlink"/>
            <w:lang w:val="en-GB"/>
          </w:rPr>
          <w:t>[REF-002]</w:t>
        </w:r>
      </w:hyperlink>
      <w:r>
        <w:rPr>
          <w:lang w:val="en-GB"/>
        </w:rPr>
        <w:t xml:space="preserve"> </w:t>
      </w:r>
      <w:hyperlink w:anchor="REF_003">
        <w:r>
          <w:rPr>
            <w:rStyle w:val="Hyperlink"/>
            <w:lang w:val="en-GB"/>
          </w:rPr>
          <w:t>[REF-003]</w:t>
        </w:r>
      </w:hyperlink>
    </w:p>
    <w:p>
      <w:r>
        <w:rPr>
          <w:lang w:val="en-GB"/>
        </w:rPr>
        <w:t>The blocked runtime plan must cover a clean representative OS and exact IDE/Copilot versions, synthetic account, approved workspace, collection and API target, restrictive network policy and tested rollback. Capture configuration/files/processes/network and log baselines before activation; discover schemas, exercise read/write/run failures, revoke credentials, change capabilities and uninstall. Preserve synthetic results and hashes. No normal user profile should be used to substitute for a disposable host.</w:t>
      </w:r>
    </w:p>
    <w:p>
      <w:pPr>
        <w:pStyle w:val="Caption"/>
      </w:pPr>
      <w:r>
        <w:rPr>
          <w:b/>
          <w:lang w:val="en-GB"/>
        </w:rPr>
        <w:t>Visual Studio runtime gap closure</w:t>
      </w:r>
    </w:p>
    <w:tbl>
      <w:tblPr>
        <w:tblStyle w:val="TableGrid"/>
        <w:tblW w:type="dxa" w:w="9360"/>
        <w:tblLayout w:type="fixed"/>
        <w:tblLook w:firstColumn="1" w:firstRow="1" w:lastColumn="0" w:lastRow="0" w:noHBand="0" w:noVBand="1" w:val="04A0"/>
        <w:tblInd w:w="120" w:type="dxa"/>
      </w:tblPr>
      <w:tblGrid>
        <w:gridCol w:w="2065"/>
        <w:gridCol w:w="5942"/>
        <w:gridCol w:w="1353"/>
      </w:tblGrid>
      <w:tr>
        <w:trPr>
          <w:tblHeader w:val="true"/>
        </w:trPr>
        <w:tc>
          <w:tcPr>
            <w:tcW w:type="dxa" w:w="2065"/>
            <w:shd w:fill="F2F4F7"/>
            <w:vAlign w:val="center"/>
            <w:tcMar>
              <w:top w:w="80" w:type="dxa"/>
              <w:start w:w="120" w:type="dxa"/>
              <w:bottom w:w="80" w:type="dxa"/>
              <w:end w:w="120" w:type="dxa"/>
            </w:tcMar>
          </w:tcPr>
          <w:p>
            <w:r>
              <w:rPr>
                <w:b/>
                <w:sz w:val="16"/>
                <w:lang w:val="en-GB"/>
              </w:rPr>
              <w:t>Test</w:t>
            </w:r>
          </w:p>
        </w:tc>
        <w:tc>
          <w:tcPr>
            <w:tcW w:type="dxa" w:w="5942"/>
            <w:shd w:fill="F2F4F7"/>
            <w:vAlign w:val="center"/>
            <w:tcMar>
              <w:top w:w="80" w:type="dxa"/>
              <w:start w:w="120" w:type="dxa"/>
              <w:bottom w:w="80" w:type="dxa"/>
              <w:end w:w="120" w:type="dxa"/>
            </w:tcMar>
          </w:tcPr>
          <w:p>
            <w:r>
              <w:rPr>
                <w:b/>
                <w:sz w:val="16"/>
                <w:lang w:val="en-GB"/>
              </w:rPr>
              <w:t>Required evidence</w:t>
            </w:r>
          </w:p>
        </w:tc>
        <w:tc>
          <w:tcPr>
            <w:tcW w:type="dxa" w:w="1353"/>
            <w:shd w:fill="F2F4F7"/>
            <w:vAlign w:val="center"/>
            <w:tcMar>
              <w:top w:w="80" w:type="dxa"/>
              <w:start w:w="120" w:type="dxa"/>
              <w:bottom w:w="80" w:type="dxa"/>
              <w:end w:w="120" w:type="dxa"/>
            </w:tcMar>
          </w:tcPr>
          <w:p>
            <w:r>
              <w:rPr>
                <w:b/>
                <w:sz w:val="16"/>
                <w:lang w:val="en-GB"/>
              </w:rPr>
              <w:t>Status</w:t>
            </w:r>
          </w:p>
        </w:tc>
      </w:tr>
      <w:tr>
        <w:tc>
          <w:tcPr>
            <w:tcW w:type="dxa" w:w="2065"/>
            <w:vAlign w:val="center"/>
            <w:tcMar>
              <w:top w:w="80" w:type="dxa"/>
              <w:start w:w="120" w:type="dxa"/>
              <w:bottom w:w="80" w:type="dxa"/>
              <w:end w:w="120" w:type="dxa"/>
            </w:tcMar>
          </w:tcPr>
          <w:p>
            <w:r>
              <w:rPr>
                <w:sz w:val="16"/>
                <w:lang w:val="en-GB"/>
              </w:rPr>
              <w:t>Consent and trust</w:t>
            </w:r>
          </w:p>
        </w:tc>
        <w:tc>
          <w:tcPr>
            <w:tcW w:type="dxa" w:w="5942"/>
            <w:vAlign w:val="center"/>
            <w:tcMar>
              <w:top w:w="80" w:type="dxa"/>
              <w:start w:w="120" w:type="dxa"/>
              <w:bottom w:w="80" w:type="dxa"/>
              <w:end w:w="120" w:type="dxa"/>
            </w:tcMar>
          </w:tcPr>
          <w:p>
            <w:r>
              <w:rPr>
                <w:sz w:val="16"/>
                <w:lang w:val="en-GB"/>
              </w:rPr>
              <w:t>First-use and changed-schema prompts; reset and revocation</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Authentication</w:t>
            </w:r>
          </w:p>
        </w:tc>
        <w:tc>
          <w:tcPr>
            <w:tcW w:type="dxa" w:w="5942"/>
            <w:vAlign w:val="center"/>
            <w:tcMar>
              <w:top w:w="80" w:type="dxa"/>
              <w:start w:w="120" w:type="dxa"/>
              <w:bottom w:w="80" w:type="dxa"/>
              <w:end w:w="120" w:type="dxa"/>
            </w:tcMar>
          </w:tcPr>
          <w:p>
            <w:r>
              <w:rPr>
                <w:sz w:val="16"/>
                <w:lang w:val="en-GB"/>
              </w:rPr>
              <w:t>Synthetic successful/failed login and cross-workspace denial</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Runner</w:t>
            </w:r>
          </w:p>
        </w:tc>
        <w:tc>
          <w:tcPr>
            <w:tcW w:type="dxa" w:w="5942"/>
            <w:vAlign w:val="center"/>
            <w:tcMar>
              <w:top w:w="80" w:type="dxa"/>
              <w:start w:w="120" w:type="dxa"/>
              <w:bottom w:w="80" w:type="dxa"/>
              <w:end w:w="120" w:type="dxa"/>
            </w:tcMar>
          </w:tcPr>
          <w:p>
            <w:r>
              <w:rPr>
                <w:sz w:val="16"/>
                <w:lang w:val="en-GB"/>
              </w:rPr>
              <w:t>Allowed target, denied targets, script limit and cancellation</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Data transfer</w:t>
            </w:r>
          </w:p>
        </w:tc>
        <w:tc>
          <w:tcPr>
            <w:tcW w:type="dxa" w:w="5942"/>
            <w:vAlign w:val="center"/>
            <w:tcMar>
              <w:top w:w="80" w:type="dxa"/>
              <w:start w:w="120" w:type="dxa"/>
              <w:bottom w:w="80" w:type="dxa"/>
              <w:end w:w="120" w:type="dxa"/>
            </w:tcMar>
          </w:tcPr>
          <w:p>
            <w:r>
              <w:rPr>
                <w:sz w:val="16"/>
                <w:lang w:val="en-GB"/>
              </w:rPr>
              <w:t>Capture payloads and run-history visibility using synthetic marker</w:t>
            </w:r>
          </w:p>
        </w:tc>
        <w:tc>
          <w:tcPr>
            <w:tcW w:type="dxa" w:w="1353"/>
            <w:vAlign w:val="center"/>
            <w:tcMar>
              <w:top w:w="80" w:type="dxa"/>
              <w:start w:w="120" w:type="dxa"/>
              <w:bottom w:w="80" w:type="dxa"/>
              <w:end w:w="120" w:type="dxa"/>
            </w:tcMar>
          </w:tcPr>
          <w:p>
            <w:r>
              <w:rPr>
                <w:sz w:val="16"/>
                <w:lang w:val="en-GB"/>
              </w:rPr>
              <w:t>Blocked</w:t>
            </w:r>
          </w:p>
        </w:tc>
      </w:tr>
      <w:tr>
        <w:tc>
          <w:tcPr>
            <w:tcW w:type="dxa" w:w="2065"/>
            <w:vAlign w:val="center"/>
            <w:tcMar>
              <w:top w:w="80" w:type="dxa"/>
              <w:start w:w="120" w:type="dxa"/>
              <w:bottom w:w="80" w:type="dxa"/>
              <w:end w:w="120" w:type="dxa"/>
            </w:tcMar>
          </w:tcPr>
          <w:p>
            <w:r>
              <w:rPr>
                <w:sz w:val="16"/>
                <w:lang w:val="en-GB"/>
              </w:rPr>
              <w:t>Cleanup</w:t>
            </w:r>
          </w:p>
        </w:tc>
        <w:tc>
          <w:tcPr>
            <w:tcW w:type="dxa" w:w="5942"/>
            <w:vAlign w:val="center"/>
            <w:tcMar>
              <w:top w:w="80" w:type="dxa"/>
              <w:start w:w="120" w:type="dxa"/>
              <w:bottom w:w="80" w:type="dxa"/>
              <w:end w:w="120" w:type="dxa"/>
            </w:tcMar>
          </w:tcPr>
          <w:p>
            <w:r>
              <w:rPr>
                <w:sz w:val="16"/>
                <w:lang w:val="en-GB"/>
              </w:rPr>
              <w:t>Stopped processes, revoked tokens, cache and identifier residue</w:t>
            </w:r>
          </w:p>
        </w:tc>
        <w:tc>
          <w:tcPr>
            <w:tcW w:type="dxa" w:w="1353"/>
            <w:vAlign w:val="center"/>
            <w:tcMar>
              <w:top w:w="80" w:type="dxa"/>
              <w:start w:w="120" w:type="dxa"/>
              <w:bottom w:w="80" w:type="dxa"/>
              <w:end w:w="120" w:type="dxa"/>
            </w:tcMar>
          </w:tcPr>
          <w:p>
            <w:r>
              <w:rPr>
                <w:sz w:val="16"/>
                <w:lang w:val="en-GB"/>
              </w:rPr>
              <w:t>Blocked</w:t>
            </w:r>
          </w:p>
        </w:tc>
      </w:tr>
    </w:tbl>
    <w:p/>
    <w:p>
      <w:pPr>
        <w:pStyle w:val="Heading2"/>
      </w:pPr>
      <w:r>
        <w:rPr>
          <w:lang w:val="en-GB"/>
        </w:rPr>
        <w:t>Visual Studio Telemetry Privacy and Returned Content</w:t>
      </w:r>
    </w:p>
    <w:p>
      <w:r>
        <w:rPr>
          <w:lang w:val="en-GB"/>
        </w:rPr>
        <w:t xml:space="preserve">General MCP usage telemetry is off by default in the local public implementation. This does not prevent collection-run uploads: runner/index.ts invokes reportTelemetryAsync after execution, and telemetry.ts includes request URL/headers/body, response headers/body and assertion details in the collection run payload. A persistent install identifier is also created at startup independently of the opt-in flag. Operational disclosure and retention must be tested; do not describe the local mode as keeping all data on the endpoint. </w:t>
      </w:r>
      <w:hyperlink w:anchor="REF_002">
        <w:r>
          <w:rPr>
            <w:rStyle w:val="Hyperlink"/>
            <w:lang w:val="en-GB"/>
          </w:rPr>
          <w:t>[REF-002]</w:t>
        </w:r>
      </w:hyperlink>
      <w:r>
        <w:rPr>
          <w:lang w:val="en-GB"/>
        </w:rPr>
        <w:t xml:space="preserve"> </w:t>
      </w:r>
      <w:hyperlink w:anchor="REF_003">
        <w:r>
          <w:rPr>
            <w:rStyle w:val="Hyperlink"/>
            <w:lang w:val="en-GB"/>
          </w:rPr>
          <w:t>[REF-003]</w:t>
        </w:r>
      </w:hyperlink>
    </w:p>
    <w:p>
      <w:r>
        <w:rPr>
          <w:lang w:val="en-GB"/>
        </w:rPr>
        <w:t xml:space="preserve">When general telemetry is enabled, raw client metadata can be included in events. Context and environment tools also pass upstream material to the assistant without a server-side guarantee of secret redaction in the inspected local layer. Limit data at source, approve the independent model provider, and inspect synthetic error paths for leakage into client and stderr logs. Hosted telemetry is a vendor claim until destination, payload, identifiers and retention are observed. </w:t>
      </w:r>
      <w:hyperlink w:anchor="REF_002">
        <w:r>
          <w:rPr>
            <w:rStyle w:val="Hyperlink"/>
            <w:lang w:val="en-GB"/>
          </w:rPr>
          <w:t>[REF-002]</w:t>
        </w:r>
      </w:hyperlink>
      <w:r>
        <w:rPr>
          <w:lang w:val="en-GB"/>
        </w:rPr>
        <w:t xml:space="preserve"> </w:t>
      </w:r>
      <w:hyperlink w:anchor="REF_004">
        <w:r>
          <w:rPr>
            <w:rStyle w:val="Hyperlink"/>
            <w:lang w:val="en-GB"/>
          </w:rPr>
          <w:t>[REF-004]</w:t>
        </w:r>
      </w:hyperlink>
    </w:p>
    <w:p>
      <w:pPr>
        <w:pStyle w:val="Heading2"/>
      </w:pPr>
      <w:r>
        <w:rPr>
          <w:lang w:val="en-GB"/>
        </w:rPr>
        <w:t>Visual Studio MCP Surface and Agent Skills</w:t>
      </w:r>
    </w:p>
    <w:p>
      <w:r>
        <w:rPr>
          <w:lang w:val="en-GB"/>
        </w:rPr>
        <w:t xml:space="preserve">Configured unique local tool counts are Full 204, Minimal 42, Code 23, Learn 1 and Context Graph 2. Minimal includes create/update operations and runCollection; Full adds destructive, publishing, role-management and collaboration operations. Tool selection must follow the use case. A read-oriented Code subset still returns potentially sensitive API context and is not a universal security boundary. Hosted parity is documented but no versioned live tools/list was collected. </w:t>
      </w:r>
      <w:hyperlink w:anchor="REF_002">
        <w:r>
          <w:rPr>
            <w:rStyle w:val="Hyperlink"/>
            <w:lang w:val="en-GB"/>
          </w:rPr>
          <w:t>[REF-002]</w:t>
        </w:r>
      </w:hyperlink>
      <w:r>
        <w:rPr>
          <w:lang w:val="en-GB"/>
        </w:rPr>
        <w:t xml:space="preserve"> </w:t>
      </w:r>
      <w:hyperlink w:anchor="REF_004">
        <w:r>
          <w:rPr>
            <w:rStyle w:val="Hyperlink"/>
            <w:lang w:val="en-GB"/>
          </w:rPr>
          <w:t>[REF-004]</w:t>
        </w:r>
      </w:hyperlink>
    </w:p>
    <w:p>
      <w:r>
        <w:rPr>
          <w:lang w:val="en-GB"/>
        </w:rPr>
        <w:t xml:space="preserve">One resource registration, postman://instructions, was observed in index.ts. Registered MCP prompts and Agent Skill SKILL.md files were Not observed across the complete acquired source/package filenames and registration sites. Instruction-returning tools and MCP resources are not Agent Skills. No shared installed-skill approval is granted; separately distributed companion plugins or future skill installers require separate provenance and assessment. </w:t>
      </w:r>
      <w:hyperlink w:anchor="REF_002">
        <w:r>
          <w:rPr>
            <w:rStyle w:val="Hyperlink"/>
            <w:lang w:val="en-GB"/>
          </w:rPr>
          <w:t>[REF-002]</w:t>
        </w:r>
      </w:hyperlink>
      <w:r>
        <w:rPr>
          <w:lang w:val="en-GB"/>
        </w:rPr>
        <w:t xml:space="preserve"> </w:t>
      </w:r>
      <w:hyperlink w:anchor="REF_024">
        <w:r>
          <w:rPr>
            <w:rStyle w:val="Hyperlink"/>
            <w:lang w:val="en-GB"/>
          </w:rPr>
          <w:t>[REF-024]</w:t>
        </w:r>
      </w:hyperlink>
    </w:p>
    <w:p>
      <w:pPr>
        <w:pStyle w:val="Caption"/>
      </w:pPr>
      <w:r>
        <w:rPr>
          <w:b/>
          <w:lang w:val="en-GB"/>
        </w:rPr>
        <w:t>Visual Studio MCP capability disposition</w:t>
      </w:r>
    </w:p>
    <w:tbl>
      <w:tblPr>
        <w:tblStyle w:val="TableGrid"/>
        <w:tblW w:type="dxa" w:w="9360"/>
        <w:tblLayout w:type="fixed"/>
        <w:tblLook w:firstColumn="1" w:firstRow="1" w:lastColumn="0" w:lastRow="0" w:noHBand="0" w:noVBand="1" w:val="04A0"/>
        <w:tblInd w:w="120" w:type="dxa"/>
      </w:tblPr>
      <w:tblGrid>
        <w:gridCol w:w="2382"/>
        <w:gridCol w:w="3074"/>
        <w:gridCol w:w="3904"/>
      </w:tblGrid>
      <w:tr>
        <w:trPr>
          <w:tblHeader w:val="true"/>
        </w:trPr>
        <w:tc>
          <w:tcPr>
            <w:tcW w:type="dxa" w:w="2382"/>
            <w:shd w:fill="F2F4F7"/>
            <w:vAlign w:val="center"/>
            <w:tcMar>
              <w:top w:w="80" w:type="dxa"/>
              <w:start w:w="120" w:type="dxa"/>
              <w:bottom w:w="80" w:type="dxa"/>
              <w:end w:w="120" w:type="dxa"/>
            </w:tcMar>
          </w:tcPr>
          <w:p>
            <w:r>
              <w:rPr>
                <w:b/>
                <w:sz w:val="16"/>
                <w:lang w:val="en-GB"/>
              </w:rPr>
              <w:t>Surface</w:t>
            </w:r>
          </w:p>
        </w:tc>
        <w:tc>
          <w:tcPr>
            <w:tcW w:type="dxa" w:w="3074"/>
            <w:shd w:fill="F2F4F7"/>
            <w:vAlign w:val="center"/>
            <w:tcMar>
              <w:top w:w="80" w:type="dxa"/>
              <w:start w:w="120" w:type="dxa"/>
              <w:bottom w:w="80" w:type="dxa"/>
              <w:end w:w="120" w:type="dxa"/>
            </w:tcMar>
          </w:tcPr>
          <w:p>
            <w:r>
              <w:rPr>
                <w:b/>
                <w:sz w:val="16"/>
                <w:lang w:val="en-GB"/>
              </w:rPr>
              <w:t>Disposition</w:t>
            </w:r>
          </w:p>
        </w:tc>
        <w:tc>
          <w:tcPr>
            <w:tcW w:type="dxa" w:w="3904"/>
            <w:shd w:fill="F2F4F7"/>
            <w:vAlign w:val="center"/>
            <w:tcMar>
              <w:top w:w="80" w:type="dxa"/>
              <w:start w:w="120" w:type="dxa"/>
              <w:bottom w:w="80" w:type="dxa"/>
              <w:end w:w="120" w:type="dxa"/>
            </w:tcMar>
          </w:tcPr>
          <w:p>
            <w:r>
              <w:rPr>
                <w:b/>
                <w:sz w:val="16"/>
                <w:lang w:val="en-GB"/>
              </w:rPr>
              <w:t>Control</w:t>
            </w:r>
          </w:p>
        </w:tc>
      </w:tr>
      <w:tr>
        <w:tc>
          <w:tcPr>
            <w:tcW w:type="dxa" w:w="2382"/>
            <w:vAlign w:val="center"/>
            <w:tcMar>
              <w:top w:w="80" w:type="dxa"/>
              <w:start w:w="120" w:type="dxa"/>
              <w:bottom w:w="80" w:type="dxa"/>
              <w:end w:w="120" w:type="dxa"/>
            </w:tcMar>
          </w:tcPr>
          <w:p>
            <w:r>
              <w:rPr>
                <w:sz w:val="16"/>
                <w:lang w:val="en-GB"/>
              </w:rPr>
              <w:t>Tools</w:t>
            </w:r>
          </w:p>
        </w:tc>
        <w:tc>
          <w:tcPr>
            <w:tcW w:type="dxa" w:w="3074"/>
            <w:vAlign w:val="center"/>
            <w:tcMar>
              <w:top w:w="80" w:type="dxa"/>
              <w:start w:w="120" w:type="dxa"/>
              <w:bottom w:w="80" w:type="dxa"/>
              <w:end w:w="120" w:type="dxa"/>
            </w:tcMar>
          </w:tcPr>
          <w:p>
            <w:r>
              <w:rPr>
                <w:sz w:val="16"/>
                <w:lang w:val="en-GB"/>
              </w:rPr>
              <w:t>Verified static; runtime Unknown</w:t>
            </w:r>
          </w:p>
        </w:tc>
        <w:tc>
          <w:tcPr>
            <w:tcW w:type="dxa" w:w="3904"/>
            <w:vAlign w:val="center"/>
            <w:tcMar>
              <w:top w:w="80" w:type="dxa"/>
              <w:start w:w="120" w:type="dxa"/>
              <w:bottom w:w="80" w:type="dxa"/>
              <w:end w:w="120" w:type="dxa"/>
            </w:tcMar>
          </w:tcPr>
          <w:p>
            <w:r>
              <w:rPr>
                <w:sz w:val="16"/>
                <w:lang w:val="en-GB"/>
              </w:rPr>
              <w:t>Pin schemas and approve mutation/run calls</w:t>
            </w:r>
          </w:p>
        </w:tc>
      </w:tr>
      <w:tr>
        <w:tc>
          <w:tcPr>
            <w:tcW w:type="dxa" w:w="2382"/>
            <w:vAlign w:val="center"/>
            <w:tcMar>
              <w:top w:w="80" w:type="dxa"/>
              <w:start w:w="120" w:type="dxa"/>
              <w:bottom w:w="80" w:type="dxa"/>
              <w:end w:w="120" w:type="dxa"/>
            </w:tcMar>
          </w:tcPr>
          <w:p>
            <w:r>
              <w:rPr>
                <w:sz w:val="16"/>
                <w:lang w:val="en-GB"/>
              </w:rPr>
              <w:t>Resources</w:t>
            </w:r>
          </w:p>
        </w:tc>
        <w:tc>
          <w:tcPr>
            <w:tcW w:type="dxa" w:w="3074"/>
            <w:vAlign w:val="center"/>
            <w:tcMar>
              <w:top w:w="80" w:type="dxa"/>
              <w:start w:w="120" w:type="dxa"/>
              <w:bottom w:w="80" w:type="dxa"/>
              <w:end w:w="120" w:type="dxa"/>
            </w:tcMar>
          </w:tcPr>
          <w:p>
            <w:r>
              <w:rPr>
                <w:sz w:val="16"/>
                <w:lang w:val="en-GB"/>
              </w:rPr>
              <w:t>One instruction resource</w:t>
            </w:r>
          </w:p>
        </w:tc>
        <w:tc>
          <w:tcPr>
            <w:tcW w:type="dxa" w:w="3904"/>
            <w:vAlign w:val="center"/>
            <w:tcMar>
              <w:top w:w="80" w:type="dxa"/>
              <w:start w:w="120" w:type="dxa"/>
              <w:bottom w:w="80" w:type="dxa"/>
              <w:end w:w="120" w:type="dxa"/>
            </w:tcMar>
          </w:tcPr>
          <w:p>
            <w:r>
              <w:rPr>
                <w:sz w:val="16"/>
                <w:lang w:val="en-GB"/>
              </w:rPr>
              <w:t>Treat content as untrusted until reviewed</w:t>
            </w:r>
          </w:p>
        </w:tc>
      </w:tr>
      <w:tr>
        <w:tc>
          <w:tcPr>
            <w:tcW w:type="dxa" w:w="2382"/>
            <w:vAlign w:val="center"/>
            <w:tcMar>
              <w:top w:w="80" w:type="dxa"/>
              <w:start w:w="120" w:type="dxa"/>
              <w:bottom w:w="80" w:type="dxa"/>
              <w:end w:w="120" w:type="dxa"/>
            </w:tcMar>
          </w:tcPr>
          <w:p>
            <w:r>
              <w:rPr>
                <w:sz w:val="16"/>
                <w:lang w:val="en-GB"/>
              </w:rPr>
              <w:t>MCP prompts</w:t>
            </w:r>
          </w:p>
        </w:tc>
        <w:tc>
          <w:tcPr>
            <w:tcW w:type="dxa" w:w="3074"/>
            <w:vAlign w:val="center"/>
            <w:tcMar>
              <w:top w:w="80" w:type="dxa"/>
              <w:start w:w="120" w:type="dxa"/>
              <w:bottom w:w="80" w:type="dxa"/>
              <w:end w:w="120" w:type="dxa"/>
            </w:tcMar>
          </w:tcPr>
          <w:p>
            <w:r>
              <w:rPr>
                <w:sz w:val="16"/>
                <w:lang w:val="en-GB"/>
              </w:rPr>
              <w:t>Not observed in local registration</w:t>
            </w:r>
          </w:p>
        </w:tc>
        <w:tc>
          <w:tcPr>
            <w:tcW w:type="dxa" w:w="3904"/>
            <w:vAlign w:val="center"/>
            <w:tcMar>
              <w:top w:w="80" w:type="dxa"/>
              <w:start w:w="120" w:type="dxa"/>
              <w:bottom w:w="80" w:type="dxa"/>
              <w:end w:w="120" w:type="dxa"/>
            </w:tcMar>
          </w:tcPr>
          <w:p>
            <w:r>
              <w:rPr>
                <w:sz w:val="16"/>
                <w:lang w:val="en-GB"/>
              </w:rPr>
              <w:t>Recheck live capabilities and updates</w:t>
            </w:r>
          </w:p>
        </w:tc>
      </w:tr>
      <w:tr>
        <w:tc>
          <w:tcPr>
            <w:tcW w:type="dxa" w:w="2382"/>
            <w:vAlign w:val="center"/>
            <w:tcMar>
              <w:top w:w="80" w:type="dxa"/>
              <w:start w:w="120" w:type="dxa"/>
              <w:bottom w:w="80" w:type="dxa"/>
              <w:end w:w="120" w:type="dxa"/>
            </w:tcMar>
          </w:tcPr>
          <w:p>
            <w:r>
              <w:rPr>
                <w:sz w:val="16"/>
                <w:lang w:val="en-GB"/>
              </w:rPr>
              <w:t>Agent Skills</w:t>
            </w:r>
          </w:p>
        </w:tc>
        <w:tc>
          <w:tcPr>
            <w:tcW w:type="dxa" w:w="3074"/>
            <w:vAlign w:val="center"/>
            <w:tcMar>
              <w:top w:w="80" w:type="dxa"/>
              <w:start w:w="120" w:type="dxa"/>
              <w:bottom w:w="80" w:type="dxa"/>
              <w:end w:w="120" w:type="dxa"/>
            </w:tcMar>
          </w:tcPr>
          <w:p>
            <w:r>
              <w:rPr>
                <w:sz w:val="16"/>
                <w:lang w:val="en-GB"/>
              </w:rPr>
              <w:t>Not observed in acquired artefacts</w:t>
            </w:r>
          </w:p>
        </w:tc>
        <w:tc>
          <w:tcPr>
            <w:tcW w:type="dxa" w:w="3904"/>
            <w:vAlign w:val="center"/>
            <w:tcMar>
              <w:top w:w="80" w:type="dxa"/>
              <w:start w:w="120" w:type="dxa"/>
              <w:bottom w:w="80" w:type="dxa"/>
              <w:end w:w="120" w:type="dxa"/>
            </w:tcMar>
          </w:tcPr>
          <w:p>
            <w:r>
              <w:rPr>
                <w:sz w:val="16"/>
                <w:lang w:val="en-GB"/>
              </w:rPr>
              <w:t>No companion plugin or skill approval</w:t>
            </w:r>
          </w:p>
        </w:tc>
      </w:tr>
      <w:tr>
        <w:tc>
          <w:tcPr>
            <w:tcW w:type="dxa" w:w="2382"/>
            <w:vAlign w:val="center"/>
            <w:tcMar>
              <w:top w:w="80" w:type="dxa"/>
              <w:start w:w="120" w:type="dxa"/>
              <w:bottom w:w="80" w:type="dxa"/>
              <w:end w:w="120" w:type="dxa"/>
            </w:tcMar>
          </w:tcPr>
          <w:p>
            <w:r>
              <w:rPr>
                <w:sz w:val="16"/>
                <w:lang w:val="en-GB"/>
              </w:rPr>
              <w:t>Cross-server composition</w:t>
            </w:r>
          </w:p>
        </w:tc>
        <w:tc>
          <w:tcPr>
            <w:tcW w:type="dxa" w:w="3074"/>
            <w:vAlign w:val="center"/>
            <w:tcMar>
              <w:top w:w="80" w:type="dxa"/>
              <w:start w:w="120" w:type="dxa"/>
              <w:bottom w:w="80" w:type="dxa"/>
              <w:end w:w="120" w:type="dxa"/>
            </w:tcMar>
          </w:tcPr>
          <w:p>
            <w:r>
              <w:rPr>
                <w:sz w:val="16"/>
                <w:lang w:val="en-GB"/>
              </w:rPr>
              <w:t>Possible through host agent</w:t>
            </w:r>
          </w:p>
        </w:tc>
        <w:tc>
          <w:tcPr>
            <w:tcW w:type="dxa" w:w="3904"/>
            <w:vAlign w:val="center"/>
            <w:tcMar>
              <w:top w:w="80" w:type="dxa"/>
              <w:start w:w="120" w:type="dxa"/>
              <w:bottom w:w="80" w:type="dxa"/>
              <w:end w:w="120" w:type="dxa"/>
            </w:tcMar>
          </w:tcPr>
          <w:p>
            <w:r>
              <w:rPr>
                <w:sz w:val="16"/>
                <w:lang w:val="en-GB"/>
              </w:rPr>
              <w:t>Isolate authority and prevent context transfer</w:t>
            </w:r>
          </w:p>
        </w:tc>
      </w:tr>
    </w:tbl>
    <w:p/>
    <w:p>
      <w:pPr>
        <w:pStyle w:val="Heading2"/>
      </w:pPr>
      <w:r>
        <w:rPr>
          <w:lang w:val="en-GB"/>
        </w:rPr>
        <w:t>Visual Studio Supply Chain Dependencies and Malware Review</w:t>
      </w:r>
    </w:p>
    <w:p>
      <w:r>
        <w:rPr>
          <w:lang w:val="en-GB"/>
        </w:rPr>
        <w:t xml:space="preserve">All 252 npm dist files match the exact source snapshot dist bytes; 254 of 255 package files match their repository counterparts. package.json differs through publishing transformations, including removal of source scripts and different override representation, so npm installation is not a reproduction of the source pnpm lock. Direct dependencies include the MCP SDK, dotenv, Newman, Nunjucks, UUID and Zod, with ranges in the published metadata. Approve an entire resolved runtime closure and retain a fresh inventory, not just the top-level package version. </w:t>
      </w:r>
      <w:hyperlink w:anchor="REF_001">
        <w:r>
          <w:rPr>
            <w:rStyle w:val="Hyperlink"/>
            <w:lang w:val="en-GB"/>
          </w:rPr>
          <w:t>[REF-001]</w:t>
        </w:r>
      </w:hyperlink>
      <w:r>
        <w:rPr>
          <w:lang w:val="en-GB"/>
        </w:rPr>
        <w:t xml:space="preserve"> </w:t>
      </w:r>
      <w:hyperlink w:anchor="REF_002">
        <w:r>
          <w:rPr>
            <w:rStyle w:val="Hyperlink"/>
            <w:lang w:val="en-GB"/>
          </w:rPr>
          <w:t>[REF-002]</w:t>
        </w:r>
      </w:hyperlink>
    </w:p>
    <w:p>
      <w:r>
        <w:rPr>
          <w:lang w:val="en-GB"/>
        </w:rPr>
        <w:t xml:space="preserve">Semgrep 1.179.0 scanned 240 TypeScript files with 312 compatible rules and returned zero findings/errors. Three Pro-only rules and two ignored files were excluded; the earlier empty/unsupported scans are superseded. ClamAV 1.5.4 returned no detections in the acquired source/package. Following the requested refresh, antivirus daily database 28146 dated 7 October 2026 passed signature verification; the repeated scan covered 803 files and returned zero detections. No current approved YARA/IOC corpus was supplied. These are limited scan results, not malware-free certification. Native executable components were Not observed in the top-level package; transitive installed files and remote service internals remain Unknown. </w:t>
      </w:r>
      <w:hyperlink w:anchor="REF_001">
        <w:r>
          <w:rPr>
            <w:rStyle w:val="Hyperlink"/>
            <w:lang w:val="en-GB"/>
          </w:rPr>
          <w:t>[REF-001]</w:t>
        </w:r>
      </w:hyperlink>
      <w:r>
        <w:rPr>
          <w:lang w:val="en-GB"/>
        </w:rPr>
        <w:t xml:space="preserve"> </w:t>
      </w:r>
      <w:hyperlink w:anchor="REF_002">
        <w:r>
          <w:rPr>
            <w:rStyle w:val="Hyperlink"/>
            <w:lang w:val="en-GB"/>
          </w:rPr>
          <w:t>[REF-002]</w:t>
        </w:r>
      </w:hyperlink>
    </w:p>
    <w:p>
      <w:pPr>
        <w:pStyle w:val="Heading2"/>
      </w:pPr>
      <w:r>
        <w:rPr>
          <w:lang w:val="en-GB"/>
        </w:rPr>
        <w:t>Visual Studio Threat Scenarios and Findings</w:t>
      </w:r>
    </w:p>
    <w:p>
      <w:r>
        <w:rPr>
          <w:lang w:val="en-GB"/>
        </w:rPr>
        <w:t xml:space="preserve">F-001 covers local run-data transfer, F-002 collection execution reach, F-003 mutable dependency resolution, F-004 remote identity/privacy gaps, F-005 secret-bearing configuration and outputs, F-006 execution limits and annotation mismatch, and F-007 untested IDE consent/lifecycle controls. These records describe verified behavior, enterprise risks and evidence gaps; they are not all confirmed vulnerabilities. Detailed source locations, conditions, treatment and verification are retained in the individual finding records. </w:t>
      </w:r>
      <w:hyperlink w:anchor="REF_002">
        <w:r>
          <w:rPr>
            <w:rStyle w:val="Hyperlink"/>
            <w:lang w:val="en-GB"/>
          </w:rPr>
          <w:t>[REF-002]</w:t>
        </w:r>
      </w:hyperlink>
      <w:r>
        <w:rPr>
          <w:lang w:val="en-GB"/>
        </w:rPr>
        <w:t xml:space="preserve"> </w:t>
      </w:r>
      <w:hyperlink w:anchor="REF_012">
        <w:r>
          <w:rPr>
            <w:rStyle w:val="Hyperlink"/>
            <w:lang w:val="en-GB"/>
          </w:rPr>
          <w:t>[REF-012]</w:t>
        </w:r>
      </w:hyperlink>
    </w:p>
    <w:p>
      <w:r>
        <w:rPr>
          <w:lang w:val="en-GB"/>
        </w:rPr>
        <w:t>No CVSS score is assigned to a deployment-control gap or intended capability without a validated exploit and justified attack model. Enterprise risk uses likelihood and impact independently of confidence. Client policy, API roles and data minimisation may lower risk after tests demonstrate effectiveness; they have not been credited as effective tenant controls here.</w:t>
      </w:r>
    </w:p>
    <w:p>
      <w:pPr>
        <w:pStyle w:val="Heading2"/>
      </w:pPr>
      <w:r>
        <w:rPr>
          <w:lang w:val="en-GB"/>
        </w:rPr>
        <w:t>Visual Studio Framework Disposition and Requirement Mappings</w:t>
      </w:r>
    </w:p>
    <w:p>
      <w:r>
        <w:rPr>
          <w:lang w:val="en-GB"/>
        </w:rPr>
        <w:t xml:space="preserve">Baseline mappings apply to this IDE integration independently. ASVS 5.0.0 Level 2 is the target for relevant API/authentication/communication and data-protection surfaces, not a claim of all-ASVS conformance. STDIO has no browser cookie or webview surface in the inspected package; browser-specific controls are Not applicable to that component. Hosted OAuth client controls include V10.2.1 anti-forgery protection, with provider/client implementation effectiveness Unknown. </w:t>
      </w:r>
      <w:hyperlink w:anchor="REF_012">
        <w:r>
          <w:rPr>
            <w:rStyle w:val="Hyperlink"/>
            <w:lang w:val="en-GB"/>
          </w:rPr>
          <w:t>[REF-012]</w:t>
        </w:r>
      </w:hyperlink>
      <w:r>
        <w:rPr>
          <w:lang w:val="en-GB"/>
        </w:rPr>
        <w:t xml:space="preserve"> </w:t>
      </w:r>
      <w:hyperlink w:anchor="REF_023">
        <w:r>
          <w:rPr>
            <w:rStyle w:val="Hyperlink"/>
            <w:lang w:val="en-GB"/>
          </w:rPr>
          <w:t>[REF-023]</w:t>
        </w:r>
      </w:hyperlink>
    </w:p>
    <w:p>
      <w:r>
        <w:rPr>
          <w:lang w:val="en-GB"/>
        </w:rPr>
        <w:t xml:space="preserve">FCA/PRA duties remain conditional on the actual legal entity, regulated status and service materiality. PECR tracking and EU DORA/AI Act applicability need use-case screening; an EU endpoint alone does not establish jurisdictional scope. ISO control identifiers are review targets with edition metadata verified; licensed Annex A and organisation-specific conformity evidence were not inspected. </w:t>
      </w:r>
      <w:hyperlink w:anchor="REF_017">
        <w:r>
          <w:rPr>
            <w:rStyle w:val="Hyperlink"/>
            <w:lang w:val="en-GB"/>
          </w:rPr>
          <w:t>[REF-017]</w:t>
        </w:r>
      </w:hyperlink>
      <w:r>
        <w:rPr>
          <w:lang w:val="en-GB"/>
        </w:rPr>
        <w:t xml:space="preserve"> </w:t>
      </w:r>
      <w:hyperlink w:anchor="REF_019">
        <w:r>
          <w:rPr>
            <w:rStyle w:val="Hyperlink"/>
            <w:lang w:val="en-GB"/>
          </w:rPr>
          <w:t>[REF-019]</w:t>
        </w:r>
      </w:hyperlink>
      <w:r>
        <w:rPr>
          <w:lang w:val="en-GB"/>
        </w:rPr>
        <w:t xml:space="preserve"> </w:t>
      </w:r>
      <w:hyperlink w:anchor="REF_020">
        <w:r>
          <w:rPr>
            <w:rStyle w:val="Hyperlink"/>
            <w:lang w:val="en-GB"/>
          </w:rPr>
          <w:t>[REF-020]</w:t>
        </w:r>
      </w:hyperlink>
      <w:r>
        <w:rPr>
          <w:lang w:val="en-GB"/>
        </w:rPr>
        <w:t xml:space="preserve"> </w:t>
      </w:r>
      <w:hyperlink w:anchor="REF_022">
        <w:r>
          <w:rPr>
            <w:rStyle w:val="Hyperlink"/>
            <w:lang w:val="en-GB"/>
          </w:rPr>
          <w:t>[REF-022]</w:t>
        </w:r>
      </w:hyperlink>
    </w:p>
    <w:p>
      <w:pPr>
        <w:pStyle w:val="Caption"/>
      </w:pPr>
      <w:r>
        <w:rPr>
          <w:b/>
          <w:lang w:val="en-GB"/>
        </w:rPr>
        <w:t>Visual Studio complete framework dispositions</w:t>
      </w:r>
    </w:p>
    <w:tbl>
      <w:tblPr>
        <w:tblStyle w:val="TableGrid"/>
        <w:tblW w:type="dxa" w:w="9360"/>
        <w:tblLayout w:type="fixed"/>
        <w:tblLook w:firstColumn="1" w:firstRow="1" w:lastColumn="0" w:lastRow="0" w:noHBand="0" w:noVBand="1" w:val="04A0"/>
        <w:tblInd w:w="120" w:type="dxa"/>
      </w:tblPr>
      <w:tblGrid>
        <w:gridCol w:w="2023"/>
        <w:gridCol w:w="1878"/>
        <w:gridCol w:w="3616"/>
        <w:gridCol w:w="1843"/>
      </w:tblGrid>
      <w:tr>
        <w:trPr>
          <w:tblHeader w:val="true"/>
        </w:trPr>
        <w:tc>
          <w:tcPr>
            <w:tcW w:type="dxa" w:w="2023"/>
            <w:shd w:fill="F2F4F7"/>
            <w:vAlign w:val="center"/>
            <w:tcMar>
              <w:top w:w="80" w:type="dxa"/>
              <w:start w:w="120" w:type="dxa"/>
              <w:bottom w:w="80" w:type="dxa"/>
              <w:end w:w="120" w:type="dxa"/>
            </w:tcMar>
          </w:tcPr>
          <w:p>
            <w:r>
              <w:rPr>
                <w:b/>
                <w:sz w:val="16"/>
                <w:lang w:val="en-GB"/>
              </w:rPr>
              <w:t>Framework</w:t>
            </w:r>
          </w:p>
        </w:tc>
        <w:tc>
          <w:tcPr>
            <w:tcW w:type="dxa" w:w="1878"/>
            <w:shd w:fill="F2F4F7"/>
            <w:vAlign w:val="center"/>
            <w:tcMar>
              <w:top w:w="80" w:type="dxa"/>
              <w:start w:w="120" w:type="dxa"/>
              <w:bottom w:w="80" w:type="dxa"/>
              <w:end w:w="120" w:type="dxa"/>
            </w:tcMar>
          </w:tcPr>
          <w:p>
            <w:r>
              <w:rPr>
                <w:b/>
                <w:sz w:val="16"/>
                <w:lang w:val="en-GB"/>
              </w:rPr>
              <w:t>Disposition</w:t>
            </w:r>
          </w:p>
        </w:tc>
        <w:tc>
          <w:tcPr>
            <w:tcW w:type="dxa" w:w="3616"/>
            <w:shd w:fill="F2F4F7"/>
            <w:vAlign w:val="center"/>
            <w:tcMar>
              <w:top w:w="80" w:type="dxa"/>
              <w:start w:w="120" w:type="dxa"/>
              <w:bottom w:w="80" w:type="dxa"/>
              <w:end w:w="120" w:type="dxa"/>
            </w:tcMar>
          </w:tcPr>
          <w:p>
            <w:r>
              <w:rPr>
                <w:b/>
                <w:sz w:val="16"/>
                <w:lang w:val="en-GB"/>
              </w:rPr>
              <w:t>Mapping or required control</w:t>
            </w:r>
          </w:p>
        </w:tc>
        <w:tc>
          <w:tcPr>
            <w:tcW w:type="dxa" w:w="1843"/>
            <w:shd w:fill="F2F4F7"/>
            <w:vAlign w:val="center"/>
            <w:tcMar>
              <w:top w:w="80" w:type="dxa"/>
              <w:start w:w="120" w:type="dxa"/>
              <w:bottom w:w="80" w:type="dxa"/>
              <w:end w:w="120" w:type="dxa"/>
            </w:tcMar>
          </w:tcPr>
          <w:p>
            <w:r>
              <w:rPr>
                <w:b/>
                <w:sz w:val="16"/>
                <w:lang w:val="en-GB"/>
              </w:rPr>
              <w:t>Source</w:t>
            </w:r>
          </w:p>
        </w:tc>
      </w:tr>
      <w:tr>
        <w:tc>
          <w:tcPr>
            <w:tcW w:type="dxa" w:w="2023"/>
            <w:vAlign w:val="center"/>
            <w:tcMar>
              <w:top w:w="80" w:type="dxa"/>
              <w:start w:w="120" w:type="dxa"/>
              <w:bottom w:w="80" w:type="dxa"/>
              <w:end w:w="120" w:type="dxa"/>
            </w:tcMar>
          </w:tcPr>
          <w:p>
            <w:r>
              <w:rPr>
                <w:sz w:val="16"/>
                <w:lang w:val="en-GB"/>
              </w:rPr>
              <w:t>OWASP LLM 2026</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LLM01 injection, LLM02 disclosure, LLM03 agency, LLM04 supply chain, LLM06 consumption, LLM10 output; vector surface Not observed</w:t>
            </w:r>
          </w:p>
        </w:tc>
        <w:tc>
          <w:tcPr>
            <w:tcW w:type="dxa" w:w="1843"/>
            <w:vAlign w:val="center"/>
            <w:tcMar>
              <w:top w:w="80" w:type="dxa"/>
              <w:start w:w="120" w:type="dxa"/>
              <w:bottom w:w="80" w:type="dxa"/>
              <w:end w:w="120" w:type="dxa"/>
            </w:tcMar>
          </w:tcPr>
          <w:p>
            <w:hyperlink w:anchor="REF_009">
              <w:r>
                <w:rPr>
                  <w:rStyle w:val="Hyperlink"/>
                  <w:lang w:val="en-GB"/>
                </w:rPr>
                <w:t>[REF-009]</w:t>
              </w:r>
            </w:hyperlink>
          </w:p>
        </w:tc>
      </w:tr>
      <w:tr>
        <w:tc>
          <w:tcPr>
            <w:tcW w:type="dxa" w:w="2023"/>
            <w:vAlign w:val="center"/>
            <w:tcMar>
              <w:top w:w="80" w:type="dxa"/>
              <w:start w:w="120" w:type="dxa"/>
              <w:bottom w:w="80" w:type="dxa"/>
              <w:end w:w="120" w:type="dxa"/>
            </w:tcMar>
          </w:tcPr>
          <w:p>
            <w:r>
              <w:rPr>
                <w:sz w:val="16"/>
                <w:lang w:val="en-GB"/>
              </w:rPr>
              <w:t>OWASP Agentic 2026</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ASI01 goal hijack, ASI02 tool misuse, ASI03 privilege, ASI04 supply chain; ASI05 where collection scripts execute</w:t>
            </w:r>
          </w:p>
        </w:tc>
        <w:tc>
          <w:tcPr>
            <w:tcW w:type="dxa" w:w="1843"/>
            <w:vAlign w:val="center"/>
            <w:tcMar>
              <w:top w:w="80" w:type="dxa"/>
              <w:start w:w="120" w:type="dxa"/>
              <w:bottom w:w="80" w:type="dxa"/>
              <w:end w:w="120" w:type="dxa"/>
            </w:tcMar>
          </w:tcPr>
          <w:p>
            <w:hyperlink w:anchor="REF_010">
              <w:r>
                <w:rPr>
                  <w:rStyle w:val="Hyperlink"/>
                  <w:lang w:val="en-GB"/>
                </w:rPr>
                <w:t>[REF-010]</w:t>
              </w:r>
            </w:hyperlink>
          </w:p>
        </w:tc>
      </w:tr>
      <w:tr>
        <w:tc>
          <w:tcPr>
            <w:tcW w:type="dxa" w:w="2023"/>
            <w:vAlign w:val="center"/>
            <w:tcMar>
              <w:top w:w="80" w:type="dxa"/>
              <w:start w:w="120" w:type="dxa"/>
              <w:bottom w:w="80" w:type="dxa"/>
              <w:end w:w="120" w:type="dxa"/>
            </w:tcMar>
          </w:tcPr>
          <w:p>
            <w:r>
              <w:rPr>
                <w:sz w:val="16"/>
                <w:lang w:val="en-GB"/>
              </w:rPr>
              <w:t>MITRE ATLAS v2026.09</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AML.T0051 prompt injection, AML.T0057 leakage, AML.T0053 tool invocation, AML.T0010 supply chain</w:t>
            </w:r>
          </w:p>
        </w:tc>
        <w:tc>
          <w:tcPr>
            <w:tcW w:type="dxa" w:w="1843"/>
            <w:vAlign w:val="center"/>
            <w:tcMar>
              <w:top w:w="80" w:type="dxa"/>
              <w:start w:w="120" w:type="dxa"/>
              <w:bottom w:w="80" w:type="dxa"/>
              <w:end w:w="120" w:type="dxa"/>
            </w:tcMar>
          </w:tcPr>
          <w:p>
            <w:hyperlink w:anchor="REF_013">
              <w:r>
                <w:rPr>
                  <w:rStyle w:val="Hyperlink"/>
                  <w:lang w:val="en-GB"/>
                </w:rPr>
                <w:t>[REF-013]</w:t>
              </w:r>
            </w:hyperlink>
          </w:p>
        </w:tc>
      </w:tr>
      <w:tr>
        <w:tc>
          <w:tcPr>
            <w:tcW w:type="dxa" w:w="2023"/>
            <w:vAlign w:val="center"/>
            <w:tcMar>
              <w:top w:w="80" w:type="dxa"/>
              <w:start w:w="120" w:type="dxa"/>
              <w:bottom w:w="80" w:type="dxa"/>
              <w:end w:w="120" w:type="dxa"/>
            </w:tcMar>
          </w:tcPr>
          <w:p>
            <w:r>
              <w:rPr>
                <w:sz w:val="16"/>
                <w:lang w:val="en-GB"/>
              </w:rPr>
              <w:t>NIST AI RMF 1.0 and AI 600-1</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GOVERN 6 third-party policy; MAP data flow; MEASURE test evidence; MANAGE treatment and monitoring</w:t>
            </w:r>
          </w:p>
        </w:tc>
        <w:tc>
          <w:tcPr>
            <w:tcW w:type="dxa" w:w="1843"/>
            <w:vAlign w:val="center"/>
            <w:tcMar>
              <w:top w:w="80" w:type="dxa"/>
              <w:start w:w="120" w:type="dxa"/>
              <w:bottom w:w="80" w:type="dxa"/>
              <w:end w:w="120" w:type="dxa"/>
            </w:tcMar>
          </w:tcPr>
          <w:p>
            <w:hyperlink w:anchor="REF_014">
              <w:r>
                <w:rPr>
                  <w:rStyle w:val="Hyperlink"/>
                  <w:lang w:val="en-GB"/>
                </w:rPr>
                <w:t>[REF-014]</w:t>
              </w:r>
            </w:hyperlink>
            <w:r>
              <w:rPr>
                <w:sz w:val="16"/>
                <w:lang w:val="en-GB"/>
              </w:rPr>
              <w:t xml:space="preserve"> </w:t>
            </w:r>
            <w:hyperlink w:anchor="REF_015">
              <w:r>
                <w:rPr>
                  <w:rStyle w:val="Hyperlink"/>
                  <w:lang w:val="en-GB"/>
                </w:rPr>
                <w:t>[REF-015]</w:t>
              </w:r>
            </w:hyperlink>
          </w:p>
        </w:tc>
      </w:tr>
      <w:tr>
        <w:tc>
          <w:tcPr>
            <w:tcW w:type="dxa" w:w="2023"/>
            <w:vAlign w:val="center"/>
            <w:tcMar>
              <w:top w:w="80" w:type="dxa"/>
              <w:start w:w="120" w:type="dxa"/>
              <w:bottom w:w="80" w:type="dxa"/>
              <w:end w:w="120" w:type="dxa"/>
            </w:tcMar>
          </w:tcPr>
          <w:p>
            <w:r>
              <w:rPr>
                <w:sz w:val="16"/>
                <w:lang w:val="en-GB"/>
              </w:rPr>
              <w:t>CIS Controls v8.1</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6.8 RBAC, 8.1 logging process, 8.9 central logs, 15.1 provider inventory, 15.5 assessment, 15.6 monitoring, 15.7 decommissioning</w:t>
            </w:r>
          </w:p>
        </w:tc>
        <w:tc>
          <w:tcPr>
            <w:tcW w:type="dxa" w:w="1843"/>
            <w:vAlign w:val="center"/>
            <w:tcMar>
              <w:top w:w="80" w:type="dxa"/>
              <w:start w:w="120" w:type="dxa"/>
              <w:bottom w:w="80" w:type="dxa"/>
              <w:end w:w="120" w:type="dxa"/>
            </w:tcMar>
          </w:tcPr>
          <w:p>
            <w:hyperlink w:anchor="REF_016">
              <w:r>
                <w:rPr>
                  <w:rStyle w:val="Hyperlink"/>
                  <w:lang w:val="en-GB"/>
                </w:rPr>
                <w:t>[REF-016]</w:t>
              </w:r>
            </w:hyperlink>
          </w:p>
        </w:tc>
      </w:tr>
      <w:tr>
        <w:tc>
          <w:tcPr>
            <w:tcW w:type="dxa" w:w="2023"/>
            <w:vAlign w:val="center"/>
            <w:tcMar>
              <w:top w:w="80" w:type="dxa"/>
              <w:start w:w="120" w:type="dxa"/>
              <w:bottom w:w="80" w:type="dxa"/>
              <w:end w:w="120" w:type="dxa"/>
            </w:tcMar>
          </w:tcPr>
          <w:p>
            <w:r>
              <w:rPr>
                <w:sz w:val="16"/>
                <w:lang w:val="en-GB"/>
              </w:rPr>
              <w:t>ISO IEC 27001 2022 Amd 1 2024</w:t>
            </w:r>
          </w:p>
        </w:tc>
        <w:tc>
          <w:tcPr>
            <w:tcW w:type="dxa" w:w="1878"/>
            <w:vAlign w:val="center"/>
            <w:tcMar>
              <w:top w:w="80" w:type="dxa"/>
              <w:start w:w="120" w:type="dxa"/>
              <w:bottom w:w="80" w:type="dxa"/>
              <w:end w:w="120" w:type="dxa"/>
            </w:tcMar>
          </w:tcPr>
          <w:p>
            <w:r>
              <w:rPr>
                <w:sz w:val="16"/>
                <w:lang w:val="en-GB"/>
              </w:rPr>
              <w:t>Applicable good practice</w:t>
            </w:r>
          </w:p>
        </w:tc>
        <w:tc>
          <w:tcPr>
            <w:tcW w:type="dxa" w:w="3616"/>
            <w:vAlign w:val="center"/>
            <w:tcMar>
              <w:top w:w="80" w:type="dxa"/>
              <w:start w:w="120" w:type="dxa"/>
              <w:bottom w:w="80" w:type="dxa"/>
              <w:end w:w="120" w:type="dxa"/>
            </w:tcMar>
          </w:tcPr>
          <w:p>
            <w:r>
              <w:rPr>
                <w:sz w:val="16"/>
                <w:lang w:val="en-GB"/>
              </w:rPr>
              <w:t>Annex A 5.19 supplier relationships, 5.23 cloud use, 8.2 privilege, 8.15 logging as mapping targets; licensed text not inspected</w:t>
            </w:r>
          </w:p>
        </w:tc>
        <w:tc>
          <w:tcPr>
            <w:tcW w:type="dxa" w:w="1843"/>
            <w:vAlign w:val="center"/>
            <w:tcMar>
              <w:top w:w="80" w:type="dxa"/>
              <w:start w:w="120" w:type="dxa"/>
              <w:bottom w:w="80" w:type="dxa"/>
              <w:end w:w="120" w:type="dxa"/>
            </w:tcMar>
          </w:tcPr>
          <w:p>
            <w:hyperlink w:anchor="REF_017">
              <w:r>
                <w:rPr>
                  <w:rStyle w:val="Hyperlink"/>
                  <w:lang w:val="en-GB"/>
                </w:rPr>
                <w:t>[REF-017]</w:t>
              </w:r>
            </w:hyperlink>
          </w:p>
        </w:tc>
      </w:tr>
      <w:tr>
        <w:tc>
          <w:tcPr>
            <w:tcW w:type="dxa" w:w="2023"/>
            <w:vAlign w:val="center"/>
            <w:tcMar>
              <w:top w:w="80" w:type="dxa"/>
              <w:start w:w="120" w:type="dxa"/>
              <w:bottom w:w="80" w:type="dxa"/>
              <w:end w:w="120" w:type="dxa"/>
            </w:tcMar>
          </w:tcPr>
          <w:p>
            <w:r>
              <w:rPr>
                <w:sz w:val="16"/>
                <w:lang w:val="en-GB"/>
              </w:rPr>
              <w:t>NCSC secure AI v1.0</w:t>
            </w:r>
          </w:p>
        </w:tc>
        <w:tc>
          <w:tcPr>
            <w:tcW w:type="dxa" w:w="1878"/>
            <w:vAlign w:val="center"/>
            <w:tcMar>
              <w:top w:w="80" w:type="dxa"/>
              <w:start w:w="120" w:type="dxa"/>
              <w:bottom w:w="80" w:type="dxa"/>
              <w:end w:w="120" w:type="dxa"/>
            </w:tcMar>
          </w:tcPr>
          <w:p>
            <w:r>
              <w:rPr>
                <w:sz w:val="16"/>
                <w:lang w:val="en-GB"/>
              </w:rPr>
              <w:t>Applicable guidance</w:t>
            </w:r>
          </w:p>
        </w:tc>
        <w:tc>
          <w:tcPr>
            <w:tcW w:type="dxa" w:w="3616"/>
            <w:vAlign w:val="center"/>
            <w:tcMar>
              <w:top w:w="80" w:type="dxa"/>
              <w:start w:w="120" w:type="dxa"/>
              <w:bottom w:w="80" w:type="dxa"/>
              <w:end w:w="120" w:type="dxa"/>
            </w:tcMar>
          </w:tcPr>
          <w:p>
            <w:r>
              <w:rPr>
                <w:sz w:val="16"/>
                <w:lang w:val="en-GB"/>
              </w:rPr>
              <w:t>Design threat boundaries; secure deployment; monitor changes; retain incident and exit capability</w:t>
            </w:r>
          </w:p>
        </w:tc>
        <w:tc>
          <w:tcPr>
            <w:tcW w:type="dxa" w:w="1843"/>
            <w:vAlign w:val="center"/>
            <w:tcMar>
              <w:top w:w="80" w:type="dxa"/>
              <w:start w:w="120" w:type="dxa"/>
              <w:bottom w:w="80" w:type="dxa"/>
              <w:end w:w="120" w:type="dxa"/>
            </w:tcMar>
          </w:tcPr>
          <w:p>
            <w:hyperlink w:anchor="REF_018">
              <w:r>
                <w:rPr>
                  <w:rStyle w:val="Hyperlink"/>
                  <w:lang w:val="en-GB"/>
                </w:rPr>
                <w:t>[REF-018]</w:t>
              </w:r>
            </w:hyperlink>
          </w:p>
        </w:tc>
      </w:tr>
      <w:tr>
        <w:tc>
          <w:tcPr>
            <w:tcW w:type="dxa" w:w="2023"/>
            <w:vAlign w:val="center"/>
            <w:tcMar>
              <w:top w:w="80" w:type="dxa"/>
              <w:start w:w="120" w:type="dxa"/>
              <w:bottom w:w="80" w:type="dxa"/>
              <w:end w:w="120" w:type="dxa"/>
            </w:tcMar>
          </w:tcPr>
          <w:p>
            <w:r>
              <w:rPr>
                <w:sz w:val="16"/>
                <w:lang w:val="en-GB"/>
              </w:rPr>
              <w:t>OWASP MCP Top 10 2025</w:t>
            </w:r>
          </w:p>
        </w:tc>
        <w:tc>
          <w:tcPr>
            <w:tcW w:type="dxa" w:w="1878"/>
            <w:vAlign w:val="center"/>
            <w:tcMar>
              <w:top w:w="80" w:type="dxa"/>
              <w:start w:w="120" w:type="dxa"/>
              <w:bottom w:w="80" w:type="dxa"/>
              <w:end w:w="120" w:type="dxa"/>
            </w:tcMar>
          </w:tcPr>
          <w:p>
            <w:r>
              <w:rPr>
                <w:sz w:val="16"/>
                <w:lang w:val="en-GB"/>
              </w:rPr>
              <w:t>Applicable</w:t>
            </w:r>
          </w:p>
        </w:tc>
        <w:tc>
          <w:tcPr>
            <w:tcW w:type="dxa" w:w="3616"/>
            <w:vAlign w:val="center"/>
            <w:tcMar>
              <w:top w:w="80" w:type="dxa"/>
              <w:start w:w="120" w:type="dxa"/>
              <w:bottom w:w="80" w:type="dxa"/>
              <w:end w:w="120" w:type="dxa"/>
            </w:tcMar>
          </w:tcPr>
          <w:p>
            <w:r>
              <w:rPr>
                <w:sz w:val="16"/>
                <w:lang w:val="en-GB"/>
              </w:rPr>
              <w:t>Token/secret exposure, scope creep, tool poisoning, supply chain, contextual injection, auth, audit and over-sharing</w:t>
            </w:r>
          </w:p>
        </w:tc>
        <w:tc>
          <w:tcPr>
            <w:tcW w:type="dxa" w:w="1843"/>
            <w:vAlign w:val="center"/>
            <w:tcMar>
              <w:top w:w="80" w:type="dxa"/>
              <w:start w:w="120" w:type="dxa"/>
              <w:bottom w:w="80" w:type="dxa"/>
              <w:end w:w="120" w:type="dxa"/>
            </w:tcMar>
          </w:tcPr>
          <w:p>
            <w:hyperlink w:anchor="REF_011">
              <w:r>
                <w:rPr>
                  <w:rStyle w:val="Hyperlink"/>
                  <w:lang w:val="en-GB"/>
                </w:rPr>
                <w:t>[REF-011]</w:t>
              </w:r>
            </w:hyperlink>
          </w:p>
        </w:tc>
      </w:tr>
      <w:tr>
        <w:tc>
          <w:tcPr>
            <w:tcW w:type="dxa" w:w="2023"/>
            <w:vAlign w:val="center"/>
            <w:tcMar>
              <w:top w:w="80" w:type="dxa"/>
              <w:start w:w="120" w:type="dxa"/>
              <w:bottom w:w="80" w:type="dxa"/>
              <w:end w:w="120" w:type="dxa"/>
            </w:tcMar>
          </w:tcPr>
          <w:p>
            <w:r>
              <w:rPr>
                <w:sz w:val="16"/>
                <w:lang w:val="en-GB"/>
              </w:rPr>
              <w:t>OWASP ASVS 5.0.0 L2 target</w:t>
            </w:r>
          </w:p>
        </w:tc>
        <w:tc>
          <w:tcPr>
            <w:tcW w:type="dxa" w:w="1878"/>
            <w:vAlign w:val="center"/>
            <w:tcMar>
              <w:top w:w="80" w:type="dxa"/>
              <w:start w:w="120" w:type="dxa"/>
              <w:bottom w:w="80" w:type="dxa"/>
              <w:end w:w="120" w:type="dxa"/>
            </w:tcMar>
          </w:tcPr>
          <w:p>
            <w:r>
              <w:rPr>
                <w:sz w:val="16"/>
                <w:lang w:val="en-GB"/>
              </w:rPr>
              <w:t>Applicable API and HTTP surfaces</w:t>
            </w:r>
          </w:p>
        </w:tc>
        <w:tc>
          <w:tcPr>
            <w:tcW w:type="dxa" w:w="3616"/>
            <w:vAlign w:val="center"/>
            <w:tcMar>
              <w:top w:w="80" w:type="dxa"/>
              <w:start w:w="120" w:type="dxa"/>
              <w:bottom w:w="80" w:type="dxa"/>
              <w:end w:w="120" w:type="dxa"/>
            </w:tcMar>
          </w:tcPr>
          <w:p>
            <w:r>
              <w:rPr>
                <w:sz w:val="16"/>
                <w:lang w:val="en-GB"/>
              </w:rPr>
              <w:t>V1.3.6 SSRF, V2.2.1 input limits, V8.3.1 trusted-layer authorization, V12.1.1 TLS, V13.2.5 outbound allowlist, V14.2.3 sensitive transfer, V16.2.5 logging</w:t>
            </w:r>
          </w:p>
        </w:tc>
        <w:tc>
          <w:tcPr>
            <w:tcW w:type="dxa" w:w="1843"/>
            <w:vAlign w:val="center"/>
            <w:tcMar>
              <w:top w:w="80" w:type="dxa"/>
              <w:start w:w="120" w:type="dxa"/>
              <w:bottom w:w="80" w:type="dxa"/>
              <w:end w:w="120" w:type="dxa"/>
            </w:tcMar>
          </w:tcPr>
          <w:p>
            <w:hyperlink w:anchor="REF_012">
              <w:r>
                <w:rPr>
                  <w:rStyle w:val="Hyperlink"/>
                  <w:lang w:val="en-GB"/>
                </w:rPr>
                <w:t>[REF-012]</w:t>
              </w:r>
            </w:hyperlink>
          </w:p>
        </w:tc>
      </w:tr>
      <w:tr>
        <w:tc>
          <w:tcPr>
            <w:tcW w:type="dxa" w:w="2023"/>
            <w:vAlign w:val="center"/>
            <w:tcMar>
              <w:top w:w="80" w:type="dxa"/>
              <w:start w:w="120" w:type="dxa"/>
              <w:bottom w:w="80" w:type="dxa"/>
              <w:end w:w="120" w:type="dxa"/>
            </w:tcMar>
          </w:tcPr>
          <w:p>
            <w:r>
              <w:rPr>
                <w:sz w:val="16"/>
                <w:lang w:val="en-GB"/>
              </w:rPr>
              <w:t>UK GDPR DPA 2018 ICO</w:t>
            </w:r>
          </w:p>
        </w:tc>
        <w:tc>
          <w:tcPr>
            <w:tcW w:type="dxa" w:w="1878"/>
            <w:vAlign w:val="center"/>
            <w:tcMar>
              <w:top w:w="80" w:type="dxa"/>
              <w:start w:w="120" w:type="dxa"/>
              <w:bottom w:w="80" w:type="dxa"/>
              <w:end w:w="120" w:type="dxa"/>
            </w:tcMar>
          </w:tcPr>
          <w:p>
            <w:r>
              <w:rPr>
                <w:sz w:val="16"/>
                <w:lang w:val="en-GB"/>
              </w:rPr>
              <w:t>Applicable potential processing</w:t>
            </w:r>
          </w:p>
        </w:tc>
        <w:tc>
          <w:tcPr>
            <w:tcW w:type="dxa" w:w="3616"/>
            <w:vAlign w:val="center"/>
            <w:tcMar>
              <w:top w:w="80" w:type="dxa"/>
              <w:start w:w="120" w:type="dxa"/>
              <w:bottom w:w="80" w:type="dxa"/>
              <w:end w:w="120" w:type="dxa"/>
            </w:tcMar>
          </w:tcPr>
          <w:p>
            <w:r>
              <w:rPr>
                <w:sz w:val="16"/>
                <w:lang w:val="en-GB"/>
              </w:rPr>
              <w:t>Articles 5, 6, 25, 28, 30, 32, 35 and 44-49; actual personal data prohibited pending approval</w:t>
            </w:r>
          </w:p>
        </w:tc>
        <w:tc>
          <w:tcPr>
            <w:tcW w:type="dxa" w:w="1843"/>
            <w:vAlign w:val="center"/>
            <w:tcMar>
              <w:top w:w="80" w:type="dxa"/>
              <w:start w:w="120" w:type="dxa"/>
              <w:bottom w:w="80" w:type="dxa"/>
              <w:end w:w="120" w:type="dxa"/>
            </w:tcMar>
          </w:tcPr>
          <w:p>
            <w:hyperlink w:anchor="REF_019">
              <w:r>
                <w:rPr>
                  <w:rStyle w:val="Hyperlink"/>
                  <w:lang w:val="en-GB"/>
                </w:rPr>
                <w:t>[REF-019]</w:t>
              </w:r>
            </w:hyperlink>
            <w:r>
              <w:rPr>
                <w:sz w:val="16"/>
                <w:lang w:val="en-GB"/>
              </w:rPr>
              <w:t xml:space="preserve"> </w:t>
            </w:r>
            <w:hyperlink w:anchor="REF_030">
              <w:r>
                <w:rPr>
                  <w:rStyle w:val="Hyperlink"/>
                  <w:lang w:val="en-GB"/>
                </w:rPr>
                <w:t>[REF-030]</w:t>
              </w:r>
            </w:hyperlink>
          </w:p>
        </w:tc>
      </w:tr>
      <w:tr>
        <w:tc>
          <w:tcPr>
            <w:tcW w:type="dxa" w:w="2023"/>
            <w:vAlign w:val="center"/>
            <w:tcMar>
              <w:top w:w="80" w:type="dxa"/>
              <w:start w:w="120" w:type="dxa"/>
              <w:bottom w:w="80" w:type="dxa"/>
              <w:end w:w="120" w:type="dxa"/>
            </w:tcMar>
          </w:tcPr>
          <w:p>
            <w:r>
              <w:rPr>
                <w:sz w:val="16"/>
                <w:lang w:val="en-GB"/>
              </w:rPr>
              <w:t>FCA PRA insurance</w:t>
            </w:r>
          </w:p>
        </w:tc>
        <w:tc>
          <w:tcPr>
            <w:tcW w:type="dxa" w:w="1878"/>
            <w:vAlign w:val="center"/>
            <w:tcMar>
              <w:top w:w="80" w:type="dxa"/>
              <w:start w:w="120" w:type="dxa"/>
              <w:bottom w:w="80" w:type="dxa"/>
              <w:end w:w="120" w:type="dxa"/>
            </w:tcMar>
          </w:tcPr>
          <w:p>
            <w:r>
              <w:rPr>
                <w:sz w:val="16"/>
                <w:lang w:val="en-GB"/>
              </w:rPr>
              <w:t>Conditional applicability</w:t>
            </w:r>
          </w:p>
        </w:tc>
        <w:tc>
          <w:tcPr>
            <w:tcW w:type="dxa" w:w="3616"/>
            <w:vAlign w:val="center"/>
            <w:tcMar>
              <w:top w:w="80" w:type="dxa"/>
              <w:start w:w="120" w:type="dxa"/>
              <w:bottom w:w="80" w:type="dxa"/>
              <w:end w:w="120" w:type="dxa"/>
            </w:tcMar>
          </w:tcPr>
          <w:p>
            <w:r>
              <w:rPr>
                <w:sz w:val="16"/>
                <w:lang w:val="en-GB"/>
              </w:rPr>
              <w:t>Identify firm and service first; SYSC 13.9, resilience and current SS2/21; effectiveness Unknown</w:t>
            </w:r>
          </w:p>
        </w:tc>
        <w:tc>
          <w:tcPr>
            <w:tcW w:type="dxa" w:w="1843"/>
            <w:vAlign w:val="center"/>
            <w:tcMar>
              <w:top w:w="80" w:type="dxa"/>
              <w:start w:w="120" w:type="dxa"/>
              <w:bottom w:w="80" w:type="dxa"/>
              <w:end w:w="120" w:type="dxa"/>
            </w:tcMar>
          </w:tcPr>
          <w:p>
            <w:hyperlink w:anchor="REF_020">
              <w:r>
                <w:rPr>
                  <w:rStyle w:val="Hyperlink"/>
                  <w:lang w:val="en-GB"/>
                </w:rPr>
                <w:t>[REF-020]</w:t>
              </w:r>
            </w:hyperlink>
            <w:r>
              <w:rPr>
                <w:sz w:val="16"/>
                <w:lang w:val="en-GB"/>
              </w:rPr>
              <w:t xml:space="preserve"> </w:t>
            </w:r>
            <w:hyperlink w:anchor="REF_021">
              <w:r>
                <w:rPr>
                  <w:rStyle w:val="Hyperlink"/>
                  <w:lang w:val="en-GB"/>
                </w:rPr>
                <w:t>[REF-021]</w:t>
              </w:r>
            </w:hyperlink>
            <w:r>
              <w:rPr>
                <w:sz w:val="16"/>
                <w:lang w:val="en-GB"/>
              </w:rPr>
              <w:t xml:space="preserve"> </w:t>
            </w:r>
            <w:hyperlink w:anchor="REF_022">
              <w:r>
                <w:rPr>
                  <w:rStyle w:val="Hyperlink"/>
                  <w:lang w:val="en-GB"/>
                </w:rPr>
                <w:t>[REF-022]</w:t>
              </w:r>
            </w:hyperlink>
            <w:r>
              <w:rPr>
                <w:sz w:val="16"/>
                <w:lang w:val="en-GB"/>
              </w:rPr>
              <w:t xml:space="preserve"> </w:t>
            </w:r>
            <w:hyperlink w:anchor="REF_031">
              <w:r>
                <w:rPr>
                  <w:rStyle w:val="Hyperlink"/>
                  <w:lang w:val="en-GB"/>
                </w:rPr>
                <w:t>[REF-031]</w:t>
              </w:r>
            </w:hyperlink>
          </w:p>
        </w:tc>
      </w:tr>
      <w:tr>
        <w:tc>
          <w:tcPr>
            <w:tcW w:type="dxa" w:w="2023"/>
            <w:vAlign w:val="center"/>
            <w:tcMar>
              <w:top w:w="80" w:type="dxa"/>
              <w:start w:w="120" w:type="dxa"/>
              <w:bottom w:w="80" w:type="dxa"/>
              <w:end w:w="120" w:type="dxa"/>
            </w:tcMar>
          </w:tcPr>
          <w:p>
            <w:r>
              <w:rPr>
                <w:sz w:val="16"/>
                <w:lang w:val="en-GB"/>
              </w:rPr>
              <w:t>PECR EU DORA EU AI Act other sectors</w:t>
            </w:r>
          </w:p>
        </w:tc>
        <w:tc>
          <w:tcPr>
            <w:tcW w:type="dxa" w:w="1878"/>
            <w:vAlign w:val="center"/>
            <w:tcMar>
              <w:top w:w="80" w:type="dxa"/>
              <w:start w:w="120" w:type="dxa"/>
              <w:bottom w:w="80" w:type="dxa"/>
              <w:end w:w="120" w:type="dxa"/>
            </w:tcMar>
          </w:tcPr>
          <w:p>
            <w:r>
              <w:rPr>
                <w:sz w:val="16"/>
                <w:lang w:val="en-GB"/>
              </w:rPr>
              <w:t>Conditional screen</w:t>
            </w:r>
          </w:p>
        </w:tc>
        <w:tc>
          <w:tcPr>
            <w:tcW w:type="dxa" w:w="3616"/>
            <w:vAlign w:val="center"/>
            <w:tcMar>
              <w:top w:w="80" w:type="dxa"/>
              <w:start w:w="120" w:type="dxa"/>
              <w:bottom w:w="80" w:type="dxa"/>
              <w:end w:w="120" w:type="dxa"/>
            </w:tcMar>
          </w:tcPr>
          <w:p>
            <w:r>
              <w:rPr>
                <w:sz w:val="16"/>
                <w:lang w:val="en-GB"/>
              </w:rPr>
              <w:t>No marketing, device tracking or separate EU-regulated entity demonstrated; no direct legal applicability inferred from EU endpoint</w:t>
            </w:r>
          </w:p>
        </w:tc>
        <w:tc>
          <w:tcPr>
            <w:tcW w:type="dxa" w:w="1843"/>
            <w:vAlign w:val="center"/>
            <w:tcMar>
              <w:top w:w="80" w:type="dxa"/>
              <w:start w:w="120" w:type="dxa"/>
              <w:bottom w:w="80" w:type="dxa"/>
              <w:end w:w="120" w:type="dxa"/>
            </w:tcMar>
          </w:tcPr>
          <w:p>
            <w:hyperlink w:anchor="REF_019">
              <w:r>
                <w:rPr>
                  <w:rStyle w:val="Hyperlink"/>
                  <w:lang w:val="en-GB"/>
                </w:rPr>
                <w:t>[REF-019]</w:t>
              </w:r>
            </w:hyperlink>
            <w:r>
              <w:rPr>
                <w:sz w:val="16"/>
                <w:lang w:val="en-GB"/>
              </w:rPr>
              <w:t xml:space="preserve"> </w:t>
            </w:r>
            <w:hyperlink w:anchor="REF_020">
              <w:r>
                <w:rPr>
                  <w:rStyle w:val="Hyperlink"/>
                  <w:lang w:val="en-GB"/>
                </w:rPr>
                <w:t>[REF-020]</w:t>
              </w:r>
            </w:hyperlink>
          </w:p>
        </w:tc>
      </w:tr>
    </w:tbl>
    <w:p/>
    <w:p>
      <w:pPr>
        <w:pStyle w:val="Heading2"/>
      </w:pPr>
      <w:r>
        <w:rPr>
          <w:lang w:val="en-GB"/>
        </w:rPr>
        <w:t>Visual Studio Enterprise Controls and Detection</w:t>
      </w:r>
    </w:p>
    <w:p>
      <w:r>
        <w:rPr>
          <w:lang w:val="en-GB"/>
        </w:rPr>
        <w:t xml:space="preserve">Use an approved-server allowlist, immutable local artefact/closure, dedicated least-privilege account, per-tool decisions and classification controls. Avoid blanket auto-approval for collection execution, publishing, deletion, identity/role changes and cross-server tools. Host policy must constrain startup/configuration and operation independently; an account role limit does not stop exfiltration of data it is legitimately allowed to read. </w:t>
      </w:r>
      <w:hyperlink w:anchor="REF_005">
        <w:r>
          <w:rPr>
            <w:rStyle w:val="Hyperlink"/>
            <w:lang w:val="en-GB"/>
          </w:rPr>
          <w:t>[REF-005]</w:t>
        </w:r>
      </w:hyperlink>
      <w:r>
        <w:rPr>
          <w:lang w:val="en-GB"/>
        </w:rPr>
        <w:t xml:space="preserve"> </w:t>
      </w:r>
      <w:hyperlink w:anchor="REF_006">
        <w:r>
          <w:rPr>
            <w:rStyle w:val="Hyperlink"/>
            <w:lang w:val="en-GB"/>
          </w:rPr>
          <w:t>[REF-006]</w:t>
        </w:r>
      </w:hyperlink>
      <w:r>
        <w:rPr>
          <w:lang w:val="en-GB"/>
        </w:rPr>
        <w:t xml:space="preserve"> </w:t>
      </w:r>
      <w:hyperlink w:anchor="REF_011">
        <w:r>
          <w:rPr>
            <w:rStyle w:val="Hyperlink"/>
            <w:lang w:val="en-GB"/>
          </w:rPr>
          <w:t>[REF-011]</w:t>
        </w:r>
      </w:hyperlink>
      <w:r>
        <w:rPr>
          <w:lang w:val="en-GB"/>
        </w:rPr>
        <w:t xml:space="preserve"> </w:t>
      </w:r>
      <w:hyperlink w:anchor="REF_029">
        <w:r>
          <w:rPr>
            <w:rStyle w:val="Hyperlink"/>
            <w:lang w:val="en-GB"/>
          </w:rPr>
          <w:t>[REF-029]</w:t>
        </w:r>
      </w:hyperlink>
    </w:p>
    <w:p>
      <w:r>
        <w:rPr>
          <w:lang w:val="en-GB"/>
        </w:rPr>
        <w:t xml:space="preserve">Alert on new or changed server URLs/commands/tool schemas, unexpected collection runs, environment access, role changes, public publishing and non-approved destinations. Correlate IDE action, account identity and Postman audit/run events using non-sensitive identifiers. Logs must support accountability without retaining raw request bodies, tokens or claims/customer data. Validate alert coverage with synthetic deny tests and record which plan-level audit features are available. </w:t>
      </w:r>
      <w:hyperlink w:anchor="REF_002">
        <w:r>
          <w:rPr>
            <w:rStyle w:val="Hyperlink"/>
            <w:lang w:val="en-GB"/>
          </w:rPr>
          <w:t>[REF-002]</w:t>
        </w:r>
      </w:hyperlink>
      <w:r>
        <w:rPr>
          <w:lang w:val="en-GB"/>
        </w:rPr>
        <w:t xml:space="preserve"> </w:t>
      </w:r>
      <w:hyperlink w:anchor="REF_016">
        <w:r>
          <w:rPr>
            <w:rStyle w:val="Hyperlink"/>
            <w:lang w:val="en-GB"/>
          </w:rPr>
          <w:t>[REF-016]</w:t>
        </w:r>
      </w:hyperlink>
    </w:p>
    <w:p>
      <w:pPr>
        <w:pStyle w:val="Heading2"/>
      </w:pPr>
      <w:r>
        <w:rPr>
          <w:lang w:val="en-GB"/>
        </w:rPr>
        <w:t>Visual Studio Residual Risk Confidence Limitations and Approval</w:t>
      </w:r>
    </w:p>
    <w:p>
      <w:r>
        <w:rPr>
          <w:lang w:val="en-GB"/>
        </w:rPr>
        <w:t>Residual risk is High for the proposed enterprise scope because runtime consent, privilege boundaries, data transfer, installed dependency closure and hosted tenancy controls are unverified. Confidence is High for direct package/source facts, Medium for documented integration behavior and Low for actual tenant operational effectiveness. No production or confidential-data deployment is approved. The accountable decision owner should be the enterprise technology risk owner, supported by platform security, DPO and service owner; these are proposed roles, not identified approvals.</w:t>
      </w:r>
    </w:p>
    <w:p>
      <w:r>
        <w:rPr>
          <w:lang w:val="en-GB"/>
        </w:rPr>
        <w:t>Review on a package/dependency/endpoint/schema/authentication change, new data class or model provider, or when closure evidence becomes available. A time-based review alone cannot close the missing runtime tests. A future controlled synthetic pilot needs its own approved environment and acceptance criteria before residual likelihood or impact is reduced.</w:t>
      </w:r>
    </w:p>
    <w:p>
      <w:pPr>
        <w:pStyle w:val="Heading1"/>
      </w:pPr>
      <w:r>
        <w:rPr>
          <w:lang w:val="en-GB"/>
        </w:rPr>
        <w:t>Part III Installed Agent Skills</w:t>
      </w:r>
    </w:p>
    <w:p>
      <w:r>
        <w:rPr>
          <w:lang w:val="en-GB"/>
        </w:rPr>
        <w:t xml:space="preserve">Not observed in the assessed artefacts. The package and immutable repository snapshot contain no SKILL.md Agent Skills. The resource and instruction tools form MCP context, not installed skill packages. This disposition covers only the acquired 2.13.0 package and source, so it does not approve companion plugins, user-global skills, remote dynamically supplied instructions or independently installed Postman products. Each IDE section carries the same bounded disposition. </w:t>
      </w:r>
      <w:hyperlink w:anchor="REF_002">
        <w:r>
          <w:rPr>
            <w:rStyle w:val="Hyperlink"/>
            <w:lang w:val="en-GB"/>
          </w:rPr>
          <w:t>[REF-002]</w:t>
        </w:r>
      </w:hyperlink>
      <w:r>
        <w:rPr>
          <w:lang w:val="en-GB"/>
        </w:rPr>
        <w:t xml:space="preserve"> </w:t>
      </w:r>
      <w:hyperlink w:anchor="REF_024">
        <w:r>
          <w:rPr>
            <w:rStyle w:val="Hyperlink"/>
            <w:lang w:val="en-GB"/>
          </w:rPr>
          <w:t>[REF-024]</w:t>
        </w:r>
      </w:hyperlink>
    </w:p>
    <w:p>
      <w:pPr>
        <w:pStyle w:val="Heading1"/>
      </w:pPr>
      <w:r>
        <w:rPr>
          <w:lang w:val="en-GB"/>
        </w:rPr>
        <w:t>Cross IDE Comparison and Deployment Tradeoffs</w:t>
      </w:r>
    </w:p>
    <w:p>
      <w:r>
        <w:rPr>
          <w:lang w:val="en-GB"/>
        </w:rPr>
        <w:t xml:space="preserve">Local execution gives the enterprise control of the process host and dependency closure while exposing that process to collections and downstream networks. Hosted execution removes the local package but adds provider-side implementation, availability and tenant-isolation dependencies. US OAuth and EU API-key deployments have different credential-management obligations; choosing OAuth should not substitute for data-residency and transfer review. </w:t>
      </w:r>
      <w:hyperlink w:anchor="REF_003">
        <w:r>
          <w:rPr>
            <w:rStyle w:val="Hyperlink"/>
            <w:lang w:val="en-GB"/>
          </w:rPr>
          <w:t>[REF-003]</w:t>
        </w:r>
      </w:hyperlink>
      <w:r>
        <w:rPr>
          <w:lang w:val="en-GB"/>
        </w:rPr>
        <w:t xml:space="preserve"> </w:t>
      </w:r>
      <w:hyperlink w:anchor="REF_004">
        <w:r>
          <w:rPr>
            <w:rStyle w:val="Hyperlink"/>
            <w:lang w:val="en-GB"/>
          </w:rPr>
          <w:t>[REF-004]</w:t>
        </w:r>
      </w:hyperlink>
      <w:r>
        <w:rPr>
          <w:lang w:val="en-GB"/>
        </w:rPr>
        <w:t xml:space="preserve"> </w:t>
      </w:r>
      <w:hyperlink w:anchor="REF_007">
        <w:r>
          <w:rPr>
            <w:rStyle w:val="Hyperlink"/>
            <w:lang w:val="en-GB"/>
          </w:rPr>
          <w:t>[REF-007]</w:t>
        </w:r>
      </w:hyperlink>
    </w:p>
    <w:p>
      <w:r>
        <w:rPr>
          <w:lang w:val="en-GB"/>
        </w:rPr>
        <w:t xml:space="preserve">VS Code support is documented by Postman. Visual Studio compatibility is inferred from Microsoft generic MCP support and must be proven on the selected Windows build. Configuration inheritance, trust and approval features differ, so the same JSON content does not prove equivalent protection. Both clients can compose Postman results with file, terminal and other MCP tools, creating risks beyond the Postman server alone. </w:t>
      </w:r>
      <w:hyperlink w:anchor="REF_005">
        <w:r>
          <w:rPr>
            <w:rStyle w:val="Hyperlink"/>
            <w:lang w:val="en-GB"/>
          </w:rPr>
          <w:t>[REF-005]</w:t>
        </w:r>
      </w:hyperlink>
      <w:r>
        <w:rPr>
          <w:lang w:val="en-GB"/>
        </w:rPr>
        <w:t xml:space="preserve"> </w:t>
      </w:r>
      <w:hyperlink w:anchor="REF_006">
        <w:r>
          <w:rPr>
            <w:rStyle w:val="Hyperlink"/>
            <w:lang w:val="en-GB"/>
          </w:rPr>
          <w:t>[REF-006]</w:t>
        </w:r>
      </w:hyperlink>
    </w:p>
    <w:p>
      <w:pPr>
        <w:pStyle w:val="Caption"/>
      </w:pPr>
      <w:r>
        <w:rPr>
          <w:b/>
          <w:lang w:val="en-GB"/>
        </w:rPr>
        <w:t>Local and hosted comparison</w:t>
      </w:r>
    </w:p>
    <w:tbl>
      <w:tblPr>
        <w:tblStyle w:val="TableGrid"/>
        <w:tblW w:type="dxa" w:w="9360"/>
        <w:tblLayout w:type="fixed"/>
        <w:tblLook w:firstColumn="1" w:firstRow="1" w:lastColumn="0" w:lastRow="0" w:noHBand="0" w:noVBand="1" w:val="04A0"/>
        <w:tblInd w:w="120" w:type="dxa"/>
      </w:tblPr>
      <w:tblGrid>
        <w:gridCol w:w="1654"/>
        <w:gridCol w:w="2587"/>
        <w:gridCol w:w="2093"/>
        <w:gridCol w:w="3026"/>
      </w:tblGrid>
      <w:tr>
        <w:trPr>
          <w:tblHeader w:val="true"/>
        </w:trPr>
        <w:tc>
          <w:tcPr>
            <w:tcW w:type="dxa" w:w="1654"/>
            <w:shd w:fill="F2F4F7"/>
            <w:vAlign w:val="center"/>
            <w:tcMar>
              <w:top w:w="80" w:type="dxa"/>
              <w:start w:w="120" w:type="dxa"/>
              <w:bottom w:w="80" w:type="dxa"/>
              <w:end w:w="120" w:type="dxa"/>
            </w:tcMar>
          </w:tcPr>
          <w:p>
            <w:r>
              <w:rPr>
                <w:b/>
                <w:sz w:val="16"/>
                <w:lang w:val="en-GB"/>
              </w:rPr>
              <w:t>Characteristic</w:t>
            </w:r>
          </w:p>
        </w:tc>
        <w:tc>
          <w:tcPr>
            <w:tcW w:type="dxa" w:w="2587"/>
            <w:shd w:fill="F2F4F7"/>
            <w:vAlign w:val="center"/>
            <w:tcMar>
              <w:top w:w="80" w:type="dxa"/>
              <w:start w:w="120" w:type="dxa"/>
              <w:bottom w:w="80" w:type="dxa"/>
              <w:end w:w="120" w:type="dxa"/>
            </w:tcMar>
          </w:tcPr>
          <w:p>
            <w:r>
              <w:rPr>
                <w:b/>
                <w:sz w:val="16"/>
                <w:lang w:val="en-GB"/>
              </w:rPr>
              <w:t>Local STDIO</w:t>
            </w:r>
          </w:p>
        </w:tc>
        <w:tc>
          <w:tcPr>
            <w:tcW w:type="dxa" w:w="2093"/>
            <w:shd w:fill="F2F4F7"/>
            <w:vAlign w:val="center"/>
            <w:tcMar>
              <w:top w:w="80" w:type="dxa"/>
              <w:start w:w="120" w:type="dxa"/>
              <w:bottom w:w="80" w:type="dxa"/>
              <w:end w:w="120" w:type="dxa"/>
            </w:tcMar>
          </w:tcPr>
          <w:p>
            <w:r>
              <w:rPr>
                <w:b/>
                <w:sz w:val="16"/>
                <w:lang w:val="en-GB"/>
              </w:rPr>
              <w:t>Remote US</w:t>
            </w:r>
          </w:p>
        </w:tc>
        <w:tc>
          <w:tcPr>
            <w:tcW w:type="dxa" w:w="3026"/>
            <w:shd w:fill="F2F4F7"/>
            <w:vAlign w:val="center"/>
            <w:tcMar>
              <w:top w:w="80" w:type="dxa"/>
              <w:start w:w="120" w:type="dxa"/>
              <w:bottom w:w="80" w:type="dxa"/>
              <w:end w:w="120" w:type="dxa"/>
            </w:tcMar>
          </w:tcPr>
          <w:p>
            <w:r>
              <w:rPr>
                <w:b/>
                <w:sz w:val="16"/>
                <w:lang w:val="en-GB"/>
              </w:rPr>
              <w:t>Remote EU</w:t>
            </w:r>
          </w:p>
        </w:tc>
      </w:tr>
      <w:tr>
        <w:tc>
          <w:tcPr>
            <w:tcW w:type="dxa" w:w="1654"/>
            <w:vAlign w:val="center"/>
            <w:tcMar>
              <w:top w:w="80" w:type="dxa"/>
              <w:start w:w="120" w:type="dxa"/>
              <w:bottom w:w="80" w:type="dxa"/>
              <w:end w:w="120" w:type="dxa"/>
            </w:tcMar>
          </w:tcPr>
          <w:p>
            <w:r>
              <w:rPr>
                <w:sz w:val="16"/>
                <w:lang w:val="en-GB"/>
              </w:rPr>
              <w:t>MCP location</w:t>
            </w:r>
          </w:p>
        </w:tc>
        <w:tc>
          <w:tcPr>
            <w:tcW w:type="dxa" w:w="2587"/>
            <w:vAlign w:val="center"/>
            <w:tcMar>
              <w:top w:w="80" w:type="dxa"/>
              <w:start w:w="120" w:type="dxa"/>
              <w:bottom w:w="80" w:type="dxa"/>
              <w:end w:w="120" w:type="dxa"/>
            </w:tcMar>
          </w:tcPr>
          <w:p>
            <w:r>
              <w:rPr>
                <w:sz w:val="16"/>
                <w:lang w:val="en-GB"/>
              </w:rPr>
              <w:t>Developer isolation host</w:t>
            </w:r>
          </w:p>
        </w:tc>
        <w:tc>
          <w:tcPr>
            <w:tcW w:type="dxa" w:w="2093"/>
            <w:vAlign w:val="center"/>
            <w:tcMar>
              <w:top w:w="80" w:type="dxa"/>
              <w:start w:w="120" w:type="dxa"/>
              <w:bottom w:w="80" w:type="dxa"/>
              <w:end w:w="120" w:type="dxa"/>
            </w:tcMar>
          </w:tcPr>
          <w:p>
            <w:r>
              <w:rPr>
                <w:sz w:val="16"/>
                <w:lang w:val="en-GB"/>
              </w:rPr>
              <w:t>Postman service</w:t>
            </w:r>
          </w:p>
        </w:tc>
        <w:tc>
          <w:tcPr>
            <w:tcW w:type="dxa" w:w="3026"/>
            <w:vAlign w:val="center"/>
            <w:tcMar>
              <w:top w:w="80" w:type="dxa"/>
              <w:start w:w="120" w:type="dxa"/>
              <w:bottom w:w="80" w:type="dxa"/>
              <w:end w:w="120" w:type="dxa"/>
            </w:tcMar>
          </w:tcPr>
          <w:p>
            <w:r>
              <w:rPr>
                <w:sz w:val="16"/>
                <w:lang w:val="en-GB"/>
              </w:rPr>
              <w:t>Postman service</w:t>
            </w:r>
          </w:p>
        </w:tc>
      </w:tr>
      <w:tr>
        <w:tc>
          <w:tcPr>
            <w:tcW w:type="dxa" w:w="1654"/>
            <w:vAlign w:val="center"/>
            <w:tcMar>
              <w:top w:w="80" w:type="dxa"/>
              <w:start w:w="120" w:type="dxa"/>
              <w:bottom w:w="80" w:type="dxa"/>
              <w:end w:w="120" w:type="dxa"/>
            </w:tcMar>
          </w:tcPr>
          <w:p>
            <w:r>
              <w:rPr>
                <w:sz w:val="16"/>
                <w:lang w:val="en-GB"/>
              </w:rPr>
              <w:t>Authentication</w:t>
            </w:r>
          </w:p>
        </w:tc>
        <w:tc>
          <w:tcPr>
            <w:tcW w:type="dxa" w:w="2587"/>
            <w:vAlign w:val="center"/>
            <w:tcMar>
              <w:top w:w="80" w:type="dxa"/>
              <w:start w:w="120" w:type="dxa"/>
              <w:bottom w:w="80" w:type="dxa"/>
              <w:end w:w="120" w:type="dxa"/>
            </w:tcMar>
          </w:tcPr>
          <w:p>
            <w:r>
              <w:rPr>
                <w:sz w:val="16"/>
                <w:lang w:val="en-GB"/>
              </w:rPr>
              <w:t>API key</w:t>
            </w:r>
          </w:p>
        </w:tc>
        <w:tc>
          <w:tcPr>
            <w:tcW w:type="dxa" w:w="2093"/>
            <w:vAlign w:val="center"/>
            <w:tcMar>
              <w:top w:w="80" w:type="dxa"/>
              <w:start w:w="120" w:type="dxa"/>
              <w:bottom w:w="80" w:type="dxa"/>
              <w:end w:w="120" w:type="dxa"/>
            </w:tcMar>
          </w:tcPr>
          <w:p>
            <w:r>
              <w:rPr>
                <w:sz w:val="16"/>
                <w:lang w:val="en-GB"/>
              </w:rPr>
              <w:t>OAuth or API key</w:t>
            </w:r>
          </w:p>
        </w:tc>
        <w:tc>
          <w:tcPr>
            <w:tcW w:type="dxa" w:w="3026"/>
            <w:vAlign w:val="center"/>
            <w:tcMar>
              <w:top w:w="80" w:type="dxa"/>
              <w:start w:w="120" w:type="dxa"/>
              <w:bottom w:w="80" w:type="dxa"/>
              <w:end w:w="120" w:type="dxa"/>
            </w:tcMar>
          </w:tcPr>
          <w:p>
            <w:r>
              <w:rPr>
                <w:sz w:val="16"/>
                <w:lang w:val="en-GB"/>
              </w:rPr>
              <w:t>API key</w:t>
            </w:r>
          </w:p>
        </w:tc>
      </w:tr>
      <w:tr>
        <w:tc>
          <w:tcPr>
            <w:tcW w:type="dxa" w:w="1654"/>
            <w:vAlign w:val="center"/>
            <w:tcMar>
              <w:top w:w="80" w:type="dxa"/>
              <w:start w:w="120" w:type="dxa"/>
              <w:bottom w:w="80" w:type="dxa"/>
              <w:end w:w="120" w:type="dxa"/>
            </w:tcMar>
          </w:tcPr>
          <w:p>
            <w:r>
              <w:rPr>
                <w:sz w:val="16"/>
                <w:lang w:val="en-GB"/>
              </w:rPr>
              <w:t>Version control</w:t>
            </w:r>
          </w:p>
        </w:tc>
        <w:tc>
          <w:tcPr>
            <w:tcW w:type="dxa" w:w="2587"/>
            <w:vAlign w:val="center"/>
            <w:tcMar>
              <w:top w:w="80" w:type="dxa"/>
              <w:start w:w="120" w:type="dxa"/>
              <w:bottom w:w="80" w:type="dxa"/>
              <w:end w:w="120" w:type="dxa"/>
            </w:tcMar>
          </w:tcPr>
          <w:p>
            <w:r>
              <w:rPr>
                <w:sz w:val="16"/>
                <w:lang w:val="en-GB"/>
              </w:rPr>
              <w:t>2.13.0 plus resolved closure</w:t>
            </w:r>
          </w:p>
        </w:tc>
        <w:tc>
          <w:tcPr>
            <w:tcW w:type="dxa" w:w="2093"/>
            <w:vAlign w:val="center"/>
            <w:tcMar>
              <w:top w:w="80" w:type="dxa"/>
              <w:start w:w="120" w:type="dxa"/>
              <w:bottom w:w="80" w:type="dxa"/>
              <w:end w:w="120" w:type="dxa"/>
            </w:tcMar>
          </w:tcPr>
          <w:p>
            <w:r>
              <w:rPr>
                <w:sz w:val="16"/>
                <w:lang w:val="en-GB"/>
              </w:rPr>
              <w:t>Deployed build Unknown</w:t>
            </w:r>
          </w:p>
        </w:tc>
        <w:tc>
          <w:tcPr>
            <w:tcW w:type="dxa" w:w="3026"/>
            <w:vAlign w:val="center"/>
            <w:tcMar>
              <w:top w:w="80" w:type="dxa"/>
              <w:start w:w="120" w:type="dxa"/>
              <w:bottom w:w="80" w:type="dxa"/>
              <w:end w:w="120" w:type="dxa"/>
            </w:tcMar>
          </w:tcPr>
          <w:p>
            <w:r>
              <w:rPr>
                <w:sz w:val="16"/>
                <w:lang w:val="en-GB"/>
              </w:rPr>
              <w:t>Deployed build Unknown</w:t>
            </w:r>
          </w:p>
        </w:tc>
      </w:tr>
      <w:tr>
        <w:tc>
          <w:tcPr>
            <w:tcW w:type="dxa" w:w="1654"/>
            <w:vAlign w:val="center"/>
            <w:tcMar>
              <w:top w:w="80" w:type="dxa"/>
              <w:start w:w="120" w:type="dxa"/>
              <w:bottom w:w="80" w:type="dxa"/>
              <w:end w:w="120" w:type="dxa"/>
            </w:tcMar>
          </w:tcPr>
          <w:p>
            <w:r>
              <w:rPr>
                <w:sz w:val="16"/>
                <w:lang w:val="en-GB"/>
              </w:rPr>
              <w:t>API/network reach</w:t>
            </w:r>
          </w:p>
        </w:tc>
        <w:tc>
          <w:tcPr>
            <w:tcW w:type="dxa" w:w="2587"/>
            <w:vAlign w:val="center"/>
            <w:tcMar>
              <w:top w:w="80" w:type="dxa"/>
              <w:start w:w="120" w:type="dxa"/>
              <w:bottom w:w="80" w:type="dxa"/>
              <w:end w:w="120" w:type="dxa"/>
            </w:tcMar>
          </w:tcPr>
          <w:p>
            <w:r>
              <w:rPr>
                <w:sz w:val="16"/>
                <w:lang w:val="en-GB"/>
              </w:rPr>
              <w:t>Local network permissions</w:t>
            </w:r>
          </w:p>
        </w:tc>
        <w:tc>
          <w:tcPr>
            <w:tcW w:type="dxa" w:w="2093"/>
            <w:vAlign w:val="center"/>
            <w:tcMar>
              <w:top w:w="80" w:type="dxa"/>
              <w:start w:w="120" w:type="dxa"/>
              <w:bottom w:w="80" w:type="dxa"/>
              <w:end w:w="120" w:type="dxa"/>
            </w:tcMar>
          </w:tcPr>
          <w:p>
            <w:r>
              <w:rPr>
                <w:sz w:val="16"/>
                <w:lang w:val="en-GB"/>
              </w:rPr>
              <w:t>Hosted policy Unknown</w:t>
            </w:r>
          </w:p>
        </w:tc>
        <w:tc>
          <w:tcPr>
            <w:tcW w:type="dxa" w:w="3026"/>
            <w:vAlign w:val="center"/>
            <w:tcMar>
              <w:top w:w="80" w:type="dxa"/>
              <w:start w:w="120" w:type="dxa"/>
              <w:bottom w:w="80" w:type="dxa"/>
              <w:end w:w="120" w:type="dxa"/>
            </w:tcMar>
          </w:tcPr>
          <w:p>
            <w:r>
              <w:rPr>
                <w:sz w:val="16"/>
                <w:lang w:val="en-GB"/>
              </w:rPr>
              <w:t>Hosted policy Unknown</w:t>
            </w:r>
          </w:p>
        </w:tc>
      </w:tr>
      <w:tr>
        <w:tc>
          <w:tcPr>
            <w:tcW w:type="dxa" w:w="1654"/>
            <w:vAlign w:val="center"/>
            <w:tcMar>
              <w:top w:w="80" w:type="dxa"/>
              <w:start w:w="120" w:type="dxa"/>
              <w:bottom w:w="80" w:type="dxa"/>
              <w:end w:w="120" w:type="dxa"/>
            </w:tcMar>
          </w:tcPr>
          <w:p>
            <w:r>
              <w:rPr>
                <w:sz w:val="16"/>
                <w:lang w:val="en-GB"/>
              </w:rPr>
              <w:t>Data residency</w:t>
            </w:r>
          </w:p>
        </w:tc>
        <w:tc>
          <w:tcPr>
            <w:tcW w:type="dxa" w:w="2587"/>
            <w:vAlign w:val="center"/>
            <w:tcMar>
              <w:top w:w="80" w:type="dxa"/>
              <w:start w:w="120" w:type="dxa"/>
              <w:bottom w:w="80" w:type="dxa"/>
              <w:end w:w="120" w:type="dxa"/>
            </w:tcMar>
          </w:tcPr>
          <w:p>
            <w:r>
              <w:rPr>
                <w:sz w:val="16"/>
                <w:lang w:val="en-GB"/>
              </w:rPr>
              <w:t>Cloud API and model still separate</w:t>
            </w:r>
          </w:p>
        </w:tc>
        <w:tc>
          <w:tcPr>
            <w:tcW w:type="dxa" w:w="2093"/>
            <w:vAlign w:val="center"/>
            <w:tcMar>
              <w:top w:w="80" w:type="dxa"/>
              <w:start w:w="120" w:type="dxa"/>
              <w:bottom w:w="80" w:type="dxa"/>
              <w:end w:w="120" w:type="dxa"/>
            </w:tcMar>
          </w:tcPr>
          <w:p>
            <w:r>
              <w:rPr>
                <w:sz w:val="16"/>
                <w:lang w:val="en-GB"/>
              </w:rPr>
              <w:t>Contract/recipient review</w:t>
            </w:r>
          </w:p>
        </w:tc>
        <w:tc>
          <w:tcPr>
            <w:tcW w:type="dxa" w:w="3026"/>
            <w:vAlign w:val="center"/>
            <w:tcMar>
              <w:top w:w="80" w:type="dxa"/>
              <w:start w:w="120" w:type="dxa"/>
              <w:bottom w:w="80" w:type="dxa"/>
              <w:end w:w="120" w:type="dxa"/>
            </w:tcMar>
          </w:tcPr>
          <w:p>
            <w:r>
              <w:rPr>
                <w:sz w:val="16"/>
                <w:lang w:val="en-GB"/>
              </w:rPr>
              <w:t>EU storage is not all-processing guarantee</w:t>
            </w:r>
          </w:p>
        </w:tc>
      </w:tr>
      <w:tr>
        <w:tc>
          <w:tcPr>
            <w:tcW w:type="dxa" w:w="1654"/>
            <w:vAlign w:val="center"/>
            <w:tcMar>
              <w:top w:w="80" w:type="dxa"/>
              <w:start w:w="120" w:type="dxa"/>
              <w:bottom w:w="80" w:type="dxa"/>
              <w:end w:w="120" w:type="dxa"/>
            </w:tcMar>
          </w:tcPr>
          <w:p>
            <w:r>
              <w:rPr>
                <w:sz w:val="16"/>
                <w:lang w:val="en-GB"/>
              </w:rPr>
              <w:t>Approval</w:t>
            </w:r>
          </w:p>
        </w:tc>
        <w:tc>
          <w:tcPr>
            <w:tcW w:type="dxa" w:w="2587"/>
            <w:vAlign w:val="center"/>
            <w:tcMar>
              <w:top w:w="80" w:type="dxa"/>
              <w:start w:w="120" w:type="dxa"/>
              <w:bottom w:w="80" w:type="dxa"/>
              <w:end w:w="120" w:type="dxa"/>
            </w:tcMar>
          </w:tcPr>
          <w:p>
            <w:r>
              <w:rPr>
                <w:sz w:val="16"/>
                <w:lang w:val="en-GB"/>
              </w:rPr>
              <w:t>Defer pending evidence</w:t>
            </w:r>
          </w:p>
        </w:tc>
        <w:tc>
          <w:tcPr>
            <w:tcW w:type="dxa" w:w="2093"/>
            <w:vAlign w:val="center"/>
            <w:tcMar>
              <w:top w:w="80" w:type="dxa"/>
              <w:start w:w="120" w:type="dxa"/>
              <w:bottom w:w="80" w:type="dxa"/>
              <w:end w:w="120" w:type="dxa"/>
            </w:tcMar>
          </w:tcPr>
          <w:p>
            <w:r>
              <w:rPr>
                <w:sz w:val="16"/>
                <w:lang w:val="en-GB"/>
              </w:rPr>
              <w:t>Defer pending evidence</w:t>
            </w:r>
          </w:p>
        </w:tc>
        <w:tc>
          <w:tcPr>
            <w:tcW w:type="dxa" w:w="3026"/>
            <w:vAlign w:val="center"/>
            <w:tcMar>
              <w:top w:w="80" w:type="dxa"/>
              <w:start w:w="120" w:type="dxa"/>
              <w:bottom w:w="80" w:type="dxa"/>
              <w:end w:w="120" w:type="dxa"/>
            </w:tcMar>
          </w:tcPr>
          <w:p>
            <w:r>
              <w:rPr>
                <w:sz w:val="16"/>
                <w:lang w:val="en-GB"/>
              </w:rPr>
              <w:t>Defer pending evidence</w:t>
            </w:r>
          </w:p>
        </w:tc>
      </w:tr>
    </w:tbl>
    <w:p/>
    <w:p>
      <w:pPr>
        <w:pStyle w:val="Heading1"/>
      </w:pPr>
      <w:r>
        <w:rPr>
          <w:lang w:val="en-GB"/>
        </w:rPr>
        <w:t>Consolidated Supply Chain Assessment</w:t>
      </w:r>
    </w:p>
    <w:p>
      <w:r>
        <w:rPr>
          <w:lang w:val="en-GB"/>
        </w:rPr>
        <w:t xml:space="preserve">The source lock inventory contains 385 package-version entries spanning production and development. Exact-version OSV queries returned signals for 18 entries. Signals are advisory matches and must be distinguished from reachable vulnerabilities in the deployed component. In particular, GHSA-6qxp-vccf-f47h matches MCP SDK 1.27.1 but explicitly concerns OAuth HTTP clients, not MCP servers or STDIO clients; the inspected package imports the server APIs. The IDE OAuth implementation is a separate unverified surface. </w:t>
      </w:r>
      <w:hyperlink w:anchor="REF_026">
        <w:r>
          <w:rPr>
            <w:rStyle w:val="Hyperlink"/>
            <w:lang w:val="en-GB"/>
          </w:rPr>
          <w:t>[REF-026]</w:t>
        </w:r>
      </w:hyperlink>
    </w:p>
    <w:p>
      <w:r>
        <w:rPr>
          <w:lang w:val="en-GB"/>
        </w:rPr>
        <w:t xml:space="preserve">Newman production signals were traced to csv-parse, node-forge and Faker conditions. The runner has no CSV iterationData path; vulnerable duplicate-header grouping was Not observed. Runtime ASAP uses Forge key parsing and JWT signing rather than the advisory RSA verification path. Collection dynamic variables use fixed generators, with no helpers.fake route observed. qs call configurations and actual installed closure remain unresolved. Development-server advisory matches are not evidence of production exploitation. The 18 package/version matches represent 47 associations and 44 distinct advisory IDs, not 44 confirmed vulnerabilities. No blind major dependency override is recommended. </w:t>
      </w:r>
      <w:hyperlink w:anchor="REF_002">
        <w:r>
          <w:rPr>
            <w:rStyle w:val="Hyperlink"/>
            <w:lang w:val="en-GB"/>
          </w:rPr>
          <w:t>[REF-002]</w:t>
        </w:r>
      </w:hyperlink>
      <w:r>
        <w:rPr>
          <w:lang w:val="en-GB"/>
        </w:rPr>
        <w:t xml:space="preserve"> </w:t>
      </w:r>
      <w:hyperlink w:anchor="REF_032">
        <w:r>
          <w:rPr>
            <w:rStyle w:val="Hyperlink"/>
            <w:lang w:val="en-GB"/>
          </w:rPr>
          <w:t>[REF-032]</w:t>
        </w:r>
      </w:hyperlink>
      <w:r>
        <w:rPr>
          <w:lang w:val="en-GB"/>
        </w:rPr>
        <w:t xml:space="preserve"> </w:t>
      </w:r>
      <w:hyperlink w:anchor="REF_033">
        <w:r>
          <w:rPr>
            <w:rStyle w:val="Hyperlink"/>
            <w:lang w:val="en-GB"/>
          </w:rPr>
          <w:t>[REF-033]</w:t>
        </w:r>
      </w:hyperlink>
    </w:p>
    <w:p>
      <w:pPr>
        <w:pStyle w:val="Caption"/>
      </w:pPr>
      <w:r>
        <w:rPr>
          <w:b/>
          <w:lang w:val="en-GB"/>
        </w:rPr>
        <w:t>Supply chain assurance</w:t>
      </w:r>
    </w:p>
    <w:tbl>
      <w:tblPr>
        <w:tblStyle w:val="TableGrid"/>
        <w:tblW w:type="dxa" w:w="9360"/>
        <w:tblLayout w:type="fixed"/>
        <w:tblLook w:firstColumn="1" w:firstRow="1" w:lastColumn="0" w:lastRow="0" w:noHBand="0" w:noVBand="1" w:val="04A0"/>
        <w:tblInd w:w="120" w:type="dxa"/>
      </w:tblPr>
      <w:tblGrid>
        <w:gridCol w:w="1987"/>
        <w:gridCol w:w="3253"/>
        <w:gridCol w:w="4120"/>
      </w:tblGrid>
      <w:tr>
        <w:trPr>
          <w:tblHeader w:val="true"/>
        </w:trPr>
        <w:tc>
          <w:tcPr>
            <w:tcW w:type="dxa" w:w="1987"/>
            <w:shd w:fill="F2F4F7"/>
            <w:vAlign w:val="center"/>
            <w:tcMar>
              <w:top w:w="80" w:type="dxa"/>
              <w:start w:w="120" w:type="dxa"/>
              <w:bottom w:w="80" w:type="dxa"/>
              <w:end w:w="120" w:type="dxa"/>
            </w:tcMar>
          </w:tcPr>
          <w:p>
            <w:r>
              <w:rPr>
                <w:b/>
                <w:sz w:val="16"/>
                <w:lang w:val="en-GB"/>
              </w:rPr>
              <w:t>Control</w:t>
            </w:r>
          </w:p>
        </w:tc>
        <w:tc>
          <w:tcPr>
            <w:tcW w:type="dxa" w:w="3253"/>
            <w:shd w:fill="F2F4F7"/>
            <w:vAlign w:val="center"/>
            <w:tcMar>
              <w:top w:w="80" w:type="dxa"/>
              <w:start w:w="120" w:type="dxa"/>
              <w:bottom w:w="80" w:type="dxa"/>
              <w:end w:w="120" w:type="dxa"/>
            </w:tcMar>
          </w:tcPr>
          <w:p>
            <w:r>
              <w:rPr>
                <w:b/>
                <w:sz w:val="16"/>
                <w:lang w:val="en-GB"/>
              </w:rPr>
              <w:t>Evidence</w:t>
            </w:r>
          </w:p>
        </w:tc>
        <w:tc>
          <w:tcPr>
            <w:tcW w:type="dxa" w:w="4120"/>
            <w:shd w:fill="F2F4F7"/>
            <w:vAlign w:val="center"/>
            <w:tcMar>
              <w:top w:w="80" w:type="dxa"/>
              <w:start w:w="120" w:type="dxa"/>
              <w:bottom w:w="80" w:type="dxa"/>
              <w:end w:w="120" w:type="dxa"/>
            </w:tcMar>
          </w:tcPr>
          <w:p>
            <w:r>
              <w:rPr>
                <w:b/>
                <w:sz w:val="16"/>
                <w:lang w:val="en-GB"/>
              </w:rPr>
              <w:t>Remaining action</w:t>
            </w:r>
          </w:p>
        </w:tc>
      </w:tr>
      <w:tr>
        <w:tc>
          <w:tcPr>
            <w:tcW w:type="dxa" w:w="1987"/>
            <w:vAlign w:val="center"/>
            <w:tcMar>
              <w:top w:w="80" w:type="dxa"/>
              <w:start w:w="120" w:type="dxa"/>
              <w:bottom w:w="80" w:type="dxa"/>
              <w:end w:w="120" w:type="dxa"/>
            </w:tcMar>
          </w:tcPr>
          <w:p>
            <w:r>
              <w:rPr>
                <w:sz w:val="16"/>
                <w:lang w:val="en-GB"/>
              </w:rPr>
              <w:t>Artefact integrity</w:t>
            </w:r>
          </w:p>
        </w:tc>
        <w:tc>
          <w:tcPr>
            <w:tcW w:type="dxa" w:w="3253"/>
            <w:vAlign w:val="center"/>
            <w:tcMar>
              <w:top w:w="80" w:type="dxa"/>
              <w:start w:w="120" w:type="dxa"/>
              <w:bottom w:w="80" w:type="dxa"/>
              <w:end w:w="120" w:type="dxa"/>
            </w:tcMar>
          </w:tcPr>
          <w:p>
            <w:r>
              <w:rPr>
                <w:sz w:val="16"/>
                <w:lang w:val="en-GB"/>
              </w:rPr>
              <w:t>SHA-512 and registry signatures passed</w:t>
            </w:r>
          </w:p>
        </w:tc>
        <w:tc>
          <w:tcPr>
            <w:tcW w:type="dxa" w:w="4120"/>
            <w:vAlign w:val="center"/>
            <w:tcMar>
              <w:top w:w="80" w:type="dxa"/>
              <w:start w:w="120" w:type="dxa"/>
              <w:bottom w:w="80" w:type="dxa"/>
              <w:end w:w="120" w:type="dxa"/>
            </w:tcMar>
          </w:tcPr>
          <w:p>
            <w:r>
              <w:rPr>
                <w:sz w:val="16"/>
                <w:lang w:val="en-GB"/>
              </w:rPr>
              <w:t>Independently verify provenance chain</w:t>
            </w:r>
          </w:p>
        </w:tc>
      </w:tr>
      <w:tr>
        <w:tc>
          <w:tcPr>
            <w:tcW w:type="dxa" w:w="1987"/>
            <w:vAlign w:val="center"/>
            <w:tcMar>
              <w:top w:w="80" w:type="dxa"/>
              <w:start w:w="120" w:type="dxa"/>
              <w:bottom w:w="80" w:type="dxa"/>
              <w:end w:w="120" w:type="dxa"/>
            </w:tcMar>
          </w:tcPr>
          <w:p>
            <w:r>
              <w:rPr>
                <w:sz w:val="16"/>
                <w:lang w:val="en-GB"/>
              </w:rPr>
              <w:t>Source parity</w:t>
            </w:r>
          </w:p>
        </w:tc>
        <w:tc>
          <w:tcPr>
            <w:tcW w:type="dxa" w:w="3253"/>
            <w:vAlign w:val="center"/>
            <w:tcMar>
              <w:top w:w="80" w:type="dxa"/>
              <w:start w:w="120" w:type="dxa"/>
              <w:bottom w:w="80" w:type="dxa"/>
              <w:end w:w="120" w:type="dxa"/>
            </w:tcMar>
          </w:tcPr>
          <w:p>
            <w:r>
              <w:rPr>
                <w:sz w:val="16"/>
                <w:lang w:val="en-GB"/>
              </w:rPr>
              <w:t>All compiled dist files equal</w:t>
            </w:r>
          </w:p>
        </w:tc>
        <w:tc>
          <w:tcPr>
            <w:tcW w:type="dxa" w:w="4120"/>
            <w:vAlign w:val="center"/>
            <w:tcMar>
              <w:top w:w="80" w:type="dxa"/>
              <w:start w:w="120" w:type="dxa"/>
              <w:bottom w:w="80" w:type="dxa"/>
              <w:end w:w="120" w:type="dxa"/>
            </w:tcMar>
          </w:tcPr>
          <w:p>
            <w:r>
              <w:rPr>
                <w:sz w:val="16"/>
                <w:lang w:val="en-GB"/>
              </w:rPr>
              <w:t>No independent rebuild</w:t>
            </w:r>
          </w:p>
        </w:tc>
      </w:tr>
      <w:tr>
        <w:tc>
          <w:tcPr>
            <w:tcW w:type="dxa" w:w="1987"/>
            <w:vAlign w:val="center"/>
            <w:tcMar>
              <w:top w:w="80" w:type="dxa"/>
              <w:start w:w="120" w:type="dxa"/>
              <w:bottom w:w="80" w:type="dxa"/>
              <w:end w:w="120" w:type="dxa"/>
            </w:tcMar>
          </w:tcPr>
          <w:p>
            <w:r>
              <w:rPr>
                <w:sz w:val="16"/>
                <w:lang w:val="en-GB"/>
              </w:rPr>
              <w:t>Dependency closure</w:t>
            </w:r>
          </w:p>
        </w:tc>
        <w:tc>
          <w:tcPr>
            <w:tcW w:type="dxa" w:w="3253"/>
            <w:vAlign w:val="center"/>
            <w:tcMar>
              <w:top w:w="80" w:type="dxa"/>
              <w:start w:w="120" w:type="dxa"/>
              <w:bottom w:w="80" w:type="dxa"/>
              <w:end w:w="120" w:type="dxa"/>
            </w:tcMar>
          </w:tcPr>
          <w:p>
            <w:r>
              <w:rPr>
                <w:sz w:val="16"/>
                <w:lang w:val="en-GB"/>
              </w:rPr>
              <w:t>Versioned source lock inventory</w:t>
            </w:r>
          </w:p>
        </w:tc>
        <w:tc>
          <w:tcPr>
            <w:tcW w:type="dxa" w:w="4120"/>
            <w:vAlign w:val="center"/>
            <w:tcMar>
              <w:top w:w="80" w:type="dxa"/>
              <w:start w:w="120" w:type="dxa"/>
              <w:bottom w:w="80" w:type="dxa"/>
              <w:end w:w="120" w:type="dxa"/>
            </w:tcMar>
          </w:tcPr>
          <w:p>
            <w:r>
              <w:rPr>
                <w:sz w:val="16"/>
                <w:lang w:val="en-GB"/>
              </w:rPr>
              <w:t>Resolve and pin approved deployment closure</w:t>
            </w:r>
          </w:p>
        </w:tc>
      </w:tr>
      <w:tr>
        <w:tc>
          <w:tcPr>
            <w:tcW w:type="dxa" w:w="1987"/>
            <w:vAlign w:val="center"/>
            <w:tcMar>
              <w:top w:w="80" w:type="dxa"/>
              <w:start w:w="120" w:type="dxa"/>
              <w:bottom w:w="80" w:type="dxa"/>
              <w:end w:w="120" w:type="dxa"/>
            </w:tcMar>
          </w:tcPr>
          <w:p>
            <w:r>
              <w:rPr>
                <w:sz w:val="16"/>
                <w:lang w:val="en-GB"/>
              </w:rPr>
              <w:t>Malware/static scan</w:t>
            </w:r>
          </w:p>
        </w:tc>
        <w:tc>
          <w:tcPr>
            <w:tcW w:type="dxa" w:w="3253"/>
            <w:vAlign w:val="center"/>
            <w:tcMar>
              <w:top w:w="80" w:type="dxa"/>
              <w:start w:w="120" w:type="dxa"/>
              <w:bottom w:w="80" w:type="dxa"/>
              <w:end w:w="120" w:type="dxa"/>
            </w:tcMar>
          </w:tcPr>
          <w:p>
            <w:r>
              <w:rPr>
                <w:sz w:val="16"/>
                <w:lang w:val="en-GB"/>
              </w:rPr>
              <w:t>No findings in available scope</w:t>
            </w:r>
          </w:p>
        </w:tc>
        <w:tc>
          <w:tcPr>
            <w:tcW w:type="dxa" w:w="4120"/>
            <w:vAlign w:val="center"/>
            <w:tcMar>
              <w:top w:w="80" w:type="dxa"/>
              <w:start w:w="120" w:type="dxa"/>
              <w:bottom w:w="80" w:type="dxa"/>
              <w:end w:w="120" w:type="dxa"/>
            </w:tcMar>
          </w:tcPr>
          <w:p>
            <w:r>
              <w:rPr>
                <w:sz w:val="16"/>
                <w:lang w:val="en-GB"/>
              </w:rPr>
              <w:t>Refresh AV and approved IOC rules</w:t>
            </w:r>
          </w:p>
        </w:tc>
      </w:tr>
      <w:tr>
        <w:tc>
          <w:tcPr>
            <w:tcW w:type="dxa" w:w="1987"/>
            <w:vAlign w:val="center"/>
            <w:tcMar>
              <w:top w:w="80" w:type="dxa"/>
              <w:start w:w="120" w:type="dxa"/>
              <w:bottom w:w="80" w:type="dxa"/>
              <w:end w:w="120" w:type="dxa"/>
            </w:tcMar>
          </w:tcPr>
          <w:p>
            <w:r>
              <w:rPr>
                <w:sz w:val="16"/>
                <w:lang w:val="en-GB"/>
              </w:rPr>
              <w:t>Hosted provenance</w:t>
            </w:r>
          </w:p>
        </w:tc>
        <w:tc>
          <w:tcPr>
            <w:tcW w:type="dxa" w:w="3253"/>
            <w:vAlign w:val="center"/>
            <w:tcMar>
              <w:top w:w="80" w:type="dxa"/>
              <w:start w:w="120" w:type="dxa"/>
              <w:bottom w:w="80" w:type="dxa"/>
              <w:end w:w="120" w:type="dxa"/>
            </w:tcMar>
          </w:tcPr>
          <w:p>
            <w:r>
              <w:rPr>
                <w:sz w:val="16"/>
                <w:lang w:val="en-GB"/>
              </w:rPr>
              <w:t>Documentation only</w:t>
            </w:r>
          </w:p>
        </w:tc>
        <w:tc>
          <w:tcPr>
            <w:tcW w:type="dxa" w:w="4120"/>
            <w:vAlign w:val="center"/>
            <w:tcMar>
              <w:top w:w="80" w:type="dxa"/>
              <w:start w:w="120" w:type="dxa"/>
              <w:bottom w:w="80" w:type="dxa"/>
              <w:end w:w="120" w:type="dxa"/>
            </w:tcMar>
          </w:tcPr>
          <w:p>
            <w:r>
              <w:rPr>
                <w:sz w:val="16"/>
                <w:lang w:val="en-GB"/>
              </w:rPr>
              <w:t>Request deployed build and release/change assurance</w:t>
            </w:r>
          </w:p>
        </w:tc>
      </w:tr>
    </w:tbl>
    <w:p/>
    <w:p>
      <w:pPr>
        <w:pStyle w:val="Caption"/>
      </w:pPr>
      <w:r>
        <w:rPr>
          <w:b/>
          <w:lang w:val="en-GB"/>
        </w:rPr>
        <w:t>Advisory applicability triage</w:t>
      </w:r>
    </w:p>
    <w:tbl>
      <w:tblPr>
        <w:tblStyle w:val="TableGrid"/>
        <w:tblW w:type="dxa" w:w="9360"/>
        <w:tblLayout w:type="fixed"/>
        <w:tblLook w:firstColumn="1" w:firstRow="1" w:lastColumn="0" w:lastRow="0" w:noHBand="0" w:noVBand="1" w:val="04A0"/>
        <w:tblInd w:w="120" w:type="dxa"/>
      </w:tblPr>
      <w:tblGrid>
        <w:gridCol w:w="1358"/>
        <w:gridCol w:w="2029"/>
        <w:gridCol w:w="3082"/>
        <w:gridCol w:w="2891"/>
      </w:tblGrid>
      <w:tr>
        <w:trPr>
          <w:tblHeader w:val="true"/>
        </w:trPr>
        <w:tc>
          <w:tcPr>
            <w:tcW w:type="dxa" w:w="1358"/>
            <w:shd w:fill="F2F4F7"/>
            <w:vAlign w:val="center"/>
            <w:tcMar>
              <w:top w:w="80" w:type="dxa"/>
              <w:start w:w="120" w:type="dxa"/>
              <w:bottom w:w="80" w:type="dxa"/>
              <w:end w:w="120" w:type="dxa"/>
            </w:tcMar>
          </w:tcPr>
          <w:p>
            <w:r>
              <w:rPr>
                <w:b/>
                <w:sz w:val="16"/>
                <w:lang w:val="en-GB"/>
              </w:rPr>
              <w:t>Component</w:t>
            </w:r>
          </w:p>
        </w:tc>
        <w:tc>
          <w:tcPr>
            <w:tcW w:type="dxa" w:w="2029"/>
            <w:shd w:fill="F2F4F7"/>
            <w:vAlign w:val="center"/>
            <w:tcMar>
              <w:top w:w="80" w:type="dxa"/>
              <w:start w:w="120" w:type="dxa"/>
              <w:bottom w:w="80" w:type="dxa"/>
              <w:end w:w="120" w:type="dxa"/>
            </w:tcMar>
          </w:tcPr>
          <w:p>
            <w:r>
              <w:rPr>
                <w:b/>
                <w:sz w:val="16"/>
                <w:lang w:val="en-GB"/>
              </w:rPr>
              <w:t>Signal</w:t>
            </w:r>
          </w:p>
        </w:tc>
        <w:tc>
          <w:tcPr>
            <w:tcW w:type="dxa" w:w="3082"/>
            <w:shd w:fill="F2F4F7"/>
            <w:vAlign w:val="center"/>
            <w:tcMar>
              <w:top w:w="80" w:type="dxa"/>
              <w:start w:w="120" w:type="dxa"/>
              <w:bottom w:w="80" w:type="dxa"/>
              <w:end w:w="120" w:type="dxa"/>
            </w:tcMar>
          </w:tcPr>
          <w:p>
            <w:r>
              <w:rPr>
                <w:b/>
                <w:sz w:val="16"/>
                <w:lang w:val="en-GB"/>
              </w:rPr>
              <w:t>Precondition</w:t>
            </w:r>
          </w:p>
        </w:tc>
        <w:tc>
          <w:tcPr>
            <w:tcW w:type="dxa" w:w="2891"/>
            <w:shd w:fill="F2F4F7"/>
            <w:vAlign w:val="center"/>
            <w:tcMar>
              <w:top w:w="80" w:type="dxa"/>
              <w:start w:w="120" w:type="dxa"/>
              <w:bottom w:w="80" w:type="dxa"/>
              <w:end w:w="120" w:type="dxa"/>
            </w:tcMar>
          </w:tcPr>
          <w:p>
            <w:r>
              <w:rPr>
                <w:b/>
                <w:sz w:val="16"/>
                <w:lang w:val="en-GB"/>
              </w:rPr>
              <w:t>Disposition</w:t>
            </w:r>
          </w:p>
        </w:tc>
      </w:tr>
      <w:tr>
        <w:tc>
          <w:tcPr>
            <w:tcW w:type="dxa" w:w="1358"/>
            <w:vAlign w:val="center"/>
            <w:tcMar>
              <w:top w:w="80" w:type="dxa"/>
              <w:start w:w="120" w:type="dxa"/>
              <w:bottom w:w="80" w:type="dxa"/>
              <w:end w:w="120" w:type="dxa"/>
            </w:tcMar>
          </w:tcPr>
          <w:p>
            <w:r>
              <w:rPr>
                <w:sz w:val="16"/>
                <w:lang w:val="en-GB"/>
              </w:rPr>
              <w:t>MCP SDK 1.27.1</w:t>
            </w:r>
          </w:p>
        </w:tc>
        <w:tc>
          <w:tcPr>
            <w:tcW w:type="dxa" w:w="2029"/>
            <w:vAlign w:val="center"/>
            <w:tcMar>
              <w:top w:w="80" w:type="dxa"/>
              <w:start w:w="120" w:type="dxa"/>
              <w:bottom w:w="80" w:type="dxa"/>
              <w:end w:w="120" w:type="dxa"/>
            </w:tcMar>
          </w:tcPr>
          <w:p>
            <w:r>
              <w:rPr>
                <w:sz w:val="16"/>
                <w:lang w:val="en-GB"/>
              </w:rPr>
              <w:t>GHSA-6qxp-vccf-f47h</w:t>
            </w:r>
          </w:p>
        </w:tc>
        <w:tc>
          <w:tcPr>
            <w:tcW w:type="dxa" w:w="3082"/>
            <w:vAlign w:val="center"/>
            <w:tcMar>
              <w:top w:w="80" w:type="dxa"/>
              <w:start w:w="120" w:type="dxa"/>
              <w:bottom w:w="80" w:type="dxa"/>
              <w:end w:w="120" w:type="dxa"/>
            </w:tcMar>
          </w:tcPr>
          <w:p>
            <w:r>
              <w:rPr>
                <w:sz w:val="16"/>
                <w:lang w:val="en-GB"/>
              </w:rPr>
              <w:t>HTTP OAuth clients; server/STDIO explicitly excluded</w:t>
            </w:r>
          </w:p>
        </w:tc>
        <w:tc>
          <w:tcPr>
            <w:tcW w:type="dxa" w:w="2891"/>
            <w:vAlign w:val="center"/>
            <w:tcMar>
              <w:top w:w="80" w:type="dxa"/>
              <w:start w:w="120" w:type="dxa"/>
              <w:bottom w:w="80" w:type="dxa"/>
              <w:end w:w="120" w:type="dxa"/>
            </w:tcMar>
          </w:tcPr>
          <w:p>
            <w:r>
              <w:rPr>
                <w:sz w:val="16"/>
                <w:lang w:val="en-GB"/>
              </w:rPr>
              <w:t>Not applicable to observed local route; IDE client remains Unknown</w:t>
            </w:r>
          </w:p>
        </w:tc>
      </w:tr>
      <w:tr>
        <w:tc>
          <w:tcPr>
            <w:tcW w:type="dxa" w:w="1358"/>
            <w:vAlign w:val="center"/>
            <w:tcMar>
              <w:top w:w="80" w:type="dxa"/>
              <w:start w:w="120" w:type="dxa"/>
              <w:bottom w:w="80" w:type="dxa"/>
              <w:end w:w="120" w:type="dxa"/>
            </w:tcMar>
          </w:tcPr>
          <w:p>
            <w:r>
              <w:rPr>
                <w:sz w:val="16"/>
                <w:lang w:val="en-GB"/>
              </w:rPr>
              <w:t>csv-parse 4.16.3</w:t>
            </w:r>
          </w:p>
        </w:tc>
        <w:tc>
          <w:tcPr>
            <w:tcW w:type="dxa" w:w="2029"/>
            <w:vAlign w:val="center"/>
            <w:tcMar>
              <w:top w:w="80" w:type="dxa"/>
              <w:start w:w="120" w:type="dxa"/>
              <w:bottom w:w="80" w:type="dxa"/>
              <w:end w:w="120" w:type="dxa"/>
            </w:tcMar>
          </w:tcPr>
          <w:p>
            <w:r>
              <w:rPr>
                <w:sz w:val="16"/>
                <w:lang w:val="en-GB"/>
              </w:rPr>
              <w:t>GHSA-8cw4-87c7-c6xx</w:t>
            </w:r>
          </w:p>
        </w:tc>
        <w:tc>
          <w:tcPr>
            <w:tcW w:type="dxa" w:w="3082"/>
            <w:vAlign w:val="center"/>
            <w:tcMar>
              <w:top w:w="80" w:type="dxa"/>
              <w:start w:w="120" w:type="dxa"/>
              <w:bottom w:w="80" w:type="dxa"/>
              <w:end w:w="120" w:type="dxa"/>
            </w:tcMar>
          </w:tcPr>
          <w:p>
            <w:r>
              <w:rPr>
                <w:sz w:val="16"/>
                <w:lang w:val="en-GB"/>
              </w:rPr>
              <w:t>columns plus grouped duplicate names; runner does not supply iterationData</w:t>
            </w:r>
          </w:p>
        </w:tc>
        <w:tc>
          <w:tcPr>
            <w:tcW w:type="dxa" w:w="2891"/>
            <w:vAlign w:val="center"/>
            <w:tcMar>
              <w:top w:w="80" w:type="dxa"/>
              <w:start w:w="120" w:type="dxa"/>
              <w:bottom w:w="80" w:type="dxa"/>
              <w:end w:w="120" w:type="dxa"/>
            </w:tcMar>
          </w:tcPr>
          <w:p>
            <w:r>
              <w:rPr>
                <w:sz w:val="16"/>
                <w:lang w:val="en-GB"/>
              </w:rPr>
              <w:t>Affected match, vulnerable configuration Not observed</w:t>
            </w:r>
          </w:p>
        </w:tc>
      </w:tr>
      <w:tr>
        <w:tc>
          <w:tcPr>
            <w:tcW w:type="dxa" w:w="1358"/>
            <w:vAlign w:val="center"/>
            <w:tcMar>
              <w:top w:w="80" w:type="dxa"/>
              <w:start w:w="120" w:type="dxa"/>
              <w:bottom w:w="80" w:type="dxa"/>
              <w:end w:w="120" w:type="dxa"/>
            </w:tcMar>
          </w:tcPr>
          <w:p>
            <w:r>
              <w:rPr>
                <w:sz w:val="16"/>
                <w:lang w:val="en-GB"/>
              </w:rPr>
              <w:t>node-forge 1.4.0</w:t>
            </w:r>
          </w:p>
        </w:tc>
        <w:tc>
          <w:tcPr>
            <w:tcW w:type="dxa" w:w="2029"/>
            <w:vAlign w:val="center"/>
            <w:tcMar>
              <w:top w:w="80" w:type="dxa"/>
              <w:start w:w="120" w:type="dxa"/>
              <w:bottom w:w="80" w:type="dxa"/>
              <w:end w:w="120" w:type="dxa"/>
            </w:tcMar>
          </w:tcPr>
          <w:p>
            <w:r>
              <w:rPr>
                <w:sz w:val="16"/>
                <w:lang w:val="en-GB"/>
              </w:rPr>
              <w:t>GHSA-86w9-cpqp-85rv</w:t>
            </w:r>
          </w:p>
        </w:tc>
        <w:tc>
          <w:tcPr>
            <w:tcW w:type="dxa" w:w="3082"/>
            <w:vAlign w:val="center"/>
            <w:tcMar>
              <w:top w:w="80" w:type="dxa"/>
              <w:start w:w="120" w:type="dxa"/>
              <w:bottom w:w="80" w:type="dxa"/>
              <w:end w:w="120" w:type="dxa"/>
            </w:tcMar>
          </w:tcPr>
          <w:p>
            <w:r>
              <w:rPr>
                <w:sz w:val="16"/>
                <w:lang w:val="en-GB"/>
              </w:rPr>
              <w:t>Low-exponent RSA signature verification; runtime uses key parsing/signing</w:t>
            </w:r>
          </w:p>
        </w:tc>
        <w:tc>
          <w:tcPr>
            <w:tcW w:type="dxa" w:w="2891"/>
            <w:vAlign w:val="center"/>
            <w:tcMar>
              <w:top w:w="80" w:type="dxa"/>
              <w:start w:w="120" w:type="dxa"/>
              <w:bottom w:w="80" w:type="dxa"/>
              <w:end w:w="120" w:type="dxa"/>
            </w:tcMar>
          </w:tcPr>
          <w:p>
            <w:r>
              <w:rPr>
                <w:sz w:val="16"/>
                <w:lang w:val="en-GB"/>
              </w:rPr>
              <w:t>Reachability not established; no patched version listed</w:t>
            </w:r>
          </w:p>
        </w:tc>
      </w:tr>
      <w:tr>
        <w:tc>
          <w:tcPr>
            <w:tcW w:type="dxa" w:w="1358"/>
            <w:vAlign w:val="center"/>
            <w:tcMar>
              <w:top w:w="80" w:type="dxa"/>
              <w:start w:w="120" w:type="dxa"/>
              <w:bottom w:w="80" w:type="dxa"/>
              <w:end w:w="120" w:type="dxa"/>
            </w:tcMar>
          </w:tcPr>
          <w:p>
            <w:r>
              <w:rPr>
                <w:sz w:val="16"/>
                <w:lang w:val="en-GB"/>
              </w:rPr>
              <w:t>Faker 5.5.3</w:t>
            </w:r>
          </w:p>
        </w:tc>
        <w:tc>
          <w:tcPr>
            <w:tcW w:type="dxa" w:w="2029"/>
            <w:vAlign w:val="center"/>
            <w:tcMar>
              <w:top w:w="80" w:type="dxa"/>
              <w:start w:w="120" w:type="dxa"/>
              <w:bottom w:w="80" w:type="dxa"/>
              <w:end w:w="120" w:type="dxa"/>
            </w:tcMar>
          </w:tcPr>
          <w:p>
            <w:r>
              <w:rPr>
                <w:sz w:val="16"/>
                <w:lang w:val="en-GB"/>
              </w:rPr>
              <w:t>GHSA-qxc2-j82w-r537</w:t>
            </w:r>
          </w:p>
        </w:tc>
        <w:tc>
          <w:tcPr>
            <w:tcW w:type="dxa" w:w="3082"/>
            <w:vAlign w:val="center"/>
            <w:tcMar>
              <w:top w:w="80" w:type="dxa"/>
              <w:start w:w="120" w:type="dxa"/>
              <w:bottom w:w="80" w:type="dxa"/>
              <w:end w:w="120" w:type="dxa"/>
            </w:tcMar>
          </w:tcPr>
          <w:p>
            <w:r>
              <w:rPr>
                <w:sz w:val="16"/>
                <w:lang w:val="en-GB"/>
              </w:rPr>
              <w:t>helpers.fake resolver; collection uses fixed generators</w:t>
            </w:r>
          </w:p>
        </w:tc>
        <w:tc>
          <w:tcPr>
            <w:tcW w:type="dxa" w:w="2891"/>
            <w:vAlign w:val="center"/>
            <w:tcMar>
              <w:top w:w="80" w:type="dxa"/>
              <w:start w:w="120" w:type="dxa"/>
              <w:bottom w:w="80" w:type="dxa"/>
              <w:end w:w="120" w:type="dxa"/>
            </w:tcMar>
          </w:tcPr>
          <w:p>
            <w:r>
              <w:rPr>
                <w:sz w:val="16"/>
                <w:lang w:val="en-GB"/>
              </w:rPr>
              <w:t>Version-specific exploitation unconfirmed</w:t>
            </w:r>
          </w:p>
        </w:tc>
      </w:tr>
      <w:tr>
        <w:tc>
          <w:tcPr>
            <w:tcW w:type="dxa" w:w="1358"/>
            <w:vAlign w:val="center"/>
            <w:tcMar>
              <w:top w:w="80" w:type="dxa"/>
              <w:start w:w="120" w:type="dxa"/>
              <w:bottom w:w="80" w:type="dxa"/>
              <w:end w:w="120" w:type="dxa"/>
            </w:tcMar>
          </w:tcPr>
          <w:p>
            <w:r>
              <w:rPr>
                <w:sz w:val="16"/>
                <w:lang w:val="en-GB"/>
              </w:rPr>
              <w:t>qs 6.15.0 and 6.15.3</w:t>
            </w:r>
          </w:p>
        </w:tc>
        <w:tc>
          <w:tcPr>
            <w:tcW w:type="dxa" w:w="2029"/>
            <w:vAlign w:val="center"/>
            <w:tcMar>
              <w:top w:w="80" w:type="dxa"/>
              <w:start w:w="120" w:type="dxa"/>
              <w:bottom w:w="80" w:type="dxa"/>
              <w:end w:w="120" w:type="dxa"/>
            </w:tcMar>
          </w:tcPr>
          <w:p>
            <w:r>
              <w:rPr>
                <w:sz w:val="16"/>
                <w:lang w:val="en-GB"/>
              </w:rPr>
              <w:t>Three advisory IDs in retained triage</w:t>
            </w:r>
          </w:p>
        </w:tc>
        <w:tc>
          <w:tcPr>
            <w:tcW w:type="dxa" w:w="3082"/>
            <w:vAlign w:val="center"/>
            <w:tcMar>
              <w:top w:w="80" w:type="dxa"/>
              <w:start w:w="120" w:type="dxa"/>
              <w:bottom w:w="80" w:type="dxa"/>
              <w:end w:w="120" w:type="dxa"/>
            </w:tcMar>
          </w:tcPr>
          <w:p>
            <w:r>
              <w:rPr>
                <w:sz w:val="16"/>
                <w:lang w:val="en-GB"/>
              </w:rPr>
              <w:t>Special stringify/parser options and hostile input</w:t>
            </w:r>
          </w:p>
        </w:tc>
        <w:tc>
          <w:tcPr>
            <w:tcW w:type="dxa" w:w="2891"/>
            <w:vAlign w:val="center"/>
            <w:tcMar>
              <w:top w:w="80" w:type="dxa"/>
              <w:start w:w="120" w:type="dxa"/>
              <w:bottom w:w="80" w:type="dxa"/>
              <w:end w:w="120" w:type="dxa"/>
            </w:tcMar>
          </w:tcPr>
          <w:p>
            <w:r>
              <w:rPr>
                <w:sz w:val="16"/>
                <w:lang w:val="en-GB"/>
              </w:rPr>
              <w:t>Production matches; configurations unresolved</w:t>
            </w:r>
          </w:p>
        </w:tc>
      </w:tr>
      <w:tr>
        <w:tc>
          <w:tcPr>
            <w:tcW w:type="dxa" w:w="1358"/>
            <w:vAlign w:val="center"/>
            <w:tcMar>
              <w:top w:w="80" w:type="dxa"/>
              <w:start w:w="120" w:type="dxa"/>
              <w:bottom w:w="80" w:type="dxa"/>
              <w:end w:w="120" w:type="dxa"/>
            </w:tcMar>
          </w:tcPr>
          <w:p>
            <w:r>
              <w:rPr>
                <w:sz w:val="16"/>
                <w:lang w:val="en-GB"/>
              </w:rPr>
              <w:t>SDK HTTP helpers</w:t>
            </w:r>
          </w:p>
        </w:tc>
        <w:tc>
          <w:tcPr>
            <w:tcW w:type="dxa" w:w="2029"/>
            <w:vAlign w:val="center"/>
            <w:tcMar>
              <w:top w:w="80" w:type="dxa"/>
              <w:start w:w="120" w:type="dxa"/>
              <w:bottom w:w="80" w:type="dxa"/>
              <w:end w:w="120" w:type="dxa"/>
            </w:tcMar>
          </w:tcPr>
          <w:p>
            <w:r>
              <w:rPr>
                <w:sz w:val="16"/>
                <w:lang w:val="en-GB"/>
              </w:rPr>
              <w:t>fast-uri, Hono, ip-address, proxy-addr</w:t>
            </w:r>
          </w:p>
        </w:tc>
        <w:tc>
          <w:tcPr>
            <w:tcW w:type="dxa" w:w="3082"/>
            <w:vAlign w:val="center"/>
            <w:tcMar>
              <w:top w:w="80" w:type="dxa"/>
              <w:start w:w="120" w:type="dxa"/>
              <w:bottom w:w="80" w:type="dxa"/>
              <w:end w:w="120" w:type="dxa"/>
            </w:tcMar>
          </w:tcPr>
          <w:p>
            <w:r>
              <w:rPr>
                <w:sz w:val="16"/>
                <w:lang w:val="en-GB"/>
              </w:rPr>
              <w:t>HTTP middleware or trust-policy code paths</w:t>
            </w:r>
          </w:p>
        </w:tc>
        <w:tc>
          <w:tcPr>
            <w:tcW w:type="dxa" w:w="2891"/>
            <w:vAlign w:val="center"/>
            <w:tcMar>
              <w:top w:w="80" w:type="dxa"/>
              <w:start w:w="120" w:type="dxa"/>
              <w:bottom w:w="80" w:type="dxa"/>
              <w:end w:w="120" w:type="dxa"/>
            </w:tcMar>
          </w:tcPr>
          <w:p>
            <w:r>
              <w:rPr>
                <w:sz w:val="16"/>
                <w:lang w:val="en-GB"/>
              </w:rPr>
              <w:t>Production graph presence; no direct local route observed</w:t>
            </w:r>
          </w:p>
        </w:tc>
      </w:tr>
      <w:tr>
        <w:tc>
          <w:tcPr>
            <w:tcW w:type="dxa" w:w="1358"/>
            <w:vAlign w:val="center"/>
            <w:tcMar>
              <w:top w:w="80" w:type="dxa"/>
              <w:start w:w="120" w:type="dxa"/>
              <w:bottom w:w="80" w:type="dxa"/>
              <w:end w:w="120" w:type="dxa"/>
            </w:tcMar>
          </w:tcPr>
          <w:p>
            <w:r>
              <w:rPr>
                <w:sz w:val="16"/>
                <w:lang w:val="en-GB"/>
              </w:rPr>
              <w:t>Development tooling</w:t>
            </w:r>
          </w:p>
        </w:tc>
        <w:tc>
          <w:tcPr>
            <w:tcW w:type="dxa" w:w="2029"/>
            <w:vAlign w:val="center"/>
            <w:tcMar>
              <w:top w:w="80" w:type="dxa"/>
              <w:start w:w="120" w:type="dxa"/>
              <w:bottom w:w="80" w:type="dxa"/>
              <w:end w:w="120" w:type="dxa"/>
            </w:tcMar>
          </w:tcPr>
          <w:p>
            <w:r>
              <w:rPr>
                <w:sz w:val="16"/>
                <w:lang w:val="en-GB"/>
              </w:rPr>
              <w:t>Vitest, Vite and other build dependencies</w:t>
            </w:r>
          </w:p>
        </w:tc>
        <w:tc>
          <w:tcPr>
            <w:tcW w:type="dxa" w:w="3082"/>
            <w:vAlign w:val="center"/>
            <w:tcMar>
              <w:top w:w="80" w:type="dxa"/>
              <w:start w:w="120" w:type="dxa"/>
              <w:bottom w:w="80" w:type="dxa"/>
              <w:end w:w="120" w:type="dxa"/>
            </w:tcMar>
          </w:tcPr>
          <w:p>
            <w:r>
              <w:rPr>
                <w:sz w:val="16"/>
                <w:lang w:val="en-GB"/>
              </w:rPr>
              <w:t>Build or dev-server execution</w:t>
            </w:r>
          </w:p>
        </w:tc>
        <w:tc>
          <w:tcPr>
            <w:tcW w:type="dxa" w:w="2891"/>
            <w:vAlign w:val="center"/>
            <w:tcMar>
              <w:top w:w="80" w:type="dxa"/>
              <w:start w:w="120" w:type="dxa"/>
              <w:bottom w:w="80" w:type="dxa"/>
              <w:end w:w="120" w:type="dxa"/>
            </w:tcMar>
          </w:tcPr>
          <w:p>
            <w:r>
              <w:rPr>
                <w:sz w:val="16"/>
                <w:lang w:val="en-GB"/>
              </w:rPr>
              <w:t>Not part of observed local server execution; no blind major upgrades</w:t>
            </w:r>
          </w:p>
        </w:tc>
      </w:tr>
    </w:tbl>
    <w:p/>
    <w:p>
      <w:pPr>
        <w:pStyle w:val="Heading1"/>
      </w:pPr>
      <w:r>
        <w:rPr>
          <w:lang w:val="en-GB"/>
        </w:rPr>
        <w:t>Consolidated Privacy Data Protection Assessment</w:t>
      </w:r>
    </w:p>
    <w:p>
      <w:r>
        <w:rPr>
          <w:lang w:val="en-GB"/>
        </w:rPr>
        <w:t xml:space="preserve">Potential data classes include proprietary API designs, collections, environment values, credentials, customer identifiers, claim details, request/response payloads, audit identities and error traces. The recommended trial excludes real personal/confidential data and uses synthetic markers to prove transfer paths. The local runner upload is material because even an internal API response can become a Postman cloud run record; a general usage-telemetry switch does not resolve this separate functional flow. </w:t>
      </w:r>
      <w:hyperlink w:anchor="REF_002">
        <w:r>
          <w:rPr>
            <w:rStyle w:val="Hyperlink"/>
            <w:lang w:val="en-GB"/>
          </w:rPr>
          <w:t>[REF-002]</w:t>
        </w:r>
      </w:hyperlink>
      <w:r>
        <w:rPr>
          <w:lang w:val="en-GB"/>
        </w:rPr>
        <w:t xml:space="preserve"> </w:t>
      </w:r>
      <w:hyperlink w:anchor="REF_030">
        <w:r>
          <w:rPr>
            <w:rStyle w:val="Hyperlink"/>
            <w:lang w:val="en-GB"/>
          </w:rPr>
          <w:t>[REF-030]</w:t>
        </w:r>
      </w:hyperlink>
    </w:p>
    <w:p>
      <w:r>
        <w:rPr>
          <w:lang w:val="en-GB"/>
        </w:rPr>
        <w:t xml:space="preserve">Public Product Terms describe regional storage and support access outside the selected region; EU storage is not an end-to-end regional processing guarantee. The complete privacy policy, current subprocessors, negotiated DPA, retention/deletion commitments and tenant-specific transfer arrangements were not supplied or fully available through text retrieval. Independent IDE model-provider processing needs separate review. Public service terms and product documentation do not prove a signed customer contract or legal acceptance. </w:t>
      </w:r>
      <w:hyperlink w:anchor="REF_007">
        <w:r>
          <w:rPr>
            <w:rStyle w:val="Hyperlink"/>
            <w:lang w:val="en-GB"/>
          </w:rPr>
          <w:t>[REF-007]</w:t>
        </w:r>
      </w:hyperlink>
      <w:r>
        <w:rPr>
          <w:lang w:val="en-GB"/>
        </w:rPr>
        <w:t xml:space="preserve"> </w:t>
      </w:r>
      <w:hyperlink w:anchor="REF_008">
        <w:r>
          <w:rPr>
            <w:rStyle w:val="Hyperlink"/>
            <w:lang w:val="en-GB"/>
          </w:rPr>
          <w:t>[REF-008]</w:t>
        </w:r>
      </w:hyperlink>
      <w:r>
        <w:rPr>
          <w:lang w:val="en-GB"/>
        </w:rPr>
        <w:t xml:space="preserve"> </w:t>
      </w:r>
      <w:hyperlink w:anchor="REF_027">
        <w:r>
          <w:rPr>
            <w:rStyle w:val="Hyperlink"/>
            <w:lang w:val="en-GB"/>
          </w:rPr>
          <w:t>[REF-027]</w:t>
        </w:r>
      </w:hyperlink>
      <w:r>
        <w:rPr>
          <w:lang w:val="en-GB"/>
        </w:rPr>
        <w:t xml:space="preserve"> </w:t>
      </w:r>
      <w:hyperlink w:anchor="REF_028">
        <w:r>
          <w:rPr>
            <w:rStyle w:val="Hyperlink"/>
            <w:lang w:val="en-GB"/>
          </w:rPr>
          <w:t>[REF-028]</w:t>
        </w:r>
      </w:hyperlink>
    </w:p>
    <w:p>
      <w:r>
        <w:rPr>
          <w:lang w:val="en-GB"/>
        </w:rPr>
        <w:t xml:space="preserve">Complete DPIA screening, lawful-basis/data-class analysis and controller/processor mapping before allowing personal data. Assess UK GDPR minimisation, security, processor terms, records and international transfers. Identify the legal insurer, FCA/PRA status, important-business-service dependency and outsourcing materiality before treating sector rules as binding. The current PRA SS2/21 version is November 2024; the March 2026 revision is effective 18 March 2027 and must not be presented as already in force. </w:t>
      </w:r>
      <w:hyperlink w:anchor="REF_019">
        <w:r>
          <w:rPr>
            <w:rStyle w:val="Hyperlink"/>
            <w:lang w:val="en-GB"/>
          </w:rPr>
          <w:t>[REF-019]</w:t>
        </w:r>
      </w:hyperlink>
      <w:r>
        <w:rPr>
          <w:lang w:val="en-GB"/>
        </w:rPr>
        <w:t xml:space="preserve"> </w:t>
      </w:r>
      <w:hyperlink w:anchor="REF_020">
        <w:r>
          <w:rPr>
            <w:rStyle w:val="Hyperlink"/>
            <w:lang w:val="en-GB"/>
          </w:rPr>
          <w:t>[REF-020]</w:t>
        </w:r>
      </w:hyperlink>
      <w:r>
        <w:rPr>
          <w:lang w:val="en-GB"/>
        </w:rPr>
        <w:t xml:space="preserve"> </w:t>
      </w:r>
      <w:hyperlink w:anchor="REF_021">
        <w:r>
          <w:rPr>
            <w:rStyle w:val="Hyperlink"/>
            <w:lang w:val="en-GB"/>
          </w:rPr>
          <w:t>[REF-021]</w:t>
        </w:r>
      </w:hyperlink>
      <w:r>
        <w:rPr>
          <w:lang w:val="en-GB"/>
        </w:rPr>
        <w:t xml:space="preserve"> </w:t>
      </w:r>
      <w:hyperlink w:anchor="REF_022">
        <w:r>
          <w:rPr>
            <w:rStyle w:val="Hyperlink"/>
            <w:lang w:val="en-GB"/>
          </w:rPr>
          <w:t>[REF-022]</w:t>
        </w:r>
      </w:hyperlink>
      <w:r>
        <w:rPr>
          <w:lang w:val="en-GB"/>
        </w:rPr>
        <w:t xml:space="preserve"> </w:t>
      </w:r>
      <w:hyperlink w:anchor="REF_030">
        <w:r>
          <w:rPr>
            <w:rStyle w:val="Hyperlink"/>
            <w:lang w:val="en-GB"/>
          </w:rPr>
          <w:t>[REF-030]</w:t>
        </w:r>
      </w:hyperlink>
      <w:r>
        <w:rPr>
          <w:lang w:val="en-GB"/>
        </w:rPr>
        <w:t xml:space="preserve"> </w:t>
      </w:r>
      <w:hyperlink w:anchor="REF_031">
        <w:r>
          <w:rPr>
            <w:rStyle w:val="Hyperlink"/>
            <w:lang w:val="en-GB"/>
          </w:rPr>
          <w:t>[REF-031]</w:t>
        </w:r>
      </w:hyperlink>
    </w:p>
    <w:p>
      <w:pPr>
        <w:pStyle w:val="Caption"/>
      </w:pPr>
      <w:r>
        <w:rPr>
          <w:b/>
          <w:lang w:val="en-GB"/>
        </w:rPr>
        <w:t>Privacy and insurance applicability</w:t>
      </w:r>
    </w:p>
    <w:tbl>
      <w:tblPr>
        <w:tblStyle w:val="TableGrid"/>
        <w:tblW w:type="dxa" w:w="9360"/>
        <w:tblLayout w:type="fixed"/>
        <w:tblLook w:firstColumn="1" w:firstRow="1" w:lastColumn="0" w:lastRow="0" w:noHBand="0" w:noVBand="1" w:val="04A0"/>
        <w:tblInd w:w="120" w:type="dxa"/>
      </w:tblPr>
      <w:tblGrid>
        <w:gridCol w:w="2018"/>
        <w:gridCol w:w="3199"/>
        <w:gridCol w:w="4143"/>
      </w:tblGrid>
      <w:tr>
        <w:trPr>
          <w:tblHeader w:val="true"/>
        </w:trPr>
        <w:tc>
          <w:tcPr>
            <w:tcW w:type="dxa" w:w="2018"/>
            <w:shd w:fill="F2F4F7"/>
            <w:vAlign w:val="center"/>
            <w:tcMar>
              <w:top w:w="80" w:type="dxa"/>
              <w:start w:w="120" w:type="dxa"/>
              <w:bottom w:w="80" w:type="dxa"/>
              <w:end w:w="120" w:type="dxa"/>
            </w:tcMar>
          </w:tcPr>
          <w:p>
            <w:r>
              <w:rPr>
                <w:b/>
                <w:sz w:val="16"/>
                <w:lang w:val="en-GB"/>
              </w:rPr>
              <w:t>Topic</w:t>
            </w:r>
          </w:p>
        </w:tc>
        <w:tc>
          <w:tcPr>
            <w:tcW w:type="dxa" w:w="3199"/>
            <w:shd w:fill="F2F4F7"/>
            <w:vAlign w:val="center"/>
            <w:tcMar>
              <w:top w:w="80" w:type="dxa"/>
              <w:start w:w="120" w:type="dxa"/>
              <w:bottom w:w="80" w:type="dxa"/>
              <w:end w:w="120" w:type="dxa"/>
            </w:tcMar>
          </w:tcPr>
          <w:p>
            <w:r>
              <w:rPr>
                <w:b/>
                <w:sz w:val="16"/>
                <w:lang w:val="en-GB"/>
              </w:rPr>
              <w:t>Disposition</w:t>
            </w:r>
          </w:p>
        </w:tc>
        <w:tc>
          <w:tcPr>
            <w:tcW w:type="dxa" w:w="4143"/>
            <w:shd w:fill="F2F4F7"/>
            <w:vAlign w:val="center"/>
            <w:tcMar>
              <w:top w:w="80" w:type="dxa"/>
              <w:start w:w="120" w:type="dxa"/>
              <w:bottom w:w="80" w:type="dxa"/>
              <w:end w:w="120" w:type="dxa"/>
            </w:tcMar>
          </w:tcPr>
          <w:p>
            <w:r>
              <w:rPr>
                <w:b/>
                <w:sz w:val="16"/>
                <w:lang w:val="en-GB"/>
              </w:rPr>
              <w:t>Closure evidence</w:t>
            </w:r>
          </w:p>
        </w:tc>
      </w:tr>
      <w:tr>
        <w:tc>
          <w:tcPr>
            <w:tcW w:type="dxa" w:w="2018"/>
            <w:vAlign w:val="center"/>
            <w:tcMar>
              <w:top w:w="80" w:type="dxa"/>
              <w:start w:w="120" w:type="dxa"/>
              <w:bottom w:w="80" w:type="dxa"/>
              <w:end w:w="120" w:type="dxa"/>
            </w:tcMar>
          </w:tcPr>
          <w:p>
            <w:r>
              <w:rPr>
                <w:sz w:val="16"/>
                <w:lang w:val="en-GB"/>
              </w:rPr>
              <w:t>Data protection</w:t>
            </w:r>
          </w:p>
        </w:tc>
        <w:tc>
          <w:tcPr>
            <w:tcW w:type="dxa" w:w="3199"/>
            <w:vAlign w:val="center"/>
            <w:tcMar>
              <w:top w:w="80" w:type="dxa"/>
              <w:start w:w="120" w:type="dxa"/>
              <w:bottom w:w="80" w:type="dxa"/>
              <w:end w:w="120" w:type="dxa"/>
            </w:tcMar>
          </w:tcPr>
          <w:p>
            <w:r>
              <w:rPr>
                <w:sz w:val="16"/>
                <w:lang w:val="en-GB"/>
              </w:rPr>
              <w:t>Applicable to possible personal-data flows</w:t>
            </w:r>
          </w:p>
        </w:tc>
        <w:tc>
          <w:tcPr>
            <w:tcW w:type="dxa" w:w="4143"/>
            <w:vAlign w:val="center"/>
            <w:tcMar>
              <w:top w:w="80" w:type="dxa"/>
              <w:start w:w="120" w:type="dxa"/>
              <w:bottom w:w="80" w:type="dxa"/>
              <w:end w:w="120" w:type="dxa"/>
            </w:tcMar>
          </w:tcPr>
          <w:p>
            <w:r>
              <w:rPr>
                <w:sz w:val="16"/>
                <w:lang w:val="en-GB"/>
              </w:rPr>
              <w:t>DPIA screen, data classes, lawful basis and recipients</w:t>
            </w:r>
          </w:p>
        </w:tc>
      </w:tr>
      <w:tr>
        <w:tc>
          <w:tcPr>
            <w:tcW w:type="dxa" w:w="2018"/>
            <w:vAlign w:val="center"/>
            <w:tcMar>
              <w:top w:w="80" w:type="dxa"/>
              <w:start w:w="120" w:type="dxa"/>
              <w:bottom w:w="80" w:type="dxa"/>
              <w:end w:w="120" w:type="dxa"/>
            </w:tcMar>
          </w:tcPr>
          <w:p>
            <w:r>
              <w:rPr>
                <w:sz w:val="16"/>
                <w:lang w:val="en-GB"/>
              </w:rPr>
              <w:t>Contract and transfers</w:t>
            </w:r>
          </w:p>
        </w:tc>
        <w:tc>
          <w:tcPr>
            <w:tcW w:type="dxa" w:w="3199"/>
            <w:vAlign w:val="center"/>
            <w:tcMar>
              <w:top w:w="80" w:type="dxa"/>
              <w:start w:w="120" w:type="dxa"/>
              <w:bottom w:w="80" w:type="dxa"/>
              <w:end w:w="120" w:type="dxa"/>
            </w:tcMar>
          </w:tcPr>
          <w:p>
            <w:r>
              <w:rPr>
                <w:sz w:val="16"/>
                <w:lang w:val="en-GB"/>
              </w:rPr>
              <w:t>Unknown tenant commitments</w:t>
            </w:r>
          </w:p>
        </w:tc>
        <w:tc>
          <w:tcPr>
            <w:tcW w:type="dxa" w:w="4143"/>
            <w:vAlign w:val="center"/>
            <w:tcMar>
              <w:top w:w="80" w:type="dxa"/>
              <w:start w:w="120" w:type="dxa"/>
              <w:bottom w:w="80" w:type="dxa"/>
              <w:end w:w="120" w:type="dxa"/>
            </w:tcMar>
          </w:tcPr>
          <w:p>
            <w:r>
              <w:rPr>
                <w:sz w:val="16"/>
                <w:lang w:val="en-GB"/>
              </w:rPr>
              <w:t>Signed DPA, residency/support and subprocessor commitments</w:t>
            </w:r>
          </w:p>
        </w:tc>
      </w:tr>
      <w:tr>
        <w:tc>
          <w:tcPr>
            <w:tcW w:type="dxa" w:w="2018"/>
            <w:vAlign w:val="center"/>
            <w:tcMar>
              <w:top w:w="80" w:type="dxa"/>
              <w:start w:w="120" w:type="dxa"/>
              <w:bottom w:w="80" w:type="dxa"/>
              <w:end w:w="120" w:type="dxa"/>
            </w:tcMar>
          </w:tcPr>
          <w:p>
            <w:r>
              <w:rPr>
                <w:sz w:val="16"/>
                <w:lang w:val="en-GB"/>
              </w:rPr>
              <w:t>Retention and deletion</w:t>
            </w:r>
          </w:p>
        </w:tc>
        <w:tc>
          <w:tcPr>
            <w:tcW w:type="dxa" w:w="3199"/>
            <w:vAlign w:val="center"/>
            <w:tcMar>
              <w:top w:w="80" w:type="dxa"/>
              <w:start w:w="120" w:type="dxa"/>
              <w:bottom w:w="80" w:type="dxa"/>
              <w:end w:w="120" w:type="dxa"/>
            </w:tcMar>
          </w:tcPr>
          <w:p>
            <w:r>
              <w:rPr>
                <w:sz w:val="16"/>
                <w:lang w:val="en-GB"/>
              </w:rPr>
              <w:t>Unknown effective policy</w:t>
            </w:r>
          </w:p>
        </w:tc>
        <w:tc>
          <w:tcPr>
            <w:tcW w:type="dxa" w:w="4143"/>
            <w:vAlign w:val="center"/>
            <w:tcMar>
              <w:top w:w="80" w:type="dxa"/>
              <w:start w:w="120" w:type="dxa"/>
              <w:bottom w:w="80" w:type="dxa"/>
              <w:end w:w="120" w:type="dxa"/>
            </w:tcMar>
          </w:tcPr>
          <w:p>
            <w:r>
              <w:rPr>
                <w:sz w:val="16"/>
                <w:lang w:val="en-GB"/>
              </w:rPr>
              <w:t>Synthetic deletion/export and contract evidence</w:t>
            </w:r>
          </w:p>
        </w:tc>
      </w:tr>
      <w:tr>
        <w:tc>
          <w:tcPr>
            <w:tcW w:type="dxa" w:w="2018"/>
            <w:vAlign w:val="center"/>
            <w:tcMar>
              <w:top w:w="80" w:type="dxa"/>
              <w:start w:w="120" w:type="dxa"/>
              <w:bottom w:w="80" w:type="dxa"/>
              <w:end w:w="120" w:type="dxa"/>
            </w:tcMar>
          </w:tcPr>
          <w:p>
            <w:r>
              <w:rPr>
                <w:sz w:val="16"/>
                <w:lang w:val="en-GB"/>
              </w:rPr>
              <w:t>Regulated firm duties</w:t>
            </w:r>
          </w:p>
        </w:tc>
        <w:tc>
          <w:tcPr>
            <w:tcW w:type="dxa" w:w="3199"/>
            <w:vAlign w:val="center"/>
            <w:tcMar>
              <w:top w:w="80" w:type="dxa"/>
              <w:start w:w="120" w:type="dxa"/>
              <w:bottom w:w="80" w:type="dxa"/>
              <w:end w:w="120" w:type="dxa"/>
            </w:tcMar>
          </w:tcPr>
          <w:p>
            <w:r>
              <w:rPr>
                <w:sz w:val="16"/>
                <w:lang w:val="en-GB"/>
              </w:rPr>
              <w:t>Conditionally applicable; firm Unknown</w:t>
            </w:r>
          </w:p>
        </w:tc>
        <w:tc>
          <w:tcPr>
            <w:tcW w:type="dxa" w:w="4143"/>
            <w:vAlign w:val="center"/>
            <w:tcMar>
              <w:top w:w="80" w:type="dxa"/>
              <w:start w:w="120" w:type="dxa"/>
              <w:bottom w:w="80" w:type="dxa"/>
              <w:end w:w="120" w:type="dxa"/>
            </w:tcMar>
          </w:tcPr>
          <w:p>
            <w:r>
              <w:rPr>
                <w:sz w:val="16"/>
                <w:lang w:val="en-GB"/>
              </w:rPr>
              <w:t>Legal entity, status and outsourcing/materiality analysis</w:t>
            </w:r>
          </w:p>
        </w:tc>
      </w:tr>
      <w:tr>
        <w:tc>
          <w:tcPr>
            <w:tcW w:type="dxa" w:w="2018"/>
            <w:vAlign w:val="center"/>
            <w:tcMar>
              <w:top w:w="80" w:type="dxa"/>
              <w:start w:w="120" w:type="dxa"/>
              <w:bottom w:w="80" w:type="dxa"/>
              <w:end w:w="120" w:type="dxa"/>
            </w:tcMar>
          </w:tcPr>
          <w:p>
            <w:r>
              <w:rPr>
                <w:sz w:val="16"/>
                <w:lang w:val="en-GB"/>
              </w:rPr>
              <w:t>Resilience and exit</w:t>
            </w:r>
          </w:p>
        </w:tc>
        <w:tc>
          <w:tcPr>
            <w:tcW w:type="dxa" w:w="3199"/>
            <w:vAlign w:val="center"/>
            <w:tcMar>
              <w:top w:w="80" w:type="dxa"/>
              <w:start w:w="120" w:type="dxa"/>
              <w:bottom w:w="80" w:type="dxa"/>
              <w:end w:w="120" w:type="dxa"/>
            </w:tcMar>
          </w:tcPr>
          <w:p>
            <w:r>
              <w:rPr>
                <w:sz w:val="16"/>
                <w:lang w:val="en-GB"/>
              </w:rPr>
              <w:t>Potential important service dependency</w:t>
            </w:r>
          </w:p>
        </w:tc>
        <w:tc>
          <w:tcPr>
            <w:tcW w:type="dxa" w:w="4143"/>
            <w:vAlign w:val="center"/>
            <w:tcMar>
              <w:top w:w="80" w:type="dxa"/>
              <w:start w:w="120" w:type="dxa"/>
              <w:bottom w:w="80" w:type="dxa"/>
              <w:end w:w="120" w:type="dxa"/>
            </w:tcMar>
          </w:tcPr>
          <w:p>
            <w:r>
              <w:rPr>
                <w:sz w:val="16"/>
                <w:lang w:val="en-GB"/>
              </w:rPr>
              <w:t>Impact mapping, fallback, supplier exit and incident plan</w:t>
            </w:r>
          </w:p>
        </w:tc>
      </w:tr>
      <w:tr>
        <w:tc>
          <w:tcPr>
            <w:tcW w:type="dxa" w:w="2018"/>
            <w:vAlign w:val="center"/>
            <w:tcMar>
              <w:top w:w="80" w:type="dxa"/>
              <w:start w:w="120" w:type="dxa"/>
              <w:bottom w:w="80" w:type="dxa"/>
              <w:end w:w="120" w:type="dxa"/>
            </w:tcMar>
          </w:tcPr>
          <w:p>
            <w:r>
              <w:rPr>
                <w:sz w:val="16"/>
                <w:lang w:val="en-GB"/>
              </w:rPr>
              <w:t>EU and PECR screening</w:t>
            </w:r>
          </w:p>
        </w:tc>
        <w:tc>
          <w:tcPr>
            <w:tcW w:type="dxa" w:w="3199"/>
            <w:vAlign w:val="center"/>
            <w:tcMar>
              <w:top w:w="80" w:type="dxa"/>
              <w:start w:w="120" w:type="dxa"/>
              <w:bottom w:w="80" w:type="dxa"/>
              <w:end w:w="120" w:type="dxa"/>
            </w:tcMar>
          </w:tcPr>
          <w:p>
            <w:r>
              <w:rPr>
                <w:sz w:val="16"/>
                <w:lang w:val="en-GB"/>
              </w:rPr>
              <w:t>No automatic application</w:t>
            </w:r>
          </w:p>
        </w:tc>
        <w:tc>
          <w:tcPr>
            <w:tcW w:type="dxa" w:w="4143"/>
            <w:vAlign w:val="center"/>
            <w:tcMar>
              <w:top w:w="80" w:type="dxa"/>
              <w:start w:w="120" w:type="dxa"/>
              <w:bottom w:w="80" w:type="dxa"/>
              <w:end w:w="120" w:type="dxa"/>
            </w:tcMar>
          </w:tcPr>
          <w:p>
            <w:r>
              <w:rPr>
                <w:sz w:val="16"/>
                <w:lang w:val="en-GB"/>
              </w:rPr>
              <w:t>Actual tracking, entity and intended use-case review</w:t>
            </w:r>
          </w:p>
        </w:tc>
      </w:tr>
    </w:tbl>
    <w:p/>
    <w:p>
      <w:pPr>
        <w:pStyle w:val="Heading1"/>
      </w:pPr>
      <w:r>
        <w:rPr>
          <w:lang w:val="en-GB"/>
        </w:rPr>
        <w:t>Enterprise Controls Roadmap</w:t>
      </w:r>
    </w:p>
    <w:p>
      <w:r>
        <w:rPr>
          <w:lang w:val="en-GB"/>
        </w:rPr>
        <w:t xml:space="preserve">Controls are proposed treatments and have not been counted as effective deployment controls. Assign named owners, due dates and verification records before a pilot. Prioritise the separate collection-run upload and execution boundary before cosmetic improvements. Least privilege must be enforced at the credential/API, host tool policy and network layers so one bypass does not grant uncontrolled authority. A reduced toolset limits exposure but does not change the fundamental credential trust boundary. </w:t>
      </w:r>
      <w:hyperlink w:anchor="REF_011">
        <w:r>
          <w:rPr>
            <w:rStyle w:val="Hyperlink"/>
            <w:lang w:val="en-GB"/>
          </w:rPr>
          <w:t>[REF-011]</w:t>
        </w:r>
      </w:hyperlink>
      <w:r>
        <w:rPr>
          <w:lang w:val="en-GB"/>
        </w:rPr>
        <w:t xml:space="preserve"> </w:t>
      </w:r>
      <w:hyperlink w:anchor="REF_012">
        <w:r>
          <w:rPr>
            <w:rStyle w:val="Hyperlink"/>
            <w:lang w:val="en-GB"/>
          </w:rPr>
          <w:t>[REF-012]</w:t>
        </w:r>
      </w:hyperlink>
      <w:r>
        <w:rPr>
          <w:lang w:val="en-GB"/>
        </w:rPr>
        <w:t xml:space="preserve"> </w:t>
      </w:r>
      <w:hyperlink w:anchor="REF_016">
        <w:r>
          <w:rPr>
            <w:rStyle w:val="Hyperlink"/>
            <w:lang w:val="en-GB"/>
          </w:rPr>
          <w:t>[REF-016]</w:t>
        </w:r>
      </w:hyperlink>
    </w:p>
    <w:p>
      <w:r>
        <w:rPr>
          <w:lang w:val="en-GB"/>
        </w:rPr>
        <w:t xml:space="preserve">Rollback means stopping the MCP process/connection, revoking credentials and restoring the isolated profile snapshot. It also needs a record of Postman/API changes because external actions may not reverse when the chat stops. Exit planning should include credential revocation, data export/deletion, owned-collection retention and a conventional API workflow fallback. No new dependencies or security-control changes are required in the assessment repository. </w:t>
      </w:r>
      <w:hyperlink w:anchor="REF_005">
        <w:r>
          <w:rPr>
            <w:rStyle w:val="Hyperlink"/>
            <w:lang w:val="en-GB"/>
          </w:rPr>
          <w:t>[REF-005]</w:t>
        </w:r>
      </w:hyperlink>
      <w:r>
        <w:rPr>
          <w:lang w:val="en-GB"/>
        </w:rPr>
        <w:t xml:space="preserve"> </w:t>
      </w:r>
      <w:hyperlink w:anchor="REF_006">
        <w:r>
          <w:rPr>
            <w:rStyle w:val="Hyperlink"/>
            <w:lang w:val="en-GB"/>
          </w:rPr>
          <w:t>[REF-006]</w:t>
        </w:r>
      </w:hyperlink>
      <w:r>
        <w:rPr>
          <w:lang w:val="en-GB"/>
        </w:rPr>
        <w:t xml:space="preserve"> </w:t>
      </w:r>
      <w:hyperlink w:anchor="REF_020">
        <w:r>
          <w:rPr>
            <w:rStyle w:val="Hyperlink"/>
            <w:lang w:val="en-GB"/>
          </w:rPr>
          <w:t>[REF-020]</w:t>
        </w:r>
      </w:hyperlink>
    </w:p>
    <w:p>
      <w:pPr>
        <w:pStyle w:val="Caption"/>
      </w:pPr>
      <w:r>
        <w:rPr>
          <w:b/>
          <w:lang w:val="en-GB"/>
        </w:rPr>
        <w:t>Control implementation roadmap</w:t>
      </w:r>
    </w:p>
    <w:tbl>
      <w:tblPr>
        <w:tblStyle w:val="TableGrid"/>
        <w:tblW w:type="dxa" w:w="9360"/>
        <w:tblLayout w:type="fixed"/>
        <w:tblLook w:firstColumn="1" w:firstRow="1" w:lastColumn="0" w:lastRow="0" w:noHBand="0" w:noVBand="1" w:val="04A0"/>
        <w:tblInd w:w="120" w:type="dxa"/>
      </w:tblPr>
      <w:tblGrid>
        <w:gridCol w:w="1760"/>
        <w:gridCol w:w="1560"/>
        <w:gridCol w:w="3400"/>
        <w:gridCol w:w="2640"/>
      </w:tblGrid>
      <w:tr>
        <w:trPr>
          <w:tblHeader w:val="true"/>
        </w:trPr>
        <w:tc>
          <w:tcPr>
            <w:tcW w:type="dxa" w:w="1760"/>
            <w:shd w:fill="F2F4F7"/>
            <w:vAlign w:val="center"/>
            <w:tcMar>
              <w:top w:w="80" w:type="dxa"/>
              <w:start w:w="120" w:type="dxa"/>
              <w:bottom w:w="80" w:type="dxa"/>
              <w:end w:w="120" w:type="dxa"/>
            </w:tcMar>
          </w:tcPr>
          <w:p>
            <w:r>
              <w:rPr>
                <w:b/>
                <w:sz w:val="16"/>
                <w:lang w:val="en-GB"/>
              </w:rPr>
              <w:t>Milestone</w:t>
            </w:r>
          </w:p>
        </w:tc>
        <w:tc>
          <w:tcPr>
            <w:tcW w:type="dxa" w:w="1560"/>
            <w:shd w:fill="F2F4F7"/>
            <w:vAlign w:val="center"/>
            <w:tcMar>
              <w:top w:w="80" w:type="dxa"/>
              <w:start w:w="120" w:type="dxa"/>
              <w:bottom w:w="80" w:type="dxa"/>
              <w:end w:w="120" w:type="dxa"/>
            </w:tcMar>
          </w:tcPr>
          <w:p>
            <w:r>
              <w:rPr>
                <w:b/>
                <w:sz w:val="16"/>
                <w:lang w:val="en-GB"/>
              </w:rPr>
              <w:t>Proposed owner</w:t>
            </w:r>
          </w:p>
        </w:tc>
        <w:tc>
          <w:tcPr>
            <w:tcW w:type="dxa" w:w="3400"/>
            <w:shd w:fill="F2F4F7"/>
            <w:vAlign w:val="center"/>
            <w:tcMar>
              <w:top w:w="80" w:type="dxa"/>
              <w:start w:w="120" w:type="dxa"/>
              <w:bottom w:w="80" w:type="dxa"/>
              <w:end w:w="120" w:type="dxa"/>
            </w:tcMar>
          </w:tcPr>
          <w:p>
            <w:r>
              <w:rPr>
                <w:b/>
                <w:sz w:val="16"/>
                <w:lang w:val="en-GB"/>
              </w:rPr>
              <w:t>Treatment</w:t>
            </w:r>
          </w:p>
        </w:tc>
        <w:tc>
          <w:tcPr>
            <w:tcW w:type="dxa" w:w="2640"/>
            <w:shd w:fill="F2F4F7"/>
            <w:vAlign w:val="center"/>
            <w:tcMar>
              <w:top w:w="80" w:type="dxa"/>
              <w:start w:w="120" w:type="dxa"/>
              <w:bottom w:w="80" w:type="dxa"/>
              <w:end w:w="120" w:type="dxa"/>
            </w:tcMar>
          </w:tcPr>
          <w:p>
            <w:r>
              <w:rPr>
                <w:b/>
                <w:sz w:val="16"/>
                <w:lang w:val="en-GB"/>
              </w:rPr>
              <w:t>Verification</w:t>
            </w:r>
          </w:p>
        </w:tc>
      </w:tr>
      <w:tr>
        <w:tc>
          <w:tcPr>
            <w:tcW w:type="dxa" w:w="1760"/>
            <w:vAlign w:val="center"/>
            <w:tcMar>
              <w:top w:w="80" w:type="dxa"/>
              <w:start w:w="120" w:type="dxa"/>
              <w:bottom w:w="80" w:type="dxa"/>
              <w:end w:w="120" w:type="dxa"/>
            </w:tcMar>
          </w:tcPr>
          <w:p>
            <w:r>
              <w:rPr>
                <w:sz w:val="16"/>
                <w:lang w:val="en-GB"/>
              </w:rPr>
              <w:t>Before pilot</w:t>
            </w:r>
          </w:p>
        </w:tc>
        <w:tc>
          <w:tcPr>
            <w:tcW w:type="dxa" w:w="1560"/>
            <w:vAlign w:val="center"/>
            <w:tcMar>
              <w:top w:w="80" w:type="dxa"/>
              <w:start w:w="120" w:type="dxa"/>
              <w:bottom w:w="80" w:type="dxa"/>
              <w:end w:w="120" w:type="dxa"/>
            </w:tcMar>
          </w:tcPr>
          <w:p>
            <w:r>
              <w:rPr>
                <w:sz w:val="16"/>
                <w:lang w:val="en-GB"/>
              </w:rPr>
              <w:t>Platform security</w:t>
            </w:r>
          </w:p>
        </w:tc>
        <w:tc>
          <w:tcPr>
            <w:tcW w:type="dxa" w:w="3400"/>
            <w:vAlign w:val="center"/>
            <w:tcMar>
              <w:top w:w="80" w:type="dxa"/>
              <w:start w:w="120" w:type="dxa"/>
              <w:bottom w:w="80" w:type="dxa"/>
              <w:end w:w="120" w:type="dxa"/>
            </w:tcMar>
          </w:tcPr>
          <w:p>
            <w:r>
              <w:rPr>
                <w:sz w:val="16"/>
                <w:lang w:val="en-GB"/>
              </w:rPr>
              <w:t>Pin package/closure; isolated profiles; egress deny; tool allowlist</w:t>
            </w:r>
          </w:p>
        </w:tc>
        <w:tc>
          <w:tcPr>
            <w:tcW w:type="dxa" w:w="2640"/>
            <w:vAlign w:val="center"/>
            <w:tcMar>
              <w:top w:w="80" w:type="dxa"/>
              <w:start w:w="120" w:type="dxa"/>
              <w:bottom w:w="80" w:type="dxa"/>
              <w:end w:w="120" w:type="dxa"/>
            </w:tcMar>
          </w:tcPr>
          <w:p>
            <w:r>
              <w:rPr>
                <w:sz w:val="16"/>
                <w:lang w:val="en-GB"/>
              </w:rPr>
              <w:t>Baseline and denied-action evidence</w:t>
            </w:r>
          </w:p>
        </w:tc>
      </w:tr>
      <w:tr>
        <w:tc>
          <w:tcPr>
            <w:tcW w:type="dxa" w:w="1760"/>
            <w:vAlign w:val="center"/>
            <w:tcMar>
              <w:top w:w="80" w:type="dxa"/>
              <w:start w:w="120" w:type="dxa"/>
              <w:bottom w:w="80" w:type="dxa"/>
              <w:end w:w="120" w:type="dxa"/>
            </w:tcMar>
          </w:tcPr>
          <w:p>
            <w:r>
              <w:rPr>
                <w:sz w:val="16"/>
                <w:lang w:val="en-GB"/>
              </w:rPr>
              <w:t>Before data access</w:t>
            </w:r>
          </w:p>
        </w:tc>
        <w:tc>
          <w:tcPr>
            <w:tcW w:type="dxa" w:w="1560"/>
            <w:vAlign w:val="center"/>
            <w:tcMar>
              <w:top w:w="80" w:type="dxa"/>
              <w:start w:w="120" w:type="dxa"/>
              <w:bottom w:w="80" w:type="dxa"/>
              <w:end w:w="120" w:type="dxa"/>
            </w:tcMar>
          </w:tcPr>
          <w:p>
            <w:r>
              <w:rPr>
                <w:sz w:val="16"/>
                <w:lang w:val="en-GB"/>
              </w:rPr>
              <w:t>DPO and data owner</w:t>
            </w:r>
          </w:p>
        </w:tc>
        <w:tc>
          <w:tcPr>
            <w:tcW w:type="dxa" w:w="3400"/>
            <w:vAlign w:val="center"/>
            <w:tcMar>
              <w:top w:w="80" w:type="dxa"/>
              <w:start w:w="120" w:type="dxa"/>
              <w:bottom w:w="80" w:type="dxa"/>
              <w:end w:w="120" w:type="dxa"/>
            </w:tcMar>
          </w:tcPr>
          <w:p>
            <w:r>
              <w:rPr>
                <w:sz w:val="16"/>
                <w:lang w:val="en-GB"/>
              </w:rPr>
              <w:t>DPIA screen, synthetic data, recipients and retention</w:t>
            </w:r>
          </w:p>
        </w:tc>
        <w:tc>
          <w:tcPr>
            <w:tcW w:type="dxa" w:w="2640"/>
            <w:vAlign w:val="center"/>
            <w:tcMar>
              <w:top w:w="80" w:type="dxa"/>
              <w:start w:w="120" w:type="dxa"/>
              <w:bottom w:w="80" w:type="dxa"/>
              <w:end w:w="120" w:type="dxa"/>
            </w:tcMar>
          </w:tcPr>
          <w:p>
            <w:r>
              <w:rPr>
                <w:sz w:val="16"/>
                <w:lang w:val="en-GB"/>
              </w:rPr>
              <w:t>Approved data-flow and synthetic marker test</w:t>
            </w:r>
          </w:p>
        </w:tc>
      </w:tr>
      <w:tr>
        <w:tc>
          <w:tcPr>
            <w:tcW w:type="dxa" w:w="1760"/>
            <w:vAlign w:val="center"/>
            <w:tcMar>
              <w:top w:w="80" w:type="dxa"/>
              <w:start w:w="120" w:type="dxa"/>
              <w:bottom w:w="80" w:type="dxa"/>
              <w:end w:w="120" w:type="dxa"/>
            </w:tcMar>
          </w:tcPr>
          <w:p>
            <w:r>
              <w:rPr>
                <w:sz w:val="16"/>
                <w:lang w:val="en-GB"/>
              </w:rPr>
              <w:t>Before authentication</w:t>
            </w:r>
          </w:p>
        </w:tc>
        <w:tc>
          <w:tcPr>
            <w:tcW w:type="dxa" w:w="1560"/>
            <w:vAlign w:val="center"/>
            <w:tcMar>
              <w:top w:w="80" w:type="dxa"/>
              <w:start w:w="120" w:type="dxa"/>
              <w:bottom w:w="80" w:type="dxa"/>
              <w:end w:w="120" w:type="dxa"/>
            </w:tcMar>
          </w:tcPr>
          <w:p>
            <w:r>
              <w:rPr>
                <w:sz w:val="16"/>
                <w:lang w:val="en-GB"/>
              </w:rPr>
              <w:t>Identity owner</w:t>
            </w:r>
          </w:p>
        </w:tc>
        <w:tc>
          <w:tcPr>
            <w:tcW w:type="dxa" w:w="3400"/>
            <w:vAlign w:val="center"/>
            <w:tcMar>
              <w:top w:w="80" w:type="dxa"/>
              <w:start w:w="120" w:type="dxa"/>
              <w:bottom w:w="80" w:type="dxa"/>
              <w:end w:w="120" w:type="dxa"/>
            </w:tcMar>
          </w:tcPr>
          <w:p>
            <w:r>
              <w:rPr>
                <w:sz w:val="16"/>
                <w:lang w:val="en-GB"/>
              </w:rPr>
              <w:t>Dedicated scoped account; managed secrets; revocation</w:t>
            </w:r>
          </w:p>
        </w:tc>
        <w:tc>
          <w:tcPr>
            <w:tcW w:type="dxa" w:w="2640"/>
            <w:vAlign w:val="center"/>
            <w:tcMar>
              <w:top w:w="80" w:type="dxa"/>
              <w:start w:w="120" w:type="dxa"/>
              <w:bottom w:w="80" w:type="dxa"/>
              <w:end w:w="120" w:type="dxa"/>
            </w:tcMar>
          </w:tcPr>
          <w:p>
            <w:r>
              <w:rPr>
                <w:sz w:val="16"/>
                <w:lang w:val="en-GB"/>
              </w:rPr>
              <w:t>Cross-workspace denial and token lifecycle</w:t>
            </w:r>
          </w:p>
        </w:tc>
      </w:tr>
      <w:tr>
        <w:tc>
          <w:tcPr>
            <w:tcW w:type="dxa" w:w="1760"/>
            <w:vAlign w:val="center"/>
            <w:tcMar>
              <w:top w:w="80" w:type="dxa"/>
              <w:start w:w="120" w:type="dxa"/>
              <w:bottom w:w="80" w:type="dxa"/>
              <w:end w:w="120" w:type="dxa"/>
            </w:tcMar>
          </w:tcPr>
          <w:p>
            <w:r>
              <w:rPr>
                <w:sz w:val="16"/>
                <w:lang w:val="en-GB"/>
              </w:rPr>
              <w:t>Before enterprise approval</w:t>
            </w:r>
          </w:p>
        </w:tc>
        <w:tc>
          <w:tcPr>
            <w:tcW w:type="dxa" w:w="1560"/>
            <w:vAlign w:val="center"/>
            <w:tcMar>
              <w:top w:w="80" w:type="dxa"/>
              <w:start w:w="120" w:type="dxa"/>
              <w:bottom w:w="80" w:type="dxa"/>
              <w:end w:w="120" w:type="dxa"/>
            </w:tcMar>
          </w:tcPr>
          <w:p>
            <w:r>
              <w:rPr>
                <w:sz w:val="16"/>
                <w:lang w:val="en-GB"/>
              </w:rPr>
              <w:t>Technology risk owner</w:t>
            </w:r>
          </w:p>
        </w:tc>
        <w:tc>
          <w:tcPr>
            <w:tcW w:type="dxa" w:w="3400"/>
            <w:vAlign w:val="center"/>
            <w:tcMar>
              <w:top w:w="80" w:type="dxa"/>
              <w:start w:w="120" w:type="dxa"/>
              <w:bottom w:w="80" w:type="dxa"/>
              <w:end w:w="120" w:type="dxa"/>
            </w:tcMar>
          </w:tcPr>
          <w:p>
            <w:r>
              <w:rPr>
                <w:sz w:val="16"/>
                <w:lang w:val="en-GB"/>
              </w:rPr>
              <w:t>Resolve findings and native client controls</w:t>
            </w:r>
          </w:p>
        </w:tc>
        <w:tc>
          <w:tcPr>
            <w:tcW w:type="dxa" w:w="2640"/>
            <w:vAlign w:val="center"/>
            <w:tcMar>
              <w:top w:w="80" w:type="dxa"/>
              <w:start w:w="120" w:type="dxa"/>
              <w:bottom w:w="80" w:type="dxa"/>
              <w:end w:w="120" w:type="dxa"/>
            </w:tcMar>
          </w:tcPr>
          <w:p>
            <w:r>
              <w:rPr>
                <w:sz w:val="16"/>
                <w:lang w:val="en-GB"/>
              </w:rPr>
              <w:t>Signed acceptance of exact mode/build/data scope</w:t>
            </w:r>
          </w:p>
        </w:tc>
      </w:tr>
      <w:tr>
        <w:tc>
          <w:tcPr>
            <w:tcW w:type="dxa" w:w="1760"/>
            <w:vAlign w:val="center"/>
            <w:tcMar>
              <w:top w:w="80" w:type="dxa"/>
              <w:start w:w="120" w:type="dxa"/>
              <w:bottom w:w="80" w:type="dxa"/>
              <w:end w:w="120" w:type="dxa"/>
            </w:tcMar>
          </w:tcPr>
          <w:p>
            <w:r>
              <w:rPr>
                <w:sz w:val="16"/>
                <w:lang w:val="en-GB"/>
              </w:rPr>
              <w:t>On change or monthly</w:t>
            </w:r>
          </w:p>
        </w:tc>
        <w:tc>
          <w:tcPr>
            <w:tcW w:type="dxa" w:w="1560"/>
            <w:vAlign w:val="center"/>
            <w:tcMar>
              <w:top w:w="80" w:type="dxa"/>
              <w:start w:w="120" w:type="dxa"/>
              <w:bottom w:w="80" w:type="dxa"/>
              <w:end w:w="120" w:type="dxa"/>
            </w:tcMar>
          </w:tcPr>
          <w:p>
            <w:r>
              <w:rPr>
                <w:sz w:val="16"/>
                <w:lang w:val="en-GB"/>
              </w:rPr>
              <w:t>Service owner</w:t>
            </w:r>
          </w:p>
        </w:tc>
        <w:tc>
          <w:tcPr>
            <w:tcW w:type="dxa" w:w="3400"/>
            <w:vAlign w:val="center"/>
            <w:tcMar>
              <w:top w:w="80" w:type="dxa"/>
              <w:start w:w="120" w:type="dxa"/>
              <w:bottom w:w="80" w:type="dxa"/>
              <w:end w:w="120" w:type="dxa"/>
            </w:tcMar>
          </w:tcPr>
          <w:p>
            <w:r>
              <w:rPr>
                <w:sz w:val="16"/>
                <w:lang w:val="en-GB"/>
              </w:rPr>
              <w:t>Review advisories, schema changes, logs and provider status</w:t>
            </w:r>
          </w:p>
        </w:tc>
        <w:tc>
          <w:tcPr>
            <w:tcW w:type="dxa" w:w="2640"/>
            <w:vAlign w:val="center"/>
            <w:tcMar>
              <w:top w:w="80" w:type="dxa"/>
              <w:start w:w="120" w:type="dxa"/>
              <w:bottom w:w="80" w:type="dxa"/>
              <w:end w:w="120" w:type="dxa"/>
            </w:tcMar>
          </w:tcPr>
          <w:p>
            <w:r>
              <w:rPr>
                <w:sz w:val="16"/>
                <w:lang w:val="en-GB"/>
              </w:rPr>
              <w:t>Dated review and exception/exit evidence</w:t>
            </w:r>
          </w:p>
        </w:tc>
      </w:tr>
    </w:tbl>
    <w:p/>
    <w:p>
      <w:pPr>
        <w:pStyle w:val="Heading1"/>
      </w:pPr>
      <w:r>
        <w:rPr>
          <w:lang w:val="en-GB"/>
        </w:rPr>
        <w:t>Detection Opportunities and Monitoring Plan</w:t>
      </w:r>
    </w:p>
    <w:p>
      <w:r>
        <w:rPr>
          <w:lang w:val="en-GB"/>
        </w:rPr>
        <w:t xml:space="preserve">Monitor server identity and capabilities as well as actions. A remote endpoint can change its schemas without changing a developer configuration file; a local process can change through dependency resolution. Bind discovery snapshots to approved versions and require review when privileges expand. Preserve correlation identifiers and outcomes without raw secret-bearing payloads. If Postman audit availability depends on plan or tenant configuration, retain an explicit capability gap. </w:t>
      </w:r>
      <w:hyperlink w:anchor="REF_002">
        <w:r>
          <w:rPr>
            <w:rStyle w:val="Hyperlink"/>
            <w:lang w:val="en-GB"/>
          </w:rPr>
          <w:t>[REF-002]</w:t>
        </w:r>
      </w:hyperlink>
      <w:r>
        <w:rPr>
          <w:lang w:val="en-GB"/>
        </w:rPr>
        <w:t xml:space="preserve"> </w:t>
      </w:r>
      <w:hyperlink w:anchor="REF_016">
        <w:r>
          <w:rPr>
            <w:rStyle w:val="Hyperlink"/>
            <w:lang w:val="en-GB"/>
          </w:rPr>
          <w:t>[REF-016]</w:t>
        </w:r>
      </w:hyperlink>
      <w:r>
        <w:rPr>
          <w:lang w:val="en-GB"/>
        </w:rPr>
        <w:t xml:space="preserve"> </w:t>
      </w:r>
      <w:hyperlink w:anchor="REF_024">
        <w:r>
          <w:rPr>
            <w:rStyle w:val="Hyperlink"/>
            <w:lang w:val="en-GB"/>
          </w:rPr>
          <w:t>[REF-024]</w:t>
        </w:r>
      </w:hyperlink>
    </w:p>
    <w:p>
      <w:r>
        <w:rPr>
          <w:lang w:val="en-GB"/>
        </w:rPr>
        <w:t>Run synthetic positive and negative detection tests before operational reliance: unexpected destination, denied write, changed schema, credential revocation and run-data upload marker. Define who investigates, how containment works and how long logs are retained. An absence of alerts in an untested integration is not evidence that malicious or erroneous activity would be detected.</w:t>
      </w:r>
    </w:p>
    <w:p>
      <w:pPr>
        <w:pStyle w:val="Caption"/>
      </w:pPr>
      <w:r>
        <w:rPr>
          <w:b/>
          <w:lang w:val="en-GB"/>
        </w:rPr>
        <w:t>Monitoring use cases</w:t>
      </w:r>
    </w:p>
    <w:tbl>
      <w:tblPr>
        <w:tblStyle w:val="TableGrid"/>
        <w:tblW w:type="dxa" w:w="9360"/>
        <w:tblLayout w:type="fixed"/>
        <w:tblLook w:firstColumn="1" w:firstRow="1" w:lastColumn="0" w:lastRow="0" w:noHBand="0" w:noVBand="1" w:val="04A0"/>
        <w:tblInd w:w="120" w:type="dxa"/>
      </w:tblPr>
      <w:tblGrid>
        <w:gridCol w:w="2348"/>
        <w:gridCol w:w="3663"/>
        <w:gridCol w:w="3349"/>
      </w:tblGrid>
      <w:tr>
        <w:trPr>
          <w:tblHeader w:val="true"/>
        </w:trPr>
        <w:tc>
          <w:tcPr>
            <w:tcW w:type="dxa" w:w="2348"/>
            <w:shd w:fill="F2F4F7"/>
            <w:vAlign w:val="center"/>
            <w:tcMar>
              <w:top w:w="80" w:type="dxa"/>
              <w:start w:w="120" w:type="dxa"/>
              <w:bottom w:w="80" w:type="dxa"/>
              <w:end w:w="120" w:type="dxa"/>
            </w:tcMar>
          </w:tcPr>
          <w:p>
            <w:r>
              <w:rPr>
                <w:b/>
                <w:sz w:val="16"/>
                <w:lang w:val="en-GB"/>
              </w:rPr>
              <w:t>Signal</w:t>
            </w:r>
          </w:p>
        </w:tc>
        <w:tc>
          <w:tcPr>
            <w:tcW w:type="dxa" w:w="3663"/>
            <w:shd w:fill="F2F4F7"/>
            <w:vAlign w:val="center"/>
            <w:tcMar>
              <w:top w:w="80" w:type="dxa"/>
              <w:start w:w="120" w:type="dxa"/>
              <w:bottom w:w="80" w:type="dxa"/>
              <w:end w:w="120" w:type="dxa"/>
            </w:tcMar>
          </w:tcPr>
          <w:p>
            <w:r>
              <w:rPr>
                <w:b/>
                <w:sz w:val="16"/>
                <w:lang w:val="en-GB"/>
              </w:rPr>
              <w:t>Detection objective</w:t>
            </w:r>
          </w:p>
        </w:tc>
        <w:tc>
          <w:tcPr>
            <w:tcW w:type="dxa" w:w="3349"/>
            <w:shd w:fill="F2F4F7"/>
            <w:vAlign w:val="center"/>
            <w:tcMar>
              <w:top w:w="80" w:type="dxa"/>
              <w:start w:w="120" w:type="dxa"/>
              <w:bottom w:w="80" w:type="dxa"/>
              <w:end w:w="120" w:type="dxa"/>
            </w:tcMar>
          </w:tcPr>
          <w:p>
            <w:r>
              <w:rPr>
                <w:b/>
                <w:sz w:val="16"/>
                <w:lang w:val="en-GB"/>
              </w:rPr>
              <w:t>Owner and test</w:t>
            </w:r>
          </w:p>
        </w:tc>
      </w:tr>
      <w:tr>
        <w:tc>
          <w:tcPr>
            <w:tcW w:type="dxa" w:w="2348"/>
            <w:vAlign w:val="center"/>
            <w:tcMar>
              <w:top w:w="80" w:type="dxa"/>
              <w:start w:w="120" w:type="dxa"/>
              <w:bottom w:w="80" w:type="dxa"/>
              <w:end w:w="120" w:type="dxa"/>
            </w:tcMar>
          </w:tcPr>
          <w:p>
            <w:r>
              <w:rPr>
                <w:sz w:val="16"/>
                <w:lang w:val="en-GB"/>
              </w:rPr>
              <w:t>New command or origin</w:t>
            </w:r>
          </w:p>
        </w:tc>
        <w:tc>
          <w:tcPr>
            <w:tcW w:type="dxa" w:w="3663"/>
            <w:vAlign w:val="center"/>
            <w:tcMar>
              <w:top w:w="80" w:type="dxa"/>
              <w:start w:w="120" w:type="dxa"/>
              <w:bottom w:w="80" w:type="dxa"/>
              <w:end w:w="120" w:type="dxa"/>
            </w:tcMar>
          </w:tcPr>
          <w:p>
            <w:r>
              <w:rPr>
                <w:sz w:val="16"/>
                <w:lang w:val="en-GB"/>
              </w:rPr>
              <w:t>Unapproved server or key destination</w:t>
            </w:r>
          </w:p>
        </w:tc>
        <w:tc>
          <w:tcPr>
            <w:tcW w:type="dxa" w:w="3349"/>
            <w:vAlign w:val="center"/>
            <w:tcMar>
              <w:top w:w="80" w:type="dxa"/>
              <w:start w:w="120" w:type="dxa"/>
              <w:bottom w:w="80" w:type="dxa"/>
              <w:end w:w="120" w:type="dxa"/>
            </w:tcMar>
          </w:tcPr>
          <w:p>
            <w:r>
              <w:rPr>
                <w:sz w:val="16"/>
                <w:lang w:val="en-GB"/>
              </w:rPr>
              <w:t>Endpoint security; denied config test</w:t>
            </w:r>
          </w:p>
        </w:tc>
      </w:tr>
      <w:tr>
        <w:tc>
          <w:tcPr>
            <w:tcW w:type="dxa" w:w="2348"/>
            <w:vAlign w:val="center"/>
            <w:tcMar>
              <w:top w:w="80" w:type="dxa"/>
              <w:start w:w="120" w:type="dxa"/>
              <w:bottom w:w="80" w:type="dxa"/>
              <w:end w:w="120" w:type="dxa"/>
            </w:tcMar>
          </w:tcPr>
          <w:p>
            <w:r>
              <w:rPr>
                <w:sz w:val="16"/>
                <w:lang w:val="en-GB"/>
              </w:rPr>
              <w:t>Changed tools/schema</w:t>
            </w:r>
          </w:p>
        </w:tc>
        <w:tc>
          <w:tcPr>
            <w:tcW w:type="dxa" w:w="3663"/>
            <w:vAlign w:val="center"/>
            <w:tcMar>
              <w:top w:w="80" w:type="dxa"/>
              <w:start w:w="120" w:type="dxa"/>
              <w:bottom w:w="80" w:type="dxa"/>
              <w:end w:w="120" w:type="dxa"/>
            </w:tcMar>
          </w:tcPr>
          <w:p>
            <w:r>
              <w:rPr>
                <w:sz w:val="16"/>
                <w:lang w:val="en-GB"/>
              </w:rPr>
              <w:t>Permission expansion or poisoning</w:t>
            </w:r>
          </w:p>
        </w:tc>
        <w:tc>
          <w:tcPr>
            <w:tcW w:type="dxa" w:w="3349"/>
            <w:vAlign w:val="center"/>
            <w:tcMar>
              <w:top w:w="80" w:type="dxa"/>
              <w:start w:w="120" w:type="dxa"/>
              <w:bottom w:w="80" w:type="dxa"/>
              <w:end w:w="120" w:type="dxa"/>
            </w:tcMar>
          </w:tcPr>
          <w:p>
            <w:r>
              <w:rPr>
                <w:sz w:val="16"/>
                <w:lang w:val="en-GB"/>
              </w:rPr>
              <w:t>Platform owner; capability-change test</w:t>
            </w:r>
          </w:p>
        </w:tc>
      </w:tr>
      <w:tr>
        <w:tc>
          <w:tcPr>
            <w:tcW w:type="dxa" w:w="2348"/>
            <w:vAlign w:val="center"/>
            <w:tcMar>
              <w:top w:w="80" w:type="dxa"/>
              <w:start w:w="120" w:type="dxa"/>
              <w:bottom w:w="80" w:type="dxa"/>
              <w:end w:w="120" w:type="dxa"/>
            </w:tcMar>
          </w:tcPr>
          <w:p>
            <w:r>
              <w:rPr>
                <w:sz w:val="16"/>
                <w:lang w:val="en-GB"/>
              </w:rPr>
              <w:t>Collection runner calls</w:t>
            </w:r>
          </w:p>
        </w:tc>
        <w:tc>
          <w:tcPr>
            <w:tcW w:type="dxa" w:w="3663"/>
            <w:vAlign w:val="center"/>
            <w:tcMar>
              <w:top w:w="80" w:type="dxa"/>
              <w:start w:w="120" w:type="dxa"/>
              <w:bottom w:w="80" w:type="dxa"/>
              <w:end w:w="120" w:type="dxa"/>
            </w:tcMar>
          </w:tcPr>
          <w:p>
            <w:r>
              <w:rPr>
                <w:sz w:val="16"/>
                <w:lang w:val="en-GB"/>
              </w:rPr>
              <w:t>Unexpected internal reach or repeated execution</w:t>
            </w:r>
          </w:p>
        </w:tc>
        <w:tc>
          <w:tcPr>
            <w:tcW w:type="dxa" w:w="3349"/>
            <w:vAlign w:val="center"/>
            <w:tcMar>
              <w:top w:w="80" w:type="dxa"/>
              <w:start w:w="120" w:type="dxa"/>
              <w:bottom w:w="80" w:type="dxa"/>
              <w:end w:w="120" w:type="dxa"/>
            </w:tcMar>
          </w:tcPr>
          <w:p>
            <w:r>
              <w:rPr>
                <w:sz w:val="16"/>
                <w:lang w:val="en-GB"/>
              </w:rPr>
              <w:t>SOC; synthetic denied target</w:t>
            </w:r>
          </w:p>
        </w:tc>
      </w:tr>
      <w:tr>
        <w:tc>
          <w:tcPr>
            <w:tcW w:type="dxa" w:w="2348"/>
            <w:vAlign w:val="center"/>
            <w:tcMar>
              <w:top w:w="80" w:type="dxa"/>
              <w:start w:w="120" w:type="dxa"/>
              <w:bottom w:w="80" w:type="dxa"/>
              <w:end w:w="120" w:type="dxa"/>
            </w:tcMar>
          </w:tcPr>
          <w:p>
            <w:r>
              <w:rPr>
                <w:sz w:val="16"/>
                <w:lang w:val="en-GB"/>
              </w:rPr>
              <w:t>Cloud run history</w:t>
            </w:r>
          </w:p>
        </w:tc>
        <w:tc>
          <w:tcPr>
            <w:tcW w:type="dxa" w:w="3663"/>
            <w:vAlign w:val="center"/>
            <w:tcMar>
              <w:top w:w="80" w:type="dxa"/>
              <w:start w:w="120" w:type="dxa"/>
              <w:bottom w:w="80" w:type="dxa"/>
              <w:end w:w="120" w:type="dxa"/>
            </w:tcMar>
          </w:tcPr>
          <w:p>
            <w:r>
              <w:rPr>
                <w:sz w:val="16"/>
                <w:lang w:val="en-GB"/>
              </w:rPr>
              <w:t>Synthetic payload upload and access</w:t>
            </w:r>
          </w:p>
        </w:tc>
        <w:tc>
          <w:tcPr>
            <w:tcW w:type="dxa" w:w="3349"/>
            <w:vAlign w:val="center"/>
            <w:tcMar>
              <w:top w:w="80" w:type="dxa"/>
              <w:start w:w="120" w:type="dxa"/>
              <w:bottom w:w="80" w:type="dxa"/>
              <w:end w:w="120" w:type="dxa"/>
            </w:tcMar>
          </w:tcPr>
          <w:p>
            <w:r>
              <w:rPr>
                <w:sz w:val="16"/>
                <w:lang w:val="en-GB"/>
              </w:rPr>
              <w:t>DPO/SOC; marker and deletion test</w:t>
            </w:r>
          </w:p>
        </w:tc>
      </w:tr>
      <w:tr>
        <w:tc>
          <w:tcPr>
            <w:tcW w:type="dxa" w:w="2348"/>
            <w:vAlign w:val="center"/>
            <w:tcMar>
              <w:top w:w="80" w:type="dxa"/>
              <w:start w:w="120" w:type="dxa"/>
              <w:bottom w:w="80" w:type="dxa"/>
              <w:end w:w="120" w:type="dxa"/>
            </w:tcMar>
          </w:tcPr>
          <w:p>
            <w:r>
              <w:rPr>
                <w:sz w:val="16"/>
                <w:lang w:val="en-GB"/>
              </w:rPr>
              <w:t>Mutation/publication/roles</w:t>
            </w:r>
          </w:p>
        </w:tc>
        <w:tc>
          <w:tcPr>
            <w:tcW w:type="dxa" w:w="3663"/>
            <w:vAlign w:val="center"/>
            <w:tcMar>
              <w:top w:w="80" w:type="dxa"/>
              <w:start w:w="120" w:type="dxa"/>
              <w:bottom w:w="80" w:type="dxa"/>
              <w:end w:w="120" w:type="dxa"/>
            </w:tcMar>
          </w:tcPr>
          <w:p>
            <w:r>
              <w:rPr>
                <w:sz w:val="16"/>
                <w:lang w:val="en-GB"/>
              </w:rPr>
              <w:t>Unexpected external effect</w:t>
            </w:r>
          </w:p>
        </w:tc>
        <w:tc>
          <w:tcPr>
            <w:tcW w:type="dxa" w:w="3349"/>
            <w:vAlign w:val="center"/>
            <w:tcMar>
              <w:top w:w="80" w:type="dxa"/>
              <w:start w:w="120" w:type="dxa"/>
              <w:bottom w:w="80" w:type="dxa"/>
              <w:end w:w="120" w:type="dxa"/>
            </w:tcMar>
          </w:tcPr>
          <w:p>
            <w:r>
              <w:rPr>
                <w:sz w:val="16"/>
                <w:lang w:val="en-GB"/>
              </w:rPr>
              <w:t>API owner; dedicated-account denial</w:t>
            </w:r>
          </w:p>
        </w:tc>
      </w:tr>
      <w:tr>
        <w:tc>
          <w:tcPr>
            <w:tcW w:type="dxa" w:w="2348"/>
            <w:vAlign w:val="center"/>
            <w:tcMar>
              <w:top w:w="80" w:type="dxa"/>
              <w:start w:w="120" w:type="dxa"/>
              <w:bottom w:w="80" w:type="dxa"/>
              <w:end w:w="120" w:type="dxa"/>
            </w:tcMar>
          </w:tcPr>
          <w:p>
            <w:r>
              <w:rPr>
                <w:sz w:val="16"/>
                <w:lang w:val="en-GB"/>
              </w:rPr>
              <w:t>Revocation and uninstall</w:t>
            </w:r>
          </w:p>
        </w:tc>
        <w:tc>
          <w:tcPr>
            <w:tcW w:type="dxa" w:w="3663"/>
            <w:vAlign w:val="center"/>
            <w:tcMar>
              <w:top w:w="80" w:type="dxa"/>
              <w:start w:w="120" w:type="dxa"/>
              <w:bottom w:w="80" w:type="dxa"/>
              <w:end w:w="120" w:type="dxa"/>
            </w:tcMar>
          </w:tcPr>
          <w:p>
            <w:r>
              <w:rPr>
                <w:sz w:val="16"/>
                <w:lang w:val="en-GB"/>
              </w:rPr>
              <w:t>Continued authority or residual process</w:t>
            </w:r>
          </w:p>
        </w:tc>
        <w:tc>
          <w:tcPr>
            <w:tcW w:type="dxa" w:w="3349"/>
            <w:vAlign w:val="center"/>
            <w:tcMar>
              <w:top w:w="80" w:type="dxa"/>
              <w:start w:w="120" w:type="dxa"/>
              <w:bottom w:w="80" w:type="dxa"/>
              <w:end w:w="120" w:type="dxa"/>
            </w:tcMar>
          </w:tcPr>
          <w:p>
            <w:r>
              <w:rPr>
                <w:sz w:val="16"/>
                <w:lang w:val="en-GB"/>
              </w:rPr>
              <w:t>Identity/endpoint owners; repeat deny test</w:t>
            </w:r>
          </w:p>
        </w:tc>
      </w:tr>
    </w:tbl>
    <w:p/>
    <w:p>
      <w:r>
        <w:rPr>
          <w:lang w:val="en-GB"/>
        </w:rPr>
        <w:t>Risk scale: likelihood 1 Rare, 2 Unlikely, 3 Possible, 4 Likely, 5 Almost certain; impact 1 Insignificant, 2 Minor, 3 Moderate, 4 Major, 5 Severe. Product bands: 1–4 Low, 5–9 Moderate, 10–16 High, 17–25 Critical. These are judgement-based enterprise scenarios for assumed access to sensitive insurer APIs, not measured event probabilities. Evidence gaps do not establish failure; provisional scores require recalibration against the actual tenant, data classes and tested controls. Confidence is reported separately.</w:t>
      </w:r>
    </w:p>
    <w:p>
      <w:pPr>
        <w:pStyle w:val="Heading1"/>
      </w:pPr>
      <w:r>
        <w:rPr>
          <w:lang w:val="en-GB"/>
        </w:rPr>
        <w:t>Residual Risk and Approval Recommendation</w:t>
      </w:r>
    </w:p>
    <w:p>
      <w:r>
        <w:rPr>
          <w:lang w:val="en-GB"/>
        </w:rPr>
        <w:t xml:space="preserve">Defer pending evidence for VS Code local, VS Code hosted US, VS Code hosted EU, Visual Studio local, Visual Studio hosted US and Visual Studio hosted EU. Overall residual risk is High under the assumed enterprise scope; this is not an assertion that every configuration is equally risky. Operational approval cannot be granted without the selected runtime evidence and tenant contract/data decisions. For a lower-exposure use case, a controlled synthetic pilot may be considered after its environment and tool policies are approved. </w:t>
      </w:r>
      <w:hyperlink w:anchor="REF_003">
        <w:r>
          <w:rPr>
            <w:rStyle w:val="Hyperlink"/>
            <w:lang w:val="en-GB"/>
          </w:rPr>
          <w:t>[REF-003]</w:t>
        </w:r>
      </w:hyperlink>
      <w:r>
        <w:rPr>
          <w:lang w:val="en-GB"/>
        </w:rPr>
        <w:t xml:space="preserve"> </w:t>
      </w:r>
      <w:hyperlink w:anchor="REF_004">
        <w:r>
          <w:rPr>
            <w:rStyle w:val="Hyperlink"/>
            <w:lang w:val="en-GB"/>
          </w:rPr>
          <w:t>[REF-004]</w:t>
        </w:r>
      </w:hyperlink>
      <w:r>
        <w:rPr>
          <w:lang w:val="en-GB"/>
        </w:rPr>
        <w:t xml:space="preserve"> </w:t>
      </w:r>
      <w:hyperlink w:anchor="REF_005">
        <w:r>
          <w:rPr>
            <w:rStyle w:val="Hyperlink"/>
            <w:lang w:val="en-GB"/>
          </w:rPr>
          <w:t>[REF-005]</w:t>
        </w:r>
      </w:hyperlink>
      <w:r>
        <w:rPr>
          <w:lang w:val="en-GB"/>
        </w:rPr>
        <w:t xml:space="preserve"> </w:t>
      </w:r>
      <w:hyperlink w:anchor="REF_006">
        <w:r>
          <w:rPr>
            <w:rStyle w:val="Hyperlink"/>
            <w:lang w:val="en-GB"/>
          </w:rPr>
          <w:t>[REF-006]</w:t>
        </w:r>
      </w:hyperlink>
    </w:p>
    <w:p>
      <w:r>
        <w:rPr>
          <w:lang w:val="en-GB"/>
        </w:rPr>
        <w:t>Accountability belongs to the technology risk owner with platform security, identity, DPO, API/service owner and supplier-risk input. Approval must specify exact host builds, artefact/dependency digests or hosted endpoint/version evidence, tool subset, account scope, data classes, network policy, expiry and review trigger. New service capabilities, collection scripts, model providers or dependency resolutions trigger reassessment even when package version remains unchanged.</w:t>
      </w:r>
    </w:p>
    <w:p>
      <w:pPr>
        <w:pStyle w:val="Heading1"/>
      </w:pPr>
      <w:r>
        <w:rPr>
          <w:lang w:val="en-GB"/>
        </w:rPr>
        <w:t>Limitations and Confidence Levels</w:t>
      </w:r>
    </w:p>
    <w:p>
      <w:r>
        <w:rPr>
          <w:lang w:val="en-GB"/>
        </w:rPr>
        <w:t>No authenticated runtime was performed because no safe disposable test environment was supplied. No normal IDE, personal account, production credential or repository was used. No remote implementation, tenant isolation, actual scopes, TLS behavior, log redaction, uninstall residue, run-history retention or automated consent behavior was directly observed. These gaps remain visible in each IDE and mode decision rather than being converted to unsupported negative claims.</w:t>
      </w:r>
    </w:p>
    <w:p>
      <w:r>
        <w:rPr>
          <w:lang w:val="en-GB"/>
        </w:rPr>
        <w:t>The source/package comparison validates byte equality against published compiled source, not a clean rebuild. Registry signatures attest the registry integrity statement, not complete end-to-end supply-chain trust. Advisory signals may be unreachable and installed versions may differ. Refreshed ClamAV signatures remove the earlier stale-database limitation; unavailable approved YARA/IOC rules, transitive installed files and hosted internals still limit assurance. High confidence in a static call path does not prove actual data disclosure; low runtime confidence does not lower enterprise impact.</w:t>
      </w:r>
    </w:p>
    <w:p>
      <w:r>
        <w:rPr>
          <w:lang w:val="en-GB"/>
        </w:rPr>
        <w:t>The report is a PUBLIC classified assessment with deployment approval deferred. Classification describes content suitability, not publication clearance. Native Word rendering, every-page review and deterministic checks are separate document gates; the retained QA record must accurately state their outcomes. No certification, organisational compliance assurance or vendor vulnerability disclosure is implied.</w:t>
      </w:r>
    </w:p>
    <w:p>
      <w:pPr>
        <w:pStyle w:val="Heading1"/>
      </w:pPr>
      <w:r>
        <w:rPr>
          <w:lang w:val="en-GB"/>
        </w:rPr>
        <w:t>Appendix Runtime Verification Procedure</w:t>
      </w:r>
    </w:p>
    <w:p>
      <w:r>
        <w:rPr>
          <w:lang w:val="en-GB"/>
        </w:rPr>
        <w:t>Prepare separate disposable hosts for scoped VS Code OS/builds and Windows Visual Studio versions. Create a synthetic Postman account with one approved private test workspace and an unrelated denied workspace. Use a local synthetic API with harmless operations, marker bodies and fake credentials. Deny all other egress except exact necessary Postman/identity/model destinations agreed for the test; do not use real cloud metadata or internal production targets to test denial.</w:t>
      </w:r>
    </w:p>
    <w:p>
      <w:r>
        <w:rPr>
          <w:lang w:val="en-GB"/>
        </w:rPr>
        <w:t>Baseline all files/configuration/processes, extension and MCP inventories, network/DNS and synthetic account resources. Install only the reviewed artefact and dependency closure in an analysis copy, never execute the preserved source snapshot. Capture initialization, tools/resources/prompts, permission defaults, read and mutation results, secret/error behavior and capability changes. Use synthetic request/response markers to determine uploads, visibility, retention and deletion. Test cancellation, bounded iterations and process termination without destructive actions.</w:t>
      </w:r>
    </w:p>
    <w:p>
      <w:r>
        <w:rPr>
          <w:lang w:val="en-GB"/>
        </w:rPr>
        <w:t>Revoke account tokens and remove registration; prove further calls fail, processes stop and expected cache/identifier residue is inventoried. Restore the host snapshot and retain a non-sensitive evidence chain with times, versions, hashes and outcomes. Record blocked checks individually and do not reduce scores until each claimed control is tested. These steps are closure requirements, not evidence that the tests have happened.</w:t>
      </w:r>
    </w:p>
    <w:p>
      <w:pPr>
        <w:pStyle w:val="Heading1"/>
      </w:pPr>
      <w:r>
        <w:rPr>
          <w:lang w:val="en-GB"/>
        </w:rPr>
        <w:t>Individual Finding Records</w:t>
      </w:r>
    </w:p>
    <w:p>
      <w:pPr>
        <w:pStyle w:val="Heading2"/>
      </w:pPr>
      <w:r>
        <w:rPr>
          <w:lang w:val="en-GB"/>
        </w:rPr>
        <w:t>F-001 — Local run data reaches cloud history</w:t>
      </w:r>
    </w:p>
    <w:p>
      <w:pPr>
        <w:pStyle w:val="Caption"/>
      </w:pPr>
      <w:r>
        <w:rPr>
          <w:b/>
          <w:lang w:val="en-GB"/>
        </w:rPr>
        <w:t>Finding record — F-001</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Both IDEs local 2.13.0</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Verified behavior and privacy control gap. A user runs a collection whose request/response contains sensitive data. runner/index.ts lines 32-36 builds the payload and queues upload; runner/telemetry.ts lines 53-83 includes headers and bodies, and lines 183-195 posts to /collectionruns. No general telemetry opt-in guard is in this path. Asset: payload confidentiality. Actual secret exposure, receiver retention and visibility are Unknown without a synthetic runtime test. </w:t>
            </w:r>
            <w:hyperlink w:anchor="REF_002">
              <w:r>
                <w:rPr>
                  <w:rStyle w:val="Hyperlink"/>
                  <w:lang w:val="en-GB"/>
                </w:rPr>
                <w:t>[REF-002]</w:t>
              </w:r>
            </w:hyperlink>
          </w:p>
          <w:p>
            <w:r>
              <w:rPr>
                <w:lang w:val="en-GB"/>
              </w:rPr>
              <w:t>Scoring rationale:  Possible (3): sensitive payloads could routinely enter an approved collection run unless collections are restricted. Major (4): headers/bodies may contain credentials or regulated data. No observed exposure is asserted. Residual remains 12 High because TLS and telemetry opt-out do not prevent functional history upload; no effective masking/retention control is demonstrated.</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EVD-006,EVD-007</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TLS-validated default API path and general telemetry off are evidenced, but neither prevents this functional run-history transfer. Enterprise redaction and retention not demonstrated.</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1 Weak</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Restrict runCollection to approved synthetic collections; obtain run-record data terms; verify redaction or disable runner for sensitive APIs.</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DPO and API platform owner</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Trace fake header/body markers to run history with telemetry false; verify recipients, masking, access and deletion.</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LLM02; MCP10; ASVS 5.0.0 V14.2.3/V16.2.5; UK GDPR 5/25/32</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High static / Low runtime</w:t>
            </w:r>
          </w:p>
        </w:tc>
      </w:tr>
    </w:tbl>
    <w:p/>
    <w:p>
      <w:pPr>
        <w:pStyle w:val="Heading2"/>
      </w:pPr>
      <w:r>
        <w:rPr>
          <w:lang w:val="en-GB"/>
        </w:rPr>
        <w:t>F-002 — Collection execution inherits network reach</w:t>
      </w:r>
    </w:p>
    <w:p>
      <w:pPr>
        <w:pStyle w:val="Caption"/>
      </w:pPr>
      <w:r>
        <w:rPr>
          <w:b/>
          <w:lang w:val="en-GB"/>
        </w:rPr>
        <w:t>Finding record — F-002</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Both IDEs local 2.13.0; hosted policy Unknown</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Verified intended open-world function; no demonstrated SSRF exploit. An authorised collection editor or manipulated agent selects a collection with unapproved URLs/scripts. fetchers.ts lines 10-36 obtains it, executor.ts lines 87-113/128-159 runs Newman; agents.ts lines 6-13 supplies no default destination filter. Asset: accessible APIs and data. Preconditions: host approves runCollection and network allows target. Do not infer arbitrary host code execution or sandbox escape. </w:t>
            </w:r>
            <w:hyperlink w:anchor="REF_002">
              <w:r>
                <w:rPr>
                  <w:rStyle w:val="Hyperlink"/>
                  <w:lang w:val="en-GB"/>
                </w:rPr>
                <w:t>[REF-002]</w:t>
              </w:r>
            </w:hyperlink>
          </w:p>
          <w:p>
            <w:r>
              <w:rPr>
                <w:lang w:val="en-GB"/>
              </w:rPr>
              <w:t>Scoring rationale:  Possible (3): a permitted runner could select edited or manipulated collection destinations when egress is unrestricted. Major (4): assumed sensitive API reach permits data disclosure or unwanted changes. Residual remains 12 High because hints and TLS do not enforce destinations; approval and isolation have not been tested.</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EVD-006</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Destructive/openWorld hints true and TLS verification enabled; host approval and egress enforcement not tested.</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1 Weak</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Require reviewed collection digest, explicit execution approval and isolated default-deny egress.</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Platform security</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Harmless allowed synthetic target succeeds; denied lab destinations/redirects are blocked; capture scripts and network without real internal targets.</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ASI02; MCP5; ASVS V1.3.6/V13.2.5; CWE-918 scenario only</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High static / Low runtime</w:t>
            </w:r>
          </w:p>
        </w:tc>
      </w:tr>
    </w:tbl>
    <w:p/>
    <w:p>
      <w:pPr>
        <w:pStyle w:val="Heading2"/>
      </w:pPr>
      <w:r>
        <w:rPr>
          <w:lang w:val="en-GB"/>
        </w:rPr>
        <w:t>F-003 — Installed dependency closure can drift</w:t>
      </w:r>
    </w:p>
    <w:p>
      <w:pPr>
        <w:pStyle w:val="Caption"/>
      </w:pPr>
      <w:r>
        <w:rPr>
          <w:b/>
          <w:lang w:val="en-GB"/>
        </w:rPr>
        <w:t>Finding record — F-003</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Local npm or Docker deployment both IDEs</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Verified supply-chain property. An unchanged package version with ranged dependencies can resolve to a different transitive closure. Source has pnpm lock but published npm distribution is not locked to that closure. Docker base Node tags are mutable. All dist bytes match source; source package.json differs from published metadata. Asset: process integrity and reproducibility. No malicious dependency installation was observed. </w:t>
            </w:r>
            <w:hyperlink w:anchor="REF_001">
              <w:r>
                <w:rPr>
                  <w:rStyle w:val="Hyperlink"/>
                  <w:lang w:val="en-GB"/>
                </w:rPr>
                <w:t>[REF-001]</w:t>
              </w:r>
            </w:hyperlink>
            <w:r>
              <w:rPr>
                <w:sz w:val="16"/>
                <w:lang w:val="en-GB"/>
              </w:rPr>
              <w:t xml:space="preserve"> </w:t>
            </w:r>
            <w:hyperlink w:anchor="REF_002">
              <w:r>
                <w:rPr>
                  <w:rStyle w:val="Hyperlink"/>
                  <w:lang w:val="en-GB"/>
                </w:rPr>
                <w:t>[REF-002]</w:t>
              </w:r>
            </w:hyperlink>
          </w:p>
          <w:p>
            <w:r>
              <w:rPr>
                <w:lang w:val="en-GB"/>
              </w:rPr>
              <w:t>Scoring rationale:  Possible (3): ranged resolution and mutable image tags can change a deployed closure during routine setup/update. Major (4): a compromised runtime dependency would run with the server process authority. Residual remains 12 High: valid registry signatures and dist parity establish origin consistency, not full closure safety or pinned deployment.</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EVD-003,EVD-004,EVD-009</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Registry signatures/integrity and compiled parity passed; Docker uses non-root and frozen lock but no image digest was acquired.</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2 Moderate</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Pin reviewed complete runtime closure and image digest; verify provenance and advisory applicability on every change.</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Software supply chain owner</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Reproduce isolated no-hook resolution; compare lock/digests; verify production dependency paths and safe clean rebuild.</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LLM04; ASI04; MCP4; AML.T0010</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High static / Low runtime</w:t>
            </w:r>
          </w:p>
        </w:tc>
      </w:tr>
    </w:tbl>
    <w:p/>
    <w:p>
      <w:pPr>
        <w:pStyle w:val="Heading2"/>
      </w:pPr>
      <w:r>
        <w:rPr>
          <w:lang w:val="en-GB"/>
        </w:rPr>
        <w:t>F-004 — Hosted assurance and processing remain unverified</w:t>
      </w:r>
    </w:p>
    <w:p>
      <w:pPr>
        <w:pStyle w:val="Caption"/>
      </w:pPr>
      <w:r>
        <w:rPr>
          <w:b/>
          <w:lang w:val="en-GB"/>
        </w:rPr>
        <w:t>Finding record — F-004</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Both IDEs remote US/EU</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Evidence gap. Hosted version, tenant isolation, scopes, tool parity, outbound runner policy, payload retention and contract-specific processors have not been observed. US OAuth and EU key authentication are documented; EU storage does not resolve all onward processing. Asset: tenant data and account authority. No cross-tenant failure or remote vulnerability is alleged. </w:t>
            </w:r>
            <w:hyperlink w:anchor="REF_004">
              <w:r>
                <w:rPr>
                  <w:rStyle w:val="Hyperlink"/>
                  <w:lang w:val="en-GB"/>
                </w:rPr>
                <w:t>[REF-004]</w:t>
              </w:r>
            </w:hyperlink>
            <w:r>
              <w:rPr>
                <w:sz w:val="16"/>
                <w:lang w:val="en-GB"/>
              </w:rPr>
              <w:t xml:space="preserve"> </w:t>
            </w:r>
            <w:hyperlink w:anchor="REF_007">
              <w:r>
                <w:rPr>
                  <w:rStyle w:val="Hyperlink"/>
                  <w:lang w:val="en-GB"/>
                </w:rPr>
                <w:t>[REF-007]</w:t>
              </w:r>
            </w:hyperlink>
            <w:r>
              <w:rPr>
                <w:sz w:val="16"/>
                <w:lang w:val="en-GB"/>
              </w:rPr>
              <w:t xml:space="preserve"> </w:t>
            </w:r>
            <w:hyperlink w:anchor="REF_008">
              <w:r>
                <w:rPr>
                  <w:rStyle w:val="Hyperlink"/>
                  <w:lang w:val="en-GB"/>
                </w:rPr>
                <w:t>[REF-008]</w:t>
              </w:r>
            </w:hyperlink>
          </w:p>
          <w:p>
            <w:r>
              <w:rPr>
                <w:lang w:val="en-GB"/>
              </w:rPr>
              <w:t>Scoring rationale:  Possible (3), provisional: broad account authority and sensitive data are assumed; absence of tenant evidence prevents demonstrating a lower exposure. Major (4): an actual isolation, authority or processing failure could affect regulated data. This is an assurance gap, not a measured failure probability. Residual remains 12 High because documented HTTPS/region choices do not demonstrate tenant isolation or contractual processing controls.</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EVD-011,EVD-012,EVD-013</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HTTPS and documented regional/authentication choices; no tested tenant control or signed DPA supplied.</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1 Weak</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Obtain tenant contract and hosted control evidence; test auth/authorization/revocation and selected tool surface before approval.</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Supplier risk owner and identity owner</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Synthetic tenant/workspace denial, OAuth issuer/audience/revocation checks, tool discovery diff, retention/deletion verification.</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MCP07; ASVS V8.3.1/V10.2.1; UK GDPR 28/44-49</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Medium documentary / Low operational</w:t>
            </w:r>
          </w:p>
        </w:tc>
      </w:tr>
    </w:tbl>
    <w:p/>
    <w:p>
      <w:pPr>
        <w:pStyle w:val="Heading2"/>
      </w:pPr>
      <w:r>
        <w:rPr>
          <w:lang w:val="en-GB"/>
        </w:rPr>
        <w:t>F-005 — Configuration and tool outputs carry secret risk</w:t>
      </w:r>
    </w:p>
    <w:p>
      <w:pPr>
        <w:pStyle w:val="Caption"/>
      </w:pPr>
      <w:r>
        <w:rPr>
          <w:b/>
          <w:lang w:val="en-GB"/>
        </w:rPr>
        <w:t>Finding record — F-005</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lang w:val="en-GB"/>
              </w:rPr>
              <w:t>Both IDEs local 2.13.0 verified static behavior; hosted secret/output controls Unknown</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Confirmed trust boundary with configuration-compromise prerequisite. env.ts lines 8-10 accepts arbitrary valid API URL; clients/postman.ts lines 142-156 sends x-api-key to that configured base. Enabled telemetry accepts a gateway override and raw client metadata. Environment/context output and upstream error text may expose values to the host. No tool-controlled base override or confirmed redirect credential leak was demonstrated. Asset: tokens and environment data. </w:t>
            </w:r>
            <w:hyperlink w:anchor="REF_002">
              <w:r>
                <w:rPr>
                  <w:rStyle w:val="Hyperlink"/>
                  <w:lang w:val="en-GB"/>
                </w:rPr>
                <w:t>[REF-002]</w:t>
              </w:r>
            </w:hyperlink>
          </w:p>
          <w:p>
            <w:r>
              <w:rPr>
                <w:lang w:val="en-GB"/>
              </w:rPr>
              <w:t>Scoring rationale:  Possible (3): a local configuration compromise or secret-bearing output could cross the host boundary under assumed sensitive account use. Major (4): token or environment disclosure could grant substantial API authority. Residual remains 12 High: URL syntax validation does not constrain recipients and redaction is unverified. Hosted likelihood is provisional and must be reassessed from client/service evidence. The API-origin/gateway/raw-metadata observations apply only to the inspected local implementation; no equivalent hosted implementation behavior is established.</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EVD-007</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Default HTTPS destinations and telemetry opt-in; no own origin allowlist or proven secret redaction across all output/log paths.</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1 Weak</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Lock configuration to approved HTTPS origins; inject managed secrets; exclude sensitive values from context; review errors/metadata and redirects.</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Endpoint and identity owners</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Synthetic marker in error, metadata and environment; reject altered origins; demonstrate tokens absent from logs/model context and configuration exports.</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MCP1; LLM02; ASVS V13.2.5/V16.2.5; CWE-200 scenario only</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High static / Low runtime</w:t>
            </w:r>
          </w:p>
        </w:tc>
      </w:tr>
    </w:tbl>
    <w:p/>
    <w:p>
      <w:pPr>
        <w:pStyle w:val="Heading2"/>
      </w:pPr>
      <w:r>
        <w:rPr>
          <w:lang w:val="en-GB"/>
        </w:rPr>
        <w:t>F-006 — Runner limits and retry annotation need hardening</w:t>
      </w:r>
    </w:p>
    <w:p>
      <w:pPr>
        <w:pStyle w:val="Caption"/>
      </w:pPr>
      <w:r>
        <w:rPr>
          <w:b/>
          <w:lang w:val="en-GB"/>
        </w:rPr>
        <w:t>Finding record — F-006</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Both IDEs local 2.13.0</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Confirmed static control defect. runCollection.ts lines 37-42 accepts unconstrained numbers; executor.ts lines 96-102 sets whole-run timeout 0. runCollection.ts lines 50-55 marks idempotentHint true even though requests may mutate arbitrary APIs. Asset: API availability and action correctness. A client relying on hints or retrying a partially completed action could duplicate effects; actual client behavior not observed. </w:t>
            </w:r>
            <w:hyperlink w:anchor="REF_002">
              <w:r>
                <w:rPr>
                  <w:rStyle w:val="Hyperlink"/>
                  <w:lang w:val="en-GB"/>
                </w:rPr>
                <w:t>[REF-002]</w:t>
              </w:r>
            </w:hyperlink>
            <w:r>
              <w:rPr>
                <w:sz w:val="16"/>
                <w:lang w:val="en-GB"/>
              </w:rPr>
              <w:t xml:space="preserve"> </w:t>
            </w:r>
            <w:hyperlink w:anchor="REF_024">
              <w:r>
                <w:rPr>
                  <w:rStyle w:val="Hyperlink"/>
                  <w:lang w:val="en-GB"/>
                </w:rPr>
                <w:t>[REF-024]</w:t>
              </w:r>
            </w:hyperlink>
          </w:p>
          <w:p>
            <w:r>
              <w:rPr>
                <w:lang w:val="en-GB"/>
              </w:rPr>
              <w:t>Scoring rationale:  Possible (3): large iteration inputs or slow scripts can be selected in an approved run. Moderate (3): bounded assumed developer workload disruption and misleading repeat-execution consent, with no demonstrated sustained service outage. Residual remains 9 Moderate because schema/runtime limits and actual IDE handling are untested.</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EVD-006</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9 Moderate</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Default per-request 60000ms and per-script 5000ms, destructive hint true; whole-run bound and cancellation outcome unverified.</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1 Weak</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9 Moderate</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Require positive bounded integers, whole-run deadline and cancellation propagation; treat runner as non-idempotent in host policy.</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MCP platform owner</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P2</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Validate malformed/large/fractional parameters and cancellation in a synthetic lab; repeated run must require fresh approval.</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LLM06; ASI02; ASVS V2.2.1; CWE-400 scenario only</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High static / Low runtime</w:t>
            </w:r>
          </w:p>
        </w:tc>
      </w:tr>
    </w:tbl>
    <w:p/>
    <w:p>
      <w:pPr>
        <w:pStyle w:val="Heading2"/>
      </w:pPr>
      <w:r>
        <w:rPr>
          <w:lang w:val="en-GB"/>
        </w:rPr>
        <w:t>F-007 — IDE consent and lifecycle controls lack runtime evidence</w:t>
      </w:r>
    </w:p>
    <w:p>
      <w:pPr>
        <w:pStyle w:val="Caption"/>
      </w:pPr>
      <w:r>
        <w:rPr>
          <w:b/>
          <w:lang w:val="en-GB"/>
        </w:rPr>
        <w:t>Finding record — F-007</w:t>
      </w:r>
    </w:p>
    <w:tbl>
      <w:tblPr>
        <w:tblStyle w:val="TableGrid"/>
        <w:tblW w:type="dxa" w:w="9360"/>
        <w:tblLayout w:type="fixed"/>
        <w:tblLook w:firstColumn="1" w:firstRow="1" w:lastColumn="0" w:lastRow="0" w:noHBand="0" w:noVBand="1" w:val="04A0"/>
        <w:tblInd w:w="120" w:type="dxa"/>
      </w:tblPr>
      <w:tblGrid>
        <w:gridCol w:w="2240"/>
        <w:gridCol w:w="7120"/>
      </w:tblGrid>
      <w:tr>
        <w:trPr>
          <w:tblHeader w:val="true"/>
        </w:trPr>
        <w:tc>
          <w:tcPr>
            <w:tcW w:type="dxa" w:w="2240"/>
            <w:shd w:fill="F2F4F7"/>
            <w:vAlign w:val="center"/>
            <w:tcMar>
              <w:top w:w="80" w:type="dxa"/>
              <w:start w:w="120" w:type="dxa"/>
              <w:bottom w:w="80" w:type="dxa"/>
              <w:end w:w="120" w:type="dxa"/>
            </w:tcMar>
          </w:tcPr>
          <w:p>
            <w:r>
              <w:rPr>
                <w:b/>
                <w:sz w:val="16"/>
                <w:lang w:val="en-GB"/>
              </w:rPr>
              <w:t>Field</w:t>
            </w:r>
          </w:p>
        </w:tc>
        <w:tc>
          <w:tcPr>
            <w:tcW w:type="dxa" w:w="7120"/>
            <w:shd w:fill="F2F4F7"/>
            <w:vAlign w:val="center"/>
            <w:tcMar>
              <w:top w:w="80" w:type="dxa"/>
              <w:start w:w="120" w:type="dxa"/>
              <w:bottom w:w="80" w:type="dxa"/>
              <w:end w:w="120" w:type="dxa"/>
            </w:tcMar>
          </w:tcPr>
          <w:p>
            <w:r>
              <w:rPr>
                <w:b/>
                <w:sz w:val="16"/>
                <w:lang w:val="en-GB"/>
              </w:rPr>
              <w:t>Assessment</w:t>
            </w:r>
          </w:p>
        </w:tc>
      </w:tr>
      <w:tr>
        <w:tc>
          <w:tcPr>
            <w:tcW w:type="dxa" w:w="2240"/>
            <w:vAlign w:val="center"/>
            <w:tcMar>
              <w:top w:w="80" w:type="dxa"/>
              <w:start w:w="120" w:type="dxa"/>
              <w:bottom w:w="80" w:type="dxa"/>
              <w:end w:w="120" w:type="dxa"/>
            </w:tcMar>
          </w:tcPr>
          <w:p>
            <w:r>
              <w:rPr>
                <w:sz w:val="16"/>
                <w:lang w:val="en-GB"/>
              </w:rPr>
              <w:t>Scope</w:t>
            </w:r>
          </w:p>
        </w:tc>
        <w:tc>
          <w:tcPr>
            <w:tcW w:type="dxa" w:w="7120"/>
            <w:vAlign w:val="center"/>
            <w:tcMar>
              <w:top w:w="80" w:type="dxa"/>
              <w:start w:w="120" w:type="dxa"/>
              <w:bottom w:w="80" w:type="dxa"/>
              <w:end w:w="120" w:type="dxa"/>
            </w:tcMar>
          </w:tcPr>
          <w:p>
            <w:r>
              <w:rPr>
                <w:sz w:val="16"/>
                <w:lang w:val="en-GB"/>
              </w:rPr>
              <w:t>Both IDEs all assessed modes</w:t>
            </w:r>
          </w:p>
        </w:tc>
      </w:tr>
      <w:tr>
        <w:tc>
          <w:tcPr>
            <w:tcW w:type="dxa" w:w="2240"/>
            <w:vAlign w:val="center"/>
            <w:tcMar>
              <w:top w:w="80" w:type="dxa"/>
              <w:start w:w="120" w:type="dxa"/>
              <w:bottom w:w="80" w:type="dxa"/>
              <w:end w:w="120" w:type="dxa"/>
            </w:tcMar>
          </w:tcPr>
          <w:p>
            <w:r>
              <w:rPr>
                <w:sz w:val="16"/>
                <w:lang w:val="en-GB"/>
              </w:rPr>
              <w:t>Scenario</w:t>
            </w:r>
          </w:p>
        </w:tc>
        <w:tc>
          <w:tcPr>
            <w:tcW w:type="dxa" w:w="7120"/>
            <w:vAlign w:val="center"/>
            <w:tcMar>
              <w:top w:w="80" w:type="dxa"/>
              <w:start w:w="120" w:type="dxa"/>
              <w:bottom w:w="80" w:type="dxa"/>
              <w:end w:w="120" w:type="dxa"/>
            </w:tcMar>
          </w:tcPr>
          <w:p>
            <w:r>
              <w:rPr>
                <w:sz w:val="16"/>
                <w:lang w:val="en-GB"/>
              </w:rPr>
              <w:t xml:space="preserve">Evidence gap. Startup, configuration inheritance, schema changes, auto-approval, scope denial and uninstall have not been observed on exact intended builds. Visual Studio changed-server trust is version-dependent; VS Code policy depends on managed deployment configuration. An unsafe default or inherited workspace registration could broaden authority. Asset: developer endpoint and tenant resources. No approval bypass is alleged. </w:t>
            </w:r>
            <w:hyperlink w:anchor="REF_005">
              <w:r>
                <w:rPr>
                  <w:rStyle w:val="Hyperlink"/>
                  <w:lang w:val="en-GB"/>
                </w:rPr>
                <w:t>[REF-005]</w:t>
              </w:r>
            </w:hyperlink>
            <w:r>
              <w:rPr>
                <w:sz w:val="16"/>
                <w:lang w:val="en-GB"/>
              </w:rPr>
              <w:t xml:space="preserve"> </w:t>
            </w:r>
            <w:hyperlink w:anchor="REF_006">
              <w:r>
                <w:rPr>
                  <w:rStyle w:val="Hyperlink"/>
                  <w:lang w:val="en-GB"/>
                </w:rPr>
                <w:t>[REF-006]</w:t>
              </w:r>
            </w:hyperlink>
            <w:r>
              <w:rPr>
                <w:sz w:val="16"/>
                <w:lang w:val="en-GB"/>
              </w:rPr>
              <w:t xml:space="preserve"> </w:t>
            </w:r>
            <w:hyperlink w:anchor="REF_029">
              <w:r>
                <w:rPr>
                  <w:rStyle w:val="Hyperlink"/>
                  <w:lang w:val="en-GB"/>
                </w:rPr>
                <w:t>[REF-029]</w:t>
              </w:r>
            </w:hyperlink>
          </w:p>
          <w:p>
            <w:r>
              <w:rPr>
                <w:lang w:val="en-GB"/>
              </w:rPr>
              <w:t>Scoring rationale:  Possible (3), provisional: untrusted workspace/tool material may influence approvals on the proposed IDE builds. Major (4): assumed privileged API operations could disclose or change regulated data if consent/trust boundaries fail. No IDE bypass is alleged. Residual remains 12 High because generic product documentation does not prove effective controls for the exact deployment.</w:t>
            </w:r>
          </w:p>
        </w:tc>
      </w:tr>
      <w:tr>
        <w:tc>
          <w:tcPr>
            <w:tcW w:type="dxa" w:w="2240"/>
            <w:vAlign w:val="center"/>
            <w:tcMar>
              <w:top w:w="80" w:type="dxa"/>
              <w:start w:w="120" w:type="dxa"/>
              <w:bottom w:w="80" w:type="dxa"/>
              <w:end w:w="120" w:type="dxa"/>
            </w:tcMar>
          </w:tcPr>
          <w:p>
            <w:r>
              <w:rPr>
                <w:sz w:val="16"/>
                <w:lang w:val="en-GB"/>
              </w:rPr>
              <w:t>Evidence Ids</w:t>
            </w:r>
          </w:p>
        </w:tc>
        <w:tc>
          <w:tcPr>
            <w:tcW w:type="dxa" w:w="7120"/>
            <w:vAlign w:val="center"/>
            <w:tcMar>
              <w:top w:w="80" w:type="dxa"/>
              <w:start w:w="120" w:type="dxa"/>
              <w:bottom w:w="80" w:type="dxa"/>
              <w:end w:w="120" w:type="dxa"/>
            </w:tcMar>
          </w:tcPr>
          <w:p>
            <w:r>
              <w:rPr>
                <w:sz w:val="16"/>
                <w:lang w:val="en-GB"/>
              </w:rPr>
              <w:t>EVD-010,EVD-013</w:t>
            </w:r>
          </w:p>
        </w:tc>
      </w:tr>
      <w:tr>
        <w:tc>
          <w:tcPr>
            <w:tcW w:type="dxa" w:w="2240"/>
            <w:vAlign w:val="center"/>
            <w:tcMar>
              <w:top w:w="80" w:type="dxa"/>
              <w:start w:w="120" w:type="dxa"/>
              <w:bottom w:w="80" w:type="dxa"/>
              <w:end w:w="120" w:type="dxa"/>
            </w:tcMar>
          </w:tcPr>
          <w:p>
            <w:r>
              <w:rPr>
                <w:sz w:val="16"/>
                <w:lang w:val="en-GB"/>
              </w:rPr>
              <w:t>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Inherent</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Controls</w:t>
            </w:r>
          </w:p>
        </w:tc>
        <w:tc>
          <w:tcPr>
            <w:tcW w:type="dxa" w:w="7120"/>
            <w:vAlign w:val="center"/>
            <w:tcMar>
              <w:top w:w="80" w:type="dxa"/>
              <w:start w:w="120" w:type="dxa"/>
              <w:bottom w:w="80" w:type="dxa"/>
              <w:end w:w="120" w:type="dxa"/>
            </w:tcMar>
          </w:tcPr>
          <w:p>
            <w:r>
              <w:rPr>
                <w:sz w:val="16"/>
                <w:lang w:val="en-GB"/>
              </w:rPr>
              <w:t>Host documentation describes controls; actual policy settings and operational effectiveness Unknown.</w:t>
            </w:r>
          </w:p>
        </w:tc>
      </w:tr>
      <w:tr>
        <w:tc>
          <w:tcPr>
            <w:tcW w:type="dxa" w:w="2240"/>
            <w:vAlign w:val="center"/>
            <w:tcMar>
              <w:top w:w="80" w:type="dxa"/>
              <w:start w:w="120" w:type="dxa"/>
              <w:bottom w:w="80" w:type="dxa"/>
              <w:end w:w="120" w:type="dxa"/>
            </w:tcMar>
          </w:tcPr>
          <w:p>
            <w:r>
              <w:rPr>
                <w:sz w:val="16"/>
                <w:lang w:val="en-GB"/>
              </w:rPr>
              <w:t>Control Strength</w:t>
            </w:r>
          </w:p>
        </w:tc>
        <w:tc>
          <w:tcPr>
            <w:tcW w:type="dxa" w:w="7120"/>
            <w:vAlign w:val="center"/>
            <w:tcMar>
              <w:top w:w="80" w:type="dxa"/>
              <w:start w:w="120" w:type="dxa"/>
              <w:bottom w:w="80" w:type="dxa"/>
              <w:end w:w="120" w:type="dxa"/>
            </w:tcMar>
          </w:tcPr>
          <w:p>
            <w:r>
              <w:rPr>
                <w:sz w:val="16"/>
                <w:lang w:val="en-GB"/>
              </w:rPr>
              <w:t>0 Unknown</w:t>
            </w:r>
          </w:p>
        </w:tc>
      </w:tr>
      <w:tr>
        <w:tc>
          <w:tcPr>
            <w:tcW w:type="dxa" w:w="2240"/>
            <w:vAlign w:val="center"/>
            <w:tcMar>
              <w:top w:w="80" w:type="dxa"/>
              <w:start w:w="120" w:type="dxa"/>
              <w:bottom w:w="80" w:type="dxa"/>
              <w:end w:w="120" w:type="dxa"/>
            </w:tcMar>
          </w:tcPr>
          <w:p>
            <w:r>
              <w:rPr>
                <w:sz w:val="16"/>
                <w:lang w:val="en-GB"/>
              </w:rPr>
              <w:t>Residual Likelihood</w:t>
            </w:r>
          </w:p>
        </w:tc>
        <w:tc>
          <w:tcPr>
            <w:tcW w:type="dxa" w:w="7120"/>
            <w:vAlign w:val="center"/>
            <w:tcMar>
              <w:top w:w="80" w:type="dxa"/>
              <w:start w:w="120" w:type="dxa"/>
              <w:bottom w:w="80" w:type="dxa"/>
              <w:end w:w="120" w:type="dxa"/>
            </w:tcMar>
          </w:tcPr>
          <w:p>
            <w:r>
              <w:rPr>
                <w:sz w:val="16"/>
                <w:lang w:val="en-GB"/>
              </w:rPr>
              <w:t>3</w:t>
            </w:r>
          </w:p>
        </w:tc>
      </w:tr>
      <w:tr>
        <w:tc>
          <w:tcPr>
            <w:tcW w:type="dxa" w:w="2240"/>
            <w:vAlign w:val="center"/>
            <w:tcMar>
              <w:top w:w="80" w:type="dxa"/>
              <w:start w:w="120" w:type="dxa"/>
              <w:bottom w:w="80" w:type="dxa"/>
              <w:end w:w="120" w:type="dxa"/>
            </w:tcMar>
          </w:tcPr>
          <w:p>
            <w:r>
              <w:rPr>
                <w:sz w:val="16"/>
                <w:lang w:val="en-GB"/>
              </w:rPr>
              <w:t>Residual Impact</w:t>
            </w:r>
          </w:p>
        </w:tc>
        <w:tc>
          <w:tcPr>
            <w:tcW w:type="dxa" w:w="7120"/>
            <w:vAlign w:val="center"/>
            <w:tcMar>
              <w:top w:w="80" w:type="dxa"/>
              <w:start w:w="120" w:type="dxa"/>
              <w:bottom w:w="80" w:type="dxa"/>
              <w:end w:w="120" w:type="dxa"/>
            </w:tcMar>
          </w:tcPr>
          <w:p>
            <w:r>
              <w:rPr>
                <w:sz w:val="16"/>
                <w:lang w:val="en-GB"/>
              </w:rPr>
              <w:t>4</w:t>
            </w:r>
          </w:p>
        </w:tc>
      </w:tr>
      <w:tr>
        <w:tc>
          <w:tcPr>
            <w:tcW w:type="dxa" w:w="2240"/>
            <w:vAlign w:val="center"/>
            <w:tcMar>
              <w:top w:w="80" w:type="dxa"/>
              <w:start w:w="120" w:type="dxa"/>
              <w:bottom w:w="80" w:type="dxa"/>
              <w:end w:w="120" w:type="dxa"/>
            </w:tcMar>
          </w:tcPr>
          <w:p>
            <w:r>
              <w:rPr>
                <w:sz w:val="16"/>
                <w:lang w:val="en-GB"/>
              </w:rPr>
              <w:t>Residual</w:t>
            </w:r>
          </w:p>
        </w:tc>
        <w:tc>
          <w:tcPr>
            <w:tcW w:type="dxa" w:w="7120"/>
            <w:vAlign w:val="center"/>
            <w:tcMar>
              <w:top w:w="80" w:type="dxa"/>
              <w:start w:w="120" w:type="dxa"/>
              <w:bottom w:w="80" w:type="dxa"/>
              <w:end w:w="120" w:type="dxa"/>
            </w:tcMar>
          </w:tcPr>
          <w:p>
            <w:r>
              <w:rPr>
                <w:sz w:val="16"/>
                <w:lang w:val="en-GB"/>
              </w:rPr>
              <w:t>12 High</w:t>
            </w:r>
          </w:p>
        </w:tc>
      </w:tr>
      <w:tr>
        <w:tc>
          <w:tcPr>
            <w:tcW w:type="dxa" w:w="2240"/>
            <w:vAlign w:val="center"/>
            <w:tcMar>
              <w:top w:w="80" w:type="dxa"/>
              <w:start w:w="120" w:type="dxa"/>
              <w:bottom w:w="80" w:type="dxa"/>
              <w:end w:w="120" w:type="dxa"/>
            </w:tcMar>
          </w:tcPr>
          <w:p>
            <w:r>
              <w:rPr>
                <w:sz w:val="16"/>
                <w:lang w:val="en-GB"/>
              </w:rPr>
              <w:t>Recommendation</w:t>
            </w:r>
          </w:p>
        </w:tc>
        <w:tc>
          <w:tcPr>
            <w:tcW w:type="dxa" w:w="7120"/>
            <w:vAlign w:val="center"/>
            <w:tcMar>
              <w:top w:w="80" w:type="dxa"/>
              <w:start w:w="120" w:type="dxa"/>
              <w:bottom w:w="80" w:type="dxa"/>
              <w:end w:w="120" w:type="dxa"/>
            </w:tcMar>
          </w:tcPr>
          <w:p>
            <w:r>
              <w:rPr>
                <w:sz w:val="16"/>
                <w:lang w:val="en-GB"/>
              </w:rPr>
              <w:t>Supply disposable exact-build hosts; capture consent, denied-action and cleanup evidence; prohibit blanket auto-approval.</w:t>
            </w:r>
          </w:p>
        </w:tc>
      </w:tr>
      <w:tr>
        <w:tc>
          <w:tcPr>
            <w:tcW w:type="dxa" w:w="2240"/>
            <w:vAlign w:val="center"/>
            <w:tcMar>
              <w:top w:w="80" w:type="dxa"/>
              <w:start w:w="120" w:type="dxa"/>
              <w:bottom w:w="80" w:type="dxa"/>
              <w:end w:w="120" w:type="dxa"/>
            </w:tcMar>
          </w:tcPr>
          <w:p>
            <w:r>
              <w:rPr>
                <w:sz w:val="16"/>
                <w:lang w:val="en-GB"/>
              </w:rPr>
              <w:t>Owner</w:t>
            </w:r>
          </w:p>
        </w:tc>
        <w:tc>
          <w:tcPr>
            <w:tcW w:type="dxa" w:w="7120"/>
            <w:vAlign w:val="center"/>
            <w:tcMar>
              <w:top w:w="80" w:type="dxa"/>
              <w:start w:w="120" w:type="dxa"/>
              <w:bottom w:w="80" w:type="dxa"/>
              <w:end w:w="120" w:type="dxa"/>
            </w:tcMar>
          </w:tcPr>
          <w:p>
            <w:r>
              <w:rPr>
                <w:sz w:val="16"/>
                <w:lang w:val="en-GB"/>
              </w:rPr>
              <w:t>Developer platform owner</w:t>
            </w:r>
          </w:p>
        </w:tc>
      </w:tr>
      <w:tr>
        <w:tc>
          <w:tcPr>
            <w:tcW w:type="dxa" w:w="2240"/>
            <w:vAlign w:val="center"/>
            <w:tcMar>
              <w:top w:w="80" w:type="dxa"/>
              <w:start w:w="120" w:type="dxa"/>
              <w:bottom w:w="80" w:type="dxa"/>
              <w:end w:w="120" w:type="dxa"/>
            </w:tcMar>
          </w:tcPr>
          <w:p>
            <w:r>
              <w:rPr>
                <w:sz w:val="16"/>
                <w:lang w:val="en-GB"/>
              </w:rPr>
              <w:t>Priority</w:t>
            </w:r>
          </w:p>
        </w:tc>
        <w:tc>
          <w:tcPr>
            <w:tcW w:type="dxa" w:w="7120"/>
            <w:vAlign w:val="center"/>
            <w:tcMar>
              <w:top w:w="80" w:type="dxa"/>
              <w:start w:w="120" w:type="dxa"/>
              <w:bottom w:w="80" w:type="dxa"/>
              <w:end w:w="120" w:type="dxa"/>
            </w:tcMar>
          </w:tcPr>
          <w:p>
            <w:r>
              <w:rPr>
                <w:sz w:val="16"/>
                <w:lang w:val="en-GB"/>
              </w:rPr>
              <w:t>P1</w:t>
            </w:r>
          </w:p>
        </w:tc>
      </w:tr>
      <w:tr>
        <w:tc>
          <w:tcPr>
            <w:tcW w:type="dxa" w:w="2240"/>
            <w:vAlign w:val="center"/>
            <w:tcMar>
              <w:top w:w="80" w:type="dxa"/>
              <w:start w:w="120" w:type="dxa"/>
              <w:bottom w:w="80" w:type="dxa"/>
              <w:end w:w="120" w:type="dxa"/>
            </w:tcMar>
          </w:tcPr>
          <w:p>
            <w:r>
              <w:rPr>
                <w:sz w:val="16"/>
                <w:lang w:val="en-GB"/>
              </w:rPr>
              <w:t>Target Date</w:t>
            </w:r>
          </w:p>
        </w:tc>
        <w:tc>
          <w:tcPr>
            <w:tcW w:type="dxa" w:w="7120"/>
            <w:vAlign w:val="center"/>
            <w:tcMar>
              <w:top w:w="80" w:type="dxa"/>
              <w:start w:w="120" w:type="dxa"/>
              <w:bottom w:w="80" w:type="dxa"/>
              <w:end w:w="120" w:type="dxa"/>
            </w:tcMar>
          </w:tcPr>
          <w:p>
            <w:r>
              <w:rPr>
                <w:sz w:val="16"/>
                <w:lang w:val="en-GB"/>
              </w:rPr>
              <w:t>Before synthetic pilot with execution or before enterprise deployment</w:t>
            </w:r>
          </w:p>
        </w:tc>
      </w:tr>
      <w:tr>
        <w:tc>
          <w:tcPr>
            <w:tcW w:type="dxa" w:w="2240"/>
            <w:vAlign w:val="center"/>
            <w:tcMar>
              <w:top w:w="80" w:type="dxa"/>
              <w:start w:w="120" w:type="dxa"/>
              <w:bottom w:w="80" w:type="dxa"/>
              <w:end w:w="120" w:type="dxa"/>
            </w:tcMar>
          </w:tcPr>
          <w:p>
            <w:r>
              <w:rPr>
                <w:sz w:val="16"/>
                <w:lang w:val="en-GB"/>
              </w:rPr>
              <w:t>Verification</w:t>
            </w:r>
          </w:p>
        </w:tc>
        <w:tc>
          <w:tcPr>
            <w:tcW w:type="dxa" w:w="7120"/>
            <w:vAlign w:val="center"/>
            <w:tcMar>
              <w:top w:w="80" w:type="dxa"/>
              <w:start w:w="120" w:type="dxa"/>
              <w:bottom w:w="80" w:type="dxa"/>
              <w:end w:w="120" w:type="dxa"/>
            </w:tcMar>
          </w:tcPr>
          <w:p>
            <w:r>
              <w:rPr>
                <w:sz w:val="16"/>
                <w:lang w:val="en-GB"/>
              </w:rPr>
              <w:t>First and changed-server tests, capability-reset prompts, cross-tool injection deny test, credential revocation and process/cache residue.</w:t>
            </w:r>
          </w:p>
        </w:tc>
      </w:tr>
      <w:tr>
        <w:tc>
          <w:tcPr>
            <w:tcW w:type="dxa" w:w="2240"/>
            <w:vAlign w:val="center"/>
            <w:tcMar>
              <w:top w:w="80" w:type="dxa"/>
              <w:start w:w="120" w:type="dxa"/>
              <w:bottom w:w="80" w:type="dxa"/>
              <w:end w:w="120" w:type="dxa"/>
            </w:tcMar>
          </w:tcPr>
          <w:p>
            <w:r>
              <w:rPr>
                <w:sz w:val="16"/>
                <w:lang w:val="en-GB"/>
              </w:rPr>
              <w:t>Mappings</w:t>
            </w:r>
          </w:p>
        </w:tc>
        <w:tc>
          <w:tcPr>
            <w:tcW w:type="dxa" w:w="7120"/>
            <w:vAlign w:val="center"/>
            <w:tcMar>
              <w:top w:w="80" w:type="dxa"/>
              <w:start w:w="120" w:type="dxa"/>
              <w:bottom w:w="80" w:type="dxa"/>
              <w:end w:w="120" w:type="dxa"/>
            </w:tcMar>
          </w:tcPr>
          <w:p>
            <w:r>
              <w:rPr>
                <w:sz w:val="16"/>
                <w:lang w:val="en-GB"/>
              </w:rPr>
              <w:t>LLM03; ASI03; MCP2/MCP9; CIS 6.8</w:t>
            </w:r>
          </w:p>
        </w:tc>
      </w:tr>
      <w:tr>
        <w:tc>
          <w:tcPr>
            <w:tcW w:type="dxa" w:w="2240"/>
            <w:vAlign w:val="center"/>
            <w:tcMar>
              <w:top w:w="80" w:type="dxa"/>
              <w:start w:w="120" w:type="dxa"/>
              <w:bottom w:w="80" w:type="dxa"/>
              <w:end w:w="120" w:type="dxa"/>
            </w:tcMar>
          </w:tcPr>
          <w:p>
            <w:r>
              <w:rPr>
                <w:sz w:val="16"/>
                <w:lang w:val="en-GB"/>
              </w:rPr>
              <w:t>Confidence</w:t>
            </w:r>
          </w:p>
        </w:tc>
        <w:tc>
          <w:tcPr>
            <w:tcW w:type="dxa" w:w="7120"/>
            <w:vAlign w:val="center"/>
            <w:tcMar>
              <w:top w:w="80" w:type="dxa"/>
              <w:start w:w="120" w:type="dxa"/>
              <w:bottom w:w="80" w:type="dxa"/>
              <w:end w:w="120" w:type="dxa"/>
            </w:tcMar>
          </w:tcPr>
          <w:p>
            <w:r>
              <w:rPr>
                <w:sz w:val="16"/>
                <w:lang w:val="en-GB"/>
              </w:rPr>
              <w:t>Low operational</w:t>
            </w:r>
          </w:p>
        </w:tc>
      </w:tr>
    </w:tbl>
    <w:p/>
    <w:p>
      <w:pPr>
        <w:pStyle w:val="Heading1"/>
      </w:pPr>
      <w:r>
        <w:rPr>
          <w:lang w:val="en-GB"/>
        </w:rPr>
        <w:t>Consolidated Risk Register</w:t>
      </w:r>
    </w:p>
    <w:p>
      <w:r>
        <w:rPr>
          <w:lang w:val="en-GB"/>
        </w:rP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pPr>
      <w:r>
        <w:rPr>
          <w:b/>
          <w:lang w:val="en-GB"/>
        </w:rPr>
        <w:t>Consolidated risk register</w:t>
      </w:r>
    </w:p>
    <w:tbl>
      <w:tblPr>
        <w:tblStyle w:val="TableGrid"/>
        <w:tblW w:type="dxa" w:w="9360"/>
        <w:tblLayout w:type="fixed"/>
        <w:tblLook w:firstColumn="1" w:firstRow="1" w:lastColumn="0" w:lastRow="0" w:noHBand="0" w:noVBand="1" w:val="04A0"/>
        <w:tblInd w:w="120" w:type="dxa"/>
      </w:tblPr>
      <w:tblGrid>
        <w:gridCol w:w="804"/>
        <w:gridCol w:w="1311"/>
        <w:gridCol w:w="1300"/>
        <w:gridCol w:w="804"/>
        <w:gridCol w:w="825"/>
        <w:gridCol w:w="804"/>
        <w:gridCol w:w="825"/>
        <w:gridCol w:w="1564"/>
        <w:gridCol w:w="1123"/>
      </w:tblGrid>
      <w:tr>
        <w:trPr>
          <w:tblHeader w:val="true"/>
        </w:trPr>
        <w:tc>
          <w:tcPr>
            <w:tcW w:type="dxa" w:w="804"/>
            <w:shd w:fill="F2F4F7"/>
            <w:vAlign w:val="center"/>
            <w:tcMar>
              <w:top w:w="80" w:type="dxa"/>
              <w:start w:w="120" w:type="dxa"/>
              <w:bottom w:w="80" w:type="dxa"/>
              <w:end w:w="120" w:type="dxa"/>
            </w:tcMar>
          </w:tcPr>
          <w:p>
            <w:r>
              <w:rPr>
                <w:b/>
                <w:sz w:val="16"/>
                <w:lang w:val="en-GB"/>
              </w:rPr>
              <w:t>ID</w:t>
            </w:r>
          </w:p>
        </w:tc>
        <w:tc>
          <w:tcPr>
            <w:tcW w:type="dxa" w:w="1311"/>
            <w:shd w:fill="F2F4F7"/>
            <w:vAlign w:val="center"/>
            <w:tcMar>
              <w:top w:w="80" w:type="dxa"/>
              <w:start w:w="120" w:type="dxa"/>
              <w:bottom w:w="80" w:type="dxa"/>
              <w:end w:w="120" w:type="dxa"/>
            </w:tcMar>
          </w:tcPr>
          <w:p>
            <w:r>
              <w:rPr>
                <w:b/>
                <w:sz w:val="16"/>
                <w:lang w:val="en-GB"/>
              </w:rPr>
              <w:t>Risk</w:t>
            </w:r>
          </w:p>
        </w:tc>
        <w:tc>
          <w:tcPr>
            <w:tcW w:type="dxa" w:w="1300"/>
            <w:shd w:fill="F2F4F7"/>
            <w:vAlign w:val="center"/>
            <w:tcMar>
              <w:top w:w="80" w:type="dxa"/>
              <w:start w:w="120" w:type="dxa"/>
              <w:bottom w:w="80" w:type="dxa"/>
              <w:end w:w="120" w:type="dxa"/>
            </w:tcMar>
          </w:tcPr>
          <w:p>
            <w:r>
              <w:rPr>
                <w:b/>
                <w:sz w:val="16"/>
                <w:lang w:val="en-GB"/>
              </w:rPr>
              <w:t>Scope</w:t>
            </w:r>
          </w:p>
        </w:tc>
        <w:tc>
          <w:tcPr>
            <w:tcW w:type="dxa" w:w="804"/>
            <w:shd w:fill="F2F4F7"/>
            <w:vAlign w:val="center"/>
            <w:tcMar>
              <w:top w:w="80" w:type="dxa"/>
              <w:start w:w="120" w:type="dxa"/>
              <w:bottom w:w="80" w:type="dxa"/>
              <w:end w:w="120" w:type="dxa"/>
            </w:tcMar>
          </w:tcPr>
          <w:p>
            <w:r>
              <w:rPr>
                <w:b/>
                <w:sz w:val="16"/>
                <w:lang w:val="en-GB"/>
              </w:rPr>
              <w:t>L/I</w:t>
            </w:r>
          </w:p>
        </w:tc>
        <w:tc>
          <w:tcPr>
            <w:tcW w:type="dxa" w:w="825"/>
            <w:shd w:fill="F2F4F7"/>
            <w:vAlign w:val="center"/>
            <w:tcMar>
              <w:top w:w="80" w:type="dxa"/>
              <w:start w:w="120" w:type="dxa"/>
              <w:bottom w:w="80" w:type="dxa"/>
              <w:end w:w="120" w:type="dxa"/>
            </w:tcMar>
          </w:tcPr>
          <w:p>
            <w:r>
              <w:rPr>
                <w:b/>
                <w:sz w:val="16"/>
                <w:lang w:val="en-GB"/>
              </w:rPr>
              <w:t>Inherent</w:t>
            </w:r>
          </w:p>
        </w:tc>
        <w:tc>
          <w:tcPr>
            <w:tcW w:type="dxa" w:w="804"/>
            <w:shd w:fill="F2F4F7"/>
            <w:vAlign w:val="center"/>
            <w:tcMar>
              <w:top w:w="80" w:type="dxa"/>
              <w:start w:w="120" w:type="dxa"/>
              <w:bottom w:w="80" w:type="dxa"/>
              <w:end w:w="120" w:type="dxa"/>
            </w:tcMar>
          </w:tcPr>
          <w:p>
            <w:r>
              <w:rPr>
                <w:b/>
                <w:sz w:val="16"/>
                <w:lang w:val="en-GB"/>
              </w:rPr>
              <w:t>rL/rI</w:t>
            </w:r>
          </w:p>
        </w:tc>
        <w:tc>
          <w:tcPr>
            <w:tcW w:type="dxa" w:w="825"/>
            <w:shd w:fill="F2F4F7"/>
            <w:vAlign w:val="center"/>
            <w:tcMar>
              <w:top w:w="80" w:type="dxa"/>
              <w:start w:w="120" w:type="dxa"/>
              <w:bottom w:w="80" w:type="dxa"/>
              <w:end w:w="120" w:type="dxa"/>
            </w:tcMar>
          </w:tcPr>
          <w:p>
            <w:r>
              <w:rPr>
                <w:b/>
                <w:sz w:val="16"/>
                <w:lang w:val="en-GB"/>
              </w:rPr>
              <w:t>Residual</w:t>
            </w:r>
          </w:p>
        </w:tc>
        <w:tc>
          <w:tcPr>
            <w:tcW w:type="dxa" w:w="1564"/>
            <w:shd w:fill="F2F4F7"/>
            <w:vAlign w:val="center"/>
            <w:tcMar>
              <w:top w:w="80" w:type="dxa"/>
              <w:start w:w="120" w:type="dxa"/>
              <w:bottom w:w="80" w:type="dxa"/>
              <w:end w:w="120" w:type="dxa"/>
            </w:tcMar>
          </w:tcPr>
          <w:p>
            <w:r>
              <w:rPr>
                <w:b/>
                <w:sz w:val="16"/>
                <w:lang w:val="en-GB"/>
              </w:rPr>
              <w:t>Treatment</w:t>
            </w:r>
          </w:p>
        </w:tc>
        <w:tc>
          <w:tcPr>
            <w:tcW w:type="dxa" w:w="1123"/>
            <w:shd w:fill="F2F4F7"/>
            <w:vAlign w:val="center"/>
            <w:tcMar>
              <w:top w:w="80" w:type="dxa"/>
              <w:start w:w="120" w:type="dxa"/>
              <w:bottom w:w="80" w:type="dxa"/>
              <w:end w:w="120" w:type="dxa"/>
            </w:tcMar>
          </w:tcPr>
          <w:p>
            <w:r>
              <w:rPr>
                <w:b/>
                <w:sz w:val="16"/>
                <w:lang w:val="en-GB"/>
              </w:rPr>
              <w:t>Owner</w:t>
            </w:r>
          </w:p>
        </w:tc>
      </w:tr>
      <w:tr>
        <w:tc>
          <w:tcPr>
            <w:tcW w:type="dxa" w:w="804"/>
            <w:vAlign w:val="center"/>
            <w:tcMar>
              <w:top w:w="80" w:type="dxa"/>
              <w:start w:w="120" w:type="dxa"/>
              <w:bottom w:w="80" w:type="dxa"/>
              <w:end w:w="120" w:type="dxa"/>
            </w:tcMar>
          </w:tcPr>
          <w:p>
            <w:r>
              <w:rPr>
                <w:sz w:val="16"/>
                <w:lang w:val="en-GB"/>
              </w:rPr>
              <w:t>F-001</w:t>
            </w:r>
          </w:p>
        </w:tc>
        <w:tc>
          <w:tcPr>
            <w:tcW w:type="dxa" w:w="1311"/>
            <w:vAlign w:val="center"/>
            <w:tcMar>
              <w:top w:w="80" w:type="dxa"/>
              <w:start w:w="120" w:type="dxa"/>
              <w:bottom w:w="80" w:type="dxa"/>
              <w:end w:w="120" w:type="dxa"/>
            </w:tcMar>
          </w:tcPr>
          <w:p>
            <w:r>
              <w:rPr>
                <w:sz w:val="16"/>
                <w:lang w:val="en-GB"/>
              </w:rPr>
              <w:t>Local run data reaches cloud history</w:t>
            </w:r>
          </w:p>
        </w:tc>
        <w:tc>
          <w:tcPr>
            <w:tcW w:type="dxa" w:w="1300"/>
            <w:vAlign w:val="center"/>
            <w:tcMar>
              <w:top w:w="80" w:type="dxa"/>
              <w:start w:w="120" w:type="dxa"/>
              <w:bottom w:w="80" w:type="dxa"/>
              <w:end w:w="120" w:type="dxa"/>
            </w:tcMar>
          </w:tcPr>
          <w:p>
            <w:r>
              <w:rPr>
                <w:sz w:val="16"/>
                <w:lang w:val="en-GB"/>
              </w:rPr>
              <w:t>Both IDEs local 2.13.0</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Restrict runCollection to approved synthetic collections; obtain run-record data terms; verify redaction or disable runner for sensitive APIs.</w:t>
            </w:r>
          </w:p>
        </w:tc>
        <w:tc>
          <w:tcPr>
            <w:tcW w:type="dxa" w:w="1123"/>
            <w:vAlign w:val="center"/>
            <w:tcMar>
              <w:top w:w="80" w:type="dxa"/>
              <w:start w:w="120" w:type="dxa"/>
              <w:bottom w:w="80" w:type="dxa"/>
              <w:end w:w="120" w:type="dxa"/>
            </w:tcMar>
          </w:tcPr>
          <w:p>
            <w:r>
              <w:rPr>
                <w:sz w:val="16"/>
                <w:lang w:val="en-GB"/>
              </w:rPr>
              <w:t>DPO and API platform owner</w:t>
            </w:r>
          </w:p>
        </w:tc>
      </w:tr>
      <w:tr>
        <w:tc>
          <w:tcPr>
            <w:tcW w:type="dxa" w:w="804"/>
            <w:vAlign w:val="center"/>
            <w:tcMar>
              <w:top w:w="80" w:type="dxa"/>
              <w:start w:w="120" w:type="dxa"/>
              <w:bottom w:w="80" w:type="dxa"/>
              <w:end w:w="120" w:type="dxa"/>
            </w:tcMar>
          </w:tcPr>
          <w:p>
            <w:r>
              <w:rPr>
                <w:sz w:val="16"/>
                <w:lang w:val="en-GB"/>
              </w:rPr>
              <w:t>F-002</w:t>
            </w:r>
          </w:p>
        </w:tc>
        <w:tc>
          <w:tcPr>
            <w:tcW w:type="dxa" w:w="1311"/>
            <w:vAlign w:val="center"/>
            <w:tcMar>
              <w:top w:w="80" w:type="dxa"/>
              <w:start w:w="120" w:type="dxa"/>
              <w:bottom w:w="80" w:type="dxa"/>
              <w:end w:w="120" w:type="dxa"/>
            </w:tcMar>
          </w:tcPr>
          <w:p>
            <w:r>
              <w:rPr>
                <w:sz w:val="16"/>
                <w:lang w:val="en-GB"/>
              </w:rPr>
              <w:t>Collection execution inherits network reach</w:t>
            </w:r>
          </w:p>
        </w:tc>
        <w:tc>
          <w:tcPr>
            <w:tcW w:type="dxa" w:w="1300"/>
            <w:vAlign w:val="center"/>
            <w:tcMar>
              <w:top w:w="80" w:type="dxa"/>
              <w:start w:w="120" w:type="dxa"/>
              <w:bottom w:w="80" w:type="dxa"/>
              <w:end w:w="120" w:type="dxa"/>
            </w:tcMar>
          </w:tcPr>
          <w:p>
            <w:r>
              <w:rPr>
                <w:sz w:val="16"/>
                <w:lang w:val="en-GB"/>
              </w:rPr>
              <w:t>Both IDEs local 2.13.0; hosted policy Unknown</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Require reviewed collection digest, explicit execution approval and isolated default-deny egress.</w:t>
            </w:r>
          </w:p>
        </w:tc>
        <w:tc>
          <w:tcPr>
            <w:tcW w:type="dxa" w:w="1123"/>
            <w:vAlign w:val="center"/>
            <w:tcMar>
              <w:top w:w="80" w:type="dxa"/>
              <w:start w:w="120" w:type="dxa"/>
              <w:bottom w:w="80" w:type="dxa"/>
              <w:end w:w="120" w:type="dxa"/>
            </w:tcMar>
          </w:tcPr>
          <w:p>
            <w:r>
              <w:rPr>
                <w:sz w:val="16"/>
                <w:lang w:val="en-GB"/>
              </w:rPr>
              <w:t>Platform security</w:t>
            </w:r>
          </w:p>
        </w:tc>
      </w:tr>
      <w:tr>
        <w:tc>
          <w:tcPr>
            <w:tcW w:type="dxa" w:w="804"/>
            <w:vAlign w:val="center"/>
            <w:tcMar>
              <w:top w:w="80" w:type="dxa"/>
              <w:start w:w="120" w:type="dxa"/>
              <w:bottom w:w="80" w:type="dxa"/>
              <w:end w:w="120" w:type="dxa"/>
            </w:tcMar>
          </w:tcPr>
          <w:p>
            <w:r>
              <w:rPr>
                <w:sz w:val="16"/>
                <w:lang w:val="en-GB"/>
              </w:rPr>
              <w:t>F-003</w:t>
            </w:r>
          </w:p>
        </w:tc>
        <w:tc>
          <w:tcPr>
            <w:tcW w:type="dxa" w:w="1311"/>
            <w:vAlign w:val="center"/>
            <w:tcMar>
              <w:top w:w="80" w:type="dxa"/>
              <w:start w:w="120" w:type="dxa"/>
              <w:bottom w:w="80" w:type="dxa"/>
              <w:end w:w="120" w:type="dxa"/>
            </w:tcMar>
          </w:tcPr>
          <w:p>
            <w:r>
              <w:rPr>
                <w:sz w:val="16"/>
                <w:lang w:val="en-GB"/>
              </w:rPr>
              <w:t>Installed dependency closure can drift</w:t>
            </w:r>
          </w:p>
        </w:tc>
        <w:tc>
          <w:tcPr>
            <w:tcW w:type="dxa" w:w="1300"/>
            <w:vAlign w:val="center"/>
            <w:tcMar>
              <w:top w:w="80" w:type="dxa"/>
              <w:start w:w="120" w:type="dxa"/>
              <w:bottom w:w="80" w:type="dxa"/>
              <w:end w:w="120" w:type="dxa"/>
            </w:tcMar>
          </w:tcPr>
          <w:p>
            <w:r>
              <w:rPr>
                <w:sz w:val="16"/>
                <w:lang w:val="en-GB"/>
              </w:rPr>
              <w:t>Local npm or Docker deployment both IDEs</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Pin reviewed complete runtime closure and image digest; verify provenance and advisory applicability on every change.</w:t>
            </w:r>
          </w:p>
        </w:tc>
        <w:tc>
          <w:tcPr>
            <w:tcW w:type="dxa" w:w="1123"/>
            <w:vAlign w:val="center"/>
            <w:tcMar>
              <w:top w:w="80" w:type="dxa"/>
              <w:start w:w="120" w:type="dxa"/>
              <w:bottom w:w="80" w:type="dxa"/>
              <w:end w:w="120" w:type="dxa"/>
            </w:tcMar>
          </w:tcPr>
          <w:p>
            <w:r>
              <w:rPr>
                <w:sz w:val="16"/>
                <w:lang w:val="en-GB"/>
              </w:rPr>
              <w:t>Software supply chain owner</w:t>
            </w:r>
          </w:p>
        </w:tc>
      </w:tr>
      <w:tr>
        <w:tc>
          <w:tcPr>
            <w:tcW w:type="dxa" w:w="804"/>
            <w:vAlign w:val="center"/>
            <w:tcMar>
              <w:top w:w="80" w:type="dxa"/>
              <w:start w:w="120" w:type="dxa"/>
              <w:bottom w:w="80" w:type="dxa"/>
              <w:end w:w="120" w:type="dxa"/>
            </w:tcMar>
          </w:tcPr>
          <w:p>
            <w:r>
              <w:rPr>
                <w:sz w:val="16"/>
                <w:lang w:val="en-GB"/>
              </w:rPr>
              <w:t>F-004</w:t>
            </w:r>
          </w:p>
        </w:tc>
        <w:tc>
          <w:tcPr>
            <w:tcW w:type="dxa" w:w="1311"/>
            <w:vAlign w:val="center"/>
            <w:tcMar>
              <w:top w:w="80" w:type="dxa"/>
              <w:start w:w="120" w:type="dxa"/>
              <w:bottom w:w="80" w:type="dxa"/>
              <w:end w:w="120" w:type="dxa"/>
            </w:tcMar>
          </w:tcPr>
          <w:p>
            <w:r>
              <w:rPr>
                <w:sz w:val="16"/>
                <w:lang w:val="en-GB"/>
              </w:rPr>
              <w:t>Hosted assurance and processing remain unverified</w:t>
            </w:r>
          </w:p>
        </w:tc>
        <w:tc>
          <w:tcPr>
            <w:tcW w:type="dxa" w:w="1300"/>
            <w:vAlign w:val="center"/>
            <w:tcMar>
              <w:top w:w="80" w:type="dxa"/>
              <w:start w:w="120" w:type="dxa"/>
              <w:bottom w:w="80" w:type="dxa"/>
              <w:end w:w="120" w:type="dxa"/>
            </w:tcMar>
          </w:tcPr>
          <w:p>
            <w:r>
              <w:rPr>
                <w:sz w:val="16"/>
                <w:lang w:val="en-GB"/>
              </w:rPr>
              <w:t>Both IDEs remote US/EU</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Obtain tenant contract and hosted control evidence; test auth/authorization/revocation and selected tool surface before approval.</w:t>
            </w:r>
          </w:p>
        </w:tc>
        <w:tc>
          <w:tcPr>
            <w:tcW w:type="dxa" w:w="1123"/>
            <w:vAlign w:val="center"/>
            <w:tcMar>
              <w:top w:w="80" w:type="dxa"/>
              <w:start w:w="120" w:type="dxa"/>
              <w:bottom w:w="80" w:type="dxa"/>
              <w:end w:w="120" w:type="dxa"/>
            </w:tcMar>
          </w:tcPr>
          <w:p>
            <w:r>
              <w:rPr>
                <w:sz w:val="16"/>
                <w:lang w:val="en-GB"/>
              </w:rPr>
              <w:t>Supplier risk owner and identity owner</w:t>
            </w:r>
          </w:p>
        </w:tc>
      </w:tr>
      <w:tr>
        <w:tc>
          <w:tcPr>
            <w:tcW w:type="dxa" w:w="804"/>
            <w:vAlign w:val="center"/>
            <w:tcMar>
              <w:top w:w="80" w:type="dxa"/>
              <w:start w:w="120" w:type="dxa"/>
              <w:bottom w:w="80" w:type="dxa"/>
              <w:end w:w="120" w:type="dxa"/>
            </w:tcMar>
          </w:tcPr>
          <w:p>
            <w:r>
              <w:rPr>
                <w:sz w:val="16"/>
                <w:lang w:val="en-GB"/>
              </w:rPr>
              <w:t>F-005</w:t>
            </w:r>
          </w:p>
        </w:tc>
        <w:tc>
          <w:tcPr>
            <w:tcW w:type="dxa" w:w="1311"/>
            <w:vAlign w:val="center"/>
            <w:tcMar>
              <w:top w:w="80" w:type="dxa"/>
              <w:start w:w="120" w:type="dxa"/>
              <w:bottom w:w="80" w:type="dxa"/>
              <w:end w:w="120" w:type="dxa"/>
            </w:tcMar>
          </w:tcPr>
          <w:p>
            <w:r>
              <w:rPr>
                <w:sz w:val="16"/>
                <w:lang w:val="en-GB"/>
              </w:rPr>
              <w:t>Configuration and tool outputs carry secret risk</w:t>
            </w:r>
          </w:p>
        </w:tc>
        <w:tc>
          <w:tcPr>
            <w:tcW w:type="dxa" w:w="1300"/>
            <w:vAlign w:val="center"/>
            <w:tcMar>
              <w:top w:w="80" w:type="dxa"/>
              <w:start w:w="120" w:type="dxa"/>
              <w:bottom w:w="80" w:type="dxa"/>
              <w:end w:w="120" w:type="dxa"/>
            </w:tcMar>
          </w:tcPr>
          <w:p>
            <w:r>
              <w:rPr>
                <w:lang w:val="en-GB"/>
              </w:rPr>
              <w:t>Local 2.13.0 verified; hosted controls Unknown</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Lock configuration to approved HTTPS origins; inject managed secrets; exclude sensitive values from context; review errors/metadata and redirects.</w:t>
            </w:r>
          </w:p>
        </w:tc>
        <w:tc>
          <w:tcPr>
            <w:tcW w:type="dxa" w:w="1123"/>
            <w:vAlign w:val="center"/>
            <w:tcMar>
              <w:top w:w="80" w:type="dxa"/>
              <w:start w:w="120" w:type="dxa"/>
              <w:bottom w:w="80" w:type="dxa"/>
              <w:end w:w="120" w:type="dxa"/>
            </w:tcMar>
          </w:tcPr>
          <w:p>
            <w:r>
              <w:rPr>
                <w:sz w:val="16"/>
                <w:lang w:val="en-GB"/>
              </w:rPr>
              <w:t>Endpoint and identity owners</w:t>
            </w:r>
          </w:p>
        </w:tc>
      </w:tr>
      <w:tr>
        <w:tc>
          <w:tcPr>
            <w:tcW w:type="dxa" w:w="804"/>
            <w:vAlign w:val="center"/>
            <w:tcMar>
              <w:top w:w="80" w:type="dxa"/>
              <w:start w:w="120" w:type="dxa"/>
              <w:bottom w:w="80" w:type="dxa"/>
              <w:end w:w="120" w:type="dxa"/>
            </w:tcMar>
          </w:tcPr>
          <w:p>
            <w:r>
              <w:rPr>
                <w:sz w:val="16"/>
                <w:lang w:val="en-GB"/>
              </w:rPr>
              <w:t>F-006</w:t>
            </w:r>
          </w:p>
        </w:tc>
        <w:tc>
          <w:tcPr>
            <w:tcW w:type="dxa" w:w="1311"/>
            <w:vAlign w:val="center"/>
            <w:tcMar>
              <w:top w:w="80" w:type="dxa"/>
              <w:start w:w="120" w:type="dxa"/>
              <w:bottom w:w="80" w:type="dxa"/>
              <w:end w:w="120" w:type="dxa"/>
            </w:tcMar>
          </w:tcPr>
          <w:p>
            <w:r>
              <w:rPr>
                <w:sz w:val="16"/>
                <w:lang w:val="en-GB"/>
              </w:rPr>
              <w:t>Runner limits and retry annotation need hardening</w:t>
            </w:r>
          </w:p>
        </w:tc>
        <w:tc>
          <w:tcPr>
            <w:tcW w:type="dxa" w:w="1300"/>
            <w:vAlign w:val="center"/>
            <w:tcMar>
              <w:top w:w="80" w:type="dxa"/>
              <w:start w:w="120" w:type="dxa"/>
              <w:bottom w:w="80" w:type="dxa"/>
              <w:end w:w="120" w:type="dxa"/>
            </w:tcMar>
          </w:tcPr>
          <w:p>
            <w:r>
              <w:rPr>
                <w:sz w:val="16"/>
                <w:lang w:val="en-GB"/>
              </w:rPr>
              <w:t>Both IDEs local 2.13.0</w:t>
            </w:r>
          </w:p>
        </w:tc>
        <w:tc>
          <w:tcPr>
            <w:tcW w:type="dxa" w:w="804"/>
            <w:vAlign w:val="center"/>
            <w:tcMar>
              <w:top w:w="80" w:type="dxa"/>
              <w:start w:w="120" w:type="dxa"/>
              <w:bottom w:w="80" w:type="dxa"/>
              <w:end w:w="120" w:type="dxa"/>
            </w:tcMar>
          </w:tcPr>
          <w:p>
            <w:r>
              <w:rPr>
                <w:sz w:val="16"/>
                <w:lang w:val="en-GB"/>
              </w:rPr>
              <w:t>3/3</w:t>
            </w:r>
          </w:p>
        </w:tc>
        <w:tc>
          <w:tcPr>
            <w:tcW w:type="dxa" w:w="825"/>
            <w:vAlign w:val="center"/>
            <w:tcMar>
              <w:top w:w="80" w:type="dxa"/>
              <w:start w:w="120" w:type="dxa"/>
              <w:bottom w:w="80" w:type="dxa"/>
              <w:end w:w="120" w:type="dxa"/>
            </w:tcMar>
          </w:tcPr>
          <w:p>
            <w:r>
              <w:rPr>
                <w:sz w:val="16"/>
                <w:lang w:val="en-GB"/>
              </w:rPr>
              <w:t>9 Moderate</w:t>
            </w:r>
          </w:p>
        </w:tc>
        <w:tc>
          <w:tcPr>
            <w:tcW w:type="dxa" w:w="804"/>
            <w:vAlign w:val="center"/>
            <w:tcMar>
              <w:top w:w="80" w:type="dxa"/>
              <w:start w:w="120" w:type="dxa"/>
              <w:bottom w:w="80" w:type="dxa"/>
              <w:end w:w="120" w:type="dxa"/>
            </w:tcMar>
          </w:tcPr>
          <w:p>
            <w:r>
              <w:rPr>
                <w:sz w:val="16"/>
                <w:lang w:val="en-GB"/>
              </w:rPr>
              <w:t>3/3</w:t>
            </w:r>
          </w:p>
        </w:tc>
        <w:tc>
          <w:tcPr>
            <w:tcW w:type="dxa" w:w="825"/>
            <w:vAlign w:val="center"/>
            <w:tcMar>
              <w:top w:w="80" w:type="dxa"/>
              <w:start w:w="120" w:type="dxa"/>
              <w:bottom w:w="80" w:type="dxa"/>
              <w:end w:w="120" w:type="dxa"/>
            </w:tcMar>
          </w:tcPr>
          <w:p>
            <w:r>
              <w:rPr>
                <w:sz w:val="16"/>
                <w:lang w:val="en-GB"/>
              </w:rPr>
              <w:t>9 Moderate</w:t>
            </w:r>
          </w:p>
        </w:tc>
        <w:tc>
          <w:tcPr>
            <w:tcW w:type="dxa" w:w="1564"/>
            <w:vAlign w:val="center"/>
            <w:tcMar>
              <w:top w:w="80" w:type="dxa"/>
              <w:start w:w="120" w:type="dxa"/>
              <w:bottom w:w="80" w:type="dxa"/>
              <w:end w:w="120" w:type="dxa"/>
            </w:tcMar>
          </w:tcPr>
          <w:p>
            <w:r>
              <w:rPr>
                <w:sz w:val="16"/>
                <w:lang w:val="en-GB"/>
              </w:rPr>
              <w:t>Require positive bounded integers, whole-run deadline and cancellation propagation; treat runner as non-idempotent in host policy.</w:t>
            </w:r>
          </w:p>
        </w:tc>
        <w:tc>
          <w:tcPr>
            <w:tcW w:type="dxa" w:w="1123"/>
            <w:vAlign w:val="center"/>
            <w:tcMar>
              <w:top w:w="80" w:type="dxa"/>
              <w:start w:w="120" w:type="dxa"/>
              <w:bottom w:w="80" w:type="dxa"/>
              <w:end w:w="120" w:type="dxa"/>
            </w:tcMar>
          </w:tcPr>
          <w:p>
            <w:r>
              <w:rPr>
                <w:sz w:val="16"/>
                <w:lang w:val="en-GB"/>
              </w:rPr>
              <w:t>MCP platform owner</w:t>
            </w:r>
          </w:p>
        </w:tc>
      </w:tr>
      <w:tr>
        <w:tc>
          <w:tcPr>
            <w:tcW w:type="dxa" w:w="804"/>
            <w:vAlign w:val="center"/>
            <w:tcMar>
              <w:top w:w="80" w:type="dxa"/>
              <w:start w:w="120" w:type="dxa"/>
              <w:bottom w:w="80" w:type="dxa"/>
              <w:end w:w="120" w:type="dxa"/>
            </w:tcMar>
          </w:tcPr>
          <w:p>
            <w:r>
              <w:rPr>
                <w:sz w:val="16"/>
                <w:lang w:val="en-GB"/>
              </w:rPr>
              <w:t>F-007</w:t>
            </w:r>
          </w:p>
        </w:tc>
        <w:tc>
          <w:tcPr>
            <w:tcW w:type="dxa" w:w="1311"/>
            <w:vAlign w:val="center"/>
            <w:tcMar>
              <w:top w:w="80" w:type="dxa"/>
              <w:start w:w="120" w:type="dxa"/>
              <w:bottom w:w="80" w:type="dxa"/>
              <w:end w:w="120" w:type="dxa"/>
            </w:tcMar>
          </w:tcPr>
          <w:p>
            <w:r>
              <w:rPr>
                <w:sz w:val="16"/>
                <w:lang w:val="en-GB"/>
              </w:rPr>
              <w:t>IDE consent and lifecycle controls lack runtime evidence</w:t>
            </w:r>
          </w:p>
        </w:tc>
        <w:tc>
          <w:tcPr>
            <w:tcW w:type="dxa" w:w="1300"/>
            <w:vAlign w:val="center"/>
            <w:tcMar>
              <w:top w:w="80" w:type="dxa"/>
              <w:start w:w="120" w:type="dxa"/>
              <w:bottom w:w="80" w:type="dxa"/>
              <w:end w:w="120" w:type="dxa"/>
            </w:tcMar>
          </w:tcPr>
          <w:p>
            <w:r>
              <w:rPr>
                <w:sz w:val="16"/>
                <w:lang w:val="en-GB"/>
              </w:rPr>
              <w:t>Both IDEs all assessed modes</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804"/>
            <w:vAlign w:val="center"/>
            <w:tcMar>
              <w:top w:w="80" w:type="dxa"/>
              <w:start w:w="120" w:type="dxa"/>
              <w:bottom w:w="80" w:type="dxa"/>
              <w:end w:w="120" w:type="dxa"/>
            </w:tcMar>
          </w:tcPr>
          <w:p>
            <w:r>
              <w:rPr>
                <w:sz w:val="16"/>
                <w:lang w:val="en-GB"/>
              </w:rPr>
              <w:t>3/4</w:t>
            </w:r>
          </w:p>
        </w:tc>
        <w:tc>
          <w:tcPr>
            <w:tcW w:type="dxa" w:w="825"/>
            <w:vAlign w:val="center"/>
            <w:tcMar>
              <w:top w:w="80" w:type="dxa"/>
              <w:start w:w="120" w:type="dxa"/>
              <w:bottom w:w="80" w:type="dxa"/>
              <w:end w:w="120" w:type="dxa"/>
            </w:tcMar>
          </w:tcPr>
          <w:p>
            <w:r>
              <w:rPr>
                <w:sz w:val="16"/>
                <w:lang w:val="en-GB"/>
              </w:rPr>
              <w:t>12 High</w:t>
            </w:r>
          </w:p>
        </w:tc>
        <w:tc>
          <w:tcPr>
            <w:tcW w:type="dxa" w:w="1564"/>
            <w:vAlign w:val="center"/>
            <w:tcMar>
              <w:top w:w="80" w:type="dxa"/>
              <w:start w:w="120" w:type="dxa"/>
              <w:bottom w:w="80" w:type="dxa"/>
              <w:end w:w="120" w:type="dxa"/>
            </w:tcMar>
          </w:tcPr>
          <w:p>
            <w:r>
              <w:rPr>
                <w:sz w:val="16"/>
                <w:lang w:val="en-GB"/>
              </w:rPr>
              <w:t>Supply disposable exact-build hosts; capture consent, denied-action and cleanup evidence; prohibit blanket auto-approval.</w:t>
            </w:r>
          </w:p>
        </w:tc>
        <w:tc>
          <w:tcPr>
            <w:tcW w:type="dxa" w:w="1123"/>
            <w:vAlign w:val="center"/>
            <w:tcMar>
              <w:top w:w="80" w:type="dxa"/>
              <w:start w:w="120" w:type="dxa"/>
              <w:bottom w:w="80" w:type="dxa"/>
              <w:end w:w="120" w:type="dxa"/>
            </w:tcMar>
          </w:tcPr>
          <w:p>
            <w:r>
              <w:rPr>
                <w:sz w:val="16"/>
                <w:lang w:val="en-GB"/>
              </w:rPr>
              <w:t>Developer platform owner</w:t>
            </w:r>
          </w:p>
        </w:tc>
      </w:tr>
    </w:tbl>
    <w:p/>
    <w:p>
      <w:pPr>
        <w:pStyle w:val="Heading1"/>
      </w:pPr>
      <w:r>
        <w:rPr>
          <w:lang w:val="en-GB"/>
        </w:rPr>
        <w:t>Evidence Register</w:t>
      </w:r>
    </w:p>
    <w:p>
      <w:pPr>
        <w:pStyle w:val="Caption"/>
      </w:pPr>
      <w:r>
        <w:rPr>
          <w:b/>
          <w:lang w:val="en-GB"/>
        </w:rPr>
        <w:t>Evidence register</w:t>
      </w:r>
    </w:p>
    <w:tbl>
      <w:tblPr>
        <w:tblStyle w:val="TableGrid"/>
        <w:tblW w:type="dxa" w:w="9360"/>
        <w:tblLayout w:type="fixed"/>
        <w:tblLook w:firstColumn="1" w:firstRow="1" w:lastColumn="0" w:lastRow="0" w:noHBand="0" w:noVBand="1" w:val="04A0"/>
        <w:tblInd w:w="120" w:type="dxa"/>
      </w:tblPr>
      <w:tblGrid>
        <w:gridCol w:w="855"/>
        <w:gridCol w:w="1328"/>
        <w:gridCol w:w="1751"/>
        <w:gridCol w:w="2072"/>
        <w:gridCol w:w="1283"/>
        <w:gridCol w:w="2071"/>
      </w:tblGrid>
      <w:tr>
        <w:trPr>
          <w:tblHeader w:val="true"/>
        </w:trPr>
        <w:tc>
          <w:tcPr>
            <w:tcW w:type="dxa" w:w="855"/>
            <w:shd w:fill="F2F4F7"/>
            <w:vAlign w:val="center"/>
            <w:tcMar>
              <w:top w:w="80" w:type="dxa"/>
              <w:start w:w="120" w:type="dxa"/>
              <w:bottom w:w="80" w:type="dxa"/>
              <w:end w:w="120" w:type="dxa"/>
            </w:tcMar>
          </w:tcPr>
          <w:p>
            <w:r>
              <w:rPr>
                <w:b/>
                <w:sz w:val="16"/>
                <w:lang w:val="en-GB"/>
              </w:rPr>
              <w:t>ID</w:t>
            </w:r>
          </w:p>
        </w:tc>
        <w:tc>
          <w:tcPr>
            <w:tcW w:type="dxa" w:w="1328"/>
            <w:shd w:fill="F2F4F7"/>
            <w:vAlign w:val="center"/>
            <w:tcMar>
              <w:top w:w="80" w:type="dxa"/>
              <w:start w:w="120" w:type="dxa"/>
              <w:bottom w:w="80" w:type="dxa"/>
              <w:end w:w="120" w:type="dxa"/>
            </w:tcMar>
          </w:tcPr>
          <w:p>
            <w:r>
              <w:rPr>
                <w:b/>
                <w:sz w:val="16"/>
                <w:lang w:val="en-GB"/>
              </w:rPr>
              <w:t>Evidence</w:t>
            </w:r>
          </w:p>
        </w:tc>
        <w:tc>
          <w:tcPr>
            <w:tcW w:type="dxa" w:w="1751"/>
            <w:shd w:fill="F2F4F7"/>
            <w:vAlign w:val="center"/>
            <w:tcMar>
              <w:top w:w="80" w:type="dxa"/>
              <w:start w:w="120" w:type="dxa"/>
              <w:bottom w:w="80" w:type="dxa"/>
              <w:end w:w="120" w:type="dxa"/>
            </w:tcMar>
          </w:tcPr>
          <w:p>
            <w:r>
              <w:rPr>
                <w:b/>
                <w:sz w:val="16"/>
                <w:lang w:val="en-GB"/>
              </w:rPr>
              <w:t>Source</w:t>
            </w:r>
          </w:p>
        </w:tc>
        <w:tc>
          <w:tcPr>
            <w:tcW w:type="dxa" w:w="2072"/>
            <w:shd w:fill="F2F4F7"/>
            <w:vAlign w:val="center"/>
            <w:tcMar>
              <w:top w:w="80" w:type="dxa"/>
              <w:start w:w="120" w:type="dxa"/>
              <w:bottom w:w="80" w:type="dxa"/>
              <w:end w:w="120" w:type="dxa"/>
            </w:tcMar>
          </w:tcPr>
          <w:p>
            <w:r>
              <w:rPr>
                <w:b/>
                <w:sz w:val="16"/>
                <w:lang w:val="en-GB"/>
              </w:rPr>
              <w:t>Method</w:t>
            </w:r>
          </w:p>
        </w:tc>
        <w:tc>
          <w:tcPr>
            <w:tcW w:type="dxa" w:w="1283"/>
            <w:shd w:fill="F2F4F7"/>
            <w:vAlign w:val="center"/>
            <w:tcMar>
              <w:top w:w="80" w:type="dxa"/>
              <w:start w:w="120" w:type="dxa"/>
              <w:bottom w:w="80" w:type="dxa"/>
              <w:end w:w="120" w:type="dxa"/>
            </w:tcMar>
            <w:noWrap/>
          </w:tcPr>
          <w:p>
            <w:r>
              <w:rPr>
                <w:b/>
                <w:sz w:val="16"/>
                <w:lang w:val="en-GB"/>
              </w:rPr>
              <w:t>State</w:t>
            </w:r>
          </w:p>
        </w:tc>
        <w:tc>
          <w:tcPr>
            <w:tcW w:type="dxa" w:w="2071"/>
            <w:shd w:fill="F2F4F7"/>
            <w:vAlign w:val="center"/>
            <w:tcMar>
              <w:top w:w="80" w:type="dxa"/>
              <w:start w:w="120" w:type="dxa"/>
              <w:bottom w:w="80" w:type="dxa"/>
              <w:end w:w="120" w:type="dxa"/>
            </w:tcMar>
          </w:tcPr>
          <w:p>
            <w:r>
              <w:rPr>
                <w:b/>
                <w:sz w:val="16"/>
                <w:lang w:val="en-GB"/>
              </w:rPr>
              <w:t>Limitation</w:t>
            </w:r>
          </w:p>
        </w:tc>
      </w:tr>
      <w:tr>
        <w:tc>
          <w:tcPr>
            <w:tcW w:type="dxa" w:w="855"/>
            <w:vAlign w:val="center"/>
            <w:tcMar>
              <w:top w:w="80" w:type="dxa"/>
              <w:start w:w="120" w:type="dxa"/>
              <w:bottom w:w="80" w:type="dxa"/>
              <w:end w:w="120" w:type="dxa"/>
            </w:tcMar>
          </w:tcPr>
          <w:p>
            <w:r>
              <w:rPr>
                <w:sz w:val="16"/>
                <w:lang w:val="en-GB"/>
              </w:rPr>
              <w:t>EVD-001</w:t>
            </w:r>
          </w:p>
        </w:tc>
        <w:tc>
          <w:tcPr>
            <w:tcW w:type="dxa" w:w="1328"/>
            <w:vAlign w:val="center"/>
            <w:tcMar>
              <w:top w:w="80" w:type="dxa"/>
              <w:start w:w="120" w:type="dxa"/>
              <w:bottom w:w="80" w:type="dxa"/>
              <w:end w:w="120" w:type="dxa"/>
            </w:tcMar>
          </w:tcPr>
          <w:p>
            <w:r>
              <w:rPr>
                <w:sz w:val="16"/>
                <w:lang w:val="en-GB"/>
              </w:rPr>
              <w:t>Release and registry identity</w:t>
            </w:r>
          </w:p>
        </w:tc>
        <w:tc>
          <w:tcPr>
            <w:tcW w:type="dxa" w:w="1751"/>
            <w:vAlign w:val="center"/>
            <w:tcMar>
              <w:top w:w="80" w:type="dxa"/>
              <w:start w:w="120" w:type="dxa"/>
              <w:bottom w:w="80" w:type="dxa"/>
              <w:end w:w="120" w:type="dxa"/>
            </w:tcMar>
          </w:tcPr>
          <w:p>
            <w:r>
              <w:rPr>
                <w:sz w:val="16"/>
                <w:lang w:val="en-GB"/>
              </w:rPr>
              <w:t>npm metadata and GitHub v2.13.0 tag</w:t>
            </w:r>
          </w:p>
        </w:tc>
        <w:tc>
          <w:tcPr>
            <w:tcW w:type="dxa" w:w="2072"/>
            <w:vAlign w:val="center"/>
            <w:tcMar>
              <w:top w:w="80" w:type="dxa"/>
              <w:start w:w="120" w:type="dxa"/>
              <w:bottom w:w="80" w:type="dxa"/>
              <w:end w:w="120" w:type="dxa"/>
            </w:tcMar>
          </w:tcPr>
          <w:p>
            <w:r>
              <w:rPr>
                <w:sz w:val="16"/>
                <w:lang w:val="en-GB"/>
              </w:rPr>
              <w:t>HTTPS retrieval and annotated-tag resolution</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Latest npm version at acquisition; hosted build version is undisclosed</w:t>
            </w:r>
          </w:p>
        </w:tc>
      </w:tr>
      <w:tr>
        <w:tc>
          <w:tcPr>
            <w:tcW w:type="dxa" w:w="855"/>
            <w:vAlign w:val="center"/>
            <w:tcMar>
              <w:top w:w="80" w:type="dxa"/>
              <w:start w:w="120" w:type="dxa"/>
              <w:bottom w:w="80" w:type="dxa"/>
              <w:end w:w="120" w:type="dxa"/>
            </w:tcMar>
          </w:tcPr>
          <w:p>
            <w:r>
              <w:rPr>
                <w:sz w:val="16"/>
                <w:lang w:val="en-GB"/>
              </w:rPr>
              <w:t>EVD-002</w:t>
            </w:r>
          </w:p>
        </w:tc>
        <w:tc>
          <w:tcPr>
            <w:tcW w:type="dxa" w:w="1328"/>
            <w:vAlign w:val="center"/>
            <w:tcMar>
              <w:top w:w="80" w:type="dxa"/>
              <w:start w:w="120" w:type="dxa"/>
              <w:bottom w:w="80" w:type="dxa"/>
              <w:end w:w="120" w:type="dxa"/>
            </w:tcMar>
          </w:tcPr>
          <w:p>
            <w:r>
              <w:rPr>
                <w:sz w:val="16"/>
                <w:lang w:val="en-GB"/>
              </w:rPr>
              <w:t>Static source snapshot</w:t>
            </w:r>
          </w:p>
        </w:tc>
        <w:tc>
          <w:tcPr>
            <w:tcW w:type="dxa" w:w="1751"/>
            <w:vAlign w:val="center"/>
            <w:tcMar>
              <w:top w:w="80" w:type="dxa"/>
              <w:start w:w="120" w:type="dxa"/>
              <w:bottom w:w="80" w:type="dxa"/>
              <w:end w:w="120" w:type="dxa"/>
            </w:tcMar>
          </w:tcPr>
          <w:p>
            <w:r>
              <w:rPr>
                <w:sz w:val="16"/>
                <w:lang w:val="en-GB"/>
              </w:rPr>
              <w:t>Postman exact commit 21cb5ce08f407227d36db1c837084265dd075991</w:t>
            </w:r>
          </w:p>
        </w:tc>
        <w:tc>
          <w:tcPr>
            <w:tcW w:type="dxa" w:w="2072"/>
            <w:vAlign w:val="center"/>
            <w:tcMar>
              <w:top w:w="80" w:type="dxa"/>
              <w:start w:w="120" w:type="dxa"/>
              <w:bottom w:w="80" w:type="dxa"/>
              <w:end w:w="120" w:type="dxa"/>
            </w:tcMar>
          </w:tcPr>
          <w:p>
            <w:r>
              <w:rPr>
                <w:sz w:val="16"/>
                <w:lang w:val="en-GB"/>
              </w:rPr>
              <w:t>Bounded archive extraction and SHA-256 inventory</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Local public source only; never activated</w:t>
            </w:r>
          </w:p>
        </w:tc>
      </w:tr>
      <w:tr>
        <w:tc>
          <w:tcPr>
            <w:tcW w:type="dxa" w:w="855"/>
            <w:vAlign w:val="center"/>
            <w:tcMar>
              <w:top w:w="80" w:type="dxa"/>
              <w:start w:w="120" w:type="dxa"/>
              <w:bottom w:w="80" w:type="dxa"/>
              <w:end w:w="120" w:type="dxa"/>
            </w:tcMar>
          </w:tcPr>
          <w:p>
            <w:r>
              <w:rPr>
                <w:sz w:val="16"/>
                <w:lang w:val="en-GB"/>
              </w:rPr>
              <w:t>EVD-003</w:t>
            </w:r>
          </w:p>
        </w:tc>
        <w:tc>
          <w:tcPr>
            <w:tcW w:type="dxa" w:w="1328"/>
            <w:vAlign w:val="center"/>
            <w:tcMar>
              <w:top w:w="80" w:type="dxa"/>
              <w:start w:w="120" w:type="dxa"/>
              <w:bottom w:w="80" w:type="dxa"/>
              <w:end w:w="120" w:type="dxa"/>
            </w:tcMar>
          </w:tcPr>
          <w:p>
            <w:r>
              <w:rPr>
                <w:sz w:val="16"/>
                <w:lang w:val="en-GB"/>
              </w:rPr>
              <w:t>Published npm artefact</w:t>
            </w:r>
          </w:p>
        </w:tc>
        <w:tc>
          <w:tcPr>
            <w:tcW w:type="dxa" w:w="1751"/>
            <w:vAlign w:val="center"/>
            <w:tcMar>
              <w:top w:w="80" w:type="dxa"/>
              <w:start w:w="120" w:type="dxa"/>
              <w:bottom w:w="80" w:type="dxa"/>
              <w:end w:w="120" w:type="dxa"/>
            </w:tcMar>
          </w:tcPr>
          <w:p>
            <w:r>
              <w:rPr>
                <w:sz w:val="16"/>
                <w:lang w:val="en-GB"/>
              </w:rPr>
              <w:t>npm 2.13.0 tarball</w:t>
            </w:r>
          </w:p>
        </w:tc>
        <w:tc>
          <w:tcPr>
            <w:tcW w:type="dxa" w:w="2072"/>
            <w:vAlign w:val="center"/>
            <w:tcMar>
              <w:top w:w="80" w:type="dxa"/>
              <w:start w:w="120" w:type="dxa"/>
              <w:bottom w:w="80" w:type="dxa"/>
              <w:end w:w="120" w:type="dxa"/>
            </w:tcMar>
          </w:tcPr>
          <w:p>
            <w:r>
              <w:rPr>
                <w:sz w:val="16"/>
                <w:lang w:val="en-GB"/>
              </w:rPr>
              <w:t>SHA-512 integrity and ECDSA registry signatures</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Registry signature is not an independent publisher identity or hosted attestation</w:t>
            </w:r>
          </w:p>
        </w:tc>
      </w:tr>
      <w:tr>
        <w:tc>
          <w:tcPr>
            <w:tcW w:type="dxa" w:w="855"/>
            <w:vAlign w:val="center"/>
            <w:tcMar>
              <w:top w:w="80" w:type="dxa"/>
              <w:start w:w="120" w:type="dxa"/>
              <w:bottom w:w="80" w:type="dxa"/>
              <w:end w:w="120" w:type="dxa"/>
            </w:tcMar>
          </w:tcPr>
          <w:p>
            <w:r>
              <w:rPr>
                <w:sz w:val="16"/>
                <w:lang w:val="en-GB"/>
              </w:rPr>
              <w:t>EVD-004</w:t>
            </w:r>
          </w:p>
        </w:tc>
        <w:tc>
          <w:tcPr>
            <w:tcW w:type="dxa" w:w="1328"/>
            <w:vAlign w:val="center"/>
            <w:tcMar>
              <w:top w:w="80" w:type="dxa"/>
              <w:start w:w="120" w:type="dxa"/>
              <w:bottom w:w="80" w:type="dxa"/>
              <w:end w:w="120" w:type="dxa"/>
            </w:tcMar>
          </w:tcPr>
          <w:p>
            <w:r>
              <w:rPr>
                <w:sz w:val="16"/>
                <w:lang w:val="en-GB"/>
              </w:rPr>
              <w:t>Source package comparison</w:t>
            </w:r>
          </w:p>
        </w:tc>
        <w:tc>
          <w:tcPr>
            <w:tcW w:type="dxa" w:w="1751"/>
            <w:vAlign w:val="center"/>
            <w:tcMar>
              <w:top w:w="80" w:type="dxa"/>
              <w:start w:w="120" w:type="dxa"/>
              <w:bottom w:w="80" w:type="dxa"/>
              <w:end w:w="120" w:type="dxa"/>
            </w:tcMar>
          </w:tcPr>
          <w:p>
            <w:r>
              <w:rPr>
                <w:sz w:val="16"/>
                <w:lang w:val="en-GB"/>
              </w:rPr>
              <w:t>Versioned dist and npm dist</w:t>
            </w:r>
          </w:p>
        </w:tc>
        <w:tc>
          <w:tcPr>
            <w:tcW w:type="dxa" w:w="2072"/>
            <w:vAlign w:val="center"/>
            <w:tcMar>
              <w:top w:w="80" w:type="dxa"/>
              <w:start w:w="120" w:type="dxa"/>
              <w:bottom w:w="80" w:type="dxa"/>
              <w:end w:w="120" w:type="dxa"/>
            </w:tcMar>
          </w:tcPr>
          <w:p>
            <w:r>
              <w:rPr>
                <w:sz w:val="16"/>
                <w:lang w:val="en-GB"/>
              </w:rPr>
              <w:t>255-file comparison; all 252 dist files equal</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package.json publishing transformation; no independent rebuild</w:t>
            </w:r>
          </w:p>
        </w:tc>
      </w:tr>
      <w:tr>
        <w:tc>
          <w:tcPr>
            <w:tcW w:type="dxa" w:w="855"/>
            <w:vAlign w:val="center"/>
            <w:tcMar>
              <w:top w:w="80" w:type="dxa"/>
              <w:start w:w="120" w:type="dxa"/>
              <w:bottom w:w="80" w:type="dxa"/>
              <w:end w:w="120" w:type="dxa"/>
            </w:tcMar>
          </w:tcPr>
          <w:p>
            <w:r>
              <w:rPr>
                <w:sz w:val="16"/>
                <w:lang w:val="en-GB"/>
              </w:rPr>
              <w:t>EVD-005</w:t>
            </w:r>
          </w:p>
        </w:tc>
        <w:tc>
          <w:tcPr>
            <w:tcW w:type="dxa" w:w="1328"/>
            <w:vAlign w:val="center"/>
            <w:tcMar>
              <w:top w:w="80" w:type="dxa"/>
              <w:start w:w="120" w:type="dxa"/>
              <w:bottom w:w="80" w:type="dxa"/>
              <w:end w:w="120" w:type="dxa"/>
            </w:tcMar>
          </w:tcPr>
          <w:p>
            <w:r>
              <w:rPr>
                <w:sz w:val="16"/>
                <w:lang w:val="en-GB"/>
              </w:rPr>
              <w:t>Toolsets and protocol surfaces</w:t>
            </w:r>
          </w:p>
        </w:tc>
        <w:tc>
          <w:tcPr>
            <w:tcW w:type="dxa" w:w="1751"/>
            <w:vAlign w:val="center"/>
            <w:tcMar>
              <w:top w:w="80" w:type="dxa"/>
              <w:start w:w="120" w:type="dxa"/>
              <w:bottom w:w="80" w:type="dxa"/>
              <w:end w:w="120" w:type="dxa"/>
            </w:tcMar>
          </w:tcPr>
          <w:p>
            <w:r>
              <w:rPr>
                <w:sz w:val="16"/>
                <w:lang w:val="en-GB"/>
              </w:rPr>
              <w:t>enabledResources.ts and index.ts</w:t>
            </w:r>
          </w:p>
        </w:tc>
        <w:tc>
          <w:tcPr>
            <w:tcW w:type="dxa" w:w="2072"/>
            <w:vAlign w:val="center"/>
            <w:tcMar>
              <w:top w:w="80" w:type="dxa"/>
              <w:start w:w="120" w:type="dxa"/>
              <w:bottom w:w="80" w:type="dxa"/>
              <w:end w:w="120" w:type="dxa"/>
            </w:tcMar>
          </w:tcPr>
          <w:p>
            <w:r>
              <w:rPr>
                <w:sz w:val="16"/>
                <w:lang w:val="en-GB"/>
              </w:rPr>
              <w:t>Static inventory with comment removal and unique-name count</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Configured surface; no authenticated tools/list capture</w:t>
            </w:r>
          </w:p>
        </w:tc>
      </w:tr>
      <w:tr>
        <w:tc>
          <w:tcPr>
            <w:tcW w:type="dxa" w:w="855"/>
            <w:vAlign w:val="center"/>
            <w:tcMar>
              <w:top w:w="80" w:type="dxa"/>
              <w:start w:w="120" w:type="dxa"/>
              <w:bottom w:w="80" w:type="dxa"/>
              <w:end w:w="120" w:type="dxa"/>
            </w:tcMar>
          </w:tcPr>
          <w:p>
            <w:r>
              <w:rPr>
                <w:sz w:val="16"/>
                <w:lang w:val="en-GB"/>
              </w:rPr>
              <w:t>EVD-006</w:t>
            </w:r>
          </w:p>
        </w:tc>
        <w:tc>
          <w:tcPr>
            <w:tcW w:type="dxa" w:w="1328"/>
            <w:vAlign w:val="center"/>
            <w:tcMar>
              <w:top w:w="80" w:type="dxa"/>
              <w:start w:w="120" w:type="dxa"/>
              <w:bottom w:w="80" w:type="dxa"/>
              <w:end w:w="120" w:type="dxa"/>
            </w:tcMar>
          </w:tcPr>
          <w:p>
            <w:r>
              <w:rPr>
                <w:sz w:val="16"/>
                <w:lang w:val="en-GB"/>
              </w:rPr>
              <w:t>Collection runner data and execution</w:t>
            </w:r>
          </w:p>
        </w:tc>
        <w:tc>
          <w:tcPr>
            <w:tcW w:type="dxa" w:w="1751"/>
            <w:vAlign w:val="center"/>
            <w:tcMar>
              <w:top w:w="80" w:type="dxa"/>
              <w:start w:w="120" w:type="dxa"/>
              <w:bottom w:w="80" w:type="dxa"/>
              <w:end w:w="120" w:type="dxa"/>
            </w:tcMar>
          </w:tcPr>
          <w:p>
            <w:r>
              <w:rPr>
                <w:sz w:val="16"/>
                <w:lang w:val="en-GB"/>
              </w:rPr>
              <w:t>runner modules and runCollection.ts</w:t>
            </w:r>
          </w:p>
        </w:tc>
        <w:tc>
          <w:tcPr>
            <w:tcW w:type="dxa" w:w="2072"/>
            <w:vAlign w:val="center"/>
            <w:tcMar>
              <w:top w:w="80" w:type="dxa"/>
              <w:start w:w="120" w:type="dxa"/>
              <w:bottom w:w="80" w:type="dxa"/>
              <w:end w:w="120" w:type="dxa"/>
            </w:tcMar>
          </w:tcPr>
          <w:p>
            <w:r>
              <w:rPr>
                <w:sz w:val="16"/>
                <w:lang w:val="en-GB"/>
              </w:rPr>
              <w:t>Source-to-sink inspection with independent review</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Static behavior; uploaded content and destination controls not runtime-tested</w:t>
            </w:r>
          </w:p>
        </w:tc>
      </w:tr>
      <w:tr>
        <w:tc>
          <w:tcPr>
            <w:tcW w:type="dxa" w:w="855"/>
            <w:vAlign w:val="center"/>
            <w:tcMar>
              <w:top w:w="80" w:type="dxa"/>
              <w:start w:w="120" w:type="dxa"/>
              <w:bottom w:w="80" w:type="dxa"/>
              <w:end w:w="120" w:type="dxa"/>
            </w:tcMar>
          </w:tcPr>
          <w:p>
            <w:r>
              <w:rPr>
                <w:sz w:val="16"/>
                <w:lang w:val="en-GB"/>
              </w:rPr>
              <w:t>EVD-007</w:t>
            </w:r>
          </w:p>
        </w:tc>
        <w:tc>
          <w:tcPr>
            <w:tcW w:type="dxa" w:w="1328"/>
            <w:vAlign w:val="center"/>
            <w:tcMar>
              <w:top w:w="80" w:type="dxa"/>
              <w:start w:w="120" w:type="dxa"/>
              <w:bottom w:w="80" w:type="dxa"/>
              <w:end w:w="120" w:type="dxa"/>
            </w:tcMar>
          </w:tcPr>
          <w:p>
            <w:r>
              <w:rPr>
                <w:sz w:val="16"/>
                <w:lang w:val="en-GB"/>
              </w:rPr>
              <w:t>Telemetry and configuration</w:t>
            </w:r>
          </w:p>
        </w:tc>
        <w:tc>
          <w:tcPr>
            <w:tcW w:type="dxa" w:w="1751"/>
            <w:vAlign w:val="center"/>
            <w:tcMar>
              <w:top w:w="80" w:type="dxa"/>
              <w:start w:w="120" w:type="dxa"/>
              <w:bottom w:w="80" w:type="dxa"/>
              <w:end w:w="120" w:type="dxa"/>
            </w:tcMar>
          </w:tcPr>
          <w:p>
            <w:r>
              <w:rPr>
                <w:sz w:val="16"/>
                <w:lang w:val="en-GB"/>
              </w:rPr>
              <w:t>env.ts, telemetry and API client modules</w:t>
            </w:r>
          </w:p>
        </w:tc>
        <w:tc>
          <w:tcPr>
            <w:tcW w:type="dxa" w:w="2072"/>
            <w:vAlign w:val="center"/>
            <w:tcMar>
              <w:top w:w="80" w:type="dxa"/>
              <w:start w:w="120" w:type="dxa"/>
              <w:bottom w:w="80" w:type="dxa"/>
              <w:end w:w="120" w:type="dxa"/>
            </w:tcMar>
          </w:tcPr>
          <w:p>
            <w:r>
              <w:rPr>
                <w:sz w:val="16"/>
                <w:lang w:val="en-GB"/>
              </w:rPr>
              <w:t>Static authentication, metadata and persistence review</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No actual secrets, network capture or install-ID write observed</w:t>
            </w:r>
          </w:p>
        </w:tc>
      </w:tr>
      <w:tr>
        <w:tc>
          <w:tcPr>
            <w:tcW w:type="dxa" w:w="855"/>
            <w:vAlign w:val="center"/>
            <w:tcMar>
              <w:top w:w="80" w:type="dxa"/>
              <w:start w:w="120" w:type="dxa"/>
              <w:bottom w:w="80" w:type="dxa"/>
              <w:end w:w="120" w:type="dxa"/>
            </w:tcMar>
          </w:tcPr>
          <w:p>
            <w:r>
              <w:rPr>
                <w:sz w:val="16"/>
                <w:lang w:val="en-GB"/>
              </w:rPr>
              <w:t>EVD-008</w:t>
            </w:r>
          </w:p>
        </w:tc>
        <w:tc>
          <w:tcPr>
            <w:tcW w:type="dxa" w:w="1328"/>
            <w:vAlign w:val="center"/>
            <w:tcMar>
              <w:top w:w="80" w:type="dxa"/>
              <w:start w:w="120" w:type="dxa"/>
              <w:bottom w:w="80" w:type="dxa"/>
              <w:end w:w="120" w:type="dxa"/>
            </w:tcMar>
          </w:tcPr>
          <w:p>
            <w:r>
              <w:rPr>
                <w:sz w:val="16"/>
                <w:lang w:val="en-GB"/>
              </w:rPr>
              <w:t>Scanner scope</w:t>
            </w:r>
          </w:p>
        </w:tc>
        <w:tc>
          <w:tcPr>
            <w:tcW w:type="dxa" w:w="1751"/>
            <w:vAlign w:val="center"/>
            <w:tcMar>
              <w:top w:w="80" w:type="dxa"/>
              <w:start w:w="120" w:type="dxa"/>
              <w:bottom w:w="80" w:type="dxa"/>
              <w:end w:w="120" w:type="dxa"/>
            </w:tcMar>
          </w:tcPr>
          <w:p>
            <w:r>
              <w:rPr>
                <w:sz w:val="16"/>
                <w:lang w:val="en-GB"/>
              </w:rPr>
              <w:t>Semgrep 1.179.0 compatible-rule subset and ClamAV 1.5.4</w:t>
            </w:r>
          </w:p>
        </w:tc>
        <w:tc>
          <w:tcPr>
            <w:tcW w:type="dxa" w:w="2072"/>
            <w:vAlign w:val="center"/>
            <w:tcMar>
              <w:top w:w="80" w:type="dxa"/>
              <w:start w:w="120" w:type="dxa"/>
              <w:bottom w:w="80" w:type="dxa"/>
              <w:end w:w="120" w:type="dxa"/>
            </w:tcMar>
          </w:tcPr>
          <w:p>
            <w:r>
              <w:rPr>
                <w:sz w:val="16"/>
                <w:lang w:val="en-GB"/>
              </w:rPr>
              <w:t>Semgrep source scan; refreshed AV source/package scan, database signature verification</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AV zero detections in 803 files with database 28146 dated 7 October 2026; Semgrep three Pro-only rules/two files excluded; YARA corpus and installed closure unverified</w:t>
            </w:r>
          </w:p>
        </w:tc>
      </w:tr>
      <w:tr>
        <w:tc>
          <w:tcPr>
            <w:tcW w:type="dxa" w:w="855"/>
            <w:vAlign w:val="center"/>
            <w:tcMar>
              <w:top w:w="80" w:type="dxa"/>
              <w:start w:w="120" w:type="dxa"/>
              <w:bottom w:w="80" w:type="dxa"/>
              <w:end w:w="120" w:type="dxa"/>
            </w:tcMar>
          </w:tcPr>
          <w:p>
            <w:r>
              <w:rPr>
                <w:sz w:val="16"/>
                <w:lang w:val="en-GB"/>
              </w:rPr>
              <w:t>EVD-009</w:t>
            </w:r>
          </w:p>
        </w:tc>
        <w:tc>
          <w:tcPr>
            <w:tcW w:type="dxa" w:w="1328"/>
            <w:vAlign w:val="center"/>
            <w:tcMar>
              <w:top w:w="80" w:type="dxa"/>
              <w:start w:w="120" w:type="dxa"/>
              <w:bottom w:w="80" w:type="dxa"/>
              <w:end w:w="120" w:type="dxa"/>
            </w:tcMar>
          </w:tcPr>
          <w:p>
            <w:r>
              <w:rPr>
                <w:sz w:val="16"/>
                <w:lang w:val="en-GB"/>
              </w:rPr>
              <w:t>Dependency inventory and signals</w:t>
            </w:r>
          </w:p>
        </w:tc>
        <w:tc>
          <w:tcPr>
            <w:tcW w:type="dxa" w:w="1751"/>
            <w:vAlign w:val="center"/>
            <w:tcMar>
              <w:top w:w="80" w:type="dxa"/>
              <w:start w:w="120" w:type="dxa"/>
              <w:bottom w:w="80" w:type="dxa"/>
              <w:end w:w="120" w:type="dxa"/>
            </w:tcMar>
          </w:tcPr>
          <w:p>
            <w:r>
              <w:rPr>
                <w:sz w:val="16"/>
                <w:lang w:val="en-GB"/>
              </w:rPr>
              <w:t>Source pnpm lock and OSV exact queries</w:t>
            </w:r>
          </w:p>
        </w:tc>
        <w:tc>
          <w:tcPr>
            <w:tcW w:type="dxa" w:w="2072"/>
            <w:vAlign w:val="center"/>
            <w:tcMar>
              <w:top w:w="80" w:type="dxa"/>
              <w:start w:w="120" w:type="dxa"/>
              <w:bottom w:w="80" w:type="dxa"/>
              <w:end w:w="120" w:type="dxa"/>
            </w:tcMar>
          </w:tcPr>
          <w:p>
            <w:r>
              <w:rPr>
                <w:sz w:val="16"/>
                <w:lang w:val="en-GB"/>
              </w:rPr>
              <w:t>385 package-version queries and manual applicability triage</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Production versus development and installed consumer closure differ; advisory matches not exploit proof</w:t>
            </w:r>
          </w:p>
        </w:tc>
      </w:tr>
      <w:tr>
        <w:tc>
          <w:tcPr>
            <w:tcW w:type="dxa" w:w="855"/>
            <w:vAlign w:val="center"/>
            <w:tcMar>
              <w:top w:w="80" w:type="dxa"/>
              <w:start w:w="120" w:type="dxa"/>
              <w:bottom w:w="80" w:type="dxa"/>
              <w:end w:w="120" w:type="dxa"/>
            </w:tcMar>
          </w:tcPr>
          <w:p>
            <w:r>
              <w:rPr>
                <w:sz w:val="16"/>
                <w:lang w:val="en-GB"/>
              </w:rPr>
              <w:t>EVD-010</w:t>
            </w:r>
          </w:p>
        </w:tc>
        <w:tc>
          <w:tcPr>
            <w:tcW w:type="dxa" w:w="1328"/>
            <w:vAlign w:val="center"/>
            <w:tcMar>
              <w:top w:w="80" w:type="dxa"/>
              <w:start w:w="120" w:type="dxa"/>
              <w:bottom w:w="80" w:type="dxa"/>
              <w:end w:w="120" w:type="dxa"/>
            </w:tcMar>
          </w:tcPr>
          <w:p>
            <w:r>
              <w:rPr>
                <w:sz w:val="16"/>
                <w:lang w:val="en-GB"/>
              </w:rPr>
              <w:t>IDE behavior and policy</w:t>
            </w:r>
          </w:p>
        </w:tc>
        <w:tc>
          <w:tcPr>
            <w:tcW w:type="dxa" w:w="1751"/>
            <w:vAlign w:val="center"/>
            <w:tcMar>
              <w:top w:w="80" w:type="dxa"/>
              <w:start w:w="120" w:type="dxa"/>
              <w:bottom w:w="80" w:type="dxa"/>
              <w:end w:w="120" w:type="dxa"/>
            </w:tcMar>
          </w:tcPr>
          <w:p>
            <w:r>
              <w:rPr>
                <w:sz w:val="16"/>
                <w:lang w:val="en-GB"/>
              </w:rPr>
              <w:t>Microsoft VS Code and Visual Studio documentation</w:t>
            </w:r>
          </w:p>
        </w:tc>
        <w:tc>
          <w:tcPr>
            <w:tcW w:type="dxa" w:w="2072"/>
            <w:vAlign w:val="center"/>
            <w:tcMar>
              <w:top w:w="80" w:type="dxa"/>
              <w:start w:w="120" w:type="dxa"/>
              <w:bottom w:w="80" w:type="dxa"/>
              <w:end w:w="120" w:type="dxa"/>
            </w:tcMar>
          </w:tcPr>
          <w:p>
            <w:r>
              <w:rPr>
                <w:sz w:val="16"/>
                <w:lang w:val="en-GB"/>
              </w:rPr>
              <w:t>Current primary-source review</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Vendor-documented expectations; OS/IDE versions of intended deployment not supplied</w:t>
            </w:r>
          </w:p>
        </w:tc>
      </w:tr>
      <w:tr>
        <w:tc>
          <w:tcPr>
            <w:tcW w:type="dxa" w:w="855"/>
            <w:vAlign w:val="center"/>
            <w:tcMar>
              <w:top w:w="80" w:type="dxa"/>
              <w:start w:w="120" w:type="dxa"/>
              <w:bottom w:w="80" w:type="dxa"/>
              <w:end w:w="120" w:type="dxa"/>
            </w:tcMar>
          </w:tcPr>
          <w:p>
            <w:r>
              <w:rPr>
                <w:sz w:val="16"/>
                <w:lang w:val="en-GB"/>
              </w:rPr>
              <w:t>EVD-011</w:t>
            </w:r>
          </w:p>
        </w:tc>
        <w:tc>
          <w:tcPr>
            <w:tcW w:type="dxa" w:w="1328"/>
            <w:vAlign w:val="center"/>
            <w:tcMar>
              <w:top w:w="80" w:type="dxa"/>
              <w:start w:w="120" w:type="dxa"/>
              <w:bottom w:w="80" w:type="dxa"/>
              <w:end w:w="120" w:type="dxa"/>
            </w:tcMar>
          </w:tcPr>
          <w:p>
            <w:r>
              <w:rPr>
                <w:sz w:val="16"/>
                <w:lang w:val="en-GB"/>
              </w:rPr>
              <w:t>Remote behavior</w:t>
            </w:r>
          </w:p>
        </w:tc>
        <w:tc>
          <w:tcPr>
            <w:tcW w:type="dxa" w:w="1751"/>
            <w:vAlign w:val="center"/>
            <w:tcMar>
              <w:top w:w="80" w:type="dxa"/>
              <w:start w:w="120" w:type="dxa"/>
              <w:bottom w:w="80" w:type="dxa"/>
              <w:end w:w="120" w:type="dxa"/>
            </w:tcMar>
          </w:tcPr>
          <w:p>
            <w:r>
              <w:rPr>
                <w:sz w:val="16"/>
                <w:lang w:val="en-GB"/>
              </w:rPr>
              <w:t>Postman hosted setup documentation</w:t>
            </w:r>
          </w:p>
        </w:tc>
        <w:tc>
          <w:tcPr>
            <w:tcW w:type="dxa" w:w="2072"/>
            <w:vAlign w:val="center"/>
            <w:tcMar>
              <w:top w:w="80" w:type="dxa"/>
              <w:start w:w="120" w:type="dxa"/>
              <w:bottom w:w="80" w:type="dxa"/>
              <w:end w:w="120" w:type="dxa"/>
            </w:tcMar>
          </w:tcPr>
          <w:p>
            <w:r>
              <w:rPr>
                <w:sz w:val="16"/>
                <w:lang w:val="en-GB"/>
              </w:rPr>
              <w:t>US/EU auth and endpoint comparison</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Hosted implementation, tenant isolation and token semantics unobserved</w:t>
            </w:r>
          </w:p>
        </w:tc>
      </w:tr>
      <w:tr>
        <w:tc>
          <w:tcPr>
            <w:tcW w:type="dxa" w:w="855"/>
            <w:vAlign w:val="center"/>
            <w:tcMar>
              <w:top w:w="80" w:type="dxa"/>
              <w:start w:w="120" w:type="dxa"/>
              <w:bottom w:w="80" w:type="dxa"/>
              <w:end w:w="120" w:type="dxa"/>
            </w:tcMar>
          </w:tcPr>
          <w:p>
            <w:r>
              <w:rPr>
                <w:sz w:val="16"/>
                <w:lang w:val="en-GB"/>
              </w:rPr>
              <w:t>EVD-012</w:t>
            </w:r>
          </w:p>
        </w:tc>
        <w:tc>
          <w:tcPr>
            <w:tcW w:type="dxa" w:w="1328"/>
            <w:vAlign w:val="center"/>
            <w:tcMar>
              <w:top w:w="80" w:type="dxa"/>
              <w:start w:w="120" w:type="dxa"/>
              <w:bottom w:w="80" w:type="dxa"/>
              <w:end w:w="120" w:type="dxa"/>
            </w:tcMar>
          </w:tcPr>
          <w:p>
            <w:r>
              <w:rPr>
                <w:sz w:val="16"/>
                <w:lang w:val="en-GB"/>
              </w:rPr>
              <w:t>Privacy and sector applicability</w:t>
            </w:r>
          </w:p>
        </w:tc>
        <w:tc>
          <w:tcPr>
            <w:tcW w:type="dxa" w:w="1751"/>
            <w:vAlign w:val="center"/>
            <w:tcMar>
              <w:top w:w="80" w:type="dxa"/>
              <w:start w:w="120" w:type="dxa"/>
              <w:bottom w:w="80" w:type="dxa"/>
              <w:end w:w="120" w:type="dxa"/>
            </w:tcMar>
          </w:tcPr>
          <w:p>
            <w:r>
              <w:rPr>
                <w:sz w:val="16"/>
                <w:lang w:val="en-GB"/>
              </w:rPr>
              <w:t>Public Postman, ICO, FCA and PRA sources</w:t>
            </w:r>
          </w:p>
        </w:tc>
        <w:tc>
          <w:tcPr>
            <w:tcW w:type="dxa" w:w="2072"/>
            <w:vAlign w:val="center"/>
            <w:tcMar>
              <w:top w:w="80" w:type="dxa"/>
              <w:start w:w="120" w:type="dxa"/>
              <w:bottom w:w="80" w:type="dxa"/>
              <w:end w:w="120" w:type="dxa"/>
            </w:tcMar>
          </w:tcPr>
          <w:p>
            <w:r>
              <w:rPr>
                <w:sz w:val="16"/>
                <w:lang w:val="en-GB"/>
              </w:rPr>
              <w:t>Documentary analysis and applicability screening</w:t>
            </w:r>
          </w:p>
        </w:tc>
        <w:tc>
          <w:tcPr>
            <w:tcW w:type="dxa" w:w="1283"/>
            <w:vAlign w:val="center"/>
            <w:tcMar>
              <w:top w:w="80" w:type="dxa"/>
              <w:start w:w="120" w:type="dxa"/>
              <w:bottom w:w="80" w:type="dxa"/>
              <w:end w:w="120" w:type="dxa"/>
            </w:tcMar>
          </w:tcPr>
          <w:p>
            <w:r>
              <w:rPr>
                <w:sz w:val="16"/>
                <w:lang w:val="en-GB"/>
              </w:rPr>
              <w:t>Inferred</w:t>
            </w:r>
          </w:p>
        </w:tc>
        <w:tc>
          <w:tcPr>
            <w:tcW w:type="dxa" w:w="2071"/>
            <w:vAlign w:val="center"/>
            <w:tcMar>
              <w:top w:w="80" w:type="dxa"/>
              <w:start w:w="120" w:type="dxa"/>
              <w:bottom w:w="80" w:type="dxa"/>
              <w:end w:w="120" w:type="dxa"/>
            </w:tcMar>
          </w:tcPr>
          <w:p>
            <w:r>
              <w:rPr>
                <w:sz w:val="16"/>
                <w:lang w:val="en-GB"/>
              </w:rPr>
              <w:t>Assumed UK insurer; actual entity, signed DPA, retention and subprocessors not supplied</w:t>
            </w:r>
          </w:p>
        </w:tc>
      </w:tr>
      <w:tr>
        <w:tc>
          <w:tcPr>
            <w:tcW w:type="dxa" w:w="855"/>
            <w:vAlign w:val="center"/>
            <w:tcMar>
              <w:top w:w="80" w:type="dxa"/>
              <w:start w:w="120" w:type="dxa"/>
              <w:bottom w:w="80" w:type="dxa"/>
              <w:end w:w="120" w:type="dxa"/>
            </w:tcMar>
          </w:tcPr>
          <w:p>
            <w:r>
              <w:rPr>
                <w:sz w:val="16"/>
                <w:lang w:val="en-GB"/>
              </w:rPr>
              <w:t>EVD-013</w:t>
            </w:r>
          </w:p>
        </w:tc>
        <w:tc>
          <w:tcPr>
            <w:tcW w:type="dxa" w:w="1328"/>
            <w:vAlign w:val="center"/>
            <w:tcMar>
              <w:top w:w="80" w:type="dxa"/>
              <w:start w:w="120" w:type="dxa"/>
              <w:bottom w:w="80" w:type="dxa"/>
              <w:end w:w="120" w:type="dxa"/>
            </w:tcMar>
          </w:tcPr>
          <w:p>
            <w:r>
              <w:rPr>
                <w:sz w:val="16"/>
                <w:lang w:val="en-GB"/>
              </w:rPr>
              <w:t>Runtime readiness</w:t>
            </w:r>
          </w:p>
        </w:tc>
        <w:tc>
          <w:tcPr>
            <w:tcW w:type="dxa" w:w="1751"/>
            <w:vAlign w:val="center"/>
            <w:tcMar>
              <w:top w:w="80" w:type="dxa"/>
              <w:start w:w="120" w:type="dxa"/>
              <w:bottom w:w="80" w:type="dxa"/>
              <w:end w:w="120" w:type="dxa"/>
            </w:tcMar>
          </w:tcPr>
          <w:p>
            <w:r>
              <w:rPr>
                <w:sz w:val="16"/>
                <w:lang w:val="en-GB"/>
              </w:rPr>
              <w:t>User scope clarification on 7 October 2026</w:t>
            </w:r>
          </w:p>
        </w:tc>
        <w:tc>
          <w:tcPr>
            <w:tcW w:type="dxa" w:w="2072"/>
            <w:vAlign w:val="center"/>
            <w:tcMar>
              <w:top w:w="80" w:type="dxa"/>
              <w:start w:w="120" w:type="dxa"/>
              <w:bottom w:w="80" w:type="dxa"/>
              <w:end w:w="120" w:type="dxa"/>
            </w:tcMar>
          </w:tcPr>
          <w:p>
            <w:r>
              <w:rPr>
                <w:sz w:val="16"/>
                <w:lang w:val="en-GB"/>
              </w:rPr>
              <w:t>Explicit no disposable environment supplied</w:t>
            </w:r>
          </w:p>
        </w:tc>
        <w:tc>
          <w:tcPr>
            <w:tcW w:type="dxa" w:w="1283"/>
            <w:vAlign w:val="center"/>
            <w:tcMar>
              <w:top w:w="80" w:type="dxa"/>
              <w:start w:w="120" w:type="dxa"/>
              <w:bottom w:w="80" w:type="dxa"/>
              <w:end w:w="120" w:type="dxa"/>
            </w:tcMar>
          </w:tcPr>
          <w:p>
            <w:r>
              <w:rPr>
                <w:sz w:val="16"/>
                <w:lang w:val="en-GB"/>
              </w:rPr>
              <w:t>Blocked</w:t>
            </w:r>
          </w:p>
        </w:tc>
        <w:tc>
          <w:tcPr>
            <w:tcW w:type="dxa" w:w="2071"/>
            <w:vAlign w:val="center"/>
            <w:tcMar>
              <w:top w:w="80" w:type="dxa"/>
              <w:start w:w="120" w:type="dxa"/>
              <w:bottom w:w="80" w:type="dxa"/>
              <w:end w:w="120" w:type="dxa"/>
            </w:tcMar>
          </w:tcPr>
          <w:p>
            <w:r>
              <w:rPr>
                <w:sz w:val="16"/>
                <w:lang w:val="en-GB"/>
              </w:rPr>
              <w:t>Runtime Yes retained; authenticated observations unavailable for all IDE/mode combinations</w:t>
            </w:r>
          </w:p>
        </w:tc>
      </w:tr>
      <w:tr>
        <w:tc>
          <w:tcPr>
            <w:tcW w:type="dxa" w:w="855"/>
            <w:vAlign w:val="center"/>
            <w:tcMar>
              <w:top w:w="80" w:type="dxa"/>
              <w:start w:w="120" w:type="dxa"/>
              <w:bottom w:w="80" w:type="dxa"/>
              <w:end w:w="120" w:type="dxa"/>
            </w:tcMar>
          </w:tcPr>
          <w:p>
            <w:r>
              <w:rPr>
                <w:sz w:val="16"/>
                <w:lang w:val="en-GB"/>
              </w:rPr>
              <w:t>EVD-014</w:t>
            </w:r>
          </w:p>
        </w:tc>
        <w:tc>
          <w:tcPr>
            <w:tcW w:type="dxa" w:w="1328"/>
            <w:vAlign w:val="center"/>
            <w:tcMar>
              <w:top w:w="80" w:type="dxa"/>
              <w:start w:w="120" w:type="dxa"/>
              <w:bottom w:w="80" w:type="dxa"/>
              <w:end w:w="120" w:type="dxa"/>
            </w:tcMar>
          </w:tcPr>
          <w:p>
            <w:r>
              <w:rPr>
                <w:sz w:val="16"/>
                <w:lang w:val="en-GB"/>
              </w:rPr>
              <w:t>Framework editions</w:t>
            </w:r>
          </w:p>
        </w:tc>
        <w:tc>
          <w:tcPr>
            <w:tcW w:type="dxa" w:w="1751"/>
            <w:vAlign w:val="center"/>
            <w:tcMar>
              <w:top w:w="80" w:type="dxa"/>
              <w:start w:w="120" w:type="dxa"/>
              <w:bottom w:w="80" w:type="dxa"/>
              <w:end w:w="120" w:type="dxa"/>
            </w:tcMar>
          </w:tcPr>
          <w:p>
            <w:r>
              <w:rPr>
                <w:sz w:val="16"/>
                <w:lang w:val="en-GB"/>
              </w:rPr>
              <w:t>OWASP MITRE NIST CIS ISO NCSC official sources</w:t>
            </w:r>
          </w:p>
        </w:tc>
        <w:tc>
          <w:tcPr>
            <w:tcW w:type="dxa" w:w="2072"/>
            <w:vAlign w:val="center"/>
            <w:tcMar>
              <w:top w:w="80" w:type="dxa"/>
              <w:start w:w="120" w:type="dxa"/>
              <w:bottom w:w="80" w:type="dxa"/>
              <w:end w:w="120" w:type="dxa"/>
            </w:tcMar>
          </w:tcPr>
          <w:p>
            <w:r>
              <w:rPr>
                <w:sz w:val="16"/>
                <w:lang w:val="en-GB"/>
              </w:rPr>
              <w:t>Edition and requirement verification</w:t>
            </w:r>
          </w:p>
        </w:tc>
        <w:tc>
          <w:tcPr>
            <w:tcW w:type="dxa" w:w="1283"/>
            <w:vAlign w:val="center"/>
            <w:tcMar>
              <w:top w:w="80" w:type="dxa"/>
              <w:start w:w="120" w:type="dxa"/>
              <w:bottom w:w="80" w:type="dxa"/>
              <w:end w:w="120" w:type="dxa"/>
            </w:tcMar>
          </w:tcPr>
          <w:p>
            <w:r>
              <w:rPr>
                <w:sz w:val="16"/>
                <w:lang w:val="en-GB"/>
              </w:rPr>
              <w:t>Verified</w:t>
            </w:r>
          </w:p>
        </w:tc>
        <w:tc>
          <w:tcPr>
            <w:tcW w:type="dxa" w:w="2071"/>
            <w:vAlign w:val="center"/>
            <w:tcMar>
              <w:top w:w="80" w:type="dxa"/>
              <w:start w:w="120" w:type="dxa"/>
              <w:bottom w:w="80" w:type="dxa"/>
              <w:end w:w="120" w:type="dxa"/>
            </w:tcMar>
          </w:tcPr>
          <w:p>
            <w:r>
              <w:rPr>
                <w:sz w:val="16"/>
                <w:lang w:val="en-GB"/>
              </w:rPr>
              <w:t>Mappings do not certify organisation or product compliance</w:t>
            </w:r>
          </w:p>
        </w:tc>
      </w:tr>
      <w:tr>
        <w:tc>
          <w:tcPr>
            <w:tcW w:type="dxa" w:w="855"/>
            <w:vAlign w:val="center"/>
            <w:tcMar>
              <w:top w:w="80" w:type="dxa"/>
              <w:start w:w="120" w:type="dxa"/>
              <w:bottom w:w="80" w:type="dxa"/>
              <w:end w:w="120" w:type="dxa"/>
            </w:tcMar>
          </w:tcPr>
          <w:p>
            <w:r>
              <w:rPr>
                <w:sz w:val="16"/>
                <w:lang w:val="en-GB"/>
              </w:rPr>
              <w:t>EVD-015</w:t>
            </w:r>
          </w:p>
        </w:tc>
        <w:tc>
          <w:tcPr>
            <w:tcW w:type="dxa" w:w="1328"/>
            <w:vAlign w:val="center"/>
            <w:tcMar>
              <w:top w:w="80" w:type="dxa"/>
              <w:start w:w="120" w:type="dxa"/>
              <w:bottom w:w="80" w:type="dxa"/>
              <w:end w:w="120" w:type="dxa"/>
            </w:tcMar>
          </w:tcPr>
          <w:p>
            <w:r>
              <w:rPr>
                <w:sz w:val="16"/>
                <w:lang w:val="en-GB"/>
              </w:rPr>
              <w:t>Agent Skills disposition</w:t>
            </w:r>
          </w:p>
        </w:tc>
        <w:tc>
          <w:tcPr>
            <w:tcW w:type="dxa" w:w="1751"/>
            <w:vAlign w:val="center"/>
            <w:tcMar>
              <w:top w:w="80" w:type="dxa"/>
              <w:start w:w="120" w:type="dxa"/>
              <w:bottom w:w="80" w:type="dxa"/>
              <w:end w:w="120" w:type="dxa"/>
            </w:tcMar>
          </w:tcPr>
          <w:p>
            <w:r>
              <w:rPr>
                <w:sz w:val="16"/>
                <w:lang w:val="en-GB"/>
              </w:rPr>
              <w:t>547 source files and 255 npm files</w:t>
            </w:r>
          </w:p>
        </w:tc>
        <w:tc>
          <w:tcPr>
            <w:tcW w:type="dxa" w:w="2072"/>
            <w:vAlign w:val="center"/>
            <w:tcMar>
              <w:top w:w="80" w:type="dxa"/>
              <w:start w:w="120" w:type="dxa"/>
              <w:bottom w:w="80" w:type="dxa"/>
              <w:end w:w="120" w:type="dxa"/>
            </w:tcMar>
          </w:tcPr>
          <w:p>
            <w:r>
              <w:rPr>
                <w:sz w:val="16"/>
                <w:lang w:val="en-GB"/>
              </w:rPr>
              <w:t>Filename and registration inspection</w:t>
            </w:r>
          </w:p>
        </w:tc>
        <w:tc>
          <w:tcPr>
            <w:tcW w:type="dxa" w:w="1283"/>
            <w:vAlign w:val="center"/>
            <w:tcMar>
              <w:top w:w="80" w:type="dxa"/>
              <w:start w:w="120" w:type="dxa"/>
              <w:bottom w:w="80" w:type="dxa"/>
              <w:end w:w="120" w:type="dxa"/>
            </w:tcMar>
          </w:tcPr>
          <w:p>
            <w:r>
              <w:rPr>
                <w:sz w:val="16"/>
                <w:lang w:val="en-GB"/>
              </w:rPr>
              <w:t>Not observed</w:t>
            </w:r>
          </w:p>
        </w:tc>
        <w:tc>
          <w:tcPr>
            <w:tcW w:type="dxa" w:w="2071"/>
            <w:vAlign w:val="center"/>
            <w:tcMar>
              <w:top w:w="80" w:type="dxa"/>
              <w:start w:w="120" w:type="dxa"/>
              <w:bottom w:w="80" w:type="dxa"/>
              <w:end w:w="120" w:type="dxa"/>
            </w:tcMar>
          </w:tcPr>
          <w:p>
            <w:r>
              <w:rPr>
                <w:sz w:val="16"/>
                <w:lang w:val="en-GB"/>
              </w:rPr>
              <w:t>No SKILL.md or installation of Agent Skills observed; companion plugins excluded</w:t>
            </w:r>
          </w:p>
        </w:tc>
      </w:tr>
    </w:tbl>
    <w:p/>
    <w:p>
      <w:pPr>
        <w:pStyle w:val="Heading1"/>
      </w:pPr>
      <w:r>
        <w:rPr>
          <w:lang w:val="en-GB"/>
        </w:rPr>
        <w:t>References</w:t>
      </w:r>
    </w:p>
    <w:tbl>
      <w:tblPr>
        <w:tblStyle w:val="TableGrid"/>
        <w:tblW w:type="dxa" w:w="9360"/>
        <w:tblLayout w:type="fixed"/>
        <w:tblLook w:firstColumn="1" w:firstRow="1" w:lastColumn="0" w:lastRow="0" w:noHBand="0" w:noVBand="1" w:val="04A0"/>
        <w:tblInd w:w="120" w:type="dxa"/>
      </w:tblPr>
      <w:tblGrid>
        <w:gridCol w:w="863"/>
        <w:gridCol w:w="1491"/>
        <w:gridCol w:w="1258"/>
        <w:gridCol w:w="2154"/>
        <w:gridCol w:w="1439"/>
        <w:gridCol w:w="2155"/>
      </w:tblGrid>
      <w:tr>
        <w:trPr>
          <w:tblHeader w:val="true"/>
        </w:trPr>
        <w:tc>
          <w:tcPr>
            <w:tcW w:type="dxa" w:w="863"/>
            <w:shd w:fill="F2F4F7"/>
            <w:tcMar>
              <w:top w:w="80" w:type="dxa"/>
              <w:start w:w="120" w:type="dxa"/>
              <w:bottom w:w="80" w:type="dxa"/>
              <w:end w:w="120" w:type="dxa"/>
            </w:tcMar>
          </w:tcPr>
          <w:p>
            <w:r>
              <w:rPr>
                <w:lang w:val="en-GB"/>
              </w:rPr>
              <w:t>ID</w:t>
            </w:r>
          </w:p>
        </w:tc>
        <w:tc>
          <w:tcPr>
            <w:tcW w:type="dxa" w:w="1491"/>
            <w:shd w:fill="F2F4F7"/>
            <w:tcMar>
              <w:top w:w="80" w:type="dxa"/>
              <w:start w:w="120" w:type="dxa"/>
              <w:bottom w:w="80" w:type="dxa"/>
              <w:end w:w="120" w:type="dxa"/>
            </w:tcMar>
          </w:tcPr>
          <w:p>
            <w:r>
              <w:rPr>
                <w:lang w:val="en-GB"/>
              </w:rPr>
              <w:t>Title</w:t>
            </w:r>
          </w:p>
        </w:tc>
        <w:tc>
          <w:tcPr>
            <w:tcW w:type="dxa" w:w="1258"/>
            <w:shd w:fill="F2F4F7"/>
            <w:tcMar>
              <w:top w:w="80" w:type="dxa"/>
              <w:start w:w="120" w:type="dxa"/>
              <w:bottom w:w="80" w:type="dxa"/>
              <w:end w:w="120" w:type="dxa"/>
            </w:tcMar>
          </w:tcPr>
          <w:p>
            <w:r>
              <w:rPr>
                <w:lang w:val="en-GB"/>
              </w:rPr>
              <w:t>Publisher</w:t>
            </w:r>
          </w:p>
        </w:tc>
        <w:tc>
          <w:tcPr>
            <w:tcW w:type="dxa" w:w="2154"/>
            <w:shd w:fill="F2F4F7"/>
            <w:tcMar>
              <w:top w:w="80" w:type="dxa"/>
              <w:start w:w="120" w:type="dxa"/>
              <w:bottom w:w="80" w:type="dxa"/>
              <w:end w:w="120" w:type="dxa"/>
            </w:tcMar>
          </w:tcPr>
          <w:p>
            <w:r>
              <w:rPr>
                <w:lang w:val="en-GB"/>
              </w:rPr>
              <w:t>Source</w:t>
            </w:r>
          </w:p>
        </w:tc>
        <w:tc>
          <w:tcPr>
            <w:tcW w:type="dxa" w:w="1439"/>
            <w:shd w:fill="F2F4F7"/>
            <w:tcMar>
              <w:top w:w="80" w:type="dxa"/>
              <w:start w:w="120" w:type="dxa"/>
              <w:bottom w:w="80" w:type="dxa"/>
              <w:end w:w="120" w:type="dxa"/>
            </w:tcMar>
            <w:noWrap/>
          </w:tcPr>
          <w:p>
            <w:r>
              <w:rPr>
                <w:lang w:val="en-GB"/>
              </w:rPr>
              <w:t>Accessed</w:t>
            </w:r>
          </w:p>
        </w:tc>
        <w:tc>
          <w:tcPr>
            <w:tcW w:type="dxa" w:w="2155"/>
            <w:shd w:fill="F2F4F7"/>
            <w:tcMar>
              <w:top w:w="80" w:type="dxa"/>
              <w:start w:w="120" w:type="dxa"/>
              <w:bottom w:w="80" w:type="dxa"/>
              <w:end w:w="120" w:type="dxa"/>
            </w:tcMar>
          </w:tcPr>
          <w:p>
            <w:r>
              <w:rPr>
                <w:lang w:val="en-GB"/>
              </w:rPr>
              <w:t>Applicability</w:t>
            </w:r>
          </w:p>
        </w:tc>
      </w:tr>
      <w:tr>
        <w:tc>
          <w:tcPr>
            <w:tcW w:type="dxa" w:w="863"/>
            <w:vAlign w:val="center"/>
            <w:tcMar>
              <w:top w:w="80" w:type="dxa"/>
              <w:start w:w="120" w:type="dxa"/>
              <w:bottom w:w="80" w:type="dxa"/>
              <w:end w:w="120" w:type="dxa"/>
            </w:tcMar>
          </w:tcPr>
          <w:p>
            <w:bookmarkStart w:id="1000" w:name="REF_001"/>
            <w:r>
              <w:rPr>
                <w:b/>
                <w:sz w:val="16"/>
                <w:lang w:val="en-GB"/>
              </w:rPr>
              <w:t>REF-001</w:t>
            </w:r>
            <w:bookmarkEnd w:id="1000"/>
          </w:p>
        </w:tc>
        <w:tc>
          <w:tcPr>
            <w:tcW w:type="dxa" w:w="1491"/>
            <w:vAlign w:val="center"/>
            <w:tcMar>
              <w:top w:w="80" w:type="dxa"/>
              <w:start w:w="120" w:type="dxa"/>
              <w:bottom w:w="80" w:type="dxa"/>
              <w:end w:w="120" w:type="dxa"/>
            </w:tcMar>
          </w:tcPr>
          <w:p>
            <w:r>
              <w:rPr>
                <w:sz w:val="16"/>
                <w:lang w:val="en-GB"/>
              </w:rPr>
              <w:t>Postman MCP Server 2.13.0 registry metadata</w:t>
            </w:r>
          </w:p>
        </w:tc>
        <w:tc>
          <w:tcPr>
            <w:tcW w:type="dxa" w:w="1258"/>
            <w:vAlign w:val="center"/>
            <w:tcMar>
              <w:top w:w="80" w:type="dxa"/>
              <w:start w:w="120" w:type="dxa"/>
              <w:bottom w:w="80" w:type="dxa"/>
              <w:end w:w="120" w:type="dxa"/>
            </w:tcMar>
          </w:tcPr>
          <w:p>
            <w:r>
              <w:rPr>
                <w:sz w:val="16"/>
                <w:lang w:val="en-GB"/>
              </w:rPr>
              <w:t>npm</w:t>
            </w:r>
          </w:p>
        </w:tc>
        <w:tc>
          <w:tcPr>
            <w:tcW w:type="dxa" w:w="2154"/>
            <w:vAlign w:val="center"/>
            <w:tcMar>
              <w:top w:w="80" w:type="dxa"/>
              <w:start w:w="120" w:type="dxa"/>
              <w:bottom w:w="80" w:type="dxa"/>
              <w:end w:w="120" w:type="dxa"/>
            </w:tcMar>
          </w:tcPr>
          <w:p>
            <w:hyperlink r:id="rId12">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Version, ranges, integrity, signing metadata and npm artefact identity</w:t>
            </w:r>
          </w:p>
        </w:tc>
      </w:tr>
      <w:tr>
        <w:tc>
          <w:tcPr>
            <w:tcW w:type="dxa" w:w="863"/>
            <w:vAlign w:val="center"/>
            <w:tcMar>
              <w:top w:w="80" w:type="dxa"/>
              <w:start w:w="120" w:type="dxa"/>
              <w:bottom w:w="80" w:type="dxa"/>
              <w:end w:w="120" w:type="dxa"/>
            </w:tcMar>
          </w:tcPr>
          <w:p>
            <w:bookmarkStart w:id="1001" w:name="REF_002"/>
            <w:r>
              <w:rPr>
                <w:b/>
                <w:sz w:val="16"/>
                <w:lang w:val="en-GB"/>
              </w:rPr>
              <w:t>REF-002</w:t>
            </w:r>
            <w:bookmarkEnd w:id="1001"/>
          </w:p>
        </w:tc>
        <w:tc>
          <w:tcPr>
            <w:tcW w:type="dxa" w:w="1491"/>
            <w:vAlign w:val="center"/>
            <w:tcMar>
              <w:top w:w="80" w:type="dxa"/>
              <w:start w:w="120" w:type="dxa"/>
              <w:bottom w:w="80" w:type="dxa"/>
              <w:end w:w="120" w:type="dxa"/>
            </w:tcMar>
          </w:tcPr>
          <w:p>
            <w:r>
              <w:rPr>
                <w:sz w:val="16"/>
                <w:lang w:val="en-GB"/>
              </w:rPr>
              <w:t>Versioned Postman MCP source</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13">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Exact source commit, package contents, public local implementation; not hosted build attestation</w:t>
            </w:r>
          </w:p>
        </w:tc>
      </w:tr>
      <w:tr>
        <w:tc>
          <w:tcPr>
            <w:tcW w:type="dxa" w:w="863"/>
            <w:vAlign w:val="center"/>
            <w:tcMar>
              <w:top w:w="80" w:type="dxa"/>
              <w:start w:w="120" w:type="dxa"/>
              <w:bottom w:w="80" w:type="dxa"/>
              <w:end w:w="120" w:type="dxa"/>
            </w:tcMar>
          </w:tcPr>
          <w:p>
            <w:bookmarkStart w:id="1002" w:name="REF_003"/>
            <w:r>
              <w:rPr>
                <w:b/>
                <w:sz w:val="16"/>
                <w:lang w:val="en-GB"/>
              </w:rPr>
              <w:t>REF-003</w:t>
            </w:r>
            <w:bookmarkEnd w:id="1002"/>
          </w:p>
        </w:tc>
        <w:tc>
          <w:tcPr>
            <w:tcW w:type="dxa" w:w="1491"/>
            <w:vAlign w:val="center"/>
            <w:tcMar>
              <w:top w:w="80" w:type="dxa"/>
              <w:start w:w="120" w:type="dxa"/>
              <w:bottom w:w="80" w:type="dxa"/>
              <w:end w:w="120" w:type="dxa"/>
            </w:tcMar>
          </w:tcPr>
          <w:p>
            <w:r>
              <w:rPr>
                <w:sz w:val="16"/>
                <w:lang w:val="en-GB"/>
              </w:rPr>
              <w:t>Local Postman MCP setup</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14">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Local transports, configuration and vendor telemetry statement</w:t>
            </w:r>
          </w:p>
        </w:tc>
      </w:tr>
      <w:tr>
        <w:tc>
          <w:tcPr>
            <w:tcW w:type="dxa" w:w="863"/>
            <w:vAlign w:val="center"/>
            <w:tcMar>
              <w:top w:w="80" w:type="dxa"/>
              <w:start w:w="120" w:type="dxa"/>
              <w:bottom w:w="80" w:type="dxa"/>
              <w:end w:w="120" w:type="dxa"/>
            </w:tcMar>
          </w:tcPr>
          <w:p>
            <w:bookmarkStart w:id="1003" w:name="REF_004"/>
            <w:r>
              <w:rPr>
                <w:b/>
                <w:sz w:val="16"/>
                <w:lang w:val="en-GB"/>
              </w:rPr>
              <w:t>REF-004</w:t>
            </w:r>
            <w:bookmarkEnd w:id="1003"/>
          </w:p>
        </w:tc>
        <w:tc>
          <w:tcPr>
            <w:tcW w:type="dxa" w:w="1491"/>
            <w:vAlign w:val="center"/>
            <w:tcMar>
              <w:top w:w="80" w:type="dxa"/>
              <w:start w:w="120" w:type="dxa"/>
              <w:bottom w:w="80" w:type="dxa"/>
              <w:end w:w="120" w:type="dxa"/>
            </w:tcMar>
          </w:tcPr>
          <w:p>
            <w:r>
              <w:rPr>
                <w:sz w:val="16"/>
                <w:lang w:val="en-GB"/>
              </w:rPr>
              <w:t>Remote Postman MCP setup</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15">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Hosted US/EU endpoints, toolsets and authentication claims</w:t>
            </w:r>
          </w:p>
        </w:tc>
      </w:tr>
      <w:tr>
        <w:tc>
          <w:tcPr>
            <w:tcW w:type="dxa" w:w="863"/>
            <w:vAlign w:val="center"/>
            <w:tcMar>
              <w:top w:w="80" w:type="dxa"/>
              <w:start w:w="120" w:type="dxa"/>
              <w:bottom w:w="80" w:type="dxa"/>
              <w:end w:w="120" w:type="dxa"/>
            </w:tcMar>
          </w:tcPr>
          <w:p>
            <w:bookmarkStart w:id="1004" w:name="REF_005"/>
            <w:r>
              <w:rPr>
                <w:b/>
                <w:sz w:val="16"/>
                <w:lang w:val="en-GB"/>
              </w:rPr>
              <w:t>REF-005</w:t>
            </w:r>
            <w:bookmarkEnd w:id="1004"/>
          </w:p>
        </w:tc>
        <w:tc>
          <w:tcPr>
            <w:tcW w:type="dxa" w:w="1491"/>
            <w:vAlign w:val="center"/>
            <w:tcMar>
              <w:top w:w="80" w:type="dxa"/>
              <w:start w:w="120" w:type="dxa"/>
              <w:bottom w:w="80" w:type="dxa"/>
              <w:end w:w="120" w:type="dxa"/>
            </w:tcMar>
          </w:tcPr>
          <w:p>
            <w:r>
              <w:rPr>
                <w:sz w:val="16"/>
                <w:lang w:val="en-GB"/>
              </w:rPr>
              <w:t>Manage MCP servers in VS Code</w:t>
            </w:r>
          </w:p>
        </w:tc>
        <w:tc>
          <w:tcPr>
            <w:tcW w:type="dxa" w:w="1258"/>
            <w:vAlign w:val="center"/>
            <w:tcMar>
              <w:top w:w="80" w:type="dxa"/>
              <w:start w:w="120" w:type="dxa"/>
              <w:bottom w:w="80" w:type="dxa"/>
              <w:end w:w="120" w:type="dxa"/>
            </w:tcMar>
          </w:tcPr>
          <w:p>
            <w:r>
              <w:rPr>
                <w:sz w:val="16"/>
                <w:lang w:val="en-GB"/>
              </w:rPr>
              <w:t>Microsoft</w:t>
            </w:r>
          </w:p>
        </w:tc>
        <w:tc>
          <w:tcPr>
            <w:tcW w:type="dxa" w:w="2154"/>
            <w:vAlign w:val="center"/>
            <w:tcMar>
              <w:top w:w="80" w:type="dxa"/>
              <w:start w:w="120" w:type="dxa"/>
              <w:bottom w:w="80" w:type="dxa"/>
              <w:end w:w="120" w:type="dxa"/>
            </w:tcMar>
          </w:tcPr>
          <w:p>
            <w:hyperlink r:id="rId16">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Client discovery, configuration, trust and approval controls; no live deployment observed</w:t>
            </w:r>
          </w:p>
        </w:tc>
      </w:tr>
      <w:tr>
        <w:tc>
          <w:tcPr>
            <w:tcW w:type="dxa" w:w="863"/>
            <w:vAlign w:val="center"/>
            <w:tcMar>
              <w:top w:w="80" w:type="dxa"/>
              <w:start w:w="120" w:type="dxa"/>
              <w:bottom w:w="80" w:type="dxa"/>
              <w:end w:w="120" w:type="dxa"/>
            </w:tcMar>
          </w:tcPr>
          <w:p>
            <w:bookmarkStart w:id="1005" w:name="REF_006"/>
            <w:r>
              <w:rPr>
                <w:b/>
                <w:sz w:val="16"/>
                <w:lang w:val="en-GB"/>
              </w:rPr>
              <w:t>REF-006</w:t>
            </w:r>
            <w:bookmarkEnd w:id="1005"/>
          </w:p>
        </w:tc>
        <w:tc>
          <w:tcPr>
            <w:tcW w:type="dxa" w:w="1491"/>
            <w:vAlign w:val="center"/>
            <w:tcMar>
              <w:top w:w="80" w:type="dxa"/>
              <w:start w:w="120" w:type="dxa"/>
              <w:bottom w:w="80" w:type="dxa"/>
              <w:end w:w="120" w:type="dxa"/>
            </w:tcMar>
          </w:tcPr>
          <w:p>
            <w:r>
              <w:rPr>
                <w:sz w:val="16"/>
                <w:lang w:val="en-GB"/>
              </w:rPr>
              <w:t>Use MCP servers in Visual Studio</w:t>
            </w:r>
          </w:p>
        </w:tc>
        <w:tc>
          <w:tcPr>
            <w:tcW w:type="dxa" w:w="1258"/>
            <w:vAlign w:val="center"/>
            <w:tcMar>
              <w:top w:w="80" w:type="dxa"/>
              <w:start w:w="120" w:type="dxa"/>
              <w:bottom w:w="80" w:type="dxa"/>
              <w:end w:w="120" w:type="dxa"/>
            </w:tcMar>
          </w:tcPr>
          <w:p>
            <w:r>
              <w:rPr>
                <w:sz w:val="16"/>
                <w:lang w:val="en-GB"/>
              </w:rPr>
              <w:t>Microsoft</w:t>
            </w:r>
          </w:p>
        </w:tc>
        <w:tc>
          <w:tcPr>
            <w:tcW w:type="dxa" w:w="2154"/>
            <w:vAlign w:val="center"/>
            <w:tcMar>
              <w:top w:w="80" w:type="dxa"/>
              <w:start w:w="120" w:type="dxa"/>
              <w:bottom w:w="80" w:type="dxa"/>
              <w:end w:w="120" w:type="dxa"/>
            </w:tcMar>
          </w:tcPr>
          <w:p>
            <w:hyperlink r:id="rId17">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Windows editions, discovery, approval and version-dependent server trust</w:t>
            </w:r>
          </w:p>
        </w:tc>
      </w:tr>
      <w:tr>
        <w:tc>
          <w:tcPr>
            <w:tcW w:type="dxa" w:w="863"/>
            <w:vAlign w:val="center"/>
            <w:tcMar>
              <w:top w:w="80" w:type="dxa"/>
              <w:start w:w="120" w:type="dxa"/>
              <w:bottom w:w="80" w:type="dxa"/>
              <w:end w:w="120" w:type="dxa"/>
            </w:tcMar>
          </w:tcPr>
          <w:p>
            <w:bookmarkStart w:id="1006" w:name="REF_007"/>
            <w:r>
              <w:rPr>
                <w:b/>
                <w:sz w:val="16"/>
                <w:lang w:val="en-GB"/>
              </w:rPr>
              <w:t>REF-007</w:t>
            </w:r>
            <w:bookmarkEnd w:id="1006"/>
          </w:p>
        </w:tc>
        <w:tc>
          <w:tcPr>
            <w:tcW w:type="dxa" w:w="1491"/>
            <w:vAlign w:val="center"/>
            <w:tcMar>
              <w:top w:w="80" w:type="dxa"/>
              <w:start w:w="120" w:type="dxa"/>
              <w:bottom w:w="80" w:type="dxa"/>
              <w:end w:w="120" w:type="dxa"/>
            </w:tcMar>
          </w:tcPr>
          <w:p>
            <w:r>
              <w:rPr>
                <w:sz w:val="16"/>
                <w:lang w:val="en-GB"/>
              </w:rPr>
              <w:t>Postman Product Terms</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18">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Current public service terms and regional processing; negotiated contract unknown</w:t>
            </w:r>
          </w:p>
        </w:tc>
      </w:tr>
      <w:tr>
        <w:tc>
          <w:tcPr>
            <w:tcW w:type="dxa" w:w="863"/>
            <w:vAlign w:val="center"/>
            <w:tcMar>
              <w:top w:w="80" w:type="dxa"/>
              <w:start w:w="120" w:type="dxa"/>
              <w:bottom w:w="80" w:type="dxa"/>
              <w:end w:w="120" w:type="dxa"/>
            </w:tcMar>
          </w:tcPr>
          <w:p>
            <w:bookmarkStart w:id="1007" w:name="REF_008"/>
            <w:r>
              <w:rPr>
                <w:b/>
                <w:sz w:val="16"/>
                <w:lang w:val="en-GB"/>
              </w:rPr>
              <w:t>REF-008</w:t>
            </w:r>
            <w:bookmarkEnd w:id="1007"/>
          </w:p>
        </w:tc>
        <w:tc>
          <w:tcPr>
            <w:tcW w:type="dxa" w:w="1491"/>
            <w:vAlign w:val="center"/>
            <w:tcMar>
              <w:top w:w="80" w:type="dxa"/>
              <w:start w:w="120" w:type="dxa"/>
              <w:bottom w:w="80" w:type="dxa"/>
              <w:end w:w="120" w:type="dxa"/>
            </w:tcMar>
          </w:tcPr>
          <w:p>
            <w:r>
              <w:rPr>
                <w:sz w:val="16"/>
                <w:lang w:val="en-GB"/>
              </w:rPr>
              <w:t>Postman EU Data Residency</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19">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Regional storage and service exceptions; not assurance of every independent model provider</w:t>
            </w:r>
          </w:p>
        </w:tc>
      </w:tr>
      <w:tr>
        <w:tc>
          <w:tcPr>
            <w:tcW w:type="dxa" w:w="863"/>
            <w:vAlign w:val="center"/>
            <w:tcMar>
              <w:top w:w="80" w:type="dxa"/>
              <w:start w:w="120" w:type="dxa"/>
              <w:bottom w:w="80" w:type="dxa"/>
              <w:end w:w="120" w:type="dxa"/>
            </w:tcMar>
          </w:tcPr>
          <w:p>
            <w:bookmarkStart w:id="1008" w:name="REF_009"/>
            <w:r>
              <w:rPr>
                <w:b/>
                <w:sz w:val="16"/>
                <w:lang w:val="en-GB"/>
              </w:rPr>
              <w:t>REF-009</w:t>
            </w:r>
            <w:bookmarkEnd w:id="1008"/>
          </w:p>
        </w:tc>
        <w:tc>
          <w:tcPr>
            <w:tcW w:type="dxa" w:w="1491"/>
            <w:vAlign w:val="center"/>
            <w:tcMar>
              <w:top w:w="80" w:type="dxa"/>
              <w:start w:w="120" w:type="dxa"/>
              <w:bottom w:w="80" w:type="dxa"/>
              <w:end w:w="120" w:type="dxa"/>
            </w:tcMar>
          </w:tcPr>
          <w:p>
            <w:r>
              <w:rPr>
                <w:sz w:val="16"/>
                <w:lang w:val="en-GB"/>
              </w:rPr>
              <w:t>OWASP LLM Top 10 2026</w:t>
            </w:r>
          </w:p>
        </w:tc>
        <w:tc>
          <w:tcPr>
            <w:tcW w:type="dxa" w:w="1258"/>
            <w:vAlign w:val="center"/>
            <w:tcMar>
              <w:top w:w="80" w:type="dxa"/>
              <w:start w:w="120" w:type="dxa"/>
              <w:bottom w:w="80" w:type="dxa"/>
              <w:end w:w="120" w:type="dxa"/>
            </w:tcMar>
          </w:tcPr>
          <w:p>
            <w:r>
              <w:rPr>
                <w:sz w:val="16"/>
                <w:lang w:val="en-GB"/>
              </w:rPr>
              <w:t>OWASP</w:t>
            </w:r>
          </w:p>
        </w:tc>
        <w:tc>
          <w:tcPr>
            <w:tcW w:type="dxa" w:w="2154"/>
            <w:vAlign w:val="center"/>
            <w:tcMar>
              <w:top w:w="80" w:type="dxa"/>
              <w:start w:w="120" w:type="dxa"/>
              <w:bottom w:w="80" w:type="dxa"/>
              <w:end w:w="120" w:type="dxa"/>
            </w:tcMar>
          </w:tcPr>
          <w:p>
            <w:hyperlink r:id="rId20">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Current AI application risk taxonomy</w:t>
            </w:r>
          </w:p>
        </w:tc>
      </w:tr>
      <w:tr>
        <w:tc>
          <w:tcPr>
            <w:tcW w:type="dxa" w:w="863"/>
            <w:vAlign w:val="center"/>
            <w:tcMar>
              <w:top w:w="80" w:type="dxa"/>
              <w:start w:w="120" w:type="dxa"/>
              <w:bottom w:w="80" w:type="dxa"/>
              <w:end w:w="120" w:type="dxa"/>
            </w:tcMar>
          </w:tcPr>
          <w:p>
            <w:bookmarkStart w:id="1009" w:name="REF_010"/>
            <w:r>
              <w:rPr>
                <w:b/>
                <w:sz w:val="16"/>
                <w:lang w:val="en-GB"/>
              </w:rPr>
              <w:t>REF-010</w:t>
            </w:r>
            <w:bookmarkEnd w:id="1009"/>
          </w:p>
        </w:tc>
        <w:tc>
          <w:tcPr>
            <w:tcW w:type="dxa" w:w="1491"/>
            <w:vAlign w:val="center"/>
            <w:tcMar>
              <w:top w:w="80" w:type="dxa"/>
              <w:start w:w="120" w:type="dxa"/>
              <w:bottom w:w="80" w:type="dxa"/>
              <w:end w:w="120" w:type="dxa"/>
            </w:tcMar>
          </w:tcPr>
          <w:p>
            <w:r>
              <w:rPr>
                <w:sz w:val="16"/>
                <w:lang w:val="en-GB"/>
              </w:rPr>
              <w:t>OWASP Top 10 for Agentic Applications 2026</w:t>
            </w:r>
          </w:p>
        </w:tc>
        <w:tc>
          <w:tcPr>
            <w:tcW w:type="dxa" w:w="1258"/>
            <w:vAlign w:val="center"/>
            <w:tcMar>
              <w:top w:w="80" w:type="dxa"/>
              <w:start w:w="120" w:type="dxa"/>
              <w:bottom w:w="80" w:type="dxa"/>
              <w:end w:w="120" w:type="dxa"/>
            </w:tcMar>
          </w:tcPr>
          <w:p>
            <w:r>
              <w:rPr>
                <w:sz w:val="16"/>
                <w:lang w:val="en-GB"/>
              </w:rPr>
              <w:t>OWASP</w:t>
            </w:r>
          </w:p>
        </w:tc>
        <w:tc>
          <w:tcPr>
            <w:tcW w:type="dxa" w:w="2154"/>
            <w:vAlign w:val="center"/>
            <w:tcMar>
              <w:top w:w="80" w:type="dxa"/>
              <w:start w:w="120" w:type="dxa"/>
              <w:bottom w:w="80" w:type="dxa"/>
              <w:end w:w="120" w:type="dxa"/>
            </w:tcMar>
          </w:tcPr>
          <w:p>
            <w:hyperlink r:id="rId21">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Agent goal hijack, tool misuse, privilege and supply chain</w:t>
            </w:r>
          </w:p>
        </w:tc>
      </w:tr>
      <w:tr>
        <w:tc>
          <w:tcPr>
            <w:tcW w:type="dxa" w:w="863"/>
            <w:vAlign w:val="center"/>
            <w:tcMar>
              <w:top w:w="80" w:type="dxa"/>
              <w:start w:w="120" w:type="dxa"/>
              <w:bottom w:w="80" w:type="dxa"/>
              <w:end w:w="120" w:type="dxa"/>
            </w:tcMar>
          </w:tcPr>
          <w:p>
            <w:bookmarkStart w:id="1010" w:name="REF_011"/>
            <w:r>
              <w:rPr>
                <w:b/>
                <w:sz w:val="16"/>
                <w:lang w:val="en-GB"/>
              </w:rPr>
              <w:t>REF-011</w:t>
            </w:r>
            <w:bookmarkEnd w:id="1010"/>
          </w:p>
        </w:tc>
        <w:tc>
          <w:tcPr>
            <w:tcW w:type="dxa" w:w="1491"/>
            <w:vAlign w:val="center"/>
            <w:tcMar>
              <w:top w:w="80" w:type="dxa"/>
              <w:start w:w="120" w:type="dxa"/>
              <w:bottom w:w="80" w:type="dxa"/>
              <w:end w:w="120" w:type="dxa"/>
            </w:tcMar>
          </w:tcPr>
          <w:p>
            <w:r>
              <w:rPr>
                <w:sz w:val="16"/>
                <w:lang w:val="en-GB"/>
              </w:rPr>
              <w:t>OWASP MCP Top 10 2025</w:t>
            </w:r>
          </w:p>
        </w:tc>
        <w:tc>
          <w:tcPr>
            <w:tcW w:type="dxa" w:w="1258"/>
            <w:vAlign w:val="center"/>
            <w:tcMar>
              <w:top w:w="80" w:type="dxa"/>
              <w:start w:w="120" w:type="dxa"/>
              <w:bottom w:w="80" w:type="dxa"/>
              <w:end w:w="120" w:type="dxa"/>
            </w:tcMar>
          </w:tcPr>
          <w:p>
            <w:r>
              <w:rPr>
                <w:sz w:val="16"/>
                <w:lang w:val="en-GB"/>
              </w:rPr>
              <w:t>OWASP</w:t>
            </w:r>
          </w:p>
        </w:tc>
        <w:tc>
          <w:tcPr>
            <w:tcW w:type="dxa" w:w="2154"/>
            <w:vAlign w:val="center"/>
            <w:tcMar>
              <w:top w:w="80" w:type="dxa"/>
              <w:start w:w="120" w:type="dxa"/>
              <w:bottom w:w="80" w:type="dxa"/>
              <w:end w:w="120" w:type="dxa"/>
            </w:tcMar>
          </w:tcPr>
          <w:p>
            <w:hyperlink r:id="rId22">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MCP-specific risk taxonomy; current page labels Production Project</w:t>
            </w:r>
          </w:p>
        </w:tc>
      </w:tr>
      <w:tr>
        <w:tc>
          <w:tcPr>
            <w:tcW w:type="dxa" w:w="863"/>
            <w:vAlign w:val="center"/>
            <w:tcMar>
              <w:top w:w="80" w:type="dxa"/>
              <w:start w:w="120" w:type="dxa"/>
              <w:bottom w:w="80" w:type="dxa"/>
              <w:end w:w="120" w:type="dxa"/>
            </w:tcMar>
          </w:tcPr>
          <w:p>
            <w:bookmarkStart w:id="1011" w:name="REF_012"/>
            <w:r>
              <w:rPr>
                <w:b/>
                <w:sz w:val="16"/>
                <w:lang w:val="en-GB"/>
              </w:rPr>
              <w:t>REF-012</w:t>
            </w:r>
            <w:bookmarkEnd w:id="1011"/>
          </w:p>
        </w:tc>
        <w:tc>
          <w:tcPr>
            <w:tcW w:type="dxa" w:w="1491"/>
            <w:vAlign w:val="center"/>
            <w:tcMar>
              <w:top w:w="80" w:type="dxa"/>
              <w:start w:w="120" w:type="dxa"/>
              <w:bottom w:w="80" w:type="dxa"/>
              <w:end w:w="120" w:type="dxa"/>
            </w:tcMar>
          </w:tcPr>
          <w:p>
            <w:r>
              <w:rPr>
                <w:sz w:val="16"/>
                <w:lang w:val="en-GB"/>
              </w:rPr>
              <w:t>OWASP ASVS 5.0.0 requirements</w:t>
            </w:r>
          </w:p>
        </w:tc>
        <w:tc>
          <w:tcPr>
            <w:tcW w:type="dxa" w:w="1258"/>
            <w:vAlign w:val="center"/>
            <w:tcMar>
              <w:top w:w="80" w:type="dxa"/>
              <w:start w:w="120" w:type="dxa"/>
              <w:bottom w:w="80" w:type="dxa"/>
              <w:end w:w="120" w:type="dxa"/>
            </w:tcMar>
          </w:tcPr>
          <w:p>
            <w:r>
              <w:rPr>
                <w:sz w:val="16"/>
                <w:lang w:val="en-GB"/>
              </w:rPr>
              <w:t>OWASP</w:t>
            </w:r>
          </w:p>
        </w:tc>
        <w:tc>
          <w:tcPr>
            <w:tcW w:type="dxa" w:w="2154"/>
            <w:vAlign w:val="center"/>
            <w:tcMar>
              <w:top w:w="80" w:type="dxa"/>
              <w:start w:w="120" w:type="dxa"/>
              <w:bottom w:w="80" w:type="dxa"/>
              <w:end w:w="120" w:type="dxa"/>
            </w:tcMar>
          </w:tcPr>
          <w:p>
            <w:hyperlink r:id="rId23">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Stable application verification requirements; L2 target, no certification</w:t>
            </w:r>
          </w:p>
        </w:tc>
      </w:tr>
      <w:tr>
        <w:tc>
          <w:tcPr>
            <w:tcW w:type="dxa" w:w="863"/>
            <w:vAlign w:val="center"/>
            <w:tcMar>
              <w:top w:w="80" w:type="dxa"/>
              <w:start w:w="120" w:type="dxa"/>
              <w:bottom w:w="80" w:type="dxa"/>
              <w:end w:w="120" w:type="dxa"/>
            </w:tcMar>
          </w:tcPr>
          <w:p>
            <w:bookmarkStart w:id="1012" w:name="REF_013"/>
            <w:r>
              <w:rPr>
                <w:b/>
                <w:sz w:val="16"/>
                <w:lang w:val="en-GB"/>
              </w:rPr>
              <w:t>REF-013</w:t>
            </w:r>
            <w:bookmarkEnd w:id="1012"/>
          </w:p>
        </w:tc>
        <w:tc>
          <w:tcPr>
            <w:tcW w:type="dxa" w:w="1491"/>
            <w:vAlign w:val="center"/>
            <w:tcMar>
              <w:top w:w="80" w:type="dxa"/>
              <w:start w:w="120" w:type="dxa"/>
              <w:bottom w:w="80" w:type="dxa"/>
              <w:end w:w="120" w:type="dxa"/>
            </w:tcMar>
          </w:tcPr>
          <w:p>
            <w:r>
              <w:rPr>
                <w:sz w:val="16"/>
                <w:lang w:val="en-GB"/>
              </w:rPr>
              <w:t>MITRE ATLAS v2026.09</w:t>
            </w:r>
          </w:p>
        </w:tc>
        <w:tc>
          <w:tcPr>
            <w:tcW w:type="dxa" w:w="1258"/>
            <w:vAlign w:val="center"/>
            <w:tcMar>
              <w:top w:w="80" w:type="dxa"/>
              <w:start w:w="120" w:type="dxa"/>
              <w:bottom w:w="80" w:type="dxa"/>
              <w:end w:w="120" w:type="dxa"/>
            </w:tcMar>
          </w:tcPr>
          <w:p>
            <w:r>
              <w:rPr>
                <w:sz w:val="16"/>
                <w:lang w:val="en-GB"/>
              </w:rPr>
              <w:t>MITRE</w:t>
            </w:r>
          </w:p>
        </w:tc>
        <w:tc>
          <w:tcPr>
            <w:tcW w:type="dxa" w:w="2154"/>
            <w:vAlign w:val="center"/>
            <w:tcMar>
              <w:top w:w="80" w:type="dxa"/>
              <w:start w:w="120" w:type="dxa"/>
              <w:bottom w:w="80" w:type="dxa"/>
              <w:end w:w="120" w:type="dxa"/>
            </w:tcMar>
          </w:tcPr>
          <w:p>
            <w:hyperlink r:id="rId24">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Versioned adversary technique mappings</w:t>
            </w:r>
          </w:p>
        </w:tc>
      </w:tr>
      <w:tr>
        <w:tc>
          <w:tcPr>
            <w:tcW w:type="dxa" w:w="863"/>
            <w:vAlign w:val="center"/>
            <w:tcMar>
              <w:top w:w="80" w:type="dxa"/>
              <w:start w:w="120" w:type="dxa"/>
              <w:bottom w:w="80" w:type="dxa"/>
              <w:end w:w="120" w:type="dxa"/>
            </w:tcMar>
          </w:tcPr>
          <w:p>
            <w:bookmarkStart w:id="1013" w:name="REF_014"/>
            <w:r>
              <w:rPr>
                <w:b/>
                <w:sz w:val="16"/>
                <w:lang w:val="en-GB"/>
              </w:rPr>
              <w:t>REF-014</w:t>
            </w:r>
            <w:bookmarkEnd w:id="1013"/>
          </w:p>
        </w:tc>
        <w:tc>
          <w:tcPr>
            <w:tcW w:type="dxa" w:w="1491"/>
            <w:vAlign w:val="center"/>
            <w:tcMar>
              <w:top w:w="80" w:type="dxa"/>
              <w:start w:w="120" w:type="dxa"/>
              <w:bottom w:w="80" w:type="dxa"/>
              <w:end w:w="120" w:type="dxa"/>
            </w:tcMar>
          </w:tcPr>
          <w:p>
            <w:r>
              <w:rPr>
                <w:sz w:val="16"/>
                <w:lang w:val="en-GB"/>
              </w:rPr>
              <w:t>NIST AI Risk Management Framework</w:t>
            </w:r>
          </w:p>
        </w:tc>
        <w:tc>
          <w:tcPr>
            <w:tcW w:type="dxa" w:w="1258"/>
            <w:vAlign w:val="center"/>
            <w:tcMar>
              <w:top w:w="80" w:type="dxa"/>
              <w:start w:w="120" w:type="dxa"/>
              <w:bottom w:w="80" w:type="dxa"/>
              <w:end w:w="120" w:type="dxa"/>
            </w:tcMar>
          </w:tcPr>
          <w:p>
            <w:r>
              <w:rPr>
                <w:sz w:val="16"/>
                <w:lang w:val="en-GB"/>
              </w:rPr>
              <w:t>NIST</w:t>
            </w:r>
          </w:p>
        </w:tc>
        <w:tc>
          <w:tcPr>
            <w:tcW w:type="dxa" w:w="2154"/>
            <w:vAlign w:val="center"/>
            <w:tcMar>
              <w:top w:w="80" w:type="dxa"/>
              <w:start w:w="120" w:type="dxa"/>
              <w:bottom w:w="80" w:type="dxa"/>
              <w:end w:w="120" w:type="dxa"/>
            </w:tcMar>
          </w:tcPr>
          <w:p>
            <w:hyperlink r:id="rId25">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AI RMF 1.0 governance and assurance</w:t>
            </w:r>
          </w:p>
        </w:tc>
      </w:tr>
      <w:tr>
        <w:tc>
          <w:tcPr>
            <w:tcW w:type="dxa" w:w="863"/>
            <w:vAlign w:val="center"/>
            <w:tcMar>
              <w:top w:w="80" w:type="dxa"/>
              <w:start w:w="120" w:type="dxa"/>
              <w:bottom w:w="80" w:type="dxa"/>
              <w:end w:w="120" w:type="dxa"/>
            </w:tcMar>
          </w:tcPr>
          <w:p>
            <w:bookmarkStart w:id="1014" w:name="REF_015"/>
            <w:r>
              <w:rPr>
                <w:b/>
                <w:sz w:val="16"/>
                <w:lang w:val="en-GB"/>
              </w:rPr>
              <w:t>REF-015</w:t>
            </w:r>
            <w:bookmarkEnd w:id="1014"/>
          </w:p>
        </w:tc>
        <w:tc>
          <w:tcPr>
            <w:tcW w:type="dxa" w:w="1491"/>
            <w:vAlign w:val="center"/>
            <w:tcMar>
              <w:top w:w="80" w:type="dxa"/>
              <w:start w:w="120" w:type="dxa"/>
              <w:bottom w:w="80" w:type="dxa"/>
              <w:end w:w="120" w:type="dxa"/>
            </w:tcMar>
          </w:tcPr>
          <w:p>
            <w:r>
              <w:rPr>
                <w:sz w:val="16"/>
                <w:lang w:val="en-GB"/>
              </w:rPr>
              <w:t>NIST AI 600-1 Generative AI Profile</w:t>
            </w:r>
          </w:p>
        </w:tc>
        <w:tc>
          <w:tcPr>
            <w:tcW w:type="dxa" w:w="1258"/>
            <w:vAlign w:val="center"/>
            <w:tcMar>
              <w:top w:w="80" w:type="dxa"/>
              <w:start w:w="120" w:type="dxa"/>
              <w:bottom w:w="80" w:type="dxa"/>
              <w:end w:w="120" w:type="dxa"/>
            </w:tcMar>
          </w:tcPr>
          <w:p>
            <w:r>
              <w:rPr>
                <w:sz w:val="16"/>
                <w:lang w:val="en-GB"/>
              </w:rPr>
              <w:t>NIST</w:t>
            </w:r>
          </w:p>
        </w:tc>
        <w:tc>
          <w:tcPr>
            <w:tcW w:type="dxa" w:w="2154"/>
            <w:vAlign w:val="center"/>
            <w:tcMar>
              <w:top w:w="80" w:type="dxa"/>
              <w:start w:w="120" w:type="dxa"/>
              <w:bottom w:w="80" w:type="dxa"/>
              <w:end w:w="120" w:type="dxa"/>
            </w:tcMar>
          </w:tcPr>
          <w:p>
            <w:hyperlink r:id="rId26">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Generative AI risk management, July 2024</w:t>
            </w:r>
          </w:p>
        </w:tc>
      </w:tr>
      <w:tr>
        <w:tc>
          <w:tcPr>
            <w:tcW w:type="dxa" w:w="863"/>
            <w:vAlign w:val="center"/>
            <w:tcMar>
              <w:top w:w="80" w:type="dxa"/>
              <w:start w:w="120" w:type="dxa"/>
              <w:bottom w:w="80" w:type="dxa"/>
              <w:end w:w="120" w:type="dxa"/>
            </w:tcMar>
          </w:tcPr>
          <w:p>
            <w:bookmarkStart w:id="1015" w:name="REF_016"/>
            <w:r>
              <w:rPr>
                <w:b/>
                <w:sz w:val="16"/>
                <w:lang w:val="en-GB"/>
              </w:rPr>
              <w:t>REF-016</w:t>
            </w:r>
            <w:bookmarkEnd w:id="1015"/>
          </w:p>
        </w:tc>
        <w:tc>
          <w:tcPr>
            <w:tcW w:type="dxa" w:w="1491"/>
            <w:vAlign w:val="center"/>
            <w:tcMar>
              <w:top w:w="80" w:type="dxa"/>
              <w:start w:w="120" w:type="dxa"/>
              <w:bottom w:w="80" w:type="dxa"/>
              <w:end w:w="120" w:type="dxa"/>
            </w:tcMar>
          </w:tcPr>
          <w:p>
            <w:r>
              <w:rPr>
                <w:sz w:val="16"/>
                <w:lang w:val="en-GB"/>
              </w:rPr>
              <w:t>CIS Controls v8.1</w:t>
            </w:r>
          </w:p>
        </w:tc>
        <w:tc>
          <w:tcPr>
            <w:tcW w:type="dxa" w:w="1258"/>
            <w:vAlign w:val="center"/>
            <w:tcMar>
              <w:top w:w="80" w:type="dxa"/>
              <w:start w:w="120" w:type="dxa"/>
              <w:bottom w:w="80" w:type="dxa"/>
              <w:end w:w="120" w:type="dxa"/>
            </w:tcMar>
          </w:tcPr>
          <w:p>
            <w:r>
              <w:rPr>
                <w:sz w:val="16"/>
                <w:lang w:val="en-GB"/>
              </w:rPr>
              <w:t>CIS</w:t>
            </w:r>
          </w:p>
        </w:tc>
        <w:tc>
          <w:tcPr>
            <w:tcW w:type="dxa" w:w="2154"/>
            <w:vAlign w:val="center"/>
            <w:tcMar>
              <w:top w:w="80" w:type="dxa"/>
              <w:start w:w="120" w:type="dxa"/>
              <w:bottom w:w="80" w:type="dxa"/>
              <w:end w:w="120" w:type="dxa"/>
            </w:tcMar>
          </w:tcPr>
          <w:p>
            <w:hyperlink r:id="rId27">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Enterprise inventory, access, logging and provider safeguards</w:t>
            </w:r>
          </w:p>
        </w:tc>
      </w:tr>
      <w:tr>
        <w:tc>
          <w:tcPr>
            <w:tcW w:type="dxa" w:w="863"/>
            <w:vAlign w:val="center"/>
            <w:tcMar>
              <w:top w:w="80" w:type="dxa"/>
              <w:start w:w="120" w:type="dxa"/>
              <w:bottom w:w="80" w:type="dxa"/>
              <w:end w:w="120" w:type="dxa"/>
            </w:tcMar>
          </w:tcPr>
          <w:p>
            <w:bookmarkStart w:id="1016" w:name="REF_017"/>
            <w:r>
              <w:rPr>
                <w:b/>
                <w:sz w:val="16"/>
                <w:lang w:val="en-GB"/>
              </w:rPr>
              <w:t>REF-017</w:t>
            </w:r>
            <w:bookmarkEnd w:id="1016"/>
          </w:p>
        </w:tc>
        <w:tc>
          <w:tcPr>
            <w:tcW w:type="dxa" w:w="1491"/>
            <w:vAlign w:val="center"/>
            <w:tcMar>
              <w:top w:w="80" w:type="dxa"/>
              <w:start w:w="120" w:type="dxa"/>
              <w:bottom w:w="80" w:type="dxa"/>
              <w:end w:w="120" w:type="dxa"/>
            </w:tcMar>
          </w:tcPr>
          <w:p>
            <w:r>
              <w:rPr>
                <w:sz w:val="16"/>
                <w:lang w:val="en-GB"/>
              </w:rPr>
              <w:t>ISO IEC 27001 edition 3</w:t>
            </w:r>
          </w:p>
        </w:tc>
        <w:tc>
          <w:tcPr>
            <w:tcW w:type="dxa" w:w="1258"/>
            <w:vAlign w:val="center"/>
            <w:tcMar>
              <w:top w:w="80" w:type="dxa"/>
              <w:start w:w="120" w:type="dxa"/>
              <w:bottom w:w="80" w:type="dxa"/>
              <w:end w:w="120" w:type="dxa"/>
            </w:tcMar>
          </w:tcPr>
          <w:p>
            <w:r>
              <w:rPr>
                <w:sz w:val="16"/>
                <w:lang w:val="en-GB"/>
              </w:rPr>
              <w:t>ISO</w:t>
            </w:r>
          </w:p>
        </w:tc>
        <w:tc>
          <w:tcPr>
            <w:tcW w:type="dxa" w:w="2154"/>
            <w:vAlign w:val="center"/>
            <w:tcMar>
              <w:top w:w="80" w:type="dxa"/>
              <w:start w:w="120" w:type="dxa"/>
              <w:bottom w:w="80" w:type="dxa"/>
              <w:end w:w="120" w:type="dxa"/>
            </w:tcMar>
          </w:tcPr>
          <w:p>
            <w:hyperlink r:id="rId28">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2022 edition and amendment metadata; licensed Annex A text not inspected</w:t>
            </w:r>
          </w:p>
        </w:tc>
      </w:tr>
      <w:tr>
        <w:tc>
          <w:tcPr>
            <w:tcW w:type="dxa" w:w="863"/>
            <w:vAlign w:val="center"/>
            <w:tcMar>
              <w:top w:w="80" w:type="dxa"/>
              <w:start w:w="120" w:type="dxa"/>
              <w:bottom w:w="80" w:type="dxa"/>
              <w:end w:w="120" w:type="dxa"/>
            </w:tcMar>
          </w:tcPr>
          <w:p>
            <w:bookmarkStart w:id="1017" w:name="REF_018"/>
            <w:r>
              <w:rPr>
                <w:b/>
                <w:sz w:val="16"/>
                <w:lang w:val="en-GB"/>
              </w:rPr>
              <w:t>REF-018</w:t>
            </w:r>
            <w:bookmarkEnd w:id="1017"/>
          </w:p>
        </w:tc>
        <w:tc>
          <w:tcPr>
            <w:tcW w:type="dxa" w:w="1491"/>
            <w:vAlign w:val="center"/>
            <w:tcMar>
              <w:top w:w="80" w:type="dxa"/>
              <w:start w:w="120" w:type="dxa"/>
              <w:bottom w:w="80" w:type="dxa"/>
              <w:end w:w="120" w:type="dxa"/>
            </w:tcMar>
          </w:tcPr>
          <w:p>
            <w:r>
              <w:rPr>
                <w:sz w:val="16"/>
                <w:lang w:val="en-GB"/>
              </w:rPr>
              <w:t>Guidelines for secure AI system development</w:t>
            </w:r>
          </w:p>
        </w:tc>
        <w:tc>
          <w:tcPr>
            <w:tcW w:type="dxa" w:w="1258"/>
            <w:vAlign w:val="center"/>
            <w:tcMar>
              <w:top w:w="80" w:type="dxa"/>
              <w:start w:w="120" w:type="dxa"/>
              <w:bottom w:w="80" w:type="dxa"/>
              <w:end w:w="120" w:type="dxa"/>
            </w:tcMar>
          </w:tcPr>
          <w:p>
            <w:r>
              <w:rPr>
                <w:sz w:val="16"/>
                <w:lang w:val="en-GB"/>
              </w:rPr>
              <w:t>NCSC</w:t>
            </w:r>
          </w:p>
        </w:tc>
        <w:tc>
          <w:tcPr>
            <w:tcW w:type="dxa" w:w="2154"/>
            <w:vAlign w:val="center"/>
            <w:tcMar>
              <w:top w:w="80" w:type="dxa"/>
              <w:start w:w="120" w:type="dxa"/>
              <w:bottom w:w="80" w:type="dxa"/>
              <w:end w:w="120" w:type="dxa"/>
            </w:tcMar>
          </w:tcPr>
          <w:p>
            <w:hyperlink r:id="rId29">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Secure design, development, deployment and operation</w:t>
            </w:r>
          </w:p>
        </w:tc>
      </w:tr>
      <w:tr>
        <w:tc>
          <w:tcPr>
            <w:tcW w:type="dxa" w:w="863"/>
            <w:vAlign w:val="center"/>
            <w:tcMar>
              <w:top w:w="80" w:type="dxa"/>
              <w:start w:w="120" w:type="dxa"/>
              <w:bottom w:w="80" w:type="dxa"/>
              <w:end w:w="120" w:type="dxa"/>
            </w:tcMar>
          </w:tcPr>
          <w:p>
            <w:bookmarkStart w:id="1018" w:name="REF_019"/>
            <w:r>
              <w:rPr>
                <w:b/>
                <w:sz w:val="16"/>
                <w:lang w:val="en-GB"/>
              </w:rPr>
              <w:t>REF-019</w:t>
            </w:r>
            <w:bookmarkEnd w:id="1018"/>
          </w:p>
        </w:tc>
        <w:tc>
          <w:tcPr>
            <w:tcW w:type="dxa" w:w="1491"/>
            <w:vAlign w:val="center"/>
            <w:tcMar>
              <w:top w:w="80" w:type="dxa"/>
              <w:start w:w="120" w:type="dxa"/>
              <w:bottom w:w="80" w:type="dxa"/>
              <w:end w:w="120" w:type="dxa"/>
            </w:tcMar>
          </w:tcPr>
          <w:p>
            <w:r>
              <w:rPr>
                <w:sz w:val="16"/>
                <w:lang w:val="en-GB"/>
              </w:rPr>
              <w:t>When to conduct a DPIA</w:t>
            </w:r>
          </w:p>
        </w:tc>
        <w:tc>
          <w:tcPr>
            <w:tcW w:type="dxa" w:w="1258"/>
            <w:vAlign w:val="center"/>
            <w:tcMar>
              <w:top w:w="80" w:type="dxa"/>
              <w:start w:w="120" w:type="dxa"/>
              <w:bottom w:w="80" w:type="dxa"/>
              <w:end w:w="120" w:type="dxa"/>
            </w:tcMar>
          </w:tcPr>
          <w:p>
            <w:r>
              <w:rPr>
                <w:sz w:val="16"/>
                <w:lang w:val="en-GB"/>
              </w:rPr>
              <w:t>ICO</w:t>
            </w:r>
          </w:p>
        </w:tc>
        <w:tc>
          <w:tcPr>
            <w:tcW w:type="dxa" w:w="2154"/>
            <w:vAlign w:val="center"/>
            <w:tcMar>
              <w:top w:w="80" w:type="dxa"/>
              <w:start w:w="120" w:type="dxa"/>
              <w:bottom w:w="80" w:type="dxa"/>
              <w:end w:w="120" w:type="dxa"/>
            </w:tcMar>
          </w:tcPr>
          <w:p>
            <w:hyperlink r:id="rId30">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Case-specific data protection impact assessment screening</w:t>
            </w:r>
          </w:p>
        </w:tc>
      </w:tr>
      <w:tr>
        <w:tc>
          <w:tcPr>
            <w:tcW w:type="dxa" w:w="863"/>
            <w:vAlign w:val="center"/>
            <w:tcMar>
              <w:top w:w="80" w:type="dxa"/>
              <w:start w:w="120" w:type="dxa"/>
              <w:bottom w:w="80" w:type="dxa"/>
              <w:end w:w="120" w:type="dxa"/>
            </w:tcMar>
          </w:tcPr>
          <w:p>
            <w:bookmarkStart w:id="1019" w:name="REF_020"/>
            <w:r>
              <w:rPr>
                <w:b/>
                <w:sz w:val="16"/>
                <w:lang w:val="en-GB"/>
              </w:rPr>
              <w:t>REF-020</w:t>
            </w:r>
            <w:bookmarkEnd w:id="1019"/>
          </w:p>
        </w:tc>
        <w:tc>
          <w:tcPr>
            <w:tcW w:type="dxa" w:w="1491"/>
            <w:vAlign w:val="center"/>
            <w:tcMar>
              <w:top w:w="80" w:type="dxa"/>
              <w:start w:w="120" w:type="dxa"/>
              <w:bottom w:w="80" w:type="dxa"/>
              <w:end w:w="120" w:type="dxa"/>
            </w:tcMar>
          </w:tcPr>
          <w:p>
            <w:r>
              <w:rPr>
                <w:sz w:val="16"/>
                <w:lang w:val="en-GB"/>
              </w:rPr>
              <w:t>Outsourcing and operational resilience</w:t>
            </w:r>
          </w:p>
        </w:tc>
        <w:tc>
          <w:tcPr>
            <w:tcW w:type="dxa" w:w="1258"/>
            <w:vAlign w:val="center"/>
            <w:tcMar>
              <w:top w:w="80" w:type="dxa"/>
              <w:start w:w="120" w:type="dxa"/>
              <w:bottom w:w="80" w:type="dxa"/>
              <w:end w:w="120" w:type="dxa"/>
            </w:tcMar>
          </w:tcPr>
          <w:p>
            <w:r>
              <w:rPr>
                <w:sz w:val="16"/>
                <w:lang w:val="en-GB"/>
              </w:rPr>
              <w:t>FCA</w:t>
            </w:r>
          </w:p>
        </w:tc>
        <w:tc>
          <w:tcPr>
            <w:tcW w:type="dxa" w:w="2154"/>
            <w:vAlign w:val="center"/>
            <w:tcMar>
              <w:top w:w="80" w:type="dxa"/>
              <w:start w:w="120" w:type="dxa"/>
              <w:bottom w:w="80" w:type="dxa"/>
              <w:end w:w="120" w:type="dxa"/>
            </w:tcMar>
          </w:tcPr>
          <w:p>
            <w:hyperlink r:id="rId31">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Financial-sector applicability and provider governance</w:t>
            </w:r>
          </w:p>
        </w:tc>
      </w:tr>
      <w:tr>
        <w:tc>
          <w:tcPr>
            <w:tcW w:type="dxa" w:w="863"/>
            <w:vAlign w:val="center"/>
            <w:tcMar>
              <w:top w:w="80" w:type="dxa"/>
              <w:start w:w="120" w:type="dxa"/>
              <w:bottom w:w="80" w:type="dxa"/>
              <w:end w:w="120" w:type="dxa"/>
            </w:tcMar>
          </w:tcPr>
          <w:p>
            <w:bookmarkStart w:id="1020" w:name="REF_021"/>
            <w:r>
              <w:rPr>
                <w:b/>
                <w:sz w:val="16"/>
                <w:lang w:val="en-GB"/>
              </w:rPr>
              <w:t>REF-021</w:t>
            </w:r>
            <w:bookmarkEnd w:id="1020"/>
          </w:p>
        </w:tc>
        <w:tc>
          <w:tcPr>
            <w:tcW w:type="dxa" w:w="1491"/>
            <w:vAlign w:val="center"/>
            <w:tcMar>
              <w:top w:w="80" w:type="dxa"/>
              <w:start w:w="120" w:type="dxa"/>
              <w:bottom w:w="80" w:type="dxa"/>
              <w:end w:w="120" w:type="dxa"/>
            </w:tcMar>
          </w:tcPr>
          <w:p>
            <w:r>
              <w:rPr>
                <w:sz w:val="16"/>
                <w:lang w:val="en-GB"/>
              </w:rPr>
              <w:t>Operational resilience</w:t>
            </w:r>
          </w:p>
        </w:tc>
        <w:tc>
          <w:tcPr>
            <w:tcW w:type="dxa" w:w="1258"/>
            <w:vAlign w:val="center"/>
            <w:tcMar>
              <w:top w:w="80" w:type="dxa"/>
              <w:start w:w="120" w:type="dxa"/>
              <w:bottom w:w="80" w:type="dxa"/>
              <w:end w:w="120" w:type="dxa"/>
            </w:tcMar>
          </w:tcPr>
          <w:p>
            <w:r>
              <w:rPr>
                <w:sz w:val="16"/>
                <w:lang w:val="en-GB"/>
              </w:rPr>
              <w:t>FCA</w:t>
            </w:r>
          </w:p>
        </w:tc>
        <w:tc>
          <w:tcPr>
            <w:tcW w:type="dxa" w:w="2154"/>
            <w:vAlign w:val="center"/>
            <w:tcMar>
              <w:top w:w="80" w:type="dxa"/>
              <w:start w:w="120" w:type="dxa"/>
              <w:bottom w:w="80" w:type="dxa"/>
              <w:end w:w="120" w:type="dxa"/>
            </w:tcMar>
          </w:tcPr>
          <w:p>
            <w:hyperlink r:id="rId32">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Important business services, mapping, testing and impact tolerances</w:t>
            </w:r>
          </w:p>
        </w:tc>
      </w:tr>
      <w:tr>
        <w:tc>
          <w:tcPr>
            <w:tcW w:type="dxa" w:w="863"/>
            <w:vAlign w:val="center"/>
            <w:tcMar>
              <w:top w:w="80" w:type="dxa"/>
              <w:start w:w="120" w:type="dxa"/>
              <w:bottom w:w="80" w:type="dxa"/>
              <w:end w:w="120" w:type="dxa"/>
            </w:tcMar>
          </w:tcPr>
          <w:p>
            <w:bookmarkStart w:id="1021" w:name="REF_022"/>
            <w:r>
              <w:rPr>
                <w:b/>
                <w:sz w:val="16"/>
                <w:lang w:val="en-GB"/>
              </w:rPr>
              <w:t>REF-022</w:t>
            </w:r>
            <w:bookmarkEnd w:id="1021"/>
          </w:p>
        </w:tc>
        <w:tc>
          <w:tcPr>
            <w:tcW w:type="dxa" w:w="1491"/>
            <w:vAlign w:val="center"/>
            <w:tcMar>
              <w:top w:w="80" w:type="dxa"/>
              <w:start w:w="120" w:type="dxa"/>
              <w:bottom w:w="80" w:type="dxa"/>
              <w:end w:w="120" w:type="dxa"/>
            </w:tcMar>
          </w:tcPr>
          <w:p>
            <w:r>
              <w:rPr>
                <w:sz w:val="16"/>
                <w:lang w:val="en-GB"/>
              </w:rPr>
              <w:t>SS2 21 version index</w:t>
            </w:r>
          </w:p>
        </w:tc>
        <w:tc>
          <w:tcPr>
            <w:tcW w:type="dxa" w:w="1258"/>
            <w:vAlign w:val="center"/>
            <w:tcMar>
              <w:top w:w="80" w:type="dxa"/>
              <w:start w:w="120" w:type="dxa"/>
              <w:bottom w:w="80" w:type="dxa"/>
              <w:end w:w="120" w:type="dxa"/>
            </w:tcMar>
          </w:tcPr>
          <w:p>
            <w:r>
              <w:rPr>
                <w:sz w:val="16"/>
                <w:lang w:val="en-GB"/>
              </w:rPr>
              <w:t>Bank of England PRA</w:t>
            </w:r>
          </w:p>
        </w:tc>
        <w:tc>
          <w:tcPr>
            <w:tcW w:type="dxa" w:w="2154"/>
            <w:vAlign w:val="center"/>
            <w:tcMar>
              <w:top w:w="80" w:type="dxa"/>
              <w:start w:w="120" w:type="dxa"/>
              <w:bottom w:w="80" w:type="dxa"/>
              <w:end w:w="120" w:type="dxa"/>
            </w:tcMar>
          </w:tcPr>
          <w:p>
            <w:hyperlink r:id="rId33">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Current November 2024 version versus March 2026 version effective March 2027</w:t>
            </w:r>
          </w:p>
        </w:tc>
      </w:tr>
      <w:tr>
        <w:tc>
          <w:tcPr>
            <w:tcW w:type="dxa" w:w="863"/>
            <w:vAlign w:val="center"/>
            <w:tcMar>
              <w:top w:w="80" w:type="dxa"/>
              <w:start w:w="120" w:type="dxa"/>
              <w:bottom w:w="80" w:type="dxa"/>
              <w:end w:w="120" w:type="dxa"/>
            </w:tcMar>
          </w:tcPr>
          <w:p>
            <w:bookmarkStart w:id="1022" w:name="REF_023"/>
            <w:r>
              <w:rPr>
                <w:b/>
                <w:sz w:val="16"/>
                <w:lang w:val="en-GB"/>
              </w:rPr>
              <w:t>REF-023</w:t>
            </w:r>
            <w:bookmarkEnd w:id="1022"/>
          </w:p>
        </w:tc>
        <w:tc>
          <w:tcPr>
            <w:tcW w:type="dxa" w:w="1491"/>
            <w:vAlign w:val="center"/>
            <w:tcMar>
              <w:top w:w="80" w:type="dxa"/>
              <w:start w:w="120" w:type="dxa"/>
              <w:bottom w:w="80" w:type="dxa"/>
              <w:end w:w="120" w:type="dxa"/>
            </w:tcMar>
          </w:tcPr>
          <w:p>
            <w:r>
              <w:rPr>
                <w:sz w:val="16"/>
                <w:lang w:val="en-GB"/>
              </w:rPr>
              <w:t>MCP security best practices</w:t>
            </w:r>
          </w:p>
        </w:tc>
        <w:tc>
          <w:tcPr>
            <w:tcW w:type="dxa" w:w="1258"/>
            <w:vAlign w:val="center"/>
            <w:tcMar>
              <w:top w:w="80" w:type="dxa"/>
              <w:start w:w="120" w:type="dxa"/>
              <w:bottom w:w="80" w:type="dxa"/>
              <w:end w:w="120" w:type="dxa"/>
            </w:tcMar>
          </w:tcPr>
          <w:p>
            <w:r>
              <w:rPr>
                <w:sz w:val="16"/>
                <w:lang w:val="en-GB"/>
              </w:rPr>
              <w:t>MCP project</w:t>
            </w:r>
          </w:p>
        </w:tc>
        <w:tc>
          <w:tcPr>
            <w:tcW w:type="dxa" w:w="2154"/>
            <w:vAlign w:val="center"/>
            <w:tcMar>
              <w:top w:w="80" w:type="dxa"/>
              <w:start w:w="120" w:type="dxa"/>
              <w:bottom w:w="80" w:type="dxa"/>
              <w:end w:w="120" w:type="dxa"/>
            </w:tcMar>
          </w:tcPr>
          <w:p>
            <w:hyperlink r:id="rId34">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OAuth, confused deputy, token and network boundaries</w:t>
            </w:r>
          </w:p>
        </w:tc>
      </w:tr>
      <w:tr>
        <w:tc>
          <w:tcPr>
            <w:tcW w:type="dxa" w:w="863"/>
            <w:vAlign w:val="center"/>
            <w:tcMar>
              <w:top w:w="80" w:type="dxa"/>
              <w:start w:w="120" w:type="dxa"/>
              <w:bottom w:w="80" w:type="dxa"/>
              <w:end w:w="120" w:type="dxa"/>
            </w:tcMar>
          </w:tcPr>
          <w:p>
            <w:bookmarkStart w:id="1023" w:name="REF_024"/>
            <w:r>
              <w:rPr>
                <w:b/>
                <w:sz w:val="16"/>
                <w:lang w:val="en-GB"/>
              </w:rPr>
              <w:t>REF-024</w:t>
            </w:r>
            <w:bookmarkEnd w:id="1023"/>
          </w:p>
        </w:tc>
        <w:tc>
          <w:tcPr>
            <w:tcW w:type="dxa" w:w="1491"/>
            <w:vAlign w:val="center"/>
            <w:tcMar>
              <w:top w:w="80" w:type="dxa"/>
              <w:start w:w="120" w:type="dxa"/>
              <w:bottom w:w="80" w:type="dxa"/>
              <w:end w:w="120" w:type="dxa"/>
            </w:tcMar>
          </w:tcPr>
          <w:p>
            <w:r>
              <w:rPr>
                <w:sz w:val="16"/>
                <w:lang w:val="en-GB"/>
              </w:rPr>
              <w:t>MCP tools specification</w:t>
            </w:r>
          </w:p>
        </w:tc>
        <w:tc>
          <w:tcPr>
            <w:tcW w:type="dxa" w:w="1258"/>
            <w:vAlign w:val="center"/>
            <w:tcMar>
              <w:top w:w="80" w:type="dxa"/>
              <w:start w:w="120" w:type="dxa"/>
              <w:bottom w:w="80" w:type="dxa"/>
              <w:end w:w="120" w:type="dxa"/>
            </w:tcMar>
          </w:tcPr>
          <w:p>
            <w:r>
              <w:rPr>
                <w:sz w:val="16"/>
                <w:lang w:val="en-GB"/>
              </w:rPr>
              <w:t>MCP project</w:t>
            </w:r>
          </w:p>
        </w:tc>
        <w:tc>
          <w:tcPr>
            <w:tcW w:type="dxa" w:w="2154"/>
            <w:vAlign w:val="center"/>
            <w:tcMar>
              <w:top w:w="80" w:type="dxa"/>
              <w:start w:w="120" w:type="dxa"/>
              <w:bottom w:w="80" w:type="dxa"/>
              <w:end w:w="120" w:type="dxa"/>
            </w:tcMar>
          </w:tcPr>
          <w:p>
            <w:hyperlink r:id="rId35">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Tool schemas, annotation hints and client consent</w:t>
            </w:r>
          </w:p>
        </w:tc>
      </w:tr>
      <w:tr>
        <w:tc>
          <w:tcPr>
            <w:tcW w:type="dxa" w:w="863"/>
            <w:vAlign w:val="center"/>
            <w:tcMar>
              <w:top w:w="80" w:type="dxa"/>
              <w:start w:w="120" w:type="dxa"/>
              <w:bottom w:w="80" w:type="dxa"/>
              <w:end w:w="120" w:type="dxa"/>
            </w:tcMar>
          </w:tcPr>
          <w:p>
            <w:bookmarkStart w:id="1024" w:name="REF_025"/>
            <w:r>
              <w:rPr>
                <w:b/>
                <w:sz w:val="16"/>
                <w:lang w:val="en-GB"/>
              </w:rPr>
              <w:t>REF-025</w:t>
            </w:r>
            <w:bookmarkEnd w:id="1024"/>
          </w:p>
        </w:tc>
        <w:tc>
          <w:tcPr>
            <w:tcW w:type="dxa" w:w="1491"/>
            <w:vAlign w:val="center"/>
            <w:tcMar>
              <w:top w:w="80" w:type="dxa"/>
              <w:start w:w="120" w:type="dxa"/>
              <w:bottom w:w="80" w:type="dxa"/>
              <w:end w:w="120" w:type="dxa"/>
            </w:tcMar>
          </w:tcPr>
          <w:p>
            <w:r>
              <w:rPr>
                <w:sz w:val="16"/>
                <w:lang w:val="en-GB"/>
              </w:rPr>
              <w:t>Postman public security advisories</w:t>
            </w:r>
          </w:p>
        </w:tc>
        <w:tc>
          <w:tcPr>
            <w:tcW w:type="dxa" w:w="1258"/>
            <w:vAlign w:val="center"/>
            <w:tcMar>
              <w:top w:w="80" w:type="dxa"/>
              <w:start w:w="120" w:type="dxa"/>
              <w:bottom w:w="80" w:type="dxa"/>
              <w:end w:w="120" w:type="dxa"/>
            </w:tcMar>
          </w:tcPr>
          <w:p>
            <w:r>
              <w:rPr>
                <w:sz w:val="16"/>
                <w:lang w:val="en-GB"/>
              </w:rPr>
              <w:t>GitHub Postman</w:t>
            </w:r>
          </w:p>
        </w:tc>
        <w:tc>
          <w:tcPr>
            <w:tcW w:type="dxa" w:w="2154"/>
            <w:vAlign w:val="center"/>
            <w:tcMar>
              <w:top w:w="80" w:type="dxa"/>
              <w:start w:w="120" w:type="dxa"/>
              <w:bottom w:w="80" w:type="dxa"/>
              <w:end w:w="120" w:type="dxa"/>
            </w:tcMar>
          </w:tcPr>
          <w:p>
            <w:hyperlink r:id="rId36">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Public advisory query returned empty list; not proof of no vulnerabilities</w:t>
            </w:r>
          </w:p>
        </w:tc>
      </w:tr>
      <w:tr>
        <w:tc>
          <w:tcPr>
            <w:tcW w:type="dxa" w:w="863"/>
            <w:vAlign w:val="center"/>
            <w:tcMar>
              <w:top w:w="80" w:type="dxa"/>
              <w:start w:w="120" w:type="dxa"/>
              <w:bottom w:w="80" w:type="dxa"/>
              <w:end w:w="120" w:type="dxa"/>
            </w:tcMar>
          </w:tcPr>
          <w:p>
            <w:bookmarkStart w:id="1025" w:name="REF_026"/>
            <w:r>
              <w:rPr>
                <w:b/>
                <w:sz w:val="16"/>
                <w:lang w:val="en-GB"/>
              </w:rPr>
              <w:t>REF-026</w:t>
            </w:r>
            <w:bookmarkEnd w:id="1025"/>
          </w:p>
        </w:tc>
        <w:tc>
          <w:tcPr>
            <w:tcW w:type="dxa" w:w="1491"/>
            <w:vAlign w:val="center"/>
            <w:tcMar>
              <w:top w:w="80" w:type="dxa"/>
              <w:start w:w="120" w:type="dxa"/>
              <w:bottom w:w="80" w:type="dxa"/>
              <w:end w:w="120" w:type="dxa"/>
            </w:tcMar>
          </w:tcPr>
          <w:p>
            <w:r>
              <w:rPr>
                <w:sz w:val="16"/>
                <w:lang w:val="en-GB"/>
              </w:rPr>
              <w:t>MCP SDK OAuth redirect advisory</w:t>
            </w:r>
          </w:p>
        </w:tc>
        <w:tc>
          <w:tcPr>
            <w:tcW w:type="dxa" w:w="1258"/>
            <w:vAlign w:val="center"/>
            <w:tcMar>
              <w:top w:w="80" w:type="dxa"/>
              <w:start w:w="120" w:type="dxa"/>
              <w:bottom w:w="80" w:type="dxa"/>
              <w:end w:w="120" w:type="dxa"/>
            </w:tcMar>
          </w:tcPr>
          <w:p>
            <w:r>
              <w:rPr>
                <w:sz w:val="16"/>
                <w:lang w:val="en-GB"/>
              </w:rPr>
              <w:t>MCP TypeScript SDK maintainers</w:t>
            </w:r>
          </w:p>
        </w:tc>
        <w:tc>
          <w:tcPr>
            <w:tcW w:type="dxa" w:w="2154"/>
            <w:vAlign w:val="center"/>
            <w:tcMar>
              <w:top w:w="80" w:type="dxa"/>
              <w:start w:w="120" w:type="dxa"/>
              <w:bottom w:w="80" w:type="dxa"/>
              <w:end w:w="120" w:type="dxa"/>
            </w:tcMar>
          </w:tcPr>
          <w:p>
            <w:hyperlink r:id="rId37">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SDK 1.27.1 match; advisory excludes servers and STDIO clients</w:t>
            </w:r>
          </w:p>
        </w:tc>
      </w:tr>
      <w:tr>
        <w:tc>
          <w:tcPr>
            <w:tcW w:type="dxa" w:w="863"/>
            <w:vAlign w:val="center"/>
            <w:tcMar>
              <w:top w:w="80" w:type="dxa"/>
              <w:start w:w="120" w:type="dxa"/>
              <w:bottom w:w="80" w:type="dxa"/>
              <w:end w:w="120" w:type="dxa"/>
            </w:tcMar>
          </w:tcPr>
          <w:p>
            <w:bookmarkStart w:id="1026" w:name="REF_027"/>
            <w:r>
              <w:rPr>
                <w:b/>
                <w:sz w:val="16"/>
                <w:lang w:val="en-GB"/>
              </w:rPr>
              <w:t>REF-027</w:t>
            </w:r>
            <w:bookmarkEnd w:id="1026"/>
          </w:p>
        </w:tc>
        <w:tc>
          <w:tcPr>
            <w:tcW w:type="dxa" w:w="1491"/>
            <w:vAlign w:val="center"/>
            <w:tcMar>
              <w:top w:w="80" w:type="dxa"/>
              <w:start w:w="120" w:type="dxa"/>
              <w:bottom w:w="80" w:type="dxa"/>
              <w:end w:w="120" w:type="dxa"/>
            </w:tcMar>
          </w:tcPr>
          <w:p>
            <w:r>
              <w:rPr>
                <w:sz w:val="16"/>
                <w:lang w:val="en-GB"/>
              </w:rPr>
              <w:t>Postman terms of service</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38">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Public DPA reference; signed customer agreement not supplied</w:t>
            </w:r>
          </w:p>
        </w:tc>
      </w:tr>
      <w:tr>
        <w:tc>
          <w:tcPr>
            <w:tcW w:type="dxa" w:w="863"/>
            <w:vAlign w:val="center"/>
            <w:tcMar>
              <w:top w:w="80" w:type="dxa"/>
              <w:start w:w="120" w:type="dxa"/>
              <w:bottom w:w="80" w:type="dxa"/>
              <w:end w:w="120" w:type="dxa"/>
            </w:tcMar>
          </w:tcPr>
          <w:p>
            <w:bookmarkStart w:id="1027" w:name="REF_028"/>
            <w:r>
              <w:rPr>
                <w:b/>
                <w:sz w:val="16"/>
                <w:lang w:val="en-GB"/>
              </w:rPr>
              <w:t>REF-028</w:t>
            </w:r>
            <w:bookmarkEnd w:id="1027"/>
          </w:p>
        </w:tc>
        <w:tc>
          <w:tcPr>
            <w:tcW w:type="dxa" w:w="1491"/>
            <w:vAlign w:val="center"/>
            <w:tcMar>
              <w:top w:w="80" w:type="dxa"/>
              <w:start w:w="120" w:type="dxa"/>
              <w:bottom w:w="80" w:type="dxa"/>
              <w:end w:w="120" w:type="dxa"/>
            </w:tcMar>
          </w:tcPr>
          <w:p>
            <w:r>
              <w:rPr>
                <w:sz w:val="16"/>
                <w:lang w:val="en-GB"/>
              </w:rPr>
              <w:t>Postman privacy policy</w:t>
            </w:r>
          </w:p>
        </w:tc>
        <w:tc>
          <w:tcPr>
            <w:tcW w:type="dxa" w:w="1258"/>
            <w:vAlign w:val="center"/>
            <w:tcMar>
              <w:top w:w="80" w:type="dxa"/>
              <w:start w:w="120" w:type="dxa"/>
              <w:bottom w:w="80" w:type="dxa"/>
              <w:end w:w="120" w:type="dxa"/>
            </w:tcMar>
          </w:tcPr>
          <w:p>
            <w:r>
              <w:rPr>
                <w:sz w:val="16"/>
                <w:lang w:val="en-GB"/>
              </w:rPr>
              <w:t>Postman</w:t>
            </w:r>
          </w:p>
        </w:tc>
        <w:tc>
          <w:tcPr>
            <w:tcW w:type="dxa" w:w="2154"/>
            <w:vAlign w:val="center"/>
            <w:tcMar>
              <w:top w:w="80" w:type="dxa"/>
              <w:start w:w="120" w:type="dxa"/>
              <w:bottom w:w="80" w:type="dxa"/>
              <w:end w:w="120" w:type="dxa"/>
            </w:tcMar>
          </w:tcPr>
          <w:p>
            <w:hyperlink r:id="rId39">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Retrieved shell only; complete policy text unknown</w:t>
            </w:r>
          </w:p>
        </w:tc>
      </w:tr>
      <w:tr>
        <w:tc>
          <w:tcPr>
            <w:tcW w:type="dxa" w:w="863"/>
            <w:vAlign w:val="center"/>
            <w:tcMar>
              <w:top w:w="80" w:type="dxa"/>
              <w:start w:w="120" w:type="dxa"/>
              <w:bottom w:w="80" w:type="dxa"/>
              <w:end w:w="120" w:type="dxa"/>
            </w:tcMar>
          </w:tcPr>
          <w:p>
            <w:bookmarkStart w:id="1028" w:name="REF_029"/>
            <w:r>
              <w:rPr>
                <w:b/>
                <w:sz w:val="16"/>
                <w:lang w:val="en-GB"/>
              </w:rPr>
              <w:t>REF-029</w:t>
            </w:r>
            <w:bookmarkEnd w:id="1028"/>
          </w:p>
        </w:tc>
        <w:tc>
          <w:tcPr>
            <w:tcW w:type="dxa" w:w="1491"/>
            <w:vAlign w:val="center"/>
            <w:tcMar>
              <w:top w:w="80" w:type="dxa"/>
              <w:start w:w="120" w:type="dxa"/>
              <w:bottom w:w="80" w:type="dxa"/>
              <w:end w:w="120" w:type="dxa"/>
            </w:tcMar>
          </w:tcPr>
          <w:p>
            <w:r>
              <w:rPr>
                <w:sz w:val="16"/>
                <w:lang w:val="en-GB"/>
              </w:rPr>
              <w:t>VS Code enterprise policy</w:t>
            </w:r>
          </w:p>
        </w:tc>
        <w:tc>
          <w:tcPr>
            <w:tcW w:type="dxa" w:w="1258"/>
            <w:vAlign w:val="center"/>
            <w:tcMar>
              <w:top w:w="80" w:type="dxa"/>
              <w:start w:w="120" w:type="dxa"/>
              <w:bottom w:w="80" w:type="dxa"/>
              <w:end w:w="120" w:type="dxa"/>
            </w:tcMar>
          </w:tcPr>
          <w:p>
            <w:r>
              <w:rPr>
                <w:sz w:val="16"/>
                <w:lang w:val="en-GB"/>
              </w:rPr>
              <w:t>Microsoft</w:t>
            </w:r>
          </w:p>
        </w:tc>
        <w:tc>
          <w:tcPr>
            <w:tcW w:type="dxa" w:w="2154"/>
            <w:vAlign w:val="center"/>
            <w:tcMar>
              <w:top w:w="80" w:type="dxa"/>
              <w:start w:w="120" w:type="dxa"/>
              <w:bottom w:w="80" w:type="dxa"/>
              <w:end w:w="120" w:type="dxa"/>
            </w:tcMar>
          </w:tcPr>
          <w:p>
            <w:hyperlink r:id="rId40">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Centrally managed MCP allowlists; effectiveness not tested</w:t>
            </w:r>
          </w:p>
        </w:tc>
      </w:tr>
      <w:tr>
        <w:tc>
          <w:tcPr>
            <w:tcW w:type="dxa" w:w="863"/>
            <w:vAlign w:val="center"/>
            <w:tcMar>
              <w:top w:w="80" w:type="dxa"/>
              <w:start w:w="120" w:type="dxa"/>
              <w:bottom w:w="80" w:type="dxa"/>
              <w:end w:w="120" w:type="dxa"/>
            </w:tcMar>
          </w:tcPr>
          <w:p>
            <w:bookmarkStart w:id="1029" w:name="REF_030"/>
            <w:r>
              <w:rPr>
                <w:b/>
                <w:sz w:val="16"/>
                <w:lang w:val="en-GB"/>
              </w:rPr>
              <w:t>REF-030</w:t>
            </w:r>
            <w:bookmarkEnd w:id="1029"/>
          </w:p>
        </w:tc>
        <w:tc>
          <w:tcPr>
            <w:tcW w:type="dxa" w:w="1491"/>
            <w:vAlign w:val="center"/>
            <w:tcMar>
              <w:top w:w="80" w:type="dxa"/>
              <w:start w:w="120" w:type="dxa"/>
              <w:bottom w:w="80" w:type="dxa"/>
              <w:end w:w="120" w:type="dxa"/>
            </w:tcMar>
          </w:tcPr>
          <w:p>
            <w:r>
              <w:rPr>
                <w:sz w:val="16"/>
                <w:lang w:val="en-GB"/>
              </w:rPr>
              <w:t>UK GDPR legislation</w:t>
            </w:r>
          </w:p>
        </w:tc>
        <w:tc>
          <w:tcPr>
            <w:tcW w:type="dxa" w:w="1258"/>
            <w:vAlign w:val="center"/>
            <w:tcMar>
              <w:top w:w="80" w:type="dxa"/>
              <w:start w:w="120" w:type="dxa"/>
              <w:bottom w:w="80" w:type="dxa"/>
              <w:end w:w="120" w:type="dxa"/>
            </w:tcMar>
          </w:tcPr>
          <w:p>
            <w:r>
              <w:rPr>
                <w:sz w:val="16"/>
                <w:lang w:val="en-GB"/>
              </w:rPr>
              <w:t>UK legislation</w:t>
            </w:r>
          </w:p>
        </w:tc>
        <w:tc>
          <w:tcPr>
            <w:tcW w:type="dxa" w:w="2154"/>
            <w:vAlign w:val="center"/>
            <w:tcMar>
              <w:top w:w="80" w:type="dxa"/>
              <w:start w:w="120" w:type="dxa"/>
              <w:bottom w:w="80" w:type="dxa"/>
              <w:end w:w="120" w:type="dxa"/>
            </w:tcMar>
          </w:tcPr>
          <w:p>
            <w:hyperlink r:id="rId41">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Privacy obligations, deployment-specific legal review required</w:t>
            </w:r>
          </w:p>
        </w:tc>
      </w:tr>
      <w:tr>
        <w:tc>
          <w:tcPr>
            <w:tcW w:type="dxa" w:w="863"/>
            <w:vAlign w:val="center"/>
            <w:tcMar>
              <w:top w:w="80" w:type="dxa"/>
              <w:start w:w="120" w:type="dxa"/>
              <w:bottom w:w="80" w:type="dxa"/>
              <w:end w:w="120" w:type="dxa"/>
            </w:tcMar>
          </w:tcPr>
          <w:p>
            <w:bookmarkStart w:id="1030" w:name="REF_031"/>
            <w:r>
              <w:rPr>
                <w:b/>
                <w:sz w:val="16"/>
                <w:lang w:val="en-GB"/>
              </w:rPr>
              <w:t>REF-031</w:t>
            </w:r>
            <w:bookmarkEnd w:id="1030"/>
          </w:p>
        </w:tc>
        <w:tc>
          <w:tcPr>
            <w:tcW w:type="dxa" w:w="1491"/>
            <w:vAlign w:val="center"/>
            <w:tcMar>
              <w:top w:w="80" w:type="dxa"/>
              <w:start w:w="120" w:type="dxa"/>
              <w:bottom w:w="80" w:type="dxa"/>
              <w:end w:w="120" w:type="dxa"/>
            </w:tcMar>
          </w:tcPr>
          <w:p>
            <w:r>
              <w:rPr>
                <w:sz w:val="16"/>
                <w:lang w:val="en-GB"/>
              </w:rPr>
              <w:t>FCA SYSC 13</w:t>
            </w:r>
          </w:p>
        </w:tc>
        <w:tc>
          <w:tcPr>
            <w:tcW w:type="dxa" w:w="1258"/>
            <w:vAlign w:val="center"/>
            <w:tcMar>
              <w:top w:w="80" w:type="dxa"/>
              <w:start w:w="120" w:type="dxa"/>
              <w:bottom w:w="80" w:type="dxa"/>
              <w:end w:w="120" w:type="dxa"/>
            </w:tcMar>
          </w:tcPr>
          <w:p>
            <w:r>
              <w:rPr>
                <w:sz w:val="16"/>
                <w:lang w:val="en-GB"/>
              </w:rPr>
              <w:t>FCA</w:t>
            </w:r>
          </w:p>
        </w:tc>
        <w:tc>
          <w:tcPr>
            <w:tcW w:type="dxa" w:w="2154"/>
            <w:vAlign w:val="center"/>
            <w:tcMar>
              <w:top w:w="80" w:type="dxa"/>
              <w:start w:w="120" w:type="dxa"/>
              <w:bottom w:w="80" w:type="dxa"/>
              <w:end w:w="120" w:type="dxa"/>
            </w:tcMar>
          </w:tcPr>
          <w:p>
            <w:hyperlink r:id="rId42">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Insurer-specific outsourcing and operational risk applicability</w:t>
            </w:r>
          </w:p>
        </w:tc>
      </w:tr>
      <w:tr>
        <w:tc>
          <w:tcPr>
            <w:tcW w:type="dxa" w:w="863"/>
            <w:vAlign w:val="center"/>
            <w:tcMar>
              <w:top w:w="80" w:type="dxa"/>
              <w:start w:w="120" w:type="dxa"/>
              <w:bottom w:w="80" w:type="dxa"/>
              <w:end w:w="120" w:type="dxa"/>
            </w:tcMar>
          </w:tcPr>
          <w:p>
            <w:bookmarkStart w:id="1031" w:name="REF_032"/>
            <w:r>
              <w:rPr>
                <w:b/>
                <w:sz w:val="16"/>
                <w:lang w:val="en-GB"/>
              </w:rPr>
              <w:t>REF-032</w:t>
            </w:r>
            <w:bookmarkEnd w:id="1031"/>
          </w:p>
        </w:tc>
        <w:tc>
          <w:tcPr>
            <w:tcW w:type="dxa" w:w="1491"/>
            <w:vAlign w:val="center"/>
            <w:tcMar>
              <w:top w:w="80" w:type="dxa"/>
              <w:start w:w="120" w:type="dxa"/>
              <w:bottom w:w="80" w:type="dxa"/>
              <w:end w:w="120" w:type="dxa"/>
            </w:tcMar>
          </w:tcPr>
          <w:p>
            <w:r>
              <w:rPr>
                <w:sz w:val="16"/>
                <w:lang w:val="en-GB"/>
              </w:rPr>
              <w:t>CSV Parse advisory</w:t>
            </w:r>
          </w:p>
        </w:tc>
        <w:tc>
          <w:tcPr>
            <w:tcW w:type="dxa" w:w="1258"/>
            <w:vAlign w:val="center"/>
            <w:tcMar>
              <w:top w:w="80" w:type="dxa"/>
              <w:start w:w="120" w:type="dxa"/>
              <w:bottom w:w="80" w:type="dxa"/>
              <w:end w:w="120" w:type="dxa"/>
            </w:tcMar>
          </w:tcPr>
          <w:p>
            <w:r>
              <w:rPr>
                <w:sz w:val="16"/>
                <w:lang w:val="en-GB"/>
              </w:rPr>
              <w:t>Advisory maintainers GitHub</w:t>
            </w:r>
          </w:p>
        </w:tc>
        <w:tc>
          <w:tcPr>
            <w:tcW w:type="dxa" w:w="2154"/>
            <w:vAlign w:val="center"/>
            <w:tcMar>
              <w:top w:w="80" w:type="dxa"/>
              <w:start w:w="120" w:type="dxa"/>
              <w:bottom w:w="80" w:type="dxa"/>
              <w:end w:w="120" w:type="dxa"/>
            </w:tcMar>
          </w:tcPr>
          <w:p>
            <w:hyperlink r:id="rId43">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Newman dependency signal and version-specific conditions</w:t>
            </w:r>
          </w:p>
        </w:tc>
      </w:tr>
      <w:tr>
        <w:tc>
          <w:tcPr>
            <w:tcW w:type="dxa" w:w="863"/>
            <w:vAlign w:val="center"/>
            <w:tcMar>
              <w:top w:w="80" w:type="dxa"/>
              <w:start w:w="120" w:type="dxa"/>
              <w:bottom w:w="80" w:type="dxa"/>
              <w:end w:w="120" w:type="dxa"/>
            </w:tcMar>
          </w:tcPr>
          <w:p>
            <w:bookmarkStart w:id="1032" w:name="REF_033"/>
            <w:r>
              <w:rPr>
                <w:b/>
                <w:sz w:val="16"/>
                <w:lang w:val="en-GB"/>
              </w:rPr>
              <w:t>REF-033</w:t>
            </w:r>
            <w:bookmarkEnd w:id="1032"/>
          </w:p>
        </w:tc>
        <w:tc>
          <w:tcPr>
            <w:tcW w:type="dxa" w:w="1491"/>
            <w:vAlign w:val="center"/>
            <w:tcMar>
              <w:top w:w="80" w:type="dxa"/>
              <w:start w:w="120" w:type="dxa"/>
              <w:bottom w:w="80" w:type="dxa"/>
              <w:end w:w="120" w:type="dxa"/>
            </w:tcMar>
          </w:tcPr>
          <w:p>
            <w:r>
              <w:rPr>
                <w:sz w:val="16"/>
                <w:lang w:val="en-GB"/>
              </w:rPr>
              <w:t>Node Forge advisory</w:t>
            </w:r>
          </w:p>
        </w:tc>
        <w:tc>
          <w:tcPr>
            <w:tcW w:type="dxa" w:w="1258"/>
            <w:vAlign w:val="center"/>
            <w:tcMar>
              <w:top w:w="80" w:type="dxa"/>
              <w:start w:w="120" w:type="dxa"/>
              <w:bottom w:w="80" w:type="dxa"/>
              <w:end w:w="120" w:type="dxa"/>
            </w:tcMar>
          </w:tcPr>
          <w:p>
            <w:r>
              <w:rPr>
                <w:sz w:val="16"/>
                <w:lang w:val="en-GB"/>
              </w:rPr>
              <w:t>Advisory maintainers GitHub</w:t>
            </w:r>
          </w:p>
        </w:tc>
        <w:tc>
          <w:tcPr>
            <w:tcW w:type="dxa" w:w="2154"/>
            <w:vAlign w:val="center"/>
            <w:tcMar>
              <w:top w:w="80" w:type="dxa"/>
              <w:start w:w="120" w:type="dxa"/>
              <w:bottom w:w="80" w:type="dxa"/>
              <w:end w:w="120" w:type="dxa"/>
            </w:tcMar>
          </w:tcPr>
          <w:p>
            <w:hyperlink r:id="rId44">
              <w:r>
                <w:rPr>
                  <w:rStyle w:val="Hyperlink"/>
                  <w:lang w:val="en-GB"/>
                </w:rPr>
                <w:t>Open source</w:t>
              </w:r>
            </w:hyperlink>
          </w:p>
        </w:tc>
        <w:tc>
          <w:tcPr>
            <w:tcW w:type="dxa" w:w="1439"/>
            <w:vAlign w:val="center"/>
            <w:tcMar>
              <w:top w:w="80" w:type="dxa"/>
              <w:start w:w="120" w:type="dxa"/>
              <w:bottom w:w="80" w:type="dxa"/>
              <w:end w:w="120" w:type="dxa"/>
            </w:tcMar>
            <w:noWrap/>
          </w:tcPr>
          <w:p>
            <w:r>
              <w:rPr>
                <w:sz w:val="16"/>
                <w:lang w:val="en-GB"/>
              </w:rPr>
              <w:t>2026-10-07</w:t>
            </w:r>
          </w:p>
        </w:tc>
        <w:tc>
          <w:tcPr>
            <w:tcW w:type="dxa" w:w="2155"/>
            <w:vAlign w:val="center"/>
            <w:tcMar>
              <w:top w:w="80" w:type="dxa"/>
              <w:start w:w="120" w:type="dxa"/>
              <w:bottom w:w="80" w:type="dxa"/>
              <w:end w:w="120" w:type="dxa"/>
            </w:tcMar>
          </w:tcPr>
          <w:p>
            <w:r>
              <w:rPr>
                <w:sz w:val="16"/>
                <w:lang w:val="en-GB"/>
              </w:rPr>
              <w:t>Newman dependency signal; operational reachability requires validation</w:t>
            </w:r>
          </w:p>
        </w:tc>
      </w:tr>
    </w:tbl>
    <w:p>
      <w:pPr>
        <w:pStyle w:val="Heading1"/>
      </w:pPr>
      <w:r>
        <w:rPr>
          <w:lang w:val="en-GB"/>
        </w:rPr>
        <w:t>Appendices</w:t>
      </w:r>
    </w:p>
    <w:p>
      <w:pPr>
        <w:pStyle w:val="Heading2"/>
      </w:pPr>
      <w:r>
        <w:rPr>
          <w:lang w:val="en-GB"/>
        </w:rPr>
        <w:t>Appendix A — Analysis Selections and Results</w:t>
      </w:r>
    </w:p>
    <w:p>
      <w:r>
        <w:rPr>
          <w:lang w:val="en-GB"/>
        </w:rP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pPr>
      <w:r>
        <w:rPr>
          <w:lang w:val="en-GB"/>
        </w:rPr>
        <w:t>Appendix B — Build and Quality-Assurance Contract</w:t>
      </w:r>
    </w:p>
    <w:p>
      <w:r>
        <w:rPr>
          <w:lang w:val="en-GB"/>
        </w:rP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pPr>
      <w:r>
        <w:rPr>
          <w:lang w:val="en-GB"/>
        </w:rPr>
        <w:t>Glossary</w:t>
      </w:r>
    </w:p>
    <w:p>
      <w:pPr>
        <w:pStyle w:val="Caption"/>
      </w:pPr>
      <w:r>
        <w:rPr>
          <w:b/>
          <w:lang w:val="en-GB"/>
        </w:rPr>
        <w:t>Glossary</w:t>
      </w:r>
    </w:p>
    <w:tbl>
      <w:tblPr>
        <w:tblStyle w:val="TableGrid"/>
        <w:tblW w:type="dxa" w:w="9360"/>
        <w:tblLayout w:type="fixed"/>
        <w:tblLook w:firstColumn="1" w:firstRow="1" w:lastColumn="0" w:lastRow="0" w:noHBand="0" w:noVBand="1" w:val="04A0"/>
        <w:tblInd w:w="120" w:type="dxa"/>
      </w:tblPr>
      <w:tblGrid>
        <w:gridCol w:w="1827"/>
        <w:gridCol w:w="7533"/>
      </w:tblGrid>
      <w:tr>
        <w:trPr>
          <w:tblHeader w:val="true"/>
        </w:trPr>
        <w:tc>
          <w:tcPr>
            <w:tcW w:type="dxa" w:w="1827"/>
            <w:shd w:fill="F2F4F7"/>
            <w:vAlign w:val="center"/>
            <w:tcMar>
              <w:top w:w="35" w:type="dxa"/>
              <w:start w:w="120" w:type="dxa"/>
              <w:bottom w:w="35" w:type="dxa"/>
              <w:end w:w="120" w:type="dxa"/>
            </w:tcMar>
          </w:tcPr>
          <w:p>
            <w:pPr>
              <w:spacing w:before="0" w:after="0"/>
            </w:pPr>
            <w:r>
              <w:rPr>
                <w:b/>
                <w:sz w:val="16"/>
                <w:lang w:val="en-GB"/>
              </w:rPr>
              <w:t>Term</w:t>
            </w:r>
          </w:p>
        </w:tc>
        <w:tc>
          <w:tcPr>
            <w:tcW w:type="dxa" w:w="7533"/>
            <w:shd w:fill="F2F4F7"/>
            <w:vAlign w:val="center"/>
            <w:tcMar>
              <w:top w:w="35" w:type="dxa"/>
              <w:start w:w="120" w:type="dxa"/>
              <w:bottom w:w="35" w:type="dxa"/>
              <w:end w:w="120" w:type="dxa"/>
            </w:tcMar>
          </w:tcPr>
          <w:p>
            <w:pPr>
              <w:spacing w:before="0" w:after="0"/>
            </w:pPr>
            <w:r>
              <w:rPr>
                <w:b/>
                <w:sz w:val="16"/>
                <w:lang w:val="en-GB"/>
              </w:rPr>
              <w:t>Definition</w:t>
            </w:r>
          </w:p>
        </w:tc>
      </w:tr>
      <w:tr>
        <w:tc>
          <w:tcPr>
            <w:tcW w:type="dxa" w:w="1827"/>
            <w:vAlign w:val="center"/>
            <w:tcMar>
              <w:top w:w="35" w:type="dxa"/>
              <w:start w:w="120" w:type="dxa"/>
              <w:bottom w:w="35" w:type="dxa"/>
              <w:end w:w="120" w:type="dxa"/>
            </w:tcMar>
          </w:tcPr>
          <w:p>
            <w:pPr>
              <w:spacing w:before="0" w:after="0"/>
            </w:pPr>
            <w:r>
              <w:rPr>
                <w:sz w:val="16"/>
                <w:lang w:val="en-GB"/>
              </w:rPr>
              <w:t>MCP</w:t>
            </w:r>
          </w:p>
        </w:tc>
        <w:tc>
          <w:tcPr>
            <w:tcW w:type="dxa" w:w="7533"/>
            <w:vAlign w:val="center"/>
            <w:tcMar>
              <w:top w:w="35" w:type="dxa"/>
              <w:start w:w="120" w:type="dxa"/>
              <w:bottom w:w="35" w:type="dxa"/>
              <w:end w:w="120" w:type="dxa"/>
            </w:tcMar>
          </w:tcPr>
          <w:p>
            <w:pPr>
              <w:spacing w:before="0" w:after="0"/>
            </w:pPr>
            <w:r>
              <w:rPr>
                <w:sz w:val="16"/>
                <w:lang w:val="en-GB"/>
              </w:rPr>
              <w:t>Model Context Protocol, interface between an agent host and tool server</w:t>
            </w:r>
          </w:p>
        </w:tc>
      </w:tr>
      <w:tr>
        <w:tc>
          <w:tcPr>
            <w:tcW w:type="dxa" w:w="1827"/>
            <w:vAlign w:val="center"/>
            <w:tcMar>
              <w:top w:w="35" w:type="dxa"/>
              <w:start w:w="120" w:type="dxa"/>
              <w:bottom w:w="35" w:type="dxa"/>
              <w:end w:w="120" w:type="dxa"/>
            </w:tcMar>
          </w:tcPr>
          <w:p>
            <w:pPr>
              <w:spacing w:before="0" w:after="0"/>
            </w:pPr>
            <w:r>
              <w:rPr>
                <w:sz w:val="16"/>
                <w:lang w:val="en-GB"/>
              </w:rPr>
              <w:t>STDIO</w:t>
            </w:r>
          </w:p>
        </w:tc>
        <w:tc>
          <w:tcPr>
            <w:tcW w:type="dxa" w:w="7533"/>
            <w:vAlign w:val="center"/>
            <w:tcMar>
              <w:top w:w="35" w:type="dxa"/>
              <w:start w:w="120" w:type="dxa"/>
              <w:bottom w:w="35" w:type="dxa"/>
              <w:end w:w="120" w:type="dxa"/>
            </w:tcMar>
          </w:tcPr>
          <w:p>
            <w:pPr>
              <w:spacing w:before="0" w:after="0"/>
            </w:pPr>
            <w:r>
              <w:rPr>
                <w:sz w:val="16"/>
                <w:lang w:val="en-GB"/>
              </w:rPr>
              <w:t>Standard input and output transport between local processes</w:t>
            </w:r>
          </w:p>
        </w:tc>
      </w:tr>
      <w:tr>
        <w:tc>
          <w:tcPr>
            <w:tcW w:type="dxa" w:w="1827"/>
            <w:vAlign w:val="center"/>
            <w:tcMar>
              <w:top w:w="35" w:type="dxa"/>
              <w:start w:w="120" w:type="dxa"/>
              <w:bottom w:w="35" w:type="dxa"/>
              <w:end w:w="120" w:type="dxa"/>
            </w:tcMar>
          </w:tcPr>
          <w:p>
            <w:pPr>
              <w:spacing w:before="0" w:after="0"/>
            </w:pPr>
            <w:r>
              <w:rPr>
                <w:sz w:val="16"/>
                <w:lang w:val="en-GB"/>
              </w:rPr>
              <w:t>Toolset</w:t>
            </w:r>
          </w:p>
        </w:tc>
        <w:tc>
          <w:tcPr>
            <w:tcW w:type="dxa" w:w="7533"/>
            <w:vAlign w:val="center"/>
            <w:tcMar>
              <w:top w:w="35" w:type="dxa"/>
              <w:start w:w="120" w:type="dxa"/>
              <w:bottom w:w="35" w:type="dxa"/>
              <w:end w:w="120" w:type="dxa"/>
            </w:tcMar>
          </w:tcPr>
          <w:p>
            <w:pPr>
              <w:spacing w:before="0" w:after="0"/>
            </w:pPr>
            <w:r>
              <w:rPr>
                <w:sz w:val="16"/>
                <w:lang w:val="en-GB"/>
              </w:rPr>
              <w:t>Selected set of exposed tools; not an account authorization boundary</w:t>
            </w:r>
          </w:p>
        </w:tc>
      </w:tr>
      <w:tr>
        <w:tc>
          <w:tcPr>
            <w:tcW w:type="dxa" w:w="1827"/>
            <w:vAlign w:val="center"/>
            <w:tcMar>
              <w:top w:w="35" w:type="dxa"/>
              <w:start w:w="120" w:type="dxa"/>
              <w:bottom w:w="35" w:type="dxa"/>
              <w:end w:w="120" w:type="dxa"/>
            </w:tcMar>
          </w:tcPr>
          <w:p>
            <w:pPr>
              <w:spacing w:before="0" w:after="0"/>
            </w:pPr>
            <w:r>
              <w:rPr>
                <w:sz w:val="16"/>
                <w:lang w:val="en-GB"/>
              </w:rPr>
              <w:t>DPIA</w:t>
            </w:r>
          </w:p>
        </w:tc>
        <w:tc>
          <w:tcPr>
            <w:tcW w:type="dxa" w:w="7533"/>
            <w:vAlign w:val="center"/>
            <w:tcMar>
              <w:top w:w="35" w:type="dxa"/>
              <w:start w:w="120" w:type="dxa"/>
              <w:bottom w:w="35" w:type="dxa"/>
              <w:end w:w="120" w:type="dxa"/>
            </w:tcMar>
          </w:tcPr>
          <w:p>
            <w:pPr>
              <w:spacing w:before="0" w:after="0"/>
            </w:pPr>
            <w:r>
              <w:rPr>
                <w:sz w:val="16"/>
                <w:lang w:val="en-GB"/>
              </w:rPr>
              <w:t>Data protection impact assessment</w:t>
            </w:r>
          </w:p>
        </w:tc>
      </w:tr>
      <w:tr>
        <w:tc>
          <w:tcPr>
            <w:tcW w:type="dxa" w:w="1827"/>
            <w:vAlign w:val="center"/>
            <w:tcMar>
              <w:top w:w="35" w:type="dxa"/>
              <w:start w:w="120" w:type="dxa"/>
              <w:bottom w:w="35" w:type="dxa"/>
              <w:end w:w="120" w:type="dxa"/>
            </w:tcMar>
          </w:tcPr>
          <w:p>
            <w:pPr>
              <w:spacing w:before="0" w:after="0"/>
            </w:pPr>
            <w:r>
              <w:rPr>
                <w:sz w:val="16"/>
                <w:lang w:val="en-GB"/>
              </w:rPr>
              <w:t>SBOM</w:t>
            </w:r>
          </w:p>
        </w:tc>
        <w:tc>
          <w:tcPr>
            <w:tcW w:type="dxa" w:w="7533"/>
            <w:vAlign w:val="center"/>
            <w:tcMar>
              <w:top w:w="35" w:type="dxa"/>
              <w:start w:w="120" w:type="dxa"/>
              <w:bottom w:w="35" w:type="dxa"/>
              <w:end w:w="120" w:type="dxa"/>
            </w:tcMar>
          </w:tcPr>
          <w:p>
            <w:pPr>
              <w:spacing w:before="0" w:after="0"/>
            </w:pPr>
            <w:r>
              <w:rPr>
                <w:sz w:val="16"/>
                <w:lang w:val="en-GB"/>
              </w:rPr>
              <w:t>Software bill of materials; this run retains an inventory rather than certifying installed closure</w:t>
            </w:r>
          </w:p>
        </w:tc>
      </w:tr>
      <w:tr>
        <w:tc>
          <w:tcPr>
            <w:tcW w:type="dxa" w:w="1827"/>
            <w:vAlign w:val="center"/>
            <w:tcMar>
              <w:top w:w="35" w:type="dxa"/>
              <w:start w:w="120" w:type="dxa"/>
              <w:bottom w:w="35" w:type="dxa"/>
              <w:end w:w="120" w:type="dxa"/>
            </w:tcMar>
          </w:tcPr>
          <w:p>
            <w:pPr>
              <w:spacing w:before="0" w:after="0"/>
            </w:pPr>
            <w:r>
              <w:rPr>
                <w:sz w:val="16"/>
                <w:lang w:val="en-GB"/>
              </w:rPr>
              <w:t>Inherent risk</w:t>
            </w:r>
          </w:p>
        </w:tc>
        <w:tc>
          <w:tcPr>
            <w:tcW w:type="dxa" w:w="7533"/>
            <w:vAlign w:val="center"/>
            <w:tcMar>
              <w:top w:w="35" w:type="dxa"/>
              <w:start w:w="120" w:type="dxa"/>
              <w:bottom w:w="35" w:type="dxa"/>
              <w:end w:w="120" w:type="dxa"/>
            </w:tcMar>
          </w:tcPr>
          <w:p>
            <w:pPr>
              <w:spacing w:before="0" w:after="0"/>
            </w:pPr>
            <w:r>
              <w:rPr>
                <w:sz w:val="16"/>
                <w:lang w:val="en-GB"/>
              </w:rPr>
              <w:t>Likelihood multiplied by impact before credited controls</w:t>
            </w:r>
          </w:p>
        </w:tc>
      </w:tr>
      <w:tr>
        <w:tc>
          <w:tcPr>
            <w:tcW w:type="dxa" w:w="1827"/>
            <w:vAlign w:val="center"/>
            <w:tcMar>
              <w:top w:w="35" w:type="dxa"/>
              <w:start w:w="120" w:type="dxa"/>
              <w:bottom w:w="35" w:type="dxa"/>
              <w:end w:w="120" w:type="dxa"/>
            </w:tcMar>
          </w:tcPr>
          <w:p>
            <w:pPr>
              <w:spacing w:before="0" w:after="0"/>
            </w:pPr>
            <w:r>
              <w:rPr>
                <w:sz w:val="16"/>
                <w:lang w:val="en-GB"/>
              </w:rPr>
              <w:t>Residual risk</w:t>
            </w:r>
          </w:p>
        </w:tc>
        <w:tc>
          <w:tcPr>
            <w:tcW w:type="dxa" w:w="7533"/>
            <w:vAlign w:val="center"/>
            <w:tcMar>
              <w:top w:w="35" w:type="dxa"/>
              <w:start w:w="120" w:type="dxa"/>
              <w:bottom w:w="35" w:type="dxa"/>
              <w:end w:w="120" w:type="dxa"/>
            </w:tcMar>
          </w:tcPr>
          <w:p>
            <w:pPr>
              <w:spacing w:before="0" w:after="0"/>
            </w:pPr>
            <w:r>
              <w:rPr>
                <w:sz w:val="16"/>
                <w:lang w:val="en-GB"/>
              </w:rPr>
              <w:t>Likelihood multiplied by impact after evidenced controls</w:t>
            </w:r>
          </w:p>
        </w:tc>
      </w:tr>
      <w:tr>
        <w:tc>
          <w:tcPr>
            <w:tcW w:type="dxa" w:w="1827"/>
            <w:vAlign w:val="center"/>
            <w:tcMar>
              <w:top w:w="35" w:type="dxa"/>
              <w:start w:w="120" w:type="dxa"/>
              <w:bottom w:w="35" w:type="dxa"/>
              <w:end w:w="120" w:type="dxa"/>
            </w:tcMar>
          </w:tcPr>
          <w:p>
            <w:pPr>
              <w:spacing w:before="0" w:after="0"/>
            </w:pPr>
            <w:r>
              <w:rPr>
                <w:sz w:val="16"/>
                <w:lang w:val="en-GB"/>
              </w:rPr>
              <w:t>Verified</w:t>
            </w:r>
          </w:p>
        </w:tc>
        <w:tc>
          <w:tcPr>
            <w:tcW w:type="dxa" w:w="7533"/>
            <w:vAlign w:val="center"/>
            <w:tcMar>
              <w:top w:w="35" w:type="dxa"/>
              <w:start w:w="120" w:type="dxa"/>
              <w:bottom w:w="35" w:type="dxa"/>
              <w:end w:w="120" w:type="dxa"/>
            </w:tcMar>
          </w:tcPr>
          <w:p>
            <w:pPr>
              <w:spacing w:before="0" w:after="0"/>
            </w:pPr>
            <w:r>
              <w:rPr>
                <w:sz w:val="16"/>
                <w:lang w:val="en-GB"/>
              </w:rPr>
              <w:t>Supported by direct observation or primary evidence within stated scope</w:t>
            </w:r>
          </w:p>
        </w:tc>
      </w:tr>
      <w:tr>
        <w:tc>
          <w:tcPr>
            <w:tcW w:type="dxa" w:w="1827"/>
            <w:vAlign w:val="center"/>
            <w:tcMar>
              <w:top w:w="35" w:type="dxa"/>
              <w:start w:w="120" w:type="dxa"/>
              <w:bottom w:w="35" w:type="dxa"/>
              <w:end w:w="120" w:type="dxa"/>
            </w:tcMar>
          </w:tcPr>
          <w:p>
            <w:pPr>
              <w:spacing w:before="0" w:after="0"/>
            </w:pPr>
            <w:r>
              <w:rPr>
                <w:sz w:val="16"/>
                <w:lang w:val="en-GB"/>
              </w:rPr>
              <w:t>Blocked</w:t>
            </w:r>
          </w:p>
        </w:tc>
        <w:tc>
          <w:tcPr>
            <w:tcW w:type="dxa" w:w="7533"/>
            <w:vAlign w:val="center"/>
            <w:tcMar>
              <w:top w:w="35" w:type="dxa"/>
              <w:start w:w="120" w:type="dxa"/>
              <w:bottom w:w="35" w:type="dxa"/>
              <w:end w:w="120" w:type="dxa"/>
            </w:tcMar>
          </w:tcPr>
          <w:p>
            <w:pPr>
              <w:spacing w:before="0" w:after="0"/>
            </w:pPr>
            <w:r>
              <w:rPr>
                <w:sz w:val="16"/>
                <w:lang w:val="en-GB"/>
              </w:rPr>
              <w:t>Selected evidence branch cannot be completed safely with available prerequisites</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lang w:val="en-GB"/>
      </w:rPr>
      <w:t xml:space="preserve">Page </w:t>
    </w:r>
    <w:r>
      <w:rPr>
        <w:lang w:val="en-GB"/>
      </w:rPr>
      <w:fldChar w:fldCharType="begin"/>
    </w:r>
    <w:r>
      <w:rPr>
        <w:lang w:val="en-GB"/>
      </w:rPr>
      <w:instrText xml:space="preserve"> PAGE </w:instrText>
    </w:r>
    <w:r>
      <w:rPr>
        <w:lang w:val="en-GB"/>
      </w:rPr>
      <w:fldChar w:fldCharType="separate"/>
    </w:r>
    <w:r>
      <w:rPr>
        <w:lang w:val="en-GB"/>
      </w:rPr>
      <w:t>1</w:t>
    </w:r>
    <w:r>
      <w:rPr>
        <w:lang w:val="en-G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lang w:val="en-GB"/>
      </w:rPr>
      <w:t>Postman MCP Server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lang w:val="en-GB"/>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lang w:val="en-GB"/>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lang w:val="en-GB"/>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lang w:val="en-G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E618BF"/>
    <w:rPr>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E618BF"/>
    <w:rPr>
      <w:lang w:val="en-G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lang w:val="en-GB"/>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lang w:val="en-GB"/>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rPr>
      <w:lang w:val="en-GB"/>
    </w:rPr>
  </w:style>
  <w:style w:type="table" w:default="1" w:styleId="TableNormal">
    <w:name w:val="Normal Table"/>
    <w:uiPriority w:val="99"/>
    <w:semiHidden/>
    <w:unhideWhenUsed/>
    <w:rPr>
      <w:lang w:val="en-GB"/>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GB"/>
    </w:rPr>
  </w:style>
  <w:style w:type="paragraph" w:styleId="NoSpacing">
    <w:name w:val="No Spacing"/>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rPr>
      <w:lang w:val="en-GB"/>
    </w:rPr>
  </w:style>
  <w:style w:type="paragraph" w:styleId="BodyText">
    <w:name w:val="Body Text"/>
    <w:basedOn w:val="Normal"/>
    <w:link w:val="BodyTextChar"/>
    <w:uiPriority w:val="99"/>
    <w:unhideWhenUsed/>
    <w:rsid w:val="00AA1D8D"/>
    <w:pPr>
      <w:spacing w:after="120"/>
    </w:pPr>
    <w:rPr>
      <w:lang w:val="en-GB"/>
    </w:rPr>
  </w:style>
  <w:style w:type="character" w:customStyle="1" w:styleId="BodyTextChar">
    <w:name w:val="Body Text Char"/>
    <w:basedOn w:val="DefaultParagraphFont"/>
    <w:link w:val="BodyText"/>
    <w:uiPriority w:val="99"/>
    <w:rsid w:val="00AA1D8D"/>
    <w:rPr>
      <w:lang w:val="en-GB"/>
    </w:rPr>
  </w:style>
  <w:style w:type="paragraph" w:styleId="BodyText2">
    <w:name w:val="Body Text 2"/>
    <w:basedOn w:val="Normal"/>
    <w:link w:val="BodyText2Char"/>
    <w:uiPriority w:val="99"/>
    <w:unhideWhenUsed/>
    <w:rsid w:val="00AA1D8D"/>
    <w:pPr>
      <w:spacing w:after="120" w:line="480" w:lineRule="auto"/>
    </w:pPr>
    <w:rPr>
      <w:lang w:val="en-GB"/>
    </w:rPr>
  </w:style>
  <w:style w:type="character" w:customStyle="1" w:styleId="BodyText2Char">
    <w:name w:val="Body Text 2 Char"/>
    <w:basedOn w:val="DefaultParagraphFont"/>
    <w:link w:val="BodyText2"/>
    <w:uiPriority w:val="99"/>
    <w:rsid w:val="00AA1D8D"/>
    <w:rPr>
      <w:lang w:val="en-GB"/>
    </w:rPr>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lang w:val="en-GB"/>
    </w:rPr>
  </w:style>
  <w:style w:type="paragraph" w:styleId="List">
    <w:name w:val="List"/>
    <w:basedOn w:val="Normal"/>
    <w:uiPriority w:val="99"/>
    <w:unhideWhenUsed/>
    <w:rsid w:val="00AA1D8D"/>
    <w:pPr>
      <w:ind w:left="360" w:hanging="360"/>
      <w:contextualSpacing/>
    </w:pPr>
    <w:rPr>
      <w:lang w:val="en-GB"/>
    </w:rPr>
  </w:style>
  <w:style w:type="paragraph" w:styleId="List2">
    <w:name w:val="List 2"/>
    <w:basedOn w:val="Normal"/>
    <w:uiPriority w:val="99"/>
    <w:unhideWhenUsed/>
    <w:rsid w:val="00326F90"/>
    <w:pPr>
      <w:ind w:left="720" w:hanging="360"/>
      <w:contextualSpacing/>
    </w:pPr>
    <w:rPr>
      <w:lang w:val="en-GB"/>
    </w:rPr>
  </w:style>
  <w:style w:type="paragraph" w:styleId="List3">
    <w:name w:val="List 3"/>
    <w:basedOn w:val="Normal"/>
    <w:uiPriority w:val="99"/>
    <w:unhideWhenUsed/>
    <w:rsid w:val="00326F90"/>
    <w:pPr>
      <w:ind w:left="1080" w:hanging="360"/>
      <w:contextualSpacing/>
    </w:pPr>
    <w:rPr>
      <w:lang w:val="en-GB"/>
    </w:rPr>
  </w:style>
  <w:style w:type="paragraph" w:styleId="ListBullet">
    <w:name w:val="List Bullet"/>
    <w:basedOn w:val="Normal"/>
    <w:uiPriority w:val="99"/>
    <w:unhideWhenUsed/>
    <w:rsid w:val="00326F90"/>
    <w:pPr>
      <w:numPr>
        <w:numId w:val="1"/>
      </w:numPr>
      <w:contextualSpacing/>
    </w:pPr>
    <w:rPr>
      <w:lang w:val="en-GB"/>
    </w:rPr>
  </w:style>
  <w:style w:type="paragraph" w:styleId="ListBullet2">
    <w:name w:val="List Bullet 2"/>
    <w:basedOn w:val="Normal"/>
    <w:uiPriority w:val="99"/>
    <w:unhideWhenUsed/>
    <w:rsid w:val="00326F90"/>
    <w:pPr>
      <w:numPr>
        <w:numId w:val="2"/>
      </w:numPr>
      <w:contextualSpacing/>
    </w:pPr>
    <w:rPr>
      <w:lang w:val="en-GB"/>
    </w:rPr>
  </w:style>
  <w:style w:type="paragraph" w:styleId="ListBullet3">
    <w:name w:val="List Bullet 3"/>
    <w:basedOn w:val="Normal"/>
    <w:uiPriority w:val="99"/>
    <w:unhideWhenUsed/>
    <w:rsid w:val="00326F90"/>
    <w:pPr>
      <w:numPr>
        <w:numId w:val="3"/>
      </w:numPr>
      <w:contextualSpacing/>
    </w:pPr>
    <w:rPr>
      <w:lang w:val="en-GB"/>
    </w:rPr>
  </w:style>
  <w:style w:type="paragraph" w:styleId="ListNumber">
    <w:name w:val="List Number"/>
    <w:basedOn w:val="Normal"/>
    <w:uiPriority w:val="99"/>
    <w:unhideWhenUsed/>
    <w:rsid w:val="00326F90"/>
    <w:pPr>
      <w:numPr>
        <w:numId w:val="5"/>
      </w:numPr>
      <w:contextualSpacing/>
    </w:pPr>
    <w:rPr>
      <w:lang w:val="en-GB"/>
    </w:rPr>
  </w:style>
  <w:style w:type="paragraph" w:styleId="ListNumber2">
    <w:name w:val="List Number 2"/>
    <w:basedOn w:val="Normal"/>
    <w:uiPriority w:val="99"/>
    <w:unhideWhenUsed/>
    <w:rsid w:val="0029639D"/>
    <w:pPr>
      <w:numPr>
        <w:numId w:val="6"/>
      </w:numPr>
      <w:contextualSpacing/>
    </w:pPr>
    <w:rPr>
      <w:lang w:val="en-GB"/>
    </w:rPr>
  </w:style>
  <w:style w:type="paragraph" w:styleId="ListNumber3">
    <w:name w:val="List Number 3"/>
    <w:basedOn w:val="Normal"/>
    <w:uiPriority w:val="99"/>
    <w:unhideWhenUsed/>
    <w:rsid w:val="0029639D"/>
    <w:pPr>
      <w:numPr>
        <w:numId w:val="7"/>
      </w:numPr>
      <w:contextualSpacing/>
    </w:pPr>
    <w:rPr>
      <w:lang w:val="en-GB"/>
    </w:rPr>
  </w:style>
  <w:style w:type="paragraph" w:styleId="ListContinue">
    <w:name w:val="List Continue"/>
    <w:basedOn w:val="Normal"/>
    <w:uiPriority w:val="99"/>
    <w:unhideWhenUsed/>
    <w:rsid w:val="0029639D"/>
    <w:pPr>
      <w:spacing w:after="120"/>
      <w:ind w:left="360"/>
      <w:contextualSpacing/>
    </w:pPr>
    <w:rPr>
      <w:lang w:val="en-GB"/>
    </w:rPr>
  </w:style>
  <w:style w:type="paragraph" w:styleId="ListContinue2">
    <w:name w:val="List Continue 2"/>
    <w:basedOn w:val="Normal"/>
    <w:uiPriority w:val="99"/>
    <w:unhideWhenUsed/>
    <w:rsid w:val="0029639D"/>
    <w:pPr>
      <w:spacing w:after="120"/>
      <w:ind w:left="720"/>
      <w:contextualSpacing/>
    </w:pPr>
    <w:rPr>
      <w:lang w:val="en-GB"/>
    </w:rPr>
  </w:style>
  <w:style w:type="paragraph" w:styleId="ListContinue3">
    <w:name w:val="List Continue 3"/>
    <w:basedOn w:val="Normal"/>
    <w:uiPriority w:val="99"/>
    <w:unhideWhenUsed/>
    <w:rsid w:val="0029639D"/>
    <w:pPr>
      <w:spacing w:after="120"/>
      <w:ind w:left="1080"/>
      <w:contextualSpacing/>
    </w:pPr>
    <w:rPr>
      <w:lang w:val="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rPr>
  </w:style>
  <w:style w:type="character" w:styleId="Strong">
    <w:name w:val="Strong"/>
    <w:basedOn w:val="DefaultParagraphFont"/>
    <w:uiPriority w:val="22"/>
    <w:qFormat/>
    <w:rsid w:val="00FC693F"/>
    <w:rPr>
      <w:b/>
      <w:bCs/>
      <w:lang w:val="en-GB"/>
    </w:rPr>
  </w:style>
  <w:style w:type="character" w:styleId="Emphasis">
    <w:name w:val="Emphasis"/>
    <w:basedOn w:val="DefaultParagraphFont"/>
    <w:uiPriority w:val="20"/>
    <w:qFormat/>
    <w:rsid w:val="00FC693F"/>
    <w:rPr>
      <w:i/>
      <w:iCs/>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lang w:val="en-GB"/>
    </w:rPr>
  </w:style>
  <w:style w:type="character" w:styleId="SubtleEmphasis">
    <w:name w:val="Subtle Emphasis"/>
    <w:basedOn w:val="DefaultParagraphFont"/>
    <w:uiPriority w:val="19"/>
    <w:qFormat/>
    <w:rsid w:val="00FC693F"/>
    <w:rPr>
      <w:i/>
      <w:iCs/>
      <w:color w:val="808080" w:themeColor="text1" w:themeTint="7F"/>
      <w:lang w:val="en-GB"/>
    </w:rPr>
  </w:style>
  <w:style w:type="character" w:styleId="IntenseEmphasis">
    <w:name w:val="Intense Emphasis"/>
    <w:basedOn w:val="DefaultParagraphFont"/>
    <w:uiPriority w:val="21"/>
    <w:qFormat/>
    <w:rsid w:val="00FC693F"/>
    <w:rPr>
      <w:b/>
      <w:bCs/>
      <w:i/>
      <w:iCs/>
      <w:color w:val="4F81BD" w:themeColor="accent1"/>
      <w:lang w:val="en-GB"/>
    </w:rPr>
  </w:style>
  <w:style w:type="character" w:styleId="SubtleReference">
    <w:name w:val="Subtle Reference"/>
    <w:basedOn w:val="DefaultParagraphFont"/>
    <w:uiPriority w:val="31"/>
    <w:qFormat/>
    <w:rsid w:val="00FC693F"/>
    <w:rPr>
      <w:smallCaps/>
      <w:color w:val="C0504D" w:themeColor="accent2"/>
      <w:u w:val="single"/>
      <w:lang w:val="en-GB"/>
    </w:rPr>
  </w:style>
  <w:style w:type="character" w:styleId="IntenseReference">
    <w:name w:val="Intense Reference"/>
    <w:basedOn w:val="DefaultParagraphFont"/>
    <w:uiPriority w:val="32"/>
    <w:qFormat/>
    <w:rsid w:val="00FC693F"/>
    <w:rPr>
      <w:b/>
      <w:bCs/>
      <w:smallCaps/>
      <w:color w:val="C0504D" w:themeColor="accent2"/>
      <w:spacing w:val="5"/>
      <w:u w:val="single"/>
      <w:lang w:val="en-GB"/>
    </w:rPr>
  </w:style>
  <w:style w:type="character" w:styleId="BookTitle">
    <w:name w:val="Book Title"/>
    <w:basedOn w:val="DefaultParagraphFont"/>
    <w:uiPriority w:val="33"/>
    <w:qFormat/>
    <w:rsid w:val="00FC693F"/>
    <w:rPr>
      <w:b/>
      <w:bCs/>
      <w:smallCaps/>
      <w:spacing w:val="5"/>
      <w:lang w:val="en-GB"/>
    </w:rPr>
  </w:style>
  <w:style w:type="paragraph" w:styleId="TOCHeading">
    <w:name w:val="TOC Heading"/>
    <w:basedOn w:val="Heading1"/>
    <w:next w:val="Normal"/>
    <w:uiPriority w:val="39"/>
    <w:semiHidden/>
    <w:unhideWhenUsed/>
    <w:qFormat/>
    <w:rsid w:val="00FC693F"/>
    <w:pPr>
      <w:outlineLvl w:val="9"/>
    </w:pPr>
    <w:rPr>
      <w:lang w:val="en-GB"/>
    </w:rPr>
  </w:style>
  <w:style w:type="table" w:styleId="TableGrid">
    <w:name w:val="Table Grid"/>
    <w:basedOn w:val="TableNormal"/>
    <w:uiPriority w:val="59"/>
    <w:rsid w:val="00FC693F"/>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GB"/>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GB"/>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GB"/>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GB"/>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GB"/>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GB"/>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GB"/>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000000" w:themeFill="text1"/>
      </w:tcPr>
    </w:tblStylePr>
    <w:tblStylePr w:type="lastRow">
      <w:pPr>
        <w:spacing w:before="0" w:after="0" w:line="240" w:lineRule="auto"/>
      </w:pPr>
      <w:rPr>
        <w:b/>
        <w:bCs/>
        <w:lang w:val="en-GB"/>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GB"/>
      </w:rPr>
    </w:tblStylePr>
    <w:tblStylePr w:type="lastCol">
      <w:rPr>
        <w:b/>
        <w:bCs/>
        <w:lang w:val="en-GB"/>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4F81BD" w:themeFill="accent1"/>
      </w:tcPr>
    </w:tblStylePr>
    <w:tblStylePr w:type="lastRow">
      <w:pPr>
        <w:spacing w:before="0" w:after="0" w:line="240" w:lineRule="auto"/>
      </w:pPr>
      <w:rPr>
        <w:b/>
        <w:bCs/>
        <w:lang w:val="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GB"/>
      </w:rPr>
    </w:tblStylePr>
    <w:tblStylePr w:type="lastCol">
      <w:rPr>
        <w:b/>
        <w:bCs/>
        <w:lang w:val="en-GB"/>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C0504D" w:themeFill="accent2"/>
      </w:tcPr>
    </w:tblStylePr>
    <w:tblStylePr w:type="lastRow">
      <w:pPr>
        <w:spacing w:before="0" w:after="0" w:line="240" w:lineRule="auto"/>
      </w:pPr>
      <w:rPr>
        <w:b/>
        <w:bCs/>
        <w:lang w:val="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GB"/>
      </w:rPr>
    </w:tblStylePr>
    <w:tblStylePr w:type="lastCol">
      <w:rPr>
        <w:b/>
        <w:bCs/>
        <w:lang w:val="en-GB"/>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9BBB59" w:themeFill="accent3"/>
      </w:tcPr>
    </w:tblStylePr>
    <w:tblStylePr w:type="lastRow">
      <w:pPr>
        <w:spacing w:before="0" w:after="0" w:line="240" w:lineRule="auto"/>
      </w:pPr>
      <w:rPr>
        <w:b/>
        <w:bCs/>
        <w:lang w:val="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GB"/>
      </w:rPr>
    </w:tblStylePr>
    <w:tblStylePr w:type="lastCol">
      <w:rPr>
        <w:b/>
        <w:bCs/>
        <w:lang w:val="en-GB"/>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8064A2" w:themeFill="accent4"/>
      </w:tcPr>
    </w:tblStylePr>
    <w:tblStylePr w:type="lastRow">
      <w:pPr>
        <w:spacing w:before="0" w:after="0" w:line="240" w:lineRule="auto"/>
      </w:pPr>
      <w:rPr>
        <w:b/>
        <w:bCs/>
        <w:lang w:val="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GB"/>
      </w:rPr>
    </w:tblStylePr>
    <w:tblStylePr w:type="lastCol">
      <w:rPr>
        <w:b/>
        <w:bCs/>
        <w:lang w:val="en-GB"/>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4BACC6" w:themeFill="accent5"/>
      </w:tcPr>
    </w:tblStylePr>
    <w:tblStylePr w:type="lastRow">
      <w:pPr>
        <w:spacing w:before="0" w:after="0" w:line="240" w:lineRule="auto"/>
      </w:pPr>
      <w:rPr>
        <w:b/>
        <w:bCs/>
        <w:lang w:val="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GB"/>
      </w:rPr>
    </w:tblStylePr>
    <w:tblStylePr w:type="lastCol">
      <w:rPr>
        <w:b/>
        <w:bCs/>
        <w:lang w:val="en-GB"/>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F79646" w:themeFill="accent6"/>
      </w:tcPr>
    </w:tblStylePr>
    <w:tblStylePr w:type="lastRow">
      <w:pPr>
        <w:spacing w:before="0" w:after="0" w:line="240" w:lineRule="auto"/>
      </w:pPr>
      <w:rPr>
        <w:b/>
        <w:bCs/>
        <w:lang w:val="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GB"/>
      </w:rPr>
    </w:tblStylePr>
    <w:tblStylePr w:type="lastCol">
      <w:rPr>
        <w:b/>
        <w:bCs/>
        <w:lang w:val="en-GB"/>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GB"/>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GB"/>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GB"/>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GB"/>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GB"/>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GB"/>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GB"/>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GB"/>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GB"/>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GB"/>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GB"/>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GB"/>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GB"/>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GB"/>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000000" w:themeColor="text1"/>
        </w:tcBorders>
      </w:tcPr>
    </w:tblStylePr>
    <w:tblStylePr w:type="lastRow">
      <w:rPr>
        <w:b/>
        <w:bCs/>
        <w:color w:val="1F497D" w:themeColor="text2"/>
        <w:lang w:val="en-GB"/>
      </w:rPr>
      <w:tblPr/>
      <w:tcPr>
        <w:tcBorders>
          <w:top w:val="single" w:sz="8" w:space="0" w:color="000000" w:themeColor="text1"/>
          <w:bottom w:val="single" w:sz="8" w:space="0" w:color="000000" w:themeColor="text1"/>
        </w:tcBorders>
      </w:tcPr>
    </w:tblStylePr>
    <w:tblStylePr w:type="firstCol">
      <w:rPr>
        <w:b/>
        <w:bCs/>
        <w:lang w:val="en-GB"/>
      </w:rPr>
    </w:tblStylePr>
    <w:tblStylePr w:type="lastCol">
      <w:rPr>
        <w:b/>
        <w:bCs/>
        <w:lang w:val="en-GB"/>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4F81BD" w:themeColor="accent1"/>
        </w:tcBorders>
      </w:tcPr>
    </w:tblStylePr>
    <w:tblStylePr w:type="lastRow">
      <w:rPr>
        <w:b/>
        <w:bCs/>
        <w:color w:val="1F497D" w:themeColor="text2"/>
        <w:lang w:val="en-GB"/>
      </w:rPr>
      <w:tblPr/>
      <w:tcPr>
        <w:tcBorders>
          <w:top w:val="single" w:sz="8" w:space="0" w:color="4F81BD" w:themeColor="accent1"/>
          <w:bottom w:val="single" w:sz="8" w:space="0" w:color="4F81BD" w:themeColor="accent1"/>
        </w:tcBorders>
      </w:tcPr>
    </w:tblStylePr>
    <w:tblStylePr w:type="firstCol">
      <w:rPr>
        <w:b/>
        <w:bCs/>
        <w:lang w:val="en-GB"/>
      </w:rPr>
    </w:tblStylePr>
    <w:tblStylePr w:type="lastCol">
      <w:rPr>
        <w:b/>
        <w:bCs/>
        <w:lang w:val="en-GB"/>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C0504D" w:themeColor="accent2"/>
        </w:tcBorders>
      </w:tcPr>
    </w:tblStylePr>
    <w:tblStylePr w:type="lastRow">
      <w:rPr>
        <w:b/>
        <w:bCs/>
        <w:color w:val="1F497D" w:themeColor="text2"/>
        <w:lang w:val="en-GB"/>
      </w:rPr>
      <w:tblPr/>
      <w:tcPr>
        <w:tcBorders>
          <w:top w:val="single" w:sz="8" w:space="0" w:color="C0504D" w:themeColor="accent2"/>
          <w:bottom w:val="single" w:sz="8" w:space="0" w:color="C0504D" w:themeColor="accent2"/>
        </w:tcBorders>
      </w:tcPr>
    </w:tblStylePr>
    <w:tblStylePr w:type="firstCol">
      <w:rPr>
        <w:b/>
        <w:bCs/>
        <w:lang w:val="en-GB"/>
      </w:rPr>
    </w:tblStylePr>
    <w:tblStylePr w:type="lastCol">
      <w:rPr>
        <w:b/>
        <w:bCs/>
        <w:lang w:val="en-GB"/>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9BBB59" w:themeColor="accent3"/>
        </w:tcBorders>
      </w:tcPr>
    </w:tblStylePr>
    <w:tblStylePr w:type="lastRow">
      <w:rPr>
        <w:b/>
        <w:bCs/>
        <w:color w:val="1F497D" w:themeColor="text2"/>
        <w:lang w:val="en-GB"/>
      </w:rPr>
      <w:tblPr/>
      <w:tcPr>
        <w:tcBorders>
          <w:top w:val="single" w:sz="8" w:space="0" w:color="9BBB59" w:themeColor="accent3"/>
          <w:bottom w:val="single" w:sz="8" w:space="0" w:color="9BBB59" w:themeColor="accent3"/>
        </w:tcBorders>
      </w:tcPr>
    </w:tblStylePr>
    <w:tblStylePr w:type="firstCol">
      <w:rPr>
        <w:b/>
        <w:bCs/>
        <w:lang w:val="en-GB"/>
      </w:rPr>
    </w:tblStylePr>
    <w:tblStylePr w:type="lastCol">
      <w:rPr>
        <w:b/>
        <w:bCs/>
        <w:lang w:val="en-GB"/>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8064A2" w:themeColor="accent4"/>
        </w:tcBorders>
      </w:tcPr>
    </w:tblStylePr>
    <w:tblStylePr w:type="lastRow">
      <w:rPr>
        <w:b/>
        <w:bCs/>
        <w:color w:val="1F497D" w:themeColor="text2"/>
        <w:lang w:val="en-GB"/>
      </w:rPr>
      <w:tblPr/>
      <w:tcPr>
        <w:tcBorders>
          <w:top w:val="single" w:sz="8" w:space="0" w:color="8064A2" w:themeColor="accent4"/>
          <w:bottom w:val="single" w:sz="8" w:space="0" w:color="8064A2" w:themeColor="accent4"/>
        </w:tcBorders>
      </w:tcPr>
    </w:tblStylePr>
    <w:tblStylePr w:type="firstCol">
      <w:rPr>
        <w:b/>
        <w:bCs/>
        <w:lang w:val="en-GB"/>
      </w:rPr>
    </w:tblStylePr>
    <w:tblStylePr w:type="lastCol">
      <w:rPr>
        <w:b/>
        <w:bCs/>
        <w:lang w:val="en-GB"/>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4BACC6" w:themeColor="accent5"/>
        </w:tcBorders>
      </w:tcPr>
    </w:tblStylePr>
    <w:tblStylePr w:type="lastRow">
      <w:rPr>
        <w:b/>
        <w:bCs/>
        <w:color w:val="1F497D" w:themeColor="text2"/>
        <w:lang w:val="en-GB"/>
      </w:rPr>
      <w:tblPr/>
      <w:tcPr>
        <w:tcBorders>
          <w:top w:val="single" w:sz="8" w:space="0" w:color="4BACC6" w:themeColor="accent5"/>
          <w:bottom w:val="single" w:sz="8" w:space="0" w:color="4BACC6" w:themeColor="accent5"/>
        </w:tcBorders>
      </w:tcPr>
    </w:tblStylePr>
    <w:tblStylePr w:type="firstCol">
      <w:rPr>
        <w:b/>
        <w:bCs/>
        <w:lang w:val="en-GB"/>
      </w:rPr>
    </w:tblStylePr>
    <w:tblStylePr w:type="lastCol">
      <w:rPr>
        <w:b/>
        <w:bCs/>
        <w:lang w:val="en-GB"/>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F79646" w:themeColor="accent6"/>
        </w:tcBorders>
      </w:tcPr>
    </w:tblStylePr>
    <w:tblStylePr w:type="lastRow">
      <w:rPr>
        <w:b/>
        <w:bCs/>
        <w:color w:val="1F497D" w:themeColor="text2"/>
        <w:lang w:val="en-GB"/>
      </w:rPr>
      <w:tblPr/>
      <w:tcPr>
        <w:tcBorders>
          <w:top w:val="single" w:sz="8" w:space="0" w:color="F79646" w:themeColor="accent6"/>
          <w:bottom w:val="single" w:sz="8" w:space="0" w:color="F79646" w:themeColor="accent6"/>
        </w:tcBorders>
      </w:tcPr>
    </w:tblStylePr>
    <w:tblStylePr w:type="firstCol">
      <w:rPr>
        <w:b/>
        <w:bCs/>
        <w:lang w:val="en-GB"/>
      </w:rPr>
    </w:tblStylePr>
    <w:tblStylePr w:type="lastCol">
      <w:rPr>
        <w:b/>
        <w:bCs/>
        <w:lang w:val="en-GB"/>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GB"/>
      </w:rPr>
    </w:tblStylePr>
    <w:tblStylePr w:type="lastRow">
      <w:rPr>
        <w:b/>
        <w:bCs/>
        <w:lang w:val="en-GB"/>
      </w:rPr>
      <w:tblPr/>
      <w:tcPr>
        <w:tcBorders>
          <w:top w:val="single" w:sz="18" w:space="0" w:color="404040" w:themeColor="text1" w:themeTint="BF"/>
        </w:tcBorders>
      </w:tcPr>
    </w:tblStylePr>
    <w:tblStylePr w:type="firstCol">
      <w:rPr>
        <w:b/>
        <w:bCs/>
        <w:lang w:val="en-GB"/>
      </w:rPr>
    </w:tblStylePr>
    <w:tblStylePr w:type="lastCol">
      <w:rPr>
        <w:b/>
        <w:bCs/>
        <w:lang w:val="en-GB"/>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GB"/>
      </w:rPr>
    </w:tblStylePr>
    <w:tblStylePr w:type="lastRow">
      <w:rPr>
        <w:b/>
        <w:bCs/>
        <w:lang w:val="en-GB"/>
      </w:rPr>
      <w:tblPr/>
      <w:tcPr>
        <w:tcBorders>
          <w:top w:val="single" w:sz="18" w:space="0" w:color="7BA0CD" w:themeColor="accent1" w:themeTint="BF"/>
        </w:tcBorders>
      </w:tcPr>
    </w:tblStylePr>
    <w:tblStylePr w:type="firstCol">
      <w:rPr>
        <w:b/>
        <w:bCs/>
        <w:lang w:val="en-GB"/>
      </w:rPr>
    </w:tblStylePr>
    <w:tblStylePr w:type="lastCol">
      <w:rPr>
        <w:b/>
        <w:bCs/>
        <w:lang w:val="en-GB"/>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GB"/>
      </w:rPr>
    </w:tblStylePr>
    <w:tblStylePr w:type="lastRow">
      <w:rPr>
        <w:b/>
        <w:bCs/>
        <w:lang w:val="en-GB"/>
      </w:rPr>
      <w:tblPr/>
      <w:tcPr>
        <w:tcBorders>
          <w:top w:val="single" w:sz="18" w:space="0" w:color="CF7B79" w:themeColor="accent2" w:themeTint="BF"/>
        </w:tcBorders>
      </w:tcPr>
    </w:tblStylePr>
    <w:tblStylePr w:type="firstCol">
      <w:rPr>
        <w:b/>
        <w:bCs/>
        <w:lang w:val="en-GB"/>
      </w:rPr>
    </w:tblStylePr>
    <w:tblStylePr w:type="lastCol">
      <w:rPr>
        <w:b/>
        <w:bCs/>
        <w:lang w:val="en-GB"/>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GB"/>
      </w:rPr>
    </w:tblStylePr>
    <w:tblStylePr w:type="lastRow">
      <w:rPr>
        <w:b/>
        <w:bCs/>
        <w:lang w:val="en-GB"/>
      </w:rPr>
      <w:tblPr/>
      <w:tcPr>
        <w:tcBorders>
          <w:top w:val="single" w:sz="18" w:space="0" w:color="B3CC82" w:themeColor="accent3" w:themeTint="BF"/>
        </w:tcBorders>
      </w:tcPr>
    </w:tblStylePr>
    <w:tblStylePr w:type="firstCol">
      <w:rPr>
        <w:b/>
        <w:bCs/>
        <w:lang w:val="en-GB"/>
      </w:rPr>
    </w:tblStylePr>
    <w:tblStylePr w:type="lastCol">
      <w:rPr>
        <w:b/>
        <w:bCs/>
        <w:lang w:val="en-GB"/>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GB"/>
      </w:rPr>
    </w:tblStylePr>
    <w:tblStylePr w:type="lastRow">
      <w:rPr>
        <w:b/>
        <w:bCs/>
        <w:lang w:val="en-GB"/>
      </w:rPr>
      <w:tblPr/>
      <w:tcPr>
        <w:tcBorders>
          <w:top w:val="single" w:sz="18" w:space="0" w:color="9F8AB9" w:themeColor="accent4" w:themeTint="BF"/>
        </w:tcBorders>
      </w:tcPr>
    </w:tblStylePr>
    <w:tblStylePr w:type="firstCol">
      <w:rPr>
        <w:b/>
        <w:bCs/>
        <w:lang w:val="en-GB"/>
      </w:rPr>
    </w:tblStylePr>
    <w:tblStylePr w:type="lastCol">
      <w:rPr>
        <w:b/>
        <w:bCs/>
        <w:lang w:val="en-GB"/>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GB"/>
      </w:rPr>
    </w:tblStylePr>
    <w:tblStylePr w:type="lastRow">
      <w:rPr>
        <w:b/>
        <w:bCs/>
        <w:lang w:val="en-GB"/>
      </w:rPr>
      <w:tblPr/>
      <w:tcPr>
        <w:tcBorders>
          <w:top w:val="single" w:sz="18" w:space="0" w:color="78C0D4" w:themeColor="accent5" w:themeTint="BF"/>
        </w:tcBorders>
      </w:tcPr>
    </w:tblStylePr>
    <w:tblStylePr w:type="firstCol">
      <w:rPr>
        <w:b/>
        <w:bCs/>
        <w:lang w:val="en-GB"/>
      </w:rPr>
    </w:tblStylePr>
    <w:tblStylePr w:type="lastCol">
      <w:rPr>
        <w:b/>
        <w:bCs/>
        <w:lang w:val="en-GB"/>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GB"/>
      </w:rPr>
    </w:tblStylePr>
    <w:tblStylePr w:type="lastRow">
      <w:rPr>
        <w:b/>
        <w:bCs/>
        <w:lang w:val="en-GB"/>
      </w:rPr>
      <w:tblPr/>
      <w:tcPr>
        <w:tcBorders>
          <w:top w:val="single" w:sz="18" w:space="0" w:color="F9B074" w:themeColor="accent6" w:themeTint="BF"/>
        </w:tcBorders>
      </w:tcPr>
    </w:tblStylePr>
    <w:tblStylePr w:type="firstCol">
      <w:rPr>
        <w:b/>
        <w:bCs/>
        <w:lang w:val="en-GB"/>
      </w:rPr>
    </w:tblStylePr>
    <w:tblStylePr w:type="lastCol">
      <w:rPr>
        <w:b/>
        <w:bCs/>
        <w:lang w:val="en-GB"/>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GB"/>
      </w:rPr>
      <w:tblPr/>
      <w:tcPr>
        <w:shd w:val="clear" w:color="auto" w:fill="E6E6E6" w:themeFill="text1"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GB"/>
      </w:rPr>
      <w:tblPr/>
      <w:tcPr>
        <w:shd w:val="clear" w:color="auto" w:fill="EDF2F8" w:themeFill="accent1"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GB"/>
      </w:rPr>
      <w:tblPr/>
      <w:tcPr>
        <w:shd w:val="clear" w:color="auto" w:fill="F8EDED" w:themeFill="accent2"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GB"/>
      </w:rPr>
      <w:tblPr/>
      <w:tcPr>
        <w:shd w:val="clear" w:color="auto" w:fill="F5F8EE" w:themeFill="accent3"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GB"/>
      </w:rPr>
      <w:tblPr/>
      <w:tcPr>
        <w:shd w:val="clear" w:color="auto" w:fill="F2EFF6" w:themeFill="accent4"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GB"/>
      </w:rPr>
      <w:tblPr/>
      <w:tcPr>
        <w:shd w:val="clear" w:color="auto" w:fill="EDF6F9" w:themeFill="accent5"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GB"/>
      </w:rPr>
      <w:tblPr/>
      <w:tcPr>
        <w:shd w:val="clear" w:color="auto" w:fill="FEF4EC" w:themeFill="accent6"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GB"/>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1">
    <w:name w:val="Colorful Shading Accent 1"/>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GB"/>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2">
    <w:name w:val="Colorful Shading Accent 2"/>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GB"/>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3">
    <w:name w:val="Colorful Shading Accent 3"/>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GB"/>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GB"/>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5">
    <w:name w:val="Colorful Shading Accent 5"/>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GB"/>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6">
    <w:name w:val="Colorful Shading Accent 6"/>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GB"/>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GB"/>
      </w:rPr>
    </w:tblStylePr>
    <w:tblStylePr w:type="nwCell">
      <w:rPr>
        <w:color w:val="000000" w:themeColor="text1"/>
        <w:lang w:val="en-GB"/>
      </w:rPr>
    </w:tblStylePr>
  </w:style>
  <w:style w:type="table" w:styleId="ColorfulList">
    <w:name w:val="Colorful List"/>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GB"/>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GB"/>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GB"/>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GB"/>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GB"/>
      </w:rPr>
      <w:tblPr/>
      <w:tcPr>
        <w:shd w:val="clear" w:color="auto" w:fill="999999" w:themeFill="text1" w:themeFillTint="66"/>
      </w:tcPr>
    </w:tblStylePr>
    <w:tblStylePr w:type="lastRow">
      <w:rPr>
        <w:b/>
        <w:bCs/>
        <w:color w:val="000000" w:themeColor="text1"/>
        <w:lang w:val="en-GB"/>
      </w:rPr>
      <w:tblPr/>
      <w:tcPr>
        <w:shd w:val="clear" w:color="auto" w:fill="999999" w:themeFill="text1" w:themeFillTint="66"/>
      </w:tcPr>
    </w:tblStylePr>
    <w:tblStylePr w:type="firstCol">
      <w:rPr>
        <w:color w:val="FFFFFF" w:themeColor="background1"/>
        <w:lang w:val="en-GB"/>
      </w:rPr>
      <w:tblPr/>
      <w:tcPr>
        <w:shd w:val="clear" w:color="auto" w:fill="000000" w:themeFill="text1" w:themeFillShade="BF"/>
      </w:tcPr>
    </w:tblStylePr>
    <w:tblStylePr w:type="lastCol">
      <w:rPr>
        <w:color w:val="FFFFFF" w:themeColor="background1"/>
        <w:lang w:val="en-GB"/>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GB"/>
      </w:rPr>
      <w:tblPr/>
      <w:tcPr>
        <w:shd w:val="clear" w:color="auto" w:fill="B8CCE4" w:themeFill="accent1" w:themeFillTint="66"/>
      </w:tcPr>
    </w:tblStylePr>
    <w:tblStylePr w:type="lastRow">
      <w:rPr>
        <w:b/>
        <w:bCs/>
        <w:color w:val="000000" w:themeColor="text1"/>
        <w:lang w:val="en-GB"/>
      </w:rPr>
      <w:tblPr/>
      <w:tcPr>
        <w:shd w:val="clear" w:color="auto" w:fill="B8CCE4" w:themeFill="accent1" w:themeFillTint="66"/>
      </w:tcPr>
    </w:tblStylePr>
    <w:tblStylePr w:type="firstCol">
      <w:rPr>
        <w:color w:val="FFFFFF" w:themeColor="background1"/>
        <w:lang w:val="en-GB"/>
      </w:rPr>
      <w:tblPr/>
      <w:tcPr>
        <w:shd w:val="clear" w:color="auto" w:fill="365F91" w:themeFill="accent1" w:themeFillShade="BF"/>
      </w:tcPr>
    </w:tblStylePr>
    <w:tblStylePr w:type="lastCol">
      <w:rPr>
        <w:color w:val="FFFFFF" w:themeColor="background1"/>
        <w:lang w:val="en-GB"/>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GB"/>
      </w:rPr>
      <w:tblPr/>
      <w:tcPr>
        <w:shd w:val="clear" w:color="auto" w:fill="E5B8B7" w:themeFill="accent2" w:themeFillTint="66"/>
      </w:tcPr>
    </w:tblStylePr>
    <w:tblStylePr w:type="lastRow">
      <w:rPr>
        <w:b/>
        <w:bCs/>
        <w:color w:val="000000" w:themeColor="text1"/>
        <w:lang w:val="en-GB"/>
      </w:rPr>
      <w:tblPr/>
      <w:tcPr>
        <w:shd w:val="clear" w:color="auto" w:fill="E5B8B7" w:themeFill="accent2" w:themeFillTint="66"/>
      </w:tcPr>
    </w:tblStylePr>
    <w:tblStylePr w:type="firstCol">
      <w:rPr>
        <w:color w:val="FFFFFF" w:themeColor="background1"/>
        <w:lang w:val="en-GB"/>
      </w:rPr>
      <w:tblPr/>
      <w:tcPr>
        <w:shd w:val="clear" w:color="auto" w:fill="943634" w:themeFill="accent2" w:themeFillShade="BF"/>
      </w:tcPr>
    </w:tblStylePr>
    <w:tblStylePr w:type="lastCol">
      <w:rPr>
        <w:color w:val="FFFFFF" w:themeColor="background1"/>
        <w:lang w:val="en-GB"/>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GB"/>
      </w:rPr>
      <w:tblPr/>
      <w:tcPr>
        <w:shd w:val="clear" w:color="auto" w:fill="D6E3BC" w:themeFill="accent3" w:themeFillTint="66"/>
      </w:tcPr>
    </w:tblStylePr>
    <w:tblStylePr w:type="lastRow">
      <w:rPr>
        <w:b/>
        <w:bCs/>
        <w:color w:val="000000" w:themeColor="text1"/>
        <w:lang w:val="en-GB"/>
      </w:rPr>
      <w:tblPr/>
      <w:tcPr>
        <w:shd w:val="clear" w:color="auto" w:fill="D6E3BC" w:themeFill="accent3" w:themeFillTint="66"/>
      </w:tcPr>
    </w:tblStylePr>
    <w:tblStylePr w:type="firstCol">
      <w:rPr>
        <w:color w:val="FFFFFF" w:themeColor="background1"/>
        <w:lang w:val="en-GB"/>
      </w:rPr>
      <w:tblPr/>
      <w:tcPr>
        <w:shd w:val="clear" w:color="auto" w:fill="76923C" w:themeFill="accent3" w:themeFillShade="BF"/>
      </w:tcPr>
    </w:tblStylePr>
    <w:tblStylePr w:type="lastCol">
      <w:rPr>
        <w:color w:val="FFFFFF" w:themeColor="background1"/>
        <w:lang w:val="en-GB"/>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GB"/>
      </w:rPr>
      <w:tblPr/>
      <w:tcPr>
        <w:shd w:val="clear" w:color="auto" w:fill="CCC0D9" w:themeFill="accent4" w:themeFillTint="66"/>
      </w:tcPr>
    </w:tblStylePr>
    <w:tblStylePr w:type="lastRow">
      <w:rPr>
        <w:b/>
        <w:bCs/>
        <w:color w:val="000000" w:themeColor="text1"/>
        <w:lang w:val="en-GB"/>
      </w:rPr>
      <w:tblPr/>
      <w:tcPr>
        <w:shd w:val="clear" w:color="auto" w:fill="CCC0D9" w:themeFill="accent4" w:themeFillTint="66"/>
      </w:tcPr>
    </w:tblStylePr>
    <w:tblStylePr w:type="firstCol">
      <w:rPr>
        <w:color w:val="FFFFFF" w:themeColor="background1"/>
        <w:lang w:val="en-GB"/>
      </w:rPr>
      <w:tblPr/>
      <w:tcPr>
        <w:shd w:val="clear" w:color="auto" w:fill="5F497A" w:themeFill="accent4" w:themeFillShade="BF"/>
      </w:tcPr>
    </w:tblStylePr>
    <w:tblStylePr w:type="lastCol">
      <w:rPr>
        <w:color w:val="FFFFFF" w:themeColor="background1"/>
        <w:lang w:val="en-GB"/>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GB"/>
      </w:rPr>
      <w:tblPr/>
      <w:tcPr>
        <w:shd w:val="clear" w:color="auto" w:fill="B6DDE8" w:themeFill="accent5" w:themeFillTint="66"/>
      </w:tcPr>
    </w:tblStylePr>
    <w:tblStylePr w:type="lastRow">
      <w:rPr>
        <w:b/>
        <w:bCs/>
        <w:color w:val="000000" w:themeColor="text1"/>
        <w:lang w:val="en-GB"/>
      </w:rPr>
      <w:tblPr/>
      <w:tcPr>
        <w:shd w:val="clear" w:color="auto" w:fill="B6DDE8" w:themeFill="accent5" w:themeFillTint="66"/>
      </w:tcPr>
    </w:tblStylePr>
    <w:tblStylePr w:type="firstCol">
      <w:rPr>
        <w:color w:val="FFFFFF" w:themeColor="background1"/>
        <w:lang w:val="en-GB"/>
      </w:rPr>
      <w:tblPr/>
      <w:tcPr>
        <w:shd w:val="clear" w:color="auto" w:fill="31849B" w:themeFill="accent5" w:themeFillShade="BF"/>
      </w:tcPr>
    </w:tblStylePr>
    <w:tblStylePr w:type="lastCol">
      <w:rPr>
        <w:color w:val="FFFFFF" w:themeColor="background1"/>
        <w:lang w:val="en-GB"/>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GB"/>
      </w:rPr>
      <w:tblPr/>
      <w:tcPr>
        <w:shd w:val="clear" w:color="auto" w:fill="FBD4B4" w:themeFill="accent6" w:themeFillTint="66"/>
      </w:tcPr>
    </w:tblStylePr>
    <w:tblStylePr w:type="lastRow">
      <w:rPr>
        <w:b/>
        <w:bCs/>
        <w:color w:val="000000" w:themeColor="text1"/>
        <w:lang w:val="en-GB"/>
      </w:rPr>
      <w:tblPr/>
      <w:tcPr>
        <w:shd w:val="clear" w:color="auto" w:fill="FBD4B4" w:themeFill="accent6" w:themeFillTint="66"/>
      </w:tcPr>
    </w:tblStylePr>
    <w:tblStylePr w:type="firstCol">
      <w:rPr>
        <w:color w:val="FFFFFF" w:themeColor="background1"/>
        <w:lang w:val="en-GB"/>
      </w:rPr>
      <w:tblPr/>
      <w:tcPr>
        <w:shd w:val="clear" w:color="auto" w:fill="E36C0A" w:themeFill="accent6" w:themeFillShade="BF"/>
      </w:tcPr>
    </w:tblStylePr>
    <w:tblStylePr w:type="lastCol">
      <w:rPr>
        <w:color w:val="FFFFFF" w:themeColor="background1"/>
        <w:lang w:val="en-GB"/>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rPr>
  </w:style>
  <w:style w:type="character" w:styleId="Strong">
    <w:name w:val="Strong"/>
    <w:basedOn w:val="DefaultParagraphFont"/>
    <w:uiPriority w:val="22"/>
    <w:qFormat/>
    <w:rsid w:val="00FC693F"/>
    <w:rPr>
      <w:b/>
      <w:bCs/>
      <w:lang w:val="en-GB"/>
    </w:rPr>
  </w:style>
  <w:style w:type="character" w:styleId="Emphasis">
    <w:name w:val="Emphasis"/>
    <w:basedOn w:val="DefaultParagraphFont"/>
    <w:uiPriority w:val="20"/>
    <w:qFormat/>
    <w:rsid w:val="00FC693F"/>
    <w:rPr>
      <w:i/>
      <w:iCs/>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lang w:val="en-GB"/>
    </w:rPr>
  </w:style>
  <w:style w:type="character" w:styleId="SubtleEmphasis">
    <w:name w:val="Subtle Emphasis"/>
    <w:basedOn w:val="DefaultParagraphFont"/>
    <w:uiPriority w:val="19"/>
    <w:qFormat/>
    <w:rsid w:val="00FC693F"/>
    <w:rPr>
      <w:i/>
      <w:iCs/>
      <w:color w:val="808080" w:themeColor="text1" w:themeTint="7F"/>
      <w:lang w:val="en-GB"/>
    </w:rPr>
  </w:style>
  <w:style w:type="character" w:styleId="IntenseEmphasis">
    <w:name w:val="Intense Emphasis"/>
    <w:basedOn w:val="DefaultParagraphFont"/>
    <w:uiPriority w:val="21"/>
    <w:qFormat/>
    <w:rsid w:val="00FC693F"/>
    <w:rPr>
      <w:b/>
      <w:bCs/>
      <w:i/>
      <w:iCs/>
      <w:color w:val="4F81BD" w:themeColor="accent1"/>
      <w:lang w:val="en-GB"/>
    </w:rPr>
  </w:style>
  <w:style w:type="character" w:styleId="SubtleReference">
    <w:name w:val="Subtle Reference"/>
    <w:basedOn w:val="DefaultParagraphFont"/>
    <w:uiPriority w:val="31"/>
    <w:qFormat/>
    <w:rsid w:val="00FC693F"/>
    <w:rPr>
      <w:smallCaps/>
      <w:color w:val="C0504D" w:themeColor="accent2"/>
      <w:u w:val="single"/>
      <w:lang w:val="en-GB"/>
    </w:rPr>
  </w:style>
  <w:style w:type="character" w:styleId="IntenseReference">
    <w:name w:val="Intense Reference"/>
    <w:basedOn w:val="DefaultParagraphFont"/>
    <w:uiPriority w:val="32"/>
    <w:qFormat/>
    <w:rsid w:val="00FC693F"/>
    <w:rPr>
      <w:b/>
      <w:bCs/>
      <w:smallCaps/>
      <w:color w:val="C0504D" w:themeColor="accent2"/>
      <w:spacing w:val="5"/>
      <w:u w:val="single"/>
      <w:lang w:val="en-GB"/>
    </w:rPr>
  </w:style>
  <w:style w:type="character" w:styleId="BookTitle">
    <w:name w:val="Book Title"/>
    <w:basedOn w:val="DefaultParagraphFont"/>
    <w:uiPriority w:val="33"/>
    <w:qFormat/>
    <w:rsid w:val="00FC693F"/>
    <w:rPr>
      <w:b/>
      <w:bCs/>
      <w:smallCaps/>
      <w:spacing w:val="5"/>
      <w:lang w:val="en-GB"/>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GB"/>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GB"/>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GB"/>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GB"/>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GB"/>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GB"/>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GB"/>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GB"/>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GB"/>
      </w:rPr>
    </w:tblStylePr>
    <w:tblStylePr w:type="lastCol">
      <w:rPr>
        <w:b/>
        <w:bCs/>
        <w:lang w:val="en-GB"/>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000000" w:themeFill="text1"/>
      </w:tcPr>
    </w:tblStylePr>
    <w:tblStylePr w:type="lastRow">
      <w:pPr>
        <w:spacing w:before="0" w:after="0" w:line="240" w:lineRule="auto"/>
      </w:pPr>
      <w:rPr>
        <w:b/>
        <w:bCs/>
        <w:lang w:val="en-GB"/>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GB"/>
      </w:rPr>
    </w:tblStylePr>
    <w:tblStylePr w:type="lastCol">
      <w:rPr>
        <w:b/>
        <w:bCs/>
        <w:lang w:val="en-GB"/>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4F81BD" w:themeFill="accent1"/>
      </w:tcPr>
    </w:tblStylePr>
    <w:tblStylePr w:type="lastRow">
      <w:pPr>
        <w:spacing w:before="0" w:after="0" w:line="240" w:lineRule="auto"/>
      </w:pPr>
      <w:rPr>
        <w:b/>
        <w:bCs/>
        <w:lang w:val="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GB"/>
      </w:rPr>
    </w:tblStylePr>
    <w:tblStylePr w:type="lastCol">
      <w:rPr>
        <w:b/>
        <w:bCs/>
        <w:lang w:val="en-GB"/>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C0504D" w:themeFill="accent2"/>
      </w:tcPr>
    </w:tblStylePr>
    <w:tblStylePr w:type="lastRow">
      <w:pPr>
        <w:spacing w:before="0" w:after="0" w:line="240" w:lineRule="auto"/>
      </w:pPr>
      <w:rPr>
        <w:b/>
        <w:bCs/>
        <w:lang w:val="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GB"/>
      </w:rPr>
    </w:tblStylePr>
    <w:tblStylePr w:type="lastCol">
      <w:rPr>
        <w:b/>
        <w:bCs/>
        <w:lang w:val="en-GB"/>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9BBB59" w:themeFill="accent3"/>
      </w:tcPr>
    </w:tblStylePr>
    <w:tblStylePr w:type="lastRow">
      <w:pPr>
        <w:spacing w:before="0" w:after="0" w:line="240" w:lineRule="auto"/>
      </w:pPr>
      <w:rPr>
        <w:b/>
        <w:bCs/>
        <w:lang w:val="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GB"/>
      </w:rPr>
    </w:tblStylePr>
    <w:tblStylePr w:type="lastCol">
      <w:rPr>
        <w:b/>
        <w:bCs/>
        <w:lang w:val="en-GB"/>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8064A2" w:themeFill="accent4"/>
      </w:tcPr>
    </w:tblStylePr>
    <w:tblStylePr w:type="lastRow">
      <w:pPr>
        <w:spacing w:before="0" w:after="0" w:line="240" w:lineRule="auto"/>
      </w:pPr>
      <w:rPr>
        <w:b/>
        <w:bCs/>
        <w:lang w:val="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GB"/>
      </w:rPr>
    </w:tblStylePr>
    <w:tblStylePr w:type="lastCol">
      <w:rPr>
        <w:b/>
        <w:bCs/>
        <w:lang w:val="en-GB"/>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4BACC6" w:themeFill="accent5"/>
      </w:tcPr>
    </w:tblStylePr>
    <w:tblStylePr w:type="lastRow">
      <w:pPr>
        <w:spacing w:before="0" w:after="0" w:line="240" w:lineRule="auto"/>
      </w:pPr>
      <w:rPr>
        <w:b/>
        <w:bCs/>
        <w:lang w:val="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GB"/>
      </w:rPr>
    </w:tblStylePr>
    <w:tblStylePr w:type="lastCol">
      <w:rPr>
        <w:b/>
        <w:bCs/>
        <w:lang w:val="en-GB"/>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shd w:val="clear" w:color="auto" w:fill="F79646" w:themeFill="accent6"/>
      </w:tcPr>
    </w:tblStylePr>
    <w:tblStylePr w:type="lastRow">
      <w:pPr>
        <w:spacing w:before="0" w:after="0" w:line="240" w:lineRule="auto"/>
      </w:pPr>
      <w:rPr>
        <w:b/>
        <w:bCs/>
        <w:lang w:val="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GB"/>
      </w:rPr>
    </w:tblStylePr>
    <w:tblStylePr w:type="lastCol">
      <w:rPr>
        <w:b/>
        <w:bCs/>
        <w:lang w:val="en-GB"/>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GB"/>
      </w:rPr>
    </w:tblStylePr>
    <w:tblStylePr w:type="lastCol">
      <w:rPr>
        <w:rFonts w:asciiTheme="majorHAnsi" w:eastAsiaTheme="majorEastAsia" w:hAnsiTheme="majorHAnsi" w:cstheme="majorBidi"/>
        <w:b/>
        <w:bCs/>
        <w:lang w:val="en-GB"/>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GB"/>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GB"/>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GB"/>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GB"/>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GB"/>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GB"/>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GB"/>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GB"/>
      </w:rPr>
    </w:tblStylePr>
    <w:tblStylePr w:type="lastCol">
      <w:rPr>
        <w:b/>
        <w:bCs/>
        <w:lang w:val="en-GB"/>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GB"/>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GB"/>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GB"/>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GB"/>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GB"/>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GB"/>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GB"/>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000000" w:themeColor="text1"/>
        </w:tcBorders>
      </w:tcPr>
    </w:tblStylePr>
    <w:tblStylePr w:type="lastRow">
      <w:rPr>
        <w:b/>
        <w:bCs/>
        <w:color w:val="1F497D" w:themeColor="text2"/>
        <w:lang w:val="en-GB"/>
      </w:rPr>
      <w:tblPr/>
      <w:tcPr>
        <w:tcBorders>
          <w:top w:val="single" w:sz="8" w:space="0" w:color="000000" w:themeColor="text1"/>
          <w:bottom w:val="single" w:sz="8" w:space="0" w:color="000000" w:themeColor="text1"/>
        </w:tcBorders>
      </w:tcPr>
    </w:tblStylePr>
    <w:tblStylePr w:type="firstCol">
      <w:rPr>
        <w:b/>
        <w:bCs/>
        <w:lang w:val="en-GB"/>
      </w:rPr>
    </w:tblStylePr>
    <w:tblStylePr w:type="lastCol">
      <w:rPr>
        <w:b/>
        <w:bCs/>
        <w:lang w:val="en-GB"/>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4F81BD" w:themeColor="accent1"/>
        </w:tcBorders>
      </w:tcPr>
    </w:tblStylePr>
    <w:tblStylePr w:type="lastRow">
      <w:rPr>
        <w:b/>
        <w:bCs/>
        <w:color w:val="1F497D" w:themeColor="text2"/>
        <w:lang w:val="en-GB"/>
      </w:rPr>
      <w:tblPr/>
      <w:tcPr>
        <w:tcBorders>
          <w:top w:val="single" w:sz="8" w:space="0" w:color="4F81BD" w:themeColor="accent1"/>
          <w:bottom w:val="single" w:sz="8" w:space="0" w:color="4F81BD" w:themeColor="accent1"/>
        </w:tcBorders>
      </w:tcPr>
    </w:tblStylePr>
    <w:tblStylePr w:type="firstCol">
      <w:rPr>
        <w:b/>
        <w:bCs/>
        <w:lang w:val="en-GB"/>
      </w:rPr>
    </w:tblStylePr>
    <w:tblStylePr w:type="lastCol">
      <w:rPr>
        <w:b/>
        <w:bCs/>
        <w:lang w:val="en-GB"/>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C0504D" w:themeColor="accent2"/>
        </w:tcBorders>
      </w:tcPr>
    </w:tblStylePr>
    <w:tblStylePr w:type="lastRow">
      <w:rPr>
        <w:b/>
        <w:bCs/>
        <w:color w:val="1F497D" w:themeColor="text2"/>
        <w:lang w:val="en-GB"/>
      </w:rPr>
      <w:tblPr/>
      <w:tcPr>
        <w:tcBorders>
          <w:top w:val="single" w:sz="8" w:space="0" w:color="C0504D" w:themeColor="accent2"/>
          <w:bottom w:val="single" w:sz="8" w:space="0" w:color="C0504D" w:themeColor="accent2"/>
        </w:tcBorders>
      </w:tcPr>
    </w:tblStylePr>
    <w:tblStylePr w:type="firstCol">
      <w:rPr>
        <w:b/>
        <w:bCs/>
        <w:lang w:val="en-GB"/>
      </w:rPr>
    </w:tblStylePr>
    <w:tblStylePr w:type="lastCol">
      <w:rPr>
        <w:b/>
        <w:bCs/>
        <w:lang w:val="en-GB"/>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9BBB59" w:themeColor="accent3"/>
        </w:tcBorders>
      </w:tcPr>
    </w:tblStylePr>
    <w:tblStylePr w:type="lastRow">
      <w:rPr>
        <w:b/>
        <w:bCs/>
        <w:color w:val="1F497D" w:themeColor="text2"/>
        <w:lang w:val="en-GB"/>
      </w:rPr>
      <w:tblPr/>
      <w:tcPr>
        <w:tcBorders>
          <w:top w:val="single" w:sz="8" w:space="0" w:color="9BBB59" w:themeColor="accent3"/>
          <w:bottom w:val="single" w:sz="8" w:space="0" w:color="9BBB59" w:themeColor="accent3"/>
        </w:tcBorders>
      </w:tcPr>
    </w:tblStylePr>
    <w:tblStylePr w:type="firstCol">
      <w:rPr>
        <w:b/>
        <w:bCs/>
        <w:lang w:val="en-GB"/>
      </w:rPr>
    </w:tblStylePr>
    <w:tblStylePr w:type="lastCol">
      <w:rPr>
        <w:b/>
        <w:bCs/>
        <w:lang w:val="en-GB"/>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8064A2" w:themeColor="accent4"/>
        </w:tcBorders>
      </w:tcPr>
    </w:tblStylePr>
    <w:tblStylePr w:type="lastRow">
      <w:rPr>
        <w:b/>
        <w:bCs/>
        <w:color w:val="1F497D" w:themeColor="text2"/>
        <w:lang w:val="en-GB"/>
      </w:rPr>
      <w:tblPr/>
      <w:tcPr>
        <w:tcBorders>
          <w:top w:val="single" w:sz="8" w:space="0" w:color="8064A2" w:themeColor="accent4"/>
          <w:bottom w:val="single" w:sz="8" w:space="0" w:color="8064A2" w:themeColor="accent4"/>
        </w:tcBorders>
      </w:tcPr>
    </w:tblStylePr>
    <w:tblStylePr w:type="firstCol">
      <w:rPr>
        <w:b/>
        <w:bCs/>
        <w:lang w:val="en-GB"/>
      </w:rPr>
    </w:tblStylePr>
    <w:tblStylePr w:type="lastCol">
      <w:rPr>
        <w:b/>
        <w:bCs/>
        <w:lang w:val="en-GB"/>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4BACC6" w:themeColor="accent5"/>
        </w:tcBorders>
      </w:tcPr>
    </w:tblStylePr>
    <w:tblStylePr w:type="lastRow">
      <w:rPr>
        <w:b/>
        <w:bCs/>
        <w:color w:val="1F497D" w:themeColor="text2"/>
        <w:lang w:val="en-GB"/>
      </w:rPr>
      <w:tblPr/>
      <w:tcPr>
        <w:tcBorders>
          <w:top w:val="single" w:sz="8" w:space="0" w:color="4BACC6" w:themeColor="accent5"/>
          <w:bottom w:val="single" w:sz="8" w:space="0" w:color="4BACC6" w:themeColor="accent5"/>
        </w:tcBorders>
      </w:tcPr>
    </w:tblStylePr>
    <w:tblStylePr w:type="firstCol">
      <w:rPr>
        <w:b/>
        <w:bCs/>
        <w:lang w:val="en-GB"/>
      </w:rPr>
    </w:tblStylePr>
    <w:tblStylePr w:type="lastCol">
      <w:rPr>
        <w:b/>
        <w:bCs/>
        <w:lang w:val="en-GB"/>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GB"/>
      </w:rPr>
      <w:tblPr/>
      <w:tcPr>
        <w:tcBorders>
          <w:top w:val="nil"/>
          <w:bottom w:val="single" w:sz="8" w:space="0" w:color="F79646" w:themeColor="accent6"/>
        </w:tcBorders>
      </w:tcPr>
    </w:tblStylePr>
    <w:tblStylePr w:type="lastRow">
      <w:rPr>
        <w:b/>
        <w:bCs/>
        <w:color w:val="1F497D" w:themeColor="text2"/>
        <w:lang w:val="en-GB"/>
      </w:rPr>
      <w:tblPr/>
      <w:tcPr>
        <w:tcBorders>
          <w:top w:val="single" w:sz="8" w:space="0" w:color="F79646" w:themeColor="accent6"/>
          <w:bottom w:val="single" w:sz="8" w:space="0" w:color="F79646" w:themeColor="accent6"/>
        </w:tcBorders>
      </w:tcPr>
    </w:tblStylePr>
    <w:tblStylePr w:type="firstCol">
      <w:rPr>
        <w:b/>
        <w:bCs/>
        <w:lang w:val="en-GB"/>
      </w:rPr>
    </w:tblStylePr>
    <w:tblStylePr w:type="lastCol">
      <w:rPr>
        <w:b/>
        <w:bCs/>
        <w:lang w:val="en-GB"/>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GB"/>
      </w:rPr>
    </w:tblStylePr>
    <w:tblStylePr w:type="lastRow">
      <w:rPr>
        <w:b/>
        <w:bCs/>
        <w:lang w:val="en-GB"/>
      </w:rPr>
      <w:tblPr/>
      <w:tcPr>
        <w:tcBorders>
          <w:top w:val="single" w:sz="18" w:space="0" w:color="404040" w:themeColor="text1" w:themeTint="BF"/>
        </w:tcBorders>
      </w:tcPr>
    </w:tblStylePr>
    <w:tblStylePr w:type="firstCol">
      <w:rPr>
        <w:b/>
        <w:bCs/>
        <w:lang w:val="en-GB"/>
      </w:rPr>
    </w:tblStylePr>
    <w:tblStylePr w:type="lastCol">
      <w:rPr>
        <w:b/>
        <w:bCs/>
        <w:lang w:val="en-GB"/>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GB"/>
      </w:rPr>
    </w:tblStylePr>
    <w:tblStylePr w:type="lastRow">
      <w:rPr>
        <w:b/>
        <w:bCs/>
        <w:lang w:val="en-GB"/>
      </w:rPr>
      <w:tblPr/>
      <w:tcPr>
        <w:tcBorders>
          <w:top w:val="single" w:sz="18" w:space="0" w:color="7BA0CD" w:themeColor="accent1" w:themeTint="BF"/>
        </w:tcBorders>
      </w:tcPr>
    </w:tblStylePr>
    <w:tblStylePr w:type="firstCol">
      <w:rPr>
        <w:b/>
        <w:bCs/>
        <w:lang w:val="en-GB"/>
      </w:rPr>
    </w:tblStylePr>
    <w:tblStylePr w:type="lastCol">
      <w:rPr>
        <w:b/>
        <w:bCs/>
        <w:lang w:val="en-GB"/>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GB"/>
      </w:rPr>
    </w:tblStylePr>
    <w:tblStylePr w:type="lastRow">
      <w:rPr>
        <w:b/>
        <w:bCs/>
        <w:lang w:val="en-GB"/>
      </w:rPr>
      <w:tblPr/>
      <w:tcPr>
        <w:tcBorders>
          <w:top w:val="single" w:sz="18" w:space="0" w:color="CF7B79" w:themeColor="accent2" w:themeTint="BF"/>
        </w:tcBorders>
      </w:tcPr>
    </w:tblStylePr>
    <w:tblStylePr w:type="firstCol">
      <w:rPr>
        <w:b/>
        <w:bCs/>
        <w:lang w:val="en-GB"/>
      </w:rPr>
    </w:tblStylePr>
    <w:tblStylePr w:type="lastCol">
      <w:rPr>
        <w:b/>
        <w:bCs/>
        <w:lang w:val="en-GB"/>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GB"/>
      </w:rPr>
    </w:tblStylePr>
    <w:tblStylePr w:type="lastRow">
      <w:rPr>
        <w:b/>
        <w:bCs/>
        <w:lang w:val="en-GB"/>
      </w:rPr>
      <w:tblPr/>
      <w:tcPr>
        <w:tcBorders>
          <w:top w:val="single" w:sz="18" w:space="0" w:color="B3CC82" w:themeColor="accent3" w:themeTint="BF"/>
        </w:tcBorders>
      </w:tcPr>
    </w:tblStylePr>
    <w:tblStylePr w:type="firstCol">
      <w:rPr>
        <w:b/>
        <w:bCs/>
        <w:lang w:val="en-GB"/>
      </w:rPr>
    </w:tblStylePr>
    <w:tblStylePr w:type="lastCol">
      <w:rPr>
        <w:b/>
        <w:bCs/>
        <w:lang w:val="en-GB"/>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GB"/>
      </w:rPr>
    </w:tblStylePr>
    <w:tblStylePr w:type="lastRow">
      <w:rPr>
        <w:b/>
        <w:bCs/>
        <w:lang w:val="en-GB"/>
      </w:rPr>
      <w:tblPr/>
      <w:tcPr>
        <w:tcBorders>
          <w:top w:val="single" w:sz="18" w:space="0" w:color="9F8AB9" w:themeColor="accent4" w:themeTint="BF"/>
        </w:tcBorders>
      </w:tcPr>
    </w:tblStylePr>
    <w:tblStylePr w:type="firstCol">
      <w:rPr>
        <w:b/>
        <w:bCs/>
        <w:lang w:val="en-GB"/>
      </w:rPr>
    </w:tblStylePr>
    <w:tblStylePr w:type="lastCol">
      <w:rPr>
        <w:b/>
        <w:bCs/>
        <w:lang w:val="en-GB"/>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GB"/>
      </w:rPr>
    </w:tblStylePr>
    <w:tblStylePr w:type="lastRow">
      <w:rPr>
        <w:b/>
        <w:bCs/>
        <w:lang w:val="en-GB"/>
      </w:rPr>
      <w:tblPr/>
      <w:tcPr>
        <w:tcBorders>
          <w:top w:val="single" w:sz="18" w:space="0" w:color="78C0D4" w:themeColor="accent5" w:themeTint="BF"/>
        </w:tcBorders>
      </w:tcPr>
    </w:tblStylePr>
    <w:tblStylePr w:type="firstCol">
      <w:rPr>
        <w:b/>
        <w:bCs/>
        <w:lang w:val="en-GB"/>
      </w:rPr>
    </w:tblStylePr>
    <w:tblStylePr w:type="lastCol">
      <w:rPr>
        <w:b/>
        <w:bCs/>
        <w:lang w:val="en-GB"/>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GB"/>
      </w:rPr>
    </w:tblStylePr>
    <w:tblStylePr w:type="lastRow">
      <w:rPr>
        <w:b/>
        <w:bCs/>
        <w:lang w:val="en-GB"/>
      </w:rPr>
      <w:tblPr/>
      <w:tcPr>
        <w:tcBorders>
          <w:top w:val="single" w:sz="18" w:space="0" w:color="F9B074" w:themeColor="accent6" w:themeTint="BF"/>
        </w:tcBorders>
      </w:tcPr>
    </w:tblStylePr>
    <w:tblStylePr w:type="firstCol">
      <w:rPr>
        <w:b/>
        <w:bCs/>
        <w:lang w:val="en-GB"/>
      </w:rPr>
    </w:tblStylePr>
    <w:tblStylePr w:type="lastCol">
      <w:rPr>
        <w:b/>
        <w:bCs/>
        <w:lang w:val="en-GB"/>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GB"/>
      </w:rPr>
      <w:tblPr/>
      <w:tcPr>
        <w:shd w:val="clear" w:color="auto" w:fill="E6E6E6" w:themeFill="text1"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GB"/>
      </w:rPr>
      <w:tblPr/>
      <w:tcPr>
        <w:shd w:val="clear" w:color="auto" w:fill="EDF2F8" w:themeFill="accent1"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GB"/>
      </w:rPr>
      <w:tblPr/>
      <w:tcPr>
        <w:shd w:val="clear" w:color="auto" w:fill="F8EDED" w:themeFill="accent2"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GB"/>
      </w:rPr>
      <w:tblPr/>
      <w:tcPr>
        <w:shd w:val="clear" w:color="auto" w:fill="F5F8EE" w:themeFill="accent3"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GB"/>
      </w:rPr>
      <w:tblPr/>
      <w:tcPr>
        <w:shd w:val="clear" w:color="auto" w:fill="F2EFF6" w:themeFill="accent4"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GB"/>
      </w:rPr>
      <w:tblPr/>
      <w:tcPr>
        <w:shd w:val="clear" w:color="auto" w:fill="EDF6F9" w:themeFill="accent5"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GB"/>
      </w:rPr>
      <w:tblPr/>
      <w:tcPr>
        <w:shd w:val="clear" w:color="auto" w:fill="FEF4EC" w:themeFill="accent6" w:themeFillTint="19"/>
      </w:tcPr>
    </w:tblStylePr>
    <w:tblStylePr w:type="lastRow">
      <w:rPr>
        <w:b/>
        <w:bCs/>
        <w:color w:val="000000" w:themeColor="text1"/>
        <w:lang w:val="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GB"/>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GB"/>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GB"/>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1">
    <w:name w:val="Colorful Shading Accent 1"/>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GB"/>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2">
    <w:name w:val="Colorful Shading Accent 2"/>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GB"/>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3">
    <w:name w:val="Colorful Shading Accent 3"/>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GB"/>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GB"/>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5">
    <w:name w:val="Colorful Shading Accent 5"/>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GB"/>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GB"/>
      </w:rPr>
    </w:tblStylePr>
    <w:tblStylePr w:type="nwCell">
      <w:rPr>
        <w:color w:val="000000" w:themeColor="text1"/>
        <w:lang w:val="en-GB"/>
      </w:rPr>
    </w:tblStylePr>
  </w:style>
  <w:style w:type="table" w:styleId="ColorfulShading-Accent6">
    <w:name w:val="Colorful Shading Accent 6"/>
    <w:basedOn w:val="TableNormal"/>
    <w:uiPriority w:val="71"/>
    <w:rsid w:val="00CB0664"/>
    <w:pPr>
      <w:spacing w:after="0" w:line="240" w:lineRule="auto"/>
    </w:pPr>
    <w:rPr>
      <w:color w:val="000000" w:themeColor="text1"/>
      <w:lang w:val="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GB"/>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GB"/>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GB"/>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GB"/>
      </w:rPr>
    </w:tblStylePr>
    <w:tblStylePr w:type="nwCell">
      <w:rPr>
        <w:color w:val="000000" w:themeColor="text1"/>
        <w:lang w:val="en-GB"/>
      </w:rPr>
    </w:tblStylePr>
  </w:style>
  <w:style w:type="table" w:styleId="ColorfulList">
    <w:name w:val="Colorful List"/>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GB"/>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GB"/>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GB"/>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GB"/>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GB"/>
      </w:rPr>
      <w:tblPr/>
      <w:tcPr>
        <w:tcBorders>
          <w:top w:val="single" w:sz="12" w:space="0" w:color="000000" w:themeColor="text1"/>
        </w:tcBorders>
        <w:shd w:val="clear" w:color="auto" w:fill="FFFFFF" w:themeFill="background1"/>
      </w:tcPr>
    </w:tblStylePr>
    <w:tblStylePr w:type="firstCol">
      <w:rPr>
        <w:b/>
        <w:bCs/>
        <w:lang w:val="en-GB"/>
      </w:rPr>
    </w:tblStylePr>
    <w:tblStylePr w:type="lastCol">
      <w:rPr>
        <w:b/>
        <w:bCs/>
        <w:lang w:val="en-GB"/>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GB"/>
      </w:rPr>
      <w:tblPr/>
      <w:tcPr>
        <w:shd w:val="clear" w:color="auto" w:fill="999999" w:themeFill="text1" w:themeFillTint="66"/>
      </w:tcPr>
    </w:tblStylePr>
    <w:tblStylePr w:type="lastRow">
      <w:rPr>
        <w:b/>
        <w:bCs/>
        <w:color w:val="000000" w:themeColor="text1"/>
        <w:lang w:val="en-GB"/>
      </w:rPr>
      <w:tblPr/>
      <w:tcPr>
        <w:shd w:val="clear" w:color="auto" w:fill="999999" w:themeFill="text1" w:themeFillTint="66"/>
      </w:tcPr>
    </w:tblStylePr>
    <w:tblStylePr w:type="firstCol">
      <w:rPr>
        <w:color w:val="FFFFFF" w:themeColor="background1"/>
        <w:lang w:val="en-GB"/>
      </w:rPr>
      <w:tblPr/>
      <w:tcPr>
        <w:shd w:val="clear" w:color="auto" w:fill="000000" w:themeFill="text1" w:themeFillShade="BF"/>
      </w:tcPr>
    </w:tblStylePr>
    <w:tblStylePr w:type="lastCol">
      <w:rPr>
        <w:color w:val="FFFFFF" w:themeColor="background1"/>
        <w:lang w:val="en-GB"/>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GB"/>
      </w:rPr>
      <w:tblPr/>
      <w:tcPr>
        <w:shd w:val="clear" w:color="auto" w:fill="B8CCE4" w:themeFill="accent1" w:themeFillTint="66"/>
      </w:tcPr>
    </w:tblStylePr>
    <w:tblStylePr w:type="lastRow">
      <w:rPr>
        <w:b/>
        <w:bCs/>
        <w:color w:val="000000" w:themeColor="text1"/>
        <w:lang w:val="en-GB"/>
      </w:rPr>
      <w:tblPr/>
      <w:tcPr>
        <w:shd w:val="clear" w:color="auto" w:fill="B8CCE4" w:themeFill="accent1" w:themeFillTint="66"/>
      </w:tcPr>
    </w:tblStylePr>
    <w:tblStylePr w:type="firstCol">
      <w:rPr>
        <w:color w:val="FFFFFF" w:themeColor="background1"/>
        <w:lang w:val="en-GB"/>
      </w:rPr>
      <w:tblPr/>
      <w:tcPr>
        <w:shd w:val="clear" w:color="auto" w:fill="365F91" w:themeFill="accent1" w:themeFillShade="BF"/>
      </w:tcPr>
    </w:tblStylePr>
    <w:tblStylePr w:type="lastCol">
      <w:rPr>
        <w:color w:val="FFFFFF" w:themeColor="background1"/>
        <w:lang w:val="en-GB"/>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GB"/>
      </w:rPr>
      <w:tblPr/>
      <w:tcPr>
        <w:shd w:val="clear" w:color="auto" w:fill="E5B8B7" w:themeFill="accent2" w:themeFillTint="66"/>
      </w:tcPr>
    </w:tblStylePr>
    <w:tblStylePr w:type="lastRow">
      <w:rPr>
        <w:b/>
        <w:bCs/>
        <w:color w:val="000000" w:themeColor="text1"/>
        <w:lang w:val="en-GB"/>
      </w:rPr>
      <w:tblPr/>
      <w:tcPr>
        <w:shd w:val="clear" w:color="auto" w:fill="E5B8B7" w:themeFill="accent2" w:themeFillTint="66"/>
      </w:tcPr>
    </w:tblStylePr>
    <w:tblStylePr w:type="firstCol">
      <w:rPr>
        <w:color w:val="FFFFFF" w:themeColor="background1"/>
        <w:lang w:val="en-GB"/>
      </w:rPr>
      <w:tblPr/>
      <w:tcPr>
        <w:shd w:val="clear" w:color="auto" w:fill="943634" w:themeFill="accent2" w:themeFillShade="BF"/>
      </w:tcPr>
    </w:tblStylePr>
    <w:tblStylePr w:type="lastCol">
      <w:rPr>
        <w:color w:val="FFFFFF" w:themeColor="background1"/>
        <w:lang w:val="en-GB"/>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GB"/>
      </w:rPr>
      <w:tblPr/>
      <w:tcPr>
        <w:shd w:val="clear" w:color="auto" w:fill="D6E3BC" w:themeFill="accent3" w:themeFillTint="66"/>
      </w:tcPr>
    </w:tblStylePr>
    <w:tblStylePr w:type="lastRow">
      <w:rPr>
        <w:b/>
        <w:bCs/>
        <w:color w:val="000000" w:themeColor="text1"/>
        <w:lang w:val="en-GB"/>
      </w:rPr>
      <w:tblPr/>
      <w:tcPr>
        <w:shd w:val="clear" w:color="auto" w:fill="D6E3BC" w:themeFill="accent3" w:themeFillTint="66"/>
      </w:tcPr>
    </w:tblStylePr>
    <w:tblStylePr w:type="firstCol">
      <w:rPr>
        <w:color w:val="FFFFFF" w:themeColor="background1"/>
        <w:lang w:val="en-GB"/>
      </w:rPr>
      <w:tblPr/>
      <w:tcPr>
        <w:shd w:val="clear" w:color="auto" w:fill="76923C" w:themeFill="accent3" w:themeFillShade="BF"/>
      </w:tcPr>
    </w:tblStylePr>
    <w:tblStylePr w:type="lastCol">
      <w:rPr>
        <w:color w:val="FFFFFF" w:themeColor="background1"/>
        <w:lang w:val="en-GB"/>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GB"/>
      </w:rPr>
      <w:tblPr/>
      <w:tcPr>
        <w:shd w:val="clear" w:color="auto" w:fill="CCC0D9" w:themeFill="accent4" w:themeFillTint="66"/>
      </w:tcPr>
    </w:tblStylePr>
    <w:tblStylePr w:type="lastRow">
      <w:rPr>
        <w:b/>
        <w:bCs/>
        <w:color w:val="000000" w:themeColor="text1"/>
        <w:lang w:val="en-GB"/>
      </w:rPr>
      <w:tblPr/>
      <w:tcPr>
        <w:shd w:val="clear" w:color="auto" w:fill="CCC0D9" w:themeFill="accent4" w:themeFillTint="66"/>
      </w:tcPr>
    </w:tblStylePr>
    <w:tblStylePr w:type="firstCol">
      <w:rPr>
        <w:color w:val="FFFFFF" w:themeColor="background1"/>
        <w:lang w:val="en-GB"/>
      </w:rPr>
      <w:tblPr/>
      <w:tcPr>
        <w:shd w:val="clear" w:color="auto" w:fill="5F497A" w:themeFill="accent4" w:themeFillShade="BF"/>
      </w:tcPr>
    </w:tblStylePr>
    <w:tblStylePr w:type="lastCol">
      <w:rPr>
        <w:color w:val="FFFFFF" w:themeColor="background1"/>
        <w:lang w:val="en-GB"/>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GB"/>
      </w:rPr>
      <w:tblPr/>
      <w:tcPr>
        <w:shd w:val="clear" w:color="auto" w:fill="B6DDE8" w:themeFill="accent5" w:themeFillTint="66"/>
      </w:tcPr>
    </w:tblStylePr>
    <w:tblStylePr w:type="lastRow">
      <w:rPr>
        <w:b/>
        <w:bCs/>
        <w:color w:val="000000" w:themeColor="text1"/>
        <w:lang w:val="en-GB"/>
      </w:rPr>
      <w:tblPr/>
      <w:tcPr>
        <w:shd w:val="clear" w:color="auto" w:fill="B6DDE8" w:themeFill="accent5" w:themeFillTint="66"/>
      </w:tcPr>
    </w:tblStylePr>
    <w:tblStylePr w:type="firstCol">
      <w:rPr>
        <w:color w:val="FFFFFF" w:themeColor="background1"/>
        <w:lang w:val="en-GB"/>
      </w:rPr>
      <w:tblPr/>
      <w:tcPr>
        <w:shd w:val="clear" w:color="auto" w:fill="31849B" w:themeFill="accent5" w:themeFillShade="BF"/>
      </w:tcPr>
    </w:tblStylePr>
    <w:tblStylePr w:type="lastCol">
      <w:rPr>
        <w:color w:val="FFFFFF" w:themeColor="background1"/>
        <w:lang w:val="en-GB"/>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GB"/>
      </w:rPr>
      <w:tblPr/>
      <w:tcPr>
        <w:shd w:val="clear" w:color="auto" w:fill="FBD4B4" w:themeFill="accent6" w:themeFillTint="66"/>
      </w:tcPr>
    </w:tblStylePr>
    <w:tblStylePr w:type="lastRow">
      <w:rPr>
        <w:b/>
        <w:bCs/>
        <w:color w:val="000000" w:themeColor="text1"/>
        <w:lang w:val="en-GB"/>
      </w:rPr>
      <w:tblPr/>
      <w:tcPr>
        <w:shd w:val="clear" w:color="auto" w:fill="FBD4B4" w:themeFill="accent6" w:themeFillTint="66"/>
      </w:tcPr>
    </w:tblStylePr>
    <w:tblStylePr w:type="firstCol">
      <w:rPr>
        <w:color w:val="FFFFFF" w:themeColor="background1"/>
        <w:lang w:val="en-GB"/>
      </w:rPr>
      <w:tblPr/>
      <w:tcPr>
        <w:shd w:val="clear" w:color="auto" w:fill="E36C0A" w:themeFill="accent6" w:themeFillShade="BF"/>
      </w:tcPr>
    </w:tblStylePr>
    <w:tblStylePr w:type="lastCol">
      <w:rPr>
        <w:color w:val="FFFFFF" w:themeColor="background1"/>
        <w:lang w:val="en-GB"/>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egistry.npmjs.org/@postman/postman-mcp-server/2.13.0" TargetMode="External"/><Relationship Id="rId13" Type="http://schemas.openxmlformats.org/officeDocument/2006/relationships/hyperlink" Target="https://github.com/postmanlabs/postman-mcp-server/tree/21cb5ce08f407227d36db1c837084265dd075991" TargetMode="External"/><Relationship Id="rId14" Type="http://schemas.openxmlformats.org/officeDocument/2006/relationships/hyperlink" Target="https://learning.postman.com/docs/reference/postman-api/postman-mcp-server/postman-mcp-local-server/" TargetMode="External"/><Relationship Id="rId15" Type="http://schemas.openxmlformats.org/officeDocument/2006/relationships/hyperlink" Target="https://learning.postman.com/docs/reference/postman-api/postman-mcp-server/postman-mcp-remote-server/" TargetMode="External"/><Relationship Id="rId16" Type="http://schemas.openxmlformats.org/officeDocument/2006/relationships/hyperlink" Target="https://code.visualstudio.com/docs/agent-customization/mcp-servers" TargetMode="External"/><Relationship Id="rId17" Type="http://schemas.openxmlformats.org/officeDocument/2006/relationships/hyperlink" Target="https://learn.microsoft.com/en-us/visualstudio/ide/mcp-servers?view=visualstudio" TargetMode="External"/><Relationship Id="rId18" Type="http://schemas.openxmlformats.org/officeDocument/2006/relationships/hyperlink" Target="https://www.postman.com/legal/postman-product-terms/" TargetMode="External"/><Relationship Id="rId19" Type="http://schemas.openxmlformats.org/officeDocument/2006/relationships/hyperlink" Target="https://learning.postman.com/docs/administration/enterprise/about-eu-data-residency" TargetMode="External"/><Relationship Id="rId20" Type="http://schemas.openxmlformats.org/officeDocument/2006/relationships/hyperlink" Target="https://genai.owasp.org/resource/owasp-genai-llm-top-10-2026/" TargetMode="External"/><Relationship Id="rId21" Type="http://schemas.openxmlformats.org/officeDocument/2006/relationships/hyperlink" Target="https://genai.owasp.org/2025/12/09/owasp-top-10-for-agentic-applications-the-benchmark-for-agentic-security-in-the-age-of-autonomous-ai/" TargetMode="External"/><Relationship Id="rId22" Type="http://schemas.openxmlformats.org/officeDocument/2006/relationships/hyperlink" Target="https://owasp.org/projects/mcp-top-10?tab=top10" TargetMode="External"/><Relationship Id="rId23" Type="http://schemas.openxmlformats.org/officeDocument/2006/relationships/hyperlink" Target="https://github.com/OWASP/ASVS/blob/v5.0.0/5.0/docs_en/OWASP_Application_Security_Verification_Standard_5.0.0_en.csv" TargetMode="External"/><Relationship Id="rId24" Type="http://schemas.openxmlformats.org/officeDocument/2006/relationships/hyperlink" Target="https://github.com/mitre-atlas/atlas-data/releases/tag/v2026.09"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doi.org/10.6028/NIST.AI.600-1" TargetMode="External"/><Relationship Id="rId27" Type="http://schemas.openxmlformats.org/officeDocument/2006/relationships/hyperlink" Target="https://www.cisecurity.org/insights/white-papers/cis-critical-security-controls-v8-1" TargetMode="External"/><Relationship Id="rId28" Type="http://schemas.openxmlformats.org/officeDocument/2006/relationships/hyperlink" Target="https://www.iso.org/standard/27001" TargetMode="External"/><Relationship Id="rId29" Type="http://schemas.openxmlformats.org/officeDocument/2006/relationships/hyperlink" Target="https://www.ncsc.gov.uk/collection/guidelines-secure-ai-system-development" TargetMode="External"/><Relationship Id="rId30" Type="http://schemas.openxmlformats.org/officeDocument/2006/relationships/hyperlink" Target="https://ico.org.uk/for-organisations/uk-gdpr-guidance-and-resources/accountability-and-governance/data-protection-impact-assessments-dpias/when-do-we-need-to-do-a-dpia/" TargetMode="External"/><Relationship Id="rId31" Type="http://schemas.openxmlformats.org/officeDocument/2006/relationships/hyperlink" Target="https://www.fca.org.uk/firms/outsourcing-and-operational-resilience" TargetMode="External"/><Relationship Id="rId32" Type="http://schemas.openxmlformats.org/officeDocument/2006/relationships/hyperlink" Target="https://www.fca.org.uk/firms/operational-resilience" TargetMode="External"/><Relationship Id="rId33" Type="http://schemas.openxmlformats.org/officeDocument/2006/relationships/hyperlink" Target="https://www.bankofengland.co.uk/prudential-regulation/publication/2021/march/outsourcing-and-third-party-risk-management-ss" TargetMode="External"/><Relationship Id="rId34" Type="http://schemas.openxmlformats.org/officeDocument/2006/relationships/hyperlink" Target="https://modelcontextprotocol.io/specification/2025-11-25/basic/security_best_practices" TargetMode="External"/><Relationship Id="rId35" Type="http://schemas.openxmlformats.org/officeDocument/2006/relationships/hyperlink" Target="https://modelcontextprotocol.io/specification/2025-11-25/server/tools" TargetMode="External"/><Relationship Id="rId36" Type="http://schemas.openxmlformats.org/officeDocument/2006/relationships/hyperlink" Target="https://api.github.com/repos/postmanlabs/postman-mcp-server/security-advisories" TargetMode="External"/><Relationship Id="rId37" Type="http://schemas.openxmlformats.org/officeDocument/2006/relationships/hyperlink" Target="https://github.com/advisories/GHSA-6qxp-vccf-f47h" TargetMode="External"/><Relationship Id="rId38" Type="http://schemas.openxmlformats.org/officeDocument/2006/relationships/hyperlink" Target="https://www.postman.com/legal/terms/" TargetMode="External"/><Relationship Id="rId39" Type="http://schemas.openxmlformats.org/officeDocument/2006/relationships/hyperlink" Target="https://www.postman.com/legal/privacy-policy/" TargetMode="External"/><Relationship Id="rId40" Type="http://schemas.openxmlformats.org/officeDocument/2006/relationships/hyperlink" Target="https://code.visualstudio.com/docs/enterprise/policies" TargetMode="External"/><Relationship Id="rId41" Type="http://schemas.openxmlformats.org/officeDocument/2006/relationships/hyperlink" Target="https://www.legislation.gov.uk/eur/2016/679/contents" TargetMode="External"/><Relationship Id="rId42" Type="http://schemas.openxmlformats.org/officeDocument/2006/relationships/hyperlink" Target="https://handbook.fca.org.uk/handbook/sysc13" TargetMode="External"/><Relationship Id="rId43" Type="http://schemas.openxmlformats.org/officeDocument/2006/relationships/hyperlink" Target="https://github.com/advisories/GHSA-8cw4-87c7-c6xx" TargetMode="External"/><Relationship Id="rId44" Type="http://schemas.openxmlformats.org/officeDocument/2006/relationships/hyperlink" Target="https://github.com/advisories/GHSA-86w9-cpqp-85r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Postman MCP Server Local and Remote Deployment Security Assessment security assessment</dc:title>
  <dc:subject>Evidence-led Microsoft IDE extension security assessment</dc:subject>
  <dc:creator/>
  <cp:keywords>security assessment, VS Code, AI, OWASP, privacy</cp:keywords>
  <dc:description>Generated from hash-bound validated stage outputs.</dc:description>
  <cp:lastModifiedBy/>
  <cp:revision>1</cp:revision>
  <dcterms:created xsi:type="dcterms:W3CDTF">2026-10-07T13:41:41Z</dcterms:created>
  <dcterms:modified xsi:type="dcterms:W3CDTF">2026-10-07T13:41:41Z</dcterms:modified>
  <cp:category/>
  <dc:language>en-GB</dc:language>
</cp:coreProperties>
</file>