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Augment Code for Visual Studio Code (augment.vscode-augment)</w:t>
      </w:r>
    </w:p>
    <w:p>
      <w:pPr>
        <w:jc w:val="center"/>
      </w:pPr>
      <w:r>
        <w:rPr>
          <w:i/>
        </w:rPr>
        <w:t>Microsoft IDE AI Extension Security Assessment</w:t>
      </w:r>
    </w:p>
    <w:p>
      <w:pPr>
        <w:jc w:val="center"/>
      </w:pPr>
      <w:r>
        <w:rPr>
          <w:b/>
        </w:rPr>
        <w:t>Classification: PUBLIC</w:t>
      </w:r>
    </w:p>
    <w:p>
      <w:pPr>
        <w:pStyle w:val="Heading1"/>
      </w:pPr>
      <w:r>
        <w:t>Document Control</w:t>
      </w:r>
    </w:p>
    <w:p>
      <w:pPr>
        <w:pStyle w:val="Caption"/>
      </w:pPr>
      <w:r>
        <w:rPr>
          <w:b/>
        </w:rPr>
        <w:t>Table 1 — Document control</w:t>
      </w:r>
    </w:p>
    <w:tbl>
      <w:tblPr>
        <w:tblStyle w:val="TableGrid"/>
        <w:tblW w:type="dxa" w:w="9360"/>
        <w:tblLayout w:type="fixed"/>
        <w:tblLook w:firstColumn="1" w:firstRow="1" w:lastColumn="0" w:lastRow="0" w:noHBand="0" w:noVBand="1" w:val="04A0"/>
        <w:tblInd w:w="120" w:type="dxa"/>
      </w:tblPr>
      <w:tblGrid>
        <w:gridCol w:w="1771"/>
        <w:gridCol w:w="7589"/>
      </w:tblGrid>
      <w:tr>
        <w:trPr>
          <w:tblHeader w:val="true"/>
        </w:trPr>
        <w:tc>
          <w:tcPr>
            <w:tcW w:type="dxa" w:w="1771"/>
            <w:shd w:fill="F2F4F7"/>
            <w:vAlign w:val="center"/>
            <w:tcMar>
              <w:top w:w="80" w:type="dxa"/>
              <w:start w:w="120" w:type="dxa"/>
              <w:bottom w:w="80" w:type="dxa"/>
              <w:end w:w="120" w:type="dxa"/>
            </w:tcMar>
          </w:tcPr>
          <w:p>
            <w:r>
              <w:rPr>
                <w:b/>
                <w:sz w:val="16"/>
              </w:rPr>
              <w:t>Field</w:t>
            </w:r>
          </w:p>
        </w:tc>
        <w:tc>
          <w:tcPr>
            <w:tcW w:type="dxa" w:w="7589"/>
            <w:shd w:fill="F2F4F7"/>
            <w:vAlign w:val="center"/>
            <w:tcMar>
              <w:top w:w="80" w:type="dxa"/>
              <w:start w:w="120" w:type="dxa"/>
              <w:bottom w:w="80" w:type="dxa"/>
              <w:end w:w="120" w:type="dxa"/>
            </w:tcMar>
          </w:tcPr>
          <w:p>
            <w:r>
              <w:rPr>
                <w:b/>
                <w:sz w:val="16"/>
              </w:rPr>
              <w:t>Value</w:t>
            </w:r>
          </w:p>
        </w:tc>
      </w:tr>
      <w:tr>
        <w:tc>
          <w:tcPr>
            <w:tcW w:type="dxa" w:w="1771"/>
            <w:vAlign w:val="center"/>
            <w:tcMar>
              <w:top w:w="80" w:type="dxa"/>
              <w:start w:w="120" w:type="dxa"/>
              <w:bottom w:w="80" w:type="dxa"/>
              <w:end w:w="120" w:type="dxa"/>
            </w:tcMar>
          </w:tcPr>
          <w:p>
            <w:r>
              <w:rPr>
                <w:sz w:val="16"/>
              </w:rPr>
              <w:t>Assessment</w:t>
            </w:r>
          </w:p>
        </w:tc>
        <w:tc>
          <w:tcPr>
            <w:tcW w:type="dxa" w:w="7589"/>
            <w:vAlign w:val="center"/>
            <w:tcMar>
              <w:top w:w="80" w:type="dxa"/>
              <w:start w:w="120" w:type="dxa"/>
              <w:bottom w:w="80" w:type="dxa"/>
              <w:end w:w="120" w:type="dxa"/>
            </w:tcMar>
          </w:tcPr>
          <w:p>
            <w:r>
              <w:rPr>
                <w:sz w:val="16"/>
              </w:rPr>
              <w:t>Augment Code for Visual Studio Code</w:t>
            </w:r>
          </w:p>
        </w:tc>
      </w:tr>
      <w:tr>
        <w:tc>
          <w:tcPr>
            <w:tcW w:type="dxa" w:w="1771"/>
            <w:vAlign w:val="center"/>
            <w:tcMar>
              <w:top w:w="80" w:type="dxa"/>
              <w:start w:w="120" w:type="dxa"/>
              <w:bottom w:w="80" w:type="dxa"/>
              <w:end w:w="120" w:type="dxa"/>
            </w:tcMar>
          </w:tcPr>
          <w:p>
            <w:r>
              <w:rPr>
                <w:sz w:val="16"/>
              </w:rPr>
              <w:t>Target</w:t>
            </w:r>
          </w:p>
        </w:tc>
        <w:tc>
          <w:tcPr>
            <w:tcW w:type="dxa" w:w="7589"/>
            <w:vAlign w:val="center"/>
            <w:tcMar>
              <w:top w:w="80" w:type="dxa"/>
              <w:start w:w="120" w:type="dxa"/>
              <w:bottom w:w="80" w:type="dxa"/>
              <w:end w:w="120" w:type="dxa"/>
            </w:tcMar>
          </w:tcPr>
          <w:p>
            <w:r>
              <w:rPr>
                <w:sz w:val="16"/>
              </w:rPr>
              <w:t>Augment Code for Visual Studio Code (augment.vscode-augment)</w:t>
            </w:r>
          </w:p>
        </w:tc>
      </w:tr>
      <w:tr>
        <w:tc>
          <w:tcPr>
            <w:tcW w:type="dxa" w:w="1771"/>
            <w:vAlign w:val="center"/>
            <w:tcMar>
              <w:top w:w="80" w:type="dxa"/>
              <w:start w:w="120" w:type="dxa"/>
              <w:bottom w:w="80" w:type="dxa"/>
              <w:end w:w="120" w:type="dxa"/>
            </w:tcMar>
          </w:tcPr>
          <w:p>
            <w:r>
              <w:rPr>
                <w:sz w:val="16"/>
              </w:rPr>
              <w:t>Publisher</w:t>
            </w:r>
          </w:p>
        </w:tc>
        <w:tc>
          <w:tcPr>
            <w:tcW w:type="dxa" w:w="7589"/>
            <w:vAlign w:val="center"/>
            <w:tcMar>
              <w:top w:w="80" w:type="dxa"/>
              <w:start w:w="120" w:type="dxa"/>
              <w:bottom w:w="80" w:type="dxa"/>
              <w:end w:w="120" w:type="dxa"/>
            </w:tcMar>
          </w:tcPr>
          <w:p>
            <w:r>
              <w:rPr>
                <w:sz w:val="16"/>
              </w:rPr>
              <w:t>Augment Computing / augment</w:t>
            </w:r>
          </w:p>
        </w:tc>
      </w:tr>
      <w:tr>
        <w:tc>
          <w:tcPr>
            <w:tcW w:type="dxa" w:w="1771"/>
            <w:vAlign w:val="center"/>
            <w:tcMar>
              <w:top w:w="80" w:type="dxa"/>
              <w:start w:w="120" w:type="dxa"/>
              <w:bottom w:w="80" w:type="dxa"/>
              <w:end w:w="120" w:type="dxa"/>
            </w:tcMar>
          </w:tcPr>
          <w:p>
            <w:r>
              <w:rPr>
                <w:sz w:val="16"/>
              </w:rPr>
              <w:t>Extension ID</w:t>
            </w:r>
          </w:p>
        </w:tc>
        <w:tc>
          <w:tcPr>
            <w:tcW w:type="dxa" w:w="7589"/>
            <w:vAlign w:val="center"/>
            <w:tcMar>
              <w:top w:w="80" w:type="dxa"/>
              <w:start w:w="120" w:type="dxa"/>
              <w:bottom w:w="80" w:type="dxa"/>
              <w:end w:w="120" w:type="dxa"/>
            </w:tcMar>
          </w:tcPr>
          <w:p>
            <w:r>
              <w:rPr>
                <w:sz w:val="16"/>
              </w:rPr>
              <w:t>augment.vscode-augment</w:t>
            </w:r>
          </w:p>
        </w:tc>
      </w:tr>
      <w:tr>
        <w:tc>
          <w:tcPr>
            <w:tcW w:type="dxa" w:w="1771"/>
            <w:vAlign w:val="center"/>
            <w:tcMar>
              <w:top w:w="80" w:type="dxa"/>
              <w:start w:w="120" w:type="dxa"/>
              <w:bottom w:w="80" w:type="dxa"/>
              <w:end w:w="120" w:type="dxa"/>
            </w:tcMar>
          </w:tcPr>
          <w:p>
            <w:r>
              <w:rPr>
                <w:sz w:val="16"/>
              </w:rPr>
              <w:t>Version</w:t>
            </w:r>
          </w:p>
        </w:tc>
        <w:tc>
          <w:tcPr>
            <w:tcW w:type="dxa" w:w="7589"/>
            <w:vAlign w:val="center"/>
            <w:tcMar>
              <w:top w:w="80" w:type="dxa"/>
              <w:start w:w="120" w:type="dxa"/>
              <w:bottom w:w="80" w:type="dxa"/>
              <w:end w:w="120" w:type="dxa"/>
            </w:tcMar>
          </w:tcPr>
          <w:p>
            <w:r>
              <w:rPr>
                <w:sz w:val="16"/>
              </w:rPr>
              <w:t>0.890.3</w:t>
            </w:r>
          </w:p>
        </w:tc>
      </w:tr>
      <w:tr>
        <w:tc>
          <w:tcPr>
            <w:tcW w:type="dxa" w:w="1771"/>
            <w:vAlign w:val="center"/>
            <w:tcMar>
              <w:top w:w="80" w:type="dxa"/>
              <w:start w:w="120" w:type="dxa"/>
              <w:bottom w:w="80" w:type="dxa"/>
              <w:end w:w="120" w:type="dxa"/>
            </w:tcMar>
          </w:tcPr>
          <w:p>
            <w:r>
              <w:rPr>
                <w:sz w:val="16"/>
              </w:rPr>
              <w:t>Run key</w:t>
            </w:r>
          </w:p>
        </w:tc>
        <w:tc>
          <w:tcPr>
            <w:tcW w:type="dxa" w:w="7589"/>
            <w:vAlign w:val="center"/>
            <w:tcMar>
              <w:top w:w="80" w:type="dxa"/>
              <w:start w:w="120" w:type="dxa"/>
              <w:bottom w:w="80" w:type="dxa"/>
              <w:end w:w="120" w:type="dxa"/>
            </w:tcMar>
          </w:tcPr>
          <w:p>
            <w:r>
              <w:rPr>
                <w:sz w:val="16"/>
              </w:rPr>
              <w:t>2026-08-01-v1.0</w:t>
            </w:r>
          </w:p>
        </w:tc>
      </w:tr>
      <w:tr>
        <w:tc>
          <w:tcPr>
            <w:tcW w:type="dxa" w:w="1771"/>
            <w:vAlign w:val="center"/>
            <w:tcMar>
              <w:top w:w="80" w:type="dxa"/>
              <w:start w:w="120" w:type="dxa"/>
              <w:bottom w:w="80" w:type="dxa"/>
              <w:end w:w="120" w:type="dxa"/>
            </w:tcMar>
          </w:tcPr>
          <w:p>
            <w:r>
              <w:rPr>
                <w:sz w:val="16"/>
              </w:rPr>
              <w:t>Classification</w:t>
            </w:r>
          </w:p>
        </w:tc>
        <w:tc>
          <w:tcPr>
            <w:tcW w:type="dxa" w:w="7589"/>
            <w:vAlign w:val="center"/>
            <w:tcMar>
              <w:top w:w="80" w:type="dxa"/>
              <w:start w:w="120" w:type="dxa"/>
              <w:bottom w:w="80" w:type="dxa"/>
              <w:end w:w="120" w:type="dxa"/>
            </w:tcMar>
          </w:tcPr>
          <w:p>
            <w:r>
              <w:rPr>
                <w:sz w:val="16"/>
              </w:rPr>
              <w:t>PUBLIC</w:t>
            </w:r>
          </w:p>
        </w:tc>
      </w:tr>
      <w:tr>
        <w:tc>
          <w:tcPr>
            <w:tcW w:type="dxa" w:w="1771"/>
            <w:vAlign w:val="center"/>
            <w:tcMar>
              <w:top w:w="80" w:type="dxa"/>
              <w:start w:w="120" w:type="dxa"/>
              <w:bottom w:w="80" w:type="dxa"/>
              <w:end w:w="120" w:type="dxa"/>
            </w:tcMar>
          </w:tcPr>
          <w:p>
            <w:r>
              <w:rPr>
                <w:sz w:val="16"/>
              </w:rPr>
              <w:t>Distribution</w:t>
            </w:r>
          </w:p>
        </w:tc>
        <w:tc>
          <w:tcPr>
            <w:tcW w:type="dxa" w:w="7589"/>
            <w:vAlign w:val="center"/>
            <w:tcMar>
              <w:top w:w="80" w:type="dxa"/>
              <w:start w:w="120" w:type="dxa"/>
              <w:bottom w:w="80" w:type="dxa"/>
              <w:end w:w="120" w:type="dxa"/>
            </w:tcMar>
          </w:tcPr>
          <w:p>
            <w:r>
              <w:rPr>
                <w:sz w:val="16"/>
              </w:rPr>
              <w:t>Public distribution</w:t>
            </w:r>
          </w:p>
        </w:tc>
      </w:tr>
      <w:tr>
        <w:tc>
          <w:tcPr>
            <w:tcW w:type="dxa" w:w="1771"/>
            <w:vAlign w:val="center"/>
            <w:tcMar>
              <w:top w:w="80" w:type="dxa"/>
              <w:start w:w="120" w:type="dxa"/>
              <w:bottom w:w="80" w:type="dxa"/>
              <w:end w:w="120" w:type="dxa"/>
            </w:tcMar>
          </w:tcPr>
          <w:p>
            <w:r>
              <w:rPr>
                <w:sz w:val="16"/>
              </w:rPr>
              <w:t>Decision</w:t>
            </w:r>
          </w:p>
        </w:tc>
        <w:tc>
          <w:tcPr>
            <w:tcW w:type="dxa" w:w="7589"/>
            <w:vAlign w:val="center"/>
            <w:tcMar>
              <w:top w:w="80" w:type="dxa"/>
              <w:start w:w="120" w:type="dxa"/>
              <w:bottom w:w="80" w:type="dxa"/>
              <w:end w:w="120" w:type="dxa"/>
            </w:tcMar>
          </w:tcPr>
          <w:p>
            <w:r>
              <w:rPr>
                <w:sz w:val="16"/>
              </w:rPr>
              <w:t>Defer pending evidence</w:t>
            </w:r>
          </w:p>
        </w:tc>
      </w:tr>
    </w:tbl>
    <w:p/>
    <w:p>
      <w:pPr>
        <w:pStyle w:val="Heading1"/>
      </w:pPr>
      <w:r>
        <w:t>Revision History</w:t>
      </w:r>
    </w:p>
    <w:p>
      <w:pPr>
        <w:pStyle w:val="Caption"/>
      </w:pPr>
      <w:r>
        <w:rPr>
          <w:b/>
        </w:rPr>
        <w:t>Table 2 — Revision history</w:t>
      </w:r>
    </w:p>
    <w:tbl>
      <w:tblPr>
        <w:tblStyle w:val="TableGrid"/>
        <w:tblW w:type="dxa" w:w="9360"/>
        <w:tblLayout w:type="fixed"/>
        <w:tblLook w:firstColumn="1" w:firstRow="1" w:lastColumn="0" w:lastRow="0" w:noHBand="0" w:noVBand="1" w:val="04A0"/>
        <w:tblInd w:w="120" w:type="dxa"/>
      </w:tblPr>
      <w:tblGrid>
        <w:gridCol w:w="1413"/>
        <w:gridCol w:w="883"/>
        <w:gridCol w:w="3355"/>
        <w:gridCol w:w="3709"/>
      </w:tblGrid>
      <w:tr>
        <w:trPr>
          <w:tblHeader w:val="true"/>
        </w:trPr>
        <w:tc>
          <w:tcPr>
            <w:tcW w:type="dxa" w:w="1413"/>
            <w:shd w:fill="F2F4F7"/>
            <w:vAlign w:val="center"/>
            <w:tcMar>
              <w:top w:w="80" w:type="dxa"/>
              <w:start w:w="120" w:type="dxa"/>
              <w:bottom w:w="80" w:type="dxa"/>
              <w:end w:w="120" w:type="dxa"/>
            </w:tcMar>
          </w:tcPr>
          <w:p>
            <w:r>
              <w:rPr>
                <w:b/>
                <w:sz w:val="16"/>
              </w:rPr>
              <w:t>Document version</w:t>
            </w:r>
          </w:p>
        </w:tc>
        <w:tc>
          <w:tcPr>
            <w:tcW w:type="dxa" w:w="883"/>
            <w:shd w:fill="F2F4F7"/>
            <w:vAlign w:val="center"/>
            <w:tcMar>
              <w:top w:w="80" w:type="dxa"/>
              <w:start w:w="120" w:type="dxa"/>
              <w:bottom w:w="80" w:type="dxa"/>
              <w:end w:w="120" w:type="dxa"/>
            </w:tcMar>
          </w:tcPr>
          <w:p>
            <w:r>
              <w:rPr>
                <w:b/>
                <w:sz w:val="16"/>
              </w:rPr>
              <w:t>Date</w:t>
            </w:r>
          </w:p>
        </w:tc>
        <w:tc>
          <w:tcPr>
            <w:tcW w:type="dxa" w:w="3355"/>
            <w:shd w:fill="F2F4F7"/>
            <w:vAlign w:val="center"/>
            <w:tcMar>
              <w:top w:w="80" w:type="dxa"/>
              <w:start w:w="120" w:type="dxa"/>
              <w:bottom w:w="80" w:type="dxa"/>
              <w:end w:w="120" w:type="dxa"/>
            </w:tcMar>
          </w:tcPr>
          <w:p>
            <w:r>
              <w:rPr>
                <w:b/>
                <w:sz w:val="16"/>
              </w:rPr>
              <w:t>Status</w:t>
            </w:r>
          </w:p>
        </w:tc>
        <w:tc>
          <w:tcPr>
            <w:tcW w:type="dxa" w:w="3709"/>
            <w:shd w:fill="F2F4F7"/>
            <w:vAlign w:val="center"/>
            <w:tcMar>
              <w:top w:w="80" w:type="dxa"/>
              <w:start w:w="120" w:type="dxa"/>
              <w:bottom w:w="80" w:type="dxa"/>
              <w:end w:w="120" w:type="dxa"/>
            </w:tcMar>
          </w:tcPr>
          <w:p>
            <w:r>
              <w:rPr>
                <w:b/>
                <w:sz w:val="16"/>
              </w:rPr>
              <w:t>Change</w:t>
            </w:r>
          </w:p>
        </w:tc>
      </w:tr>
      <w:tr>
        <w:tc>
          <w:tcPr>
            <w:tcW w:type="dxa" w:w="1413"/>
            <w:vAlign w:val="center"/>
            <w:tcMar>
              <w:top w:w="80" w:type="dxa"/>
              <w:start w:w="120" w:type="dxa"/>
              <w:bottom w:w="80" w:type="dxa"/>
              <w:end w:w="120" w:type="dxa"/>
            </w:tcMar>
          </w:tcPr>
          <w:p>
            <w:r>
              <w:rPr>
                <w:sz w:val="16"/>
              </w:rPr>
              <w:t>1.0</w:t>
            </w:r>
          </w:p>
        </w:tc>
        <w:tc>
          <w:tcPr>
            <w:tcW w:type="dxa" w:w="883"/>
            <w:vAlign w:val="center"/>
            <w:tcMar>
              <w:top w:w="80" w:type="dxa"/>
              <w:start w:w="120" w:type="dxa"/>
              <w:bottom w:w="80" w:type="dxa"/>
              <w:end w:w="120" w:type="dxa"/>
            </w:tcMar>
          </w:tcPr>
          <w:p>
            <w:r>
              <w:rPr>
                <w:sz w:val="16"/>
              </w:rPr>
              <w:t>2026-08-01</w:t>
            </w:r>
          </w:p>
        </w:tc>
        <w:tc>
          <w:tcPr>
            <w:tcW w:type="dxa" w:w="3355"/>
            <w:vAlign w:val="center"/>
            <w:tcMar>
              <w:top w:w="80" w:type="dxa"/>
              <w:start w:w="120" w:type="dxa"/>
              <w:bottom w:w="80" w:type="dxa"/>
              <w:end w:w="120" w:type="dxa"/>
            </w:tcMar>
          </w:tcPr>
          <w:p>
            <w:r>
              <w:rPr>
                <w:sz w:val="16"/>
              </w:rPr>
              <w:t>Candidate pending native Word closeout</w:t>
            </w:r>
          </w:p>
        </w:tc>
        <w:tc>
          <w:tcPr>
            <w:tcW w:type="dxa" w:w="3709"/>
            <w:vAlign w:val="center"/>
            <w:tcMar>
              <w:top w:w="80" w:type="dxa"/>
              <w:start w:w="120" w:type="dxa"/>
              <w:bottom w:w="80" w:type="dxa"/>
              <w:end w:w="120" w:type="dxa"/>
            </w:tcMar>
          </w:tcPr>
          <w:p>
            <w:r>
              <w:rPr>
                <w:sz w:val="16"/>
              </w:rPr>
              <w:t>Initial authoritative assessment candidate</w:t>
            </w:r>
          </w:p>
        </w:tc>
      </w:tr>
    </w:tbl>
    <w:p/>
    <w:p>
      <w:r>
        <w:br w:type="page"/>
      </w:r>
    </w:p>
    <w:p>
      <w:pPr>
        <w:pStyle w:val="Heading1"/>
      </w:pPr>
      <w:r>
        <w:t>Contents</w:t>
      </w:r>
    </w:p>
    <w:p>
      <w:fldSimple w:instr="TOC \o &quot;1-3&quot; \h \z \u"/>
    </w:p>
    <w:p>
      <w:pPr>
        <w:pStyle w:val="ListBullet"/>
        <w:spacing w:before="0" w:after="0" w:line="240" w:lineRule="auto"/>
      </w:pPr>
      <w:r>
        <w:rPr>
          <w:sz w:val="18"/>
        </w:rPr>
        <w:t>Purpose &amp; Function Overview</w:t>
      </w:r>
    </w:p>
    <w:p>
      <w:pPr>
        <w:pStyle w:val="ListBullet"/>
        <w:spacing w:before="0" w:after="0" w:line="240" w:lineRule="auto"/>
      </w:pPr>
      <w:r>
        <w:rPr>
          <w:sz w:val="18"/>
        </w:rPr>
        <w:t>Product Identity and Version</w:t>
      </w:r>
    </w:p>
    <w:p>
      <w:pPr>
        <w:pStyle w:val="ListBullet"/>
        <w:spacing w:before="0" w:after="0" w:line="240" w:lineRule="auto"/>
      </w:pPr>
      <w:r>
        <w:rPr>
          <w:sz w:val="18"/>
        </w:rPr>
        <w:t>Scope, Assumptions, Methodology and Assessment Criteria</w:t>
      </w:r>
    </w:p>
    <w:p>
      <w:pPr>
        <w:pStyle w:val="ListBullet"/>
        <w:spacing w:before="0" w:after="0" w:line="240" w:lineRule="auto"/>
      </w:pPr>
      <w:r>
        <w:rPr>
          <w:sz w:val="18"/>
        </w:rPr>
        <w:t>Large UK Insurance Enterprise Context</w:t>
      </w:r>
    </w:p>
    <w:p>
      <w:pPr>
        <w:pStyle w:val="ListBullet"/>
        <w:spacing w:before="0" w:after="0" w:line="240" w:lineRule="auto"/>
      </w:pPr>
      <w:r>
        <w:rPr>
          <w:sz w:val="18"/>
        </w:rPr>
        <w:t>Part I — VS Code Assessment</w:t>
      </w:r>
    </w:p>
    <w:p>
      <w:pPr>
        <w:pStyle w:val="ListBullet"/>
        <w:spacing w:before="0" w:after="0" w:line="240" w:lineRule="auto"/>
      </w:pPr>
      <w:r>
        <w:rPr>
          <w:sz w:val="18"/>
        </w:rPr>
        <w:t>VS Code Purpose and Function</w:t>
      </w:r>
    </w:p>
    <w:p>
      <w:pPr>
        <w:pStyle w:val="ListBullet"/>
        <w:spacing w:before="0" w:after="0" w:line="240" w:lineRule="auto"/>
      </w:pPr>
      <w:r>
        <w:rPr>
          <w:sz w:val="18"/>
        </w:rPr>
        <w:t>VS Code Architecture</w:t>
      </w:r>
    </w:p>
    <w:p>
      <w:pPr>
        <w:pStyle w:val="ListBullet"/>
        <w:spacing w:before="0" w:after="0" w:line="240" w:lineRule="auto"/>
      </w:pPr>
      <w:r>
        <w:rPr>
          <w:sz w:val="18"/>
        </w:rPr>
        <w:t>VS Code Trust Boundaries and Workspace Trust</w:t>
      </w:r>
    </w:p>
    <w:p>
      <w:pPr>
        <w:pStyle w:val="ListBullet"/>
        <w:spacing w:before="0" w:after="0" w:line="240" w:lineRule="auto"/>
      </w:pPr>
      <w:r>
        <w:rPr>
          <w:sz w:val="18"/>
        </w:rPr>
        <w:t>VS Code Installation Manifest and Uninstall Behaviour</w:t>
      </w:r>
    </w:p>
    <w:p>
      <w:pPr>
        <w:pStyle w:val="ListBullet"/>
        <w:spacing w:before="0" w:after="0" w:line="240" w:lineRule="auto"/>
      </w:pPr>
      <w:r>
        <w:rPr>
          <w:sz w:val="18"/>
        </w:rPr>
        <w:t>VS Code Authentication and Credential Storage</w:t>
      </w:r>
    </w:p>
    <w:p>
      <w:pPr>
        <w:pStyle w:val="ListBullet"/>
        <w:spacing w:before="0" w:after="0" w:line="240" w:lineRule="auto"/>
      </w:pPr>
      <w:r>
        <w:rPr>
          <w:sz w:val="18"/>
        </w:rPr>
        <w:t>VS Code Data Flows</w:t>
      </w:r>
    </w:p>
    <w:p>
      <w:pPr>
        <w:pStyle w:val="ListBullet"/>
        <w:spacing w:before="0" w:after="0" w:line="240" w:lineRule="auto"/>
      </w:pPr>
      <w:r>
        <w:rPr>
          <w:sz w:val="18"/>
        </w:rPr>
        <w:t>VS Code Workspace Indexing and Automatic Upload</w:t>
      </w:r>
    </w:p>
    <w:p>
      <w:pPr>
        <w:pStyle w:val="ListBullet"/>
        <w:spacing w:before="0" w:after="0" w:line="240" w:lineRule="auto"/>
      </w:pPr>
      <w:r>
        <w:rPr>
          <w:sz w:val="18"/>
        </w:rPr>
        <w:t>VS Code Agent Authority and Command Execution</w:t>
      </w:r>
    </w:p>
    <w:p>
      <w:pPr>
        <w:pStyle w:val="ListBullet"/>
        <w:spacing w:before="0" w:after="0" w:line="240" w:lineRule="auto"/>
      </w:pPr>
      <w:r>
        <w:rPr>
          <w:sz w:val="18"/>
        </w:rPr>
        <w:t>VS Code MCP and External Tool Integrations</w:t>
      </w:r>
    </w:p>
    <w:p>
      <w:pPr>
        <w:pStyle w:val="ListBullet"/>
        <w:spacing w:before="0" w:after="0" w:line="240" w:lineRule="auto"/>
      </w:pPr>
      <w:r>
        <w:rPr>
          <w:sz w:val="18"/>
        </w:rPr>
        <w:t>VS Code Webviews and Content Security Policy</w:t>
      </w:r>
    </w:p>
    <w:p>
      <w:pPr>
        <w:pStyle w:val="ListBullet"/>
        <w:spacing w:before="0" w:after="0" w:line="240" w:lineRule="auto"/>
      </w:pPr>
      <w:r>
        <w:rPr>
          <w:sz w:val="18"/>
        </w:rPr>
        <w:t>Consolidated Supply Chain</w:t>
      </w:r>
    </w:p>
    <w:p>
      <w:pPr>
        <w:pStyle w:val="ListBullet"/>
        <w:spacing w:before="0" w:after="0" w:line="240" w:lineRule="auto"/>
      </w:pPr>
      <w:r>
        <w:rPr>
          <w:sz w:val="18"/>
        </w:rPr>
        <w:t>VS Code Static Malware Review</w:t>
      </w:r>
    </w:p>
    <w:p>
      <w:pPr>
        <w:pStyle w:val="ListBullet"/>
        <w:spacing w:before="0" w:after="0" w:line="240" w:lineRule="auto"/>
      </w:pPr>
      <w:r>
        <w:rPr>
          <w:sz w:val="18"/>
        </w:rPr>
        <w:t>VS Code SBOM and Vulnerability Triage</w:t>
      </w:r>
    </w:p>
    <w:p>
      <w:pPr>
        <w:pStyle w:val="ListBullet"/>
        <w:spacing w:before="0" w:after="0" w:line="240" w:lineRule="auto"/>
      </w:pPr>
      <w:r>
        <w:rPr>
          <w:sz w:val="18"/>
        </w:rPr>
        <w:t>VS Code Runtime Processes, Network, Telemetry and Updates</w:t>
      </w:r>
    </w:p>
    <w:p>
      <w:pPr>
        <w:pStyle w:val="ListBullet"/>
        <w:spacing w:before="0" w:after="0" w:line="240" w:lineRule="auto"/>
      </w:pPr>
      <w:r>
        <w:rPr>
          <w:sz w:val="18"/>
        </w:rPr>
        <w:t>Privacy &amp; Data Protection Assessment</w:t>
      </w:r>
    </w:p>
    <w:p>
      <w:pPr>
        <w:pStyle w:val="ListBullet"/>
        <w:spacing w:before="0" w:after="0" w:line="240" w:lineRule="auto"/>
      </w:pPr>
      <w:r>
        <w:rPr>
          <w:sz w:val="18"/>
        </w:rPr>
        <w:t>VS Code Regulatory and Operational-Resilience Considerations</w:t>
      </w:r>
    </w:p>
    <w:p>
      <w:pPr>
        <w:pStyle w:val="ListBullet"/>
        <w:spacing w:before="0" w:after="0" w:line="240" w:lineRule="auto"/>
      </w:pPr>
      <w:r>
        <w:rPr>
          <w:sz w:val="18"/>
        </w:rPr>
        <w:t>Framework Mappings</w:t>
      </w:r>
    </w:p>
    <w:p>
      <w:pPr>
        <w:pStyle w:val="ListBullet"/>
        <w:spacing w:before="0" w:after="0" w:line="240" w:lineRule="auto"/>
      </w:pPr>
      <w:r>
        <w:rPr>
          <w:sz w:val="18"/>
        </w:rPr>
        <w:t>Threat Model and Abuse Cases</w:t>
      </w:r>
    </w:p>
    <w:p>
      <w:pPr>
        <w:pStyle w:val="ListBullet"/>
        <w:spacing w:before="0" w:after="0" w:line="240" w:lineRule="auto"/>
      </w:pPr>
      <w:r>
        <w:rPr>
          <w:sz w:val="18"/>
        </w:rPr>
        <w:t>VS Code Residual Risk, Confidence and Verification</w:t>
      </w:r>
    </w:p>
    <w:p>
      <w:pPr>
        <w:pStyle w:val="ListBullet"/>
        <w:spacing w:before="0" w:after="0" w:line="240" w:lineRule="auto"/>
      </w:pPr>
      <w:r>
        <w:rPr>
          <w:sz w:val="18"/>
        </w:rPr>
        <w:t>Part II — Visual Studio Assessment</w:t>
      </w:r>
    </w:p>
    <w:p>
      <w:pPr>
        <w:pStyle w:val="ListBullet"/>
        <w:spacing w:before="0" w:after="0" w:line="240" w:lineRule="auto"/>
      </w:pPr>
      <w:r>
        <w:rPr>
          <w:sz w:val="18"/>
        </w:rPr>
        <w:t>Part III — Installed Agent Skills</w:t>
      </w:r>
    </w:p>
    <w:p>
      <w:pPr>
        <w:pStyle w:val="ListBullet"/>
        <w:spacing w:before="0" w:after="0" w:line="240" w:lineRule="auto"/>
      </w:pPr>
      <w:r>
        <w:rPr>
          <w:sz w:val="18"/>
        </w:rPr>
        <w:t>Cross-IDE Comparison</w:t>
      </w:r>
    </w:p>
    <w:p>
      <w:pPr>
        <w:pStyle w:val="ListBullet"/>
        <w:spacing w:before="0" w:after="0" w:line="240" w:lineRule="auto"/>
      </w:pPr>
      <w:r>
        <w:rPr>
          <w:sz w:val="18"/>
        </w:rPr>
        <w:t>Threats, Findings and Risk Summary</w:t>
      </w:r>
    </w:p>
    <w:p>
      <w:pPr>
        <w:pStyle w:val="ListBullet"/>
        <w:spacing w:before="0" w:after="0" w:line="240" w:lineRule="auto"/>
      </w:pPr>
      <w:r>
        <w:rPr>
          <w:sz w:val="18"/>
        </w:rPr>
        <w:t>Enterprise Controls Roadmap</w:t>
      </w:r>
    </w:p>
    <w:p>
      <w:pPr>
        <w:pStyle w:val="ListBullet"/>
        <w:spacing w:before="0" w:after="0" w:line="240" w:lineRule="auto"/>
      </w:pPr>
      <w:r>
        <w:rPr>
          <w:sz w:val="18"/>
        </w:rPr>
        <w:t>Detection Opportunities and Monitoring Plan</w:t>
      </w:r>
    </w:p>
    <w:p>
      <w:pPr>
        <w:pStyle w:val="ListBullet"/>
        <w:spacing w:before="0" w:after="0" w:line="240" w:lineRule="auto"/>
      </w:pPr>
      <w:r>
        <w:rPr>
          <w:sz w:val="18"/>
        </w:rPr>
        <w:t>Limitations and Confidence Levels</w:t>
      </w:r>
    </w:p>
    <w:p>
      <w:pPr>
        <w:pStyle w:val="ListBullet"/>
        <w:spacing w:before="0" w:after="0" w:line="240" w:lineRule="auto"/>
      </w:pPr>
      <w:r>
        <w:rPr>
          <w:sz w:val="18"/>
        </w:rPr>
        <w:t>Residual Risk and Approval Recommendation</w:t>
      </w:r>
    </w:p>
    <w:p>
      <w:pPr>
        <w:pStyle w:val="ListBullet"/>
        <w:spacing w:before="0" w:after="0" w:line="240" w:lineRule="auto"/>
      </w:pPr>
      <w:r>
        <w:rPr>
          <w:sz w:val="18"/>
        </w:rPr>
        <w:t>Verification Tests and Closure Plan</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t>Executive Summary</w:t>
      </w:r>
    </w:p>
    <w:p>
      <w:r>
        <w:t>Decision: Defer pending evidence. Overall residual risk: High. This assessment is scoped to In scope: Microsoft Visual Studio Code desktop using the retained stable Marketplace package., Static platform scope: the platform-neutral package and all bundled native prebuilds; behavioural platform scope remains Blocked., Not applicable: Microsoft Visual Studio; no matching product package or compatibility claim was established. version 0.890.3 and is based on the evidence state and limitations recorded below.</w:t>
      </w:r>
    </w:p>
    <w:p>
      <w:pPr>
        <w:pStyle w:val="ListBullet"/>
      </w:pPr>
      <w:r>
        <w:t xml:space="preserve">Defer production and regulated-data approval because representative runtime enforcement, actual data flows and service-side lifecycle controls were not observed. </w:t>
      </w:r>
      <w:hyperlink w:anchor="REF_016">
        <w:r>
          <w:rPr>
            <w:rStyle w:val="Hyperlink"/>
          </w:rPr>
          <w:t>REF-016</w:t>
        </w:r>
      </w:hyperlink>
      <w:r>
        <w:t xml:space="preserve"> </w:t>
      </w:r>
      <w:hyperlink w:anchor="REF_018">
        <w:r>
          <w:rPr>
            <w:rStyle w:val="Hyperlink"/>
          </w:rPr>
          <w:t>REF-018</w:t>
        </w:r>
      </w:hyperlink>
    </w:p>
    <w:p>
      <w:pPr>
        <w:pStyle w:val="ListBullet"/>
      </w:pPr>
      <w:r>
        <w:t xml:space="preserve">Do not configure Augment or third-party integration tokens in augment.advanced settings; require a publisher migration to VS Code SecretStorage before credentials are used. </w:t>
      </w:r>
      <w:hyperlink w:anchor="REF_011">
        <w:r>
          <w:rPr>
            <w:rStyle w:val="Hyperlink"/>
          </w:rPr>
          <w:t>REF-011</w:t>
        </w:r>
      </w:hyperlink>
      <w:r>
        <w:t xml:space="preserve"> </w:t>
      </w:r>
      <w:hyperlink w:anchor="REF_012">
        <w:r>
          <w:rPr>
            <w:rStyle w:val="Hyperlink"/>
          </w:rPr>
          <w:t>REF-012</w:t>
        </w:r>
      </w:hyperlink>
    </w:p>
    <w:p>
      <w:pPr>
        <w:pStyle w:val="ListBullet"/>
      </w:pPr>
      <w:r>
        <w:t xml:space="preserve">Gate automatic workspace indexing and prohibit customer, claims, production, confidential or regulated data until the pre-transfer inventory, ignore controls, purposes, transfers, retention and deletion are verified. </w:t>
      </w:r>
      <w:hyperlink w:anchor="REF_002">
        <w:r>
          <w:rPr>
            <w:rStyle w:val="Hyperlink"/>
          </w:rPr>
          <w:t>REF-002</w:t>
        </w:r>
      </w:hyperlink>
      <w:r>
        <w:t xml:space="preserve"> </w:t>
      </w:r>
      <w:hyperlink w:anchor="REF_019">
        <w:r>
          <w:rPr>
            <w:rStyle w:val="Hyperlink"/>
          </w:rPr>
          <w:t>REF-019</w:t>
        </w:r>
      </w:hyperlink>
    </w:p>
    <w:p>
      <w:pPr>
        <w:pStyle w:val="ListBullet"/>
      </w:pPr>
      <w:r>
        <w:t xml:space="preserve">Treat agent, terminal and MCP capabilities as privileged endpoint automation; the documented CLI permission model does not apply inside the code extension. </w:t>
      </w:r>
      <w:hyperlink w:anchor="REF_003">
        <w:r>
          <w:rPr>
            <w:rStyle w:val="Hyperlink"/>
          </w:rPr>
          <w:t>REF-003</w:t>
        </w:r>
      </w:hyperlink>
      <w:r>
        <w:t xml:space="preserve"> </w:t>
      </w:r>
      <w:hyperlink w:anchor="REF_004">
        <w:r>
          <w:rPr>
            <w:rStyle w:val="Hyperlink"/>
          </w:rPr>
          <w:t>REF-004</w:t>
        </w:r>
      </w:hyperlink>
      <w:r>
        <w:t xml:space="preserve"> </w:t>
      </w:r>
      <w:hyperlink w:anchor="REF_013">
        <w:r>
          <w:rPr>
            <w:rStyle w:val="Hyperlink"/>
          </w:rPr>
          <w:t>REF-013</w:t>
        </w:r>
      </w:hyperlink>
    </w:p>
    <w:p>
      <w:pPr>
        <w:pStyle w:val="ListBullet"/>
      </w:pPr>
      <w:r>
        <w:t>Require version-bound source or provenance and a signed package-specific SBOM because the minified bundle and native prebuilds cannot be completely reconciled with public source or standard dependency tooling.</w:t>
      </w:r>
    </w:p>
    <w:p>
      <w:pPr>
        <w:pStyle w:val="ListBullet"/>
      </w:pPr>
      <w:r>
        <w:t xml:space="preserve">Allow reconsideration of a bounded synthetic-data pilot only after technical containment, enterprise privacy terms, monitoring, incident response and tested exit controls are complete. </w:t>
      </w:r>
      <w:hyperlink w:anchor="REF_020">
        <w:r>
          <w:rPr>
            <w:rStyle w:val="Hyperlink"/>
          </w:rPr>
          <w:t>REF-020</w:t>
        </w:r>
      </w:hyperlink>
      <w:r>
        <w:t xml:space="preserve"> </w:t>
      </w:r>
      <w:hyperlink w:anchor="REF_021">
        <w:r>
          <w:rPr>
            <w:rStyle w:val="Hyperlink"/>
          </w:rPr>
          <w:t>REF-021</w:t>
        </w:r>
      </w:hyperlink>
    </w:p>
    <w:p>
      <w:pPr>
        <w:pStyle w:val="Heading2"/>
      </w:pPr>
      <w:r>
        <w:t>Approval Conditions and Immediate Actions</w:t>
      </w:r>
    </w:p>
    <w:p>
      <w:pPr>
        <w:pStyle w:val="ListNumber"/>
      </w:pPr>
      <w:r>
        <w:t>Use only synthetic code, identities, credentials and data in a disposable least-privilege restricted-egress host.</w:t>
      </w:r>
    </w:p>
    <w:p>
      <w:pPr>
        <w:pStyle w:val="ListNumber"/>
      </w:pPr>
      <w:r>
        <w:t>Migrate or prohibit all token-bearing augment.advanced settings and verify VS Code SecretStorage, redaction, rotation and revocation.</w:t>
      </w:r>
    </w:p>
    <w:p>
      <w:pPr>
        <w:pStyle w:val="ListNumber"/>
      </w:pPr>
      <w:r>
        <w:t>Keep Workspace Trust enabled, prohibit extension overrides in Restricted Mode and test indexing, commands and views before trust.</w:t>
      </w:r>
    </w:p>
    <w:p>
      <w:pPr>
        <w:pStyle w:val="ListNumber"/>
      </w:pPr>
      <w:r>
        <w:t>Gate indexing, enforce a centrally managed deny baseline and prove ignored, nested, symlinked, deleted and sensitive files remain outside transmission.</w:t>
      </w:r>
    </w:p>
    <w:p>
      <w:pPr>
        <w:pStyle w:val="ListNumber"/>
      </w:pPr>
      <w:r>
        <w:t>Implement extension-specific action previews and allow, ask and deny enforcement; prove a denial cannot be bypassed through terminal, MCP, web or subagent paths.</w:t>
      </w:r>
    </w:p>
    <w:p>
      <w:pPr>
        <w:pStyle w:val="ListNumber"/>
      </w:pPr>
      <w:r>
        <w:t>Disable project-defined MCP auto-start and allowlist pinned server identities, transports, tools, roots, credentials and destinations.</w:t>
      </w:r>
    </w:p>
    <w:p>
      <w:pPr>
        <w:pStyle w:val="ListNumber"/>
      </w:pPr>
      <w:r>
        <w:t>Replace wildcard egress with observed service-specific destinations and separately control authentication, indexing, model, telemetry, update and MCP traffic.</w:t>
      </w:r>
    </w:p>
    <w:p>
      <w:pPr>
        <w:pStyle w:val="ListNumber"/>
      </w:pPr>
      <w:r>
        <w:t>Capture the active CSP for every webview; remove unsafe-eval, unnecessary unsafe-inline and remote executable scripts or document and mitigate the exceptional requirement.</w:t>
      </w:r>
    </w:p>
    <w:p>
      <w:pPr>
        <w:pStyle w:val="ListNumber"/>
      </w:pPr>
      <w:r>
        <w:t>Obtain a signed package-specific SBOM, version-bound source or provenance, native binary provenance, licence inventory and vulnerability disposition.</w:t>
      </w:r>
    </w:p>
    <w:p>
      <w:pPr>
        <w:pStyle w:val="ListNumber"/>
      </w:pPr>
      <w:r>
        <w:t>Execute an enterprise DPA and transfer controls covering roles, purposes, training, subprocessors, locations, retention, deletion, rights, audit and incidents.</w:t>
      </w:r>
    </w:p>
    <w:p>
      <w:pPr>
        <w:pStyle w:val="ListNumber"/>
      </w:pPr>
      <w:r>
        <w:t>Run and retain the complete representative runtime, update, disable, uninstall, residue, revocation and service-side deletion matrix.</w:t>
      </w:r>
    </w:p>
    <w:p>
      <w:pPr>
        <w:pStyle w:val="ListNumber"/>
      </w:pPr>
      <w:r>
        <w:t>Require independent human review, tests, protected branches and ordinary change control for all generated code and tool-driven changes.</w:t>
      </w:r>
    </w:p>
    <w:p>
      <w:pPr>
        <w:pStyle w:val="ListNumber"/>
      </w:pPr>
      <w:r>
        <w:t>Establish privacy-preserving monitoring, stop conditions, incident response, business continuity, data export and tested exit before operational reliance.</w:t>
      </w:r>
    </w:p>
    <w:p>
      <w:pPr>
        <w:pStyle w:val="Heading2"/>
      </w:pPr>
      <w:r>
        <w:t>Architecture and Trust-Boundary Figure</w:t>
      </w:r>
    </w:p>
    <w:p>
      <w:r>
        <w:drawing>
          <wp:inline xmlns:a="http://schemas.openxmlformats.org/drawingml/2006/main" xmlns:pic="http://schemas.openxmlformats.org/drawingml/2006/picture">
            <wp:extent cx="5943600" cy="2971800"/>
            <wp:docPr id="1" name="Augment Code trust boundaries and principal data flows" title="Augment Code trust boundaries and principal data flows" descr="Diagram showing the developer and VS Code connected to the Augment extension, workspace and terminal, MCP servers, and remote Augment and integration services. Arrows show code context, tool authority, credentials, network data and updates."/>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2971800"/>
                    </a:xfrm>
                    <a:prstGeom prst="rect"/>
                  </pic:spPr>
                </pic:pic>
              </a:graphicData>
            </a:graphic>
          </wp:inline>
        </w:drawing>
      </w:r>
    </w:p>
    <w:p>
      <w:pPr>
        <w:pStyle w:val="Caption"/>
      </w:pPr>
      <w:r>
        <w:t>Figure 1 — Augment Code trust boundaries and principal data flows</w:t>
      </w:r>
    </w:p>
    <w:p>
      <w:pPr>
        <w:pStyle w:val="Heading1"/>
      </w:pPr>
      <w:r>
        <w:t>Purpose &amp; Function Overview</w:t>
      </w:r>
    </w:p>
    <w:p>
      <w:r>
        <w:t xml:space="preserve">This assessment determines whether Augment Code for Visual Studio Code 0.890.3 can be introduced into a Large UK Insurance development environment. It evaluates the exact retained Marketplace package, declared capabilities, official documentation, public privacy and security statements, static scanner evidence, supply-chain provenance and enterprise control requirements. Static analysis, static malware review, privacy assessment and runtime analysis were all selected. Runtime remained selected but representative behavioural testing was Blocked because no disposable restricted-egress host was available. The decision is therefore Defer pending evidence with High overall residual risk; this is an evidence-sufficiency and governance conclusion, not an allegation that the product is malicious. </w:t>
      </w:r>
      <w:hyperlink w:anchor="REF_001">
        <w:r>
          <w:rPr>
            <w:rStyle w:val="Hyperlink"/>
          </w:rPr>
          <w:t>REF-001</w:t>
        </w:r>
      </w:hyperlink>
      <w:r>
        <w:t xml:space="preserve"> </w:t>
      </w:r>
      <w:hyperlink w:anchor="REF_018">
        <w:r>
          <w:rPr>
            <w:rStyle w:val="Hyperlink"/>
          </w:rPr>
          <w:t>REF-018</w:t>
        </w:r>
      </w:hyperlink>
    </w:p>
    <w:p>
      <w:r>
        <w:t xml:space="preserve">Augment is an agentic coding product rather than a passive text-completion component. Official documentation and the retained bundle establish codebase indexing, remote model interaction, workspace reads, file change capability, terminal and tool pathways, remote and local MCP connectivity, webviews and third-party integrations. Those capabilities can provide material productivity value, but they place the extension in a privileged trust position between untrusted repository content, developer identity, enterprise source, local processes and remote services. Production approval therefore depends on containment, explicit authority, data governance, vendor commitments and observed runtime enforcement. </w:t>
      </w:r>
      <w:hyperlink w:anchor="REF_002">
        <w:r>
          <w:rPr>
            <w:rStyle w:val="Hyperlink"/>
          </w:rPr>
          <w:t>REF-002</w:t>
        </w:r>
      </w:hyperlink>
      <w:r>
        <w:t xml:space="preserve"> </w:t>
      </w:r>
      <w:hyperlink w:anchor="REF_003">
        <w:r>
          <w:rPr>
            <w:rStyle w:val="Hyperlink"/>
          </w:rPr>
          <w:t>REF-003</w:t>
        </w:r>
      </w:hyperlink>
      <w:r>
        <w:t xml:space="preserve"> </w:t>
      </w:r>
      <w:hyperlink w:anchor="REF_013">
        <w:r>
          <w:rPr>
            <w:rStyle w:val="Hyperlink"/>
          </w:rPr>
          <w:t>REF-013</w:t>
        </w:r>
      </w:hyperlink>
    </w:p>
    <w:p>
      <w:pPr>
        <w:pStyle w:val="ListBullet"/>
      </w:pPr>
      <w:r>
        <w:t>Production or regulated-data use: not approved.</w:t>
      </w:r>
    </w:p>
    <w:p>
      <w:pPr>
        <w:pStyle w:val="ListBullet"/>
      </w:pPr>
      <w:r>
        <w:t>Synthetic-data pilot: reconsider only after every mandatory condition is evidenced.</w:t>
      </w:r>
    </w:p>
    <w:p>
      <w:pPr>
        <w:pStyle w:val="ListBullet"/>
      </w:pPr>
      <w:r>
        <w:t>Decision owner: accountable technology and risk owners supported by security, privacy, procurement and operational resilience.</w:t>
      </w:r>
    </w:p>
    <w:p>
      <w:pPr>
        <w:pStyle w:val="Heading1"/>
      </w:pPr>
      <w:r>
        <w:t>Product Identity and Version</w:t>
      </w:r>
    </w:p>
    <w:p>
      <w:r>
        <w:t xml:space="preserve">The exact target is the Visual Studio Marketplace extension Augment Code for Visual Studio Code, identifier augment.vscode-augment, publisher augment and display publisher Augment Computing, assessed at stable version 0.890.3. The Marketplace also exposed a later pre-release version, but it was not selected. The package manifest independently confirms the extension identifier, version, Node entry point, VS Code engine requirement and activation events. These cross-checks reduce the risk of assessing a similarly named wrapper, CLI, website or unrelated integration. </w:t>
      </w:r>
      <w:hyperlink w:anchor="REF_001">
        <w:r>
          <w:rPr>
            <w:rStyle w:val="Hyperlink"/>
          </w:rPr>
          <w:t>REF-001</w:t>
        </w:r>
      </w:hyperlink>
      <w:r>
        <w:t xml:space="preserve"> </w:t>
      </w:r>
      <w:hyperlink w:anchor="REF_024">
        <w:r>
          <w:rPr>
            <w:rStyle w:val="Hyperlink"/>
          </w:rPr>
          <w:t>REF-024</w:t>
        </w:r>
      </w:hyperlink>
    </w:p>
    <w:p>
      <w:r>
        <w:t>The retained VSIX is 14,656,963 bytes with SHA-256 1361d186b802dcbb448b67b851de37dca6308f2f9e7f40d601cb883ec72f2949. That digest exactly matches the Marketplace package digest. The signed signature manifest also binds the package and every retained member digest. These are strong integrity observations for the acquired bytes, but generic OpenSSL verification did not independently validate the platform-specific detached CMS signature. Managed rollout must use the verified identity and reject publisher, identifier, version or digest drift rather than treating an install count as assurance.</w:t>
      </w:r>
    </w:p>
    <w:p>
      <w:pPr>
        <w:pStyle w:val="Caption"/>
      </w:pPr>
      <w:r>
        <w:rPr>
          <w:b/>
        </w:rPr>
        <w:t>Assessed identity</w:t>
      </w:r>
    </w:p>
    <w:tbl>
      <w:tblPr>
        <w:tblStyle w:val="TableGrid"/>
        <w:tblW w:type="dxa" w:w="9360"/>
        <w:tblLayout w:type="fixed"/>
        <w:tblLook w:firstColumn="1" w:firstRow="1" w:lastColumn="0" w:lastRow="0" w:noHBand="0" w:noVBand="1" w:val="04A0"/>
        <w:tblInd w:w="120" w:type="dxa"/>
      </w:tblPr>
      <w:tblGrid>
        <w:gridCol w:w="1680"/>
        <w:gridCol w:w="7680"/>
      </w:tblGrid>
      <w:tr>
        <w:trPr>
          <w:tblHeader w:val="true"/>
        </w:trPr>
        <w:tc>
          <w:tcPr>
            <w:tcW w:type="dxa" w:w="1680"/>
            <w:shd w:fill="F2F4F7"/>
            <w:vAlign w:val="center"/>
            <w:tcMar>
              <w:top w:w="80" w:type="dxa"/>
              <w:start w:w="120" w:type="dxa"/>
              <w:bottom w:w="80" w:type="dxa"/>
              <w:end w:w="120" w:type="dxa"/>
            </w:tcMar>
          </w:tcPr>
          <w:p>
            <w:r>
              <w:rPr>
                <w:b/>
                <w:sz w:val="16"/>
              </w:rPr>
              <w:t>Attribute</w:t>
            </w:r>
          </w:p>
        </w:tc>
        <w:tc>
          <w:tcPr>
            <w:tcW w:type="dxa" w:w="7680"/>
            <w:shd w:fill="F2F4F7"/>
            <w:vAlign w:val="center"/>
            <w:tcMar>
              <w:top w:w="80" w:type="dxa"/>
              <w:start w:w="120" w:type="dxa"/>
              <w:bottom w:w="80" w:type="dxa"/>
              <w:end w:w="120" w:type="dxa"/>
            </w:tcMar>
          </w:tcPr>
          <w:p>
            <w:r>
              <w:rPr>
                <w:b/>
                <w:sz w:val="16"/>
              </w:rPr>
              <w:t>Value</w:t>
            </w:r>
          </w:p>
        </w:tc>
      </w:tr>
      <w:tr>
        <w:tc>
          <w:tcPr>
            <w:tcW w:type="dxa" w:w="1680"/>
            <w:vAlign w:val="center"/>
            <w:tcMar>
              <w:top w:w="80" w:type="dxa"/>
              <w:start w:w="120" w:type="dxa"/>
              <w:bottom w:w="80" w:type="dxa"/>
              <w:end w:w="120" w:type="dxa"/>
            </w:tcMar>
          </w:tcPr>
          <w:p>
            <w:r>
              <w:rPr>
                <w:sz w:val="16"/>
              </w:rPr>
              <w:t>Marketplace</w:t>
            </w:r>
          </w:p>
        </w:tc>
        <w:tc>
          <w:tcPr>
            <w:tcW w:type="dxa" w:w="7680"/>
            <w:vAlign w:val="center"/>
            <w:tcMar>
              <w:top w:w="80" w:type="dxa"/>
              <w:start w:w="120" w:type="dxa"/>
              <w:bottom w:w="80" w:type="dxa"/>
              <w:end w:w="120" w:type="dxa"/>
            </w:tcMar>
          </w:tcPr>
          <w:p>
            <w:r>
              <w:rPr>
                <w:sz w:val="16"/>
              </w:rPr>
              <w:t>Visual Studio Marketplace</w:t>
            </w:r>
          </w:p>
        </w:tc>
      </w:tr>
      <w:tr>
        <w:tc>
          <w:tcPr>
            <w:tcW w:type="dxa" w:w="1680"/>
            <w:vAlign w:val="center"/>
            <w:tcMar>
              <w:top w:w="80" w:type="dxa"/>
              <w:start w:w="120" w:type="dxa"/>
              <w:bottom w:w="80" w:type="dxa"/>
              <w:end w:w="120" w:type="dxa"/>
            </w:tcMar>
          </w:tcPr>
          <w:p>
            <w:r>
              <w:rPr>
                <w:sz w:val="16"/>
              </w:rPr>
              <w:t>Publisher</w:t>
            </w:r>
          </w:p>
        </w:tc>
        <w:tc>
          <w:tcPr>
            <w:tcW w:type="dxa" w:w="7680"/>
            <w:vAlign w:val="center"/>
            <w:tcMar>
              <w:top w:w="80" w:type="dxa"/>
              <w:start w:w="120" w:type="dxa"/>
              <w:bottom w:w="80" w:type="dxa"/>
              <w:end w:w="120" w:type="dxa"/>
            </w:tcMar>
          </w:tcPr>
          <w:p>
            <w:r>
              <w:rPr>
                <w:sz w:val="16"/>
              </w:rPr>
              <w:t>augment / Augment Computing</w:t>
            </w:r>
          </w:p>
        </w:tc>
      </w:tr>
      <w:tr>
        <w:tc>
          <w:tcPr>
            <w:tcW w:type="dxa" w:w="1680"/>
            <w:vAlign w:val="center"/>
            <w:tcMar>
              <w:top w:w="80" w:type="dxa"/>
              <w:start w:w="120" w:type="dxa"/>
              <w:bottom w:w="80" w:type="dxa"/>
              <w:end w:w="120" w:type="dxa"/>
            </w:tcMar>
          </w:tcPr>
          <w:p>
            <w:r>
              <w:rPr>
                <w:sz w:val="16"/>
              </w:rPr>
              <w:t>Identifier</w:t>
            </w:r>
          </w:p>
        </w:tc>
        <w:tc>
          <w:tcPr>
            <w:tcW w:type="dxa" w:w="7680"/>
            <w:vAlign w:val="center"/>
            <w:tcMar>
              <w:top w:w="80" w:type="dxa"/>
              <w:start w:w="120" w:type="dxa"/>
              <w:bottom w:w="80" w:type="dxa"/>
              <w:end w:w="120" w:type="dxa"/>
            </w:tcMar>
          </w:tcPr>
          <w:p>
            <w:r>
              <w:rPr>
                <w:sz w:val="16"/>
              </w:rPr>
              <w:t>augment.vscode-augment</w:t>
            </w:r>
          </w:p>
        </w:tc>
      </w:tr>
      <w:tr>
        <w:tc>
          <w:tcPr>
            <w:tcW w:type="dxa" w:w="1680"/>
            <w:vAlign w:val="center"/>
            <w:tcMar>
              <w:top w:w="80" w:type="dxa"/>
              <w:start w:w="120" w:type="dxa"/>
              <w:bottom w:w="80" w:type="dxa"/>
              <w:end w:w="120" w:type="dxa"/>
            </w:tcMar>
          </w:tcPr>
          <w:p>
            <w:r>
              <w:rPr>
                <w:sz w:val="16"/>
              </w:rPr>
              <w:t>Stable version</w:t>
            </w:r>
          </w:p>
        </w:tc>
        <w:tc>
          <w:tcPr>
            <w:tcW w:type="dxa" w:w="7680"/>
            <w:vAlign w:val="center"/>
            <w:tcMar>
              <w:top w:w="80" w:type="dxa"/>
              <w:start w:w="120" w:type="dxa"/>
              <w:bottom w:w="80" w:type="dxa"/>
              <w:end w:w="120" w:type="dxa"/>
            </w:tcMar>
          </w:tcPr>
          <w:p>
            <w:r>
              <w:rPr>
                <w:sz w:val="16"/>
              </w:rPr>
              <w:t>0.890.3</w:t>
            </w:r>
          </w:p>
        </w:tc>
      </w:tr>
      <w:tr>
        <w:tc>
          <w:tcPr>
            <w:tcW w:type="dxa" w:w="1680"/>
            <w:vAlign w:val="center"/>
            <w:tcMar>
              <w:top w:w="80" w:type="dxa"/>
              <w:start w:w="120" w:type="dxa"/>
              <w:bottom w:w="80" w:type="dxa"/>
              <w:end w:w="120" w:type="dxa"/>
            </w:tcMar>
          </w:tcPr>
          <w:p>
            <w:r>
              <w:rPr>
                <w:sz w:val="16"/>
              </w:rPr>
              <w:t>VSIX SHA-256</w:t>
            </w:r>
          </w:p>
        </w:tc>
        <w:tc>
          <w:tcPr>
            <w:tcW w:type="dxa" w:w="7680"/>
            <w:vAlign w:val="center"/>
            <w:tcMar>
              <w:top w:w="80" w:type="dxa"/>
              <w:start w:w="120" w:type="dxa"/>
              <w:bottom w:w="80" w:type="dxa"/>
              <w:end w:w="120" w:type="dxa"/>
            </w:tcMar>
          </w:tcPr>
          <w:p>
            <w:r>
              <w:rPr>
                <w:sz w:val="16"/>
              </w:rPr>
              <w:t>1361d186b802dcbb448b67b851de37dca6308f2f9e7f40d601cb883ec72f2949</w:t>
            </w:r>
          </w:p>
        </w:tc>
      </w:tr>
      <w:tr>
        <w:tc>
          <w:tcPr>
            <w:tcW w:type="dxa" w:w="1680"/>
            <w:vAlign w:val="center"/>
            <w:tcMar>
              <w:top w:w="80" w:type="dxa"/>
              <w:start w:w="120" w:type="dxa"/>
              <w:bottom w:w="80" w:type="dxa"/>
              <w:end w:w="120" w:type="dxa"/>
            </w:tcMar>
          </w:tcPr>
          <w:p>
            <w:r>
              <w:rPr>
                <w:sz w:val="16"/>
              </w:rPr>
              <w:t>IDE</w:t>
            </w:r>
          </w:p>
        </w:tc>
        <w:tc>
          <w:tcPr>
            <w:tcW w:type="dxa" w:w="7680"/>
            <w:vAlign w:val="center"/>
            <w:tcMar>
              <w:top w:w="80" w:type="dxa"/>
              <w:start w:w="120" w:type="dxa"/>
              <w:bottom w:w="80" w:type="dxa"/>
              <w:end w:w="120" w:type="dxa"/>
            </w:tcMar>
          </w:tcPr>
          <w:p>
            <w:r>
              <w:rPr>
                <w:sz w:val="16"/>
              </w:rPr>
              <w:t>Visual Studio Code desktop</w:t>
            </w:r>
          </w:p>
        </w:tc>
      </w:tr>
    </w:tbl>
    <w:p/>
    <w:p>
      <w:pPr>
        <w:pStyle w:val="Heading1"/>
      </w:pPr>
      <w:r>
        <w:t>Scope, Assumptions, Methodology and Assessment Criteria</w:t>
      </w:r>
    </w:p>
    <w:p>
      <w:r>
        <w:t>Scope is deliberately per IDE. Visual Studio Code desktop is in scope; Microsoft Visual Studio is Not applicable because no Visual Studio package or compatibility claim was found for this Marketplace identity. The retained package includes native prebuilds for several operating-system and architecture combinations, but only archive-level static analysis was completed. Browser-only hosts, remote development, containers, Codespaces, pre-release 0.893.0 and future releases are outside the assessed identity. The enterprise context is a managed Large UK Insurance developer endpoint using synthetic data for evaluation.</w:t>
      </w:r>
    </w:p>
    <w:p>
      <w:r>
        <w:t>Methods included immutable acquisition, hashing, bounded archive inventory, manifest inspection, isolated installation-manifest capture, antivirus and YARA scanning, Semgrep signal triage, package-component inventory, advisory lookup, official-document review, privacy analysis, architecture modelling, framework mapping and evidence-led risk scoring. Scanner outputs were treated as leads rather than findings. Prohibited activity included production accounts, customer or claims data, unrestricted callbacks, credential collection, persistence, destructive testing, detonating native binaries and activating the extension on the normal user profile.</w:t>
      </w:r>
    </w:p>
    <w:p>
      <w:pPr>
        <w:pStyle w:val="ListBullet"/>
      </w:pPr>
      <w:r>
        <w:t>Static package analysis: completed with minification and source-availability limitations.</w:t>
      </w:r>
    </w:p>
    <w:p>
      <w:pPr>
        <w:pStyle w:val="ListBullet"/>
      </w:pPr>
      <w:r>
        <w:t>Static malware review: completed with database-age and no-detonation limitations.</w:t>
      </w:r>
    </w:p>
    <w:p>
      <w:pPr>
        <w:pStyle w:val="ListBullet"/>
      </w:pPr>
      <w:r>
        <w:t>Privacy review: completed from public sources; enterprise contractual evidence remains absent.</w:t>
      </w:r>
    </w:p>
    <w:p>
      <w:pPr>
        <w:pStyle w:val="ListBullet"/>
      </w:pPr>
      <w:r>
        <w:t>Runtime analysis: selected and Blocked, not silently changed to No.</w:t>
      </w:r>
    </w:p>
    <w:p>
      <w:pPr>
        <w:pStyle w:val="Heading1"/>
      </w:pPr>
      <w:r>
        <w:t>Large UK Insurance Enterprise Context</w:t>
      </w:r>
    </w:p>
    <w:p>
      <w:r>
        <w:t xml:space="preserve">A large insurer's repositories may contain proprietary pricing logic, underwriting models, claims workflows, customer-impacting controls, security architecture, credentials, personal data and special-category data. A coding agent may encounter those categories even when the user's prompt is benign because indexing and tool use can traverse the workspace. The risk appetite should therefore distinguish public demonstration code from internal source and regulated data, and should prohibit production or customer content until flows, purposes, lawful basis, recipients, transfers, retention and deletion are approved. </w:t>
      </w:r>
      <w:hyperlink w:anchor="REF_019">
        <w:r>
          <w:rPr>
            <w:rStyle w:val="Hyperlink"/>
          </w:rPr>
          <w:t>REF-019</w:t>
        </w:r>
      </w:hyperlink>
      <w:r>
        <w:t xml:space="preserve"> </w:t>
      </w:r>
      <w:hyperlink w:anchor="REF_020">
        <w:r>
          <w:rPr>
            <w:rStyle w:val="Hyperlink"/>
          </w:rPr>
          <w:t>REF-020</w:t>
        </w:r>
      </w:hyperlink>
    </w:p>
    <w:p>
      <w:r>
        <w:t xml:space="preserve">The extension may also become a dependency in development processes that support important business services. Supplier outage, erroneous generated code, credential compromise, loss of auditability or an unavailable indexing service can disrupt delivery and control remediation. FCA guidance expects firms to map third-party dependencies, manage risk throughout the relationship and retain accountability; outsourcing classification and regulatory applicability depend on the firm's actual permissions, arrangement and materiality assessment. </w:t>
      </w:r>
      <w:hyperlink w:anchor="REF_021">
        <w:r>
          <w:rPr>
            <w:rStyle w:val="Hyperlink"/>
          </w:rPr>
          <w:t>REF-021</w:t>
        </w:r>
      </w:hyperlink>
      <w:r>
        <w:t xml:space="preserve"> </w:t>
      </w:r>
      <w:hyperlink w:anchor="REF_022">
        <w:r>
          <w:rPr>
            <w:rStyle w:val="Hyperlink"/>
          </w:rPr>
          <w:t>REF-022</w:t>
        </w:r>
      </w:hyperlink>
    </w:p>
    <w:p>
      <w:pPr>
        <w:pStyle w:val="Heading1"/>
      </w:pPr>
      <w:r>
        <w:t>Part I — VS Code Assessment</w:t>
      </w:r>
    </w:p>
    <w:p>
      <w:r>
        <w:t>The VS Code decision covers only the exact Marketplace identity and version recorded above. The package uses a Node extension-host entry point and activates after startup and for settings and Mermaid webview panels. It contributes 56 commands and an extensive configuration surface. The extension therefore participates in editor startup, code context, settings, webviews, network communications, authentication, indexing, MCP and agent workflows. Each boundary must be controlled independently rather than relying on model instructions as a security boundary.</w:t>
      </w:r>
    </w:p>
    <w:p>
      <w:r>
        <w:t>Positive controls include exact Marketplace digest agreement, complete signed member-digest agreement, bounded archive safety, use of VS Code SecretStorage for observed primary session and BYOK keys, and no static malware detection in the retained bytes. Material gaps include token-bearing plaintext settings, no declared Workspace Trust capability, remote-script-capable webview policies, absent public version-bound source, incomplete component visibility and no representative behavioural evidence.</w:t>
      </w:r>
    </w:p>
    <w:p>
      <w:pPr>
        <w:pStyle w:val="Heading1"/>
      </w:pPr>
      <w:r>
        <w:t>VS Code Purpose and Function</w:t>
      </w:r>
    </w:p>
    <w:p>
      <w:r>
        <w:t xml:space="preserve">Official materials describe codebase-aware completion and an agent that can reason over a large repository, modify files and use tools. Workspace indexing automatically uploads code when an Augment-enabled workspace is opened, subject to documented ignore controls. The extension also exposes settings, chat, codebase, usage and Mermaid interfaces and can connect external tools through MCP. This combination creates data movement and action capability from normal editor interactions rather than only from an explicit one-shot API call. </w:t>
      </w:r>
      <w:hyperlink w:anchor="REF_002">
        <w:r>
          <w:rPr>
            <w:rStyle w:val="Hyperlink"/>
          </w:rPr>
          <w:t>REF-002</w:t>
        </w:r>
      </w:hyperlink>
      <w:r>
        <w:t xml:space="preserve"> </w:t>
      </w:r>
      <w:hyperlink w:anchor="REF_003">
        <w:r>
          <w:rPr>
            <w:rStyle w:val="Hyperlink"/>
          </w:rPr>
          <w:t>REF-003</w:t>
        </w:r>
      </w:hyperlink>
    </w:p>
    <w:p>
      <w:r>
        <w:t>The correct enterprise abstraction is privileged developer automation. The extension can influence source integrity and development outcomes, and it can mediate sensitive context to a remote service. Generated code and tool decisions remain untrusted until independently reviewed, tested and passed through ordinary change control. A deployment should prevent the product from becoming an approval oracle for its own output or from bypassing repository protections through a user-level shell or token.</w:t>
      </w:r>
    </w:p>
    <w:p>
      <w:pPr>
        <w:pStyle w:val="Heading1"/>
      </w:pPr>
      <w:r>
        <w:t>VS Code Architecture</w:t>
      </w:r>
    </w:p>
    <w:p>
      <w:r>
        <w:t>The main trust-boundary components are the developer, managed endpoint, VS Code workbench, extension host, Augment bundle and native modules, workspace and ignore policy, local terminals and subprocesses, MCP servers, Augment service, model providers, telemetry endpoints, third-party integrations and update channel. Data and authority cross several of these boundaries in a single agent turn. Repository content and tool output are attacker-controlled inputs; model output is untrusted guidance; credentials and source are high-value assets; remote services and MCP servers are independent security principals.</w:t>
      </w:r>
    </w:p>
    <w:p>
      <w:r>
        <w:t>The package contains 1,488 archive entries expanding to 43,948,686 bytes, 825 script or executable members and 20 native .node members representing ten distinct prebuild levels duplicated across two package locations. The native set covers Android, Linux, Windows and macOS variants. This broad package shape increases static review and platform variance. It does not itself prove a vulnerability, but rollout must test the actual platform path and ensure unused binaries cannot expand the trusted computing base unnecessarily.</w:t>
      </w:r>
    </w:p>
    <w:p>
      <w:pPr>
        <w:pStyle w:val="Heading1"/>
      </w:pPr>
      <w:r>
        <w:t>VS Code Trust Boundaries and Workspace Trust</w:t>
      </w:r>
    </w:p>
    <w:p>
      <w:r>
        <w:t xml:space="preserve">The manifest does not declare an untrustedWorkspaces capability. VS Code documentation explains that an extension without declared support is disabled in Restricted Mode unless a user or policy overrides it. That platform default is useful, but it is not equivalent to product-specific restricted-mode enforcement. Enterprises should keep Workspace Trust enabled, prevent overrides for this extension, separate evaluation repositories from trusted parent folders and test commands, views, indexing and agent activation before trust. </w:t>
      </w:r>
      <w:hyperlink w:anchor="REF_009">
        <w:r>
          <w:rPr>
            <w:rStyle w:val="Hyperlink"/>
          </w:rPr>
          <w:t>REF-009</w:t>
        </w:r>
      </w:hyperlink>
      <w:r>
        <w:t xml:space="preserve"> </w:t>
      </w:r>
      <w:hyperlink w:anchor="REF_010">
        <w:r>
          <w:rPr>
            <w:rStyle w:val="Hyperlink"/>
          </w:rPr>
          <w:t>REF-010</w:t>
        </w:r>
      </w:hyperlink>
    </w:p>
    <w:p>
      <w:r>
        <w:t xml:space="preserve">Once a workspace is trusted, repository files, instructions, issue text, generated documentation, terminal output and tool descriptions remain untrusted content. A developer may legitimately trust a repository's code origin without intending every natural-language string to control an agent. Host controls must therefore bound filesystem roots, process execution, network destinations and credentials even after workspace trust is granted, and tests must cover direct and indirect prompt injection. </w:t>
      </w:r>
      <w:hyperlink w:anchor="REF_013">
        <w:r>
          <w:rPr>
            <w:rStyle w:val="Hyperlink"/>
          </w:rPr>
          <w:t>REF-013</w:t>
        </w:r>
      </w:hyperlink>
      <w:r>
        <w:t xml:space="preserve"> </w:t>
      </w:r>
      <w:hyperlink w:anchor="REF_015">
        <w:r>
          <w:rPr>
            <w:rStyle w:val="Hyperlink"/>
          </w:rPr>
          <w:t>REF-015</w:t>
        </w:r>
      </w:hyperlink>
    </w:p>
    <w:p>
      <w:pPr>
        <w:pStyle w:val="Heading1"/>
      </w:pPr>
      <w:r>
        <w:t>VS Code Installation Manifest and Uninstall Behaviour</w:t>
      </w:r>
    </w:p>
    <w:p>
      <w:r>
        <w:t>The available CLI was resolved through /usr/local/bin/code to the Visual Studio Code application bundle and reported VS Code 1.131.0 arm64. The retained VSIX was installed only into task-owned temporary user-data and extension directories with telemetry disabled. The CLI returned success and listed exactly augment.vscode-augment@0.890.3. This demonstrates package installability and identity without placing the extension in the normal profile or intentionally activating its code.</w:t>
      </w:r>
    </w:p>
    <w:p>
      <w:r>
        <w:t xml:space="preserve">Installation evidence does not answer first-run authentication, indexing initiation, update, disable, uninstall or residue behaviour. The manifest exposes no assessed uninstall hook, but absence of a hook does not prove state removal. A representative runtime test must inventory user data, global storage, secrets, logs, caches, indexed workspace state, MCP configuration and service-side data before and after disable and uninstall. It must distinguish extension-owned data from shared or server-side state and verify token revocation and deletion paths. </w:t>
      </w:r>
      <w:hyperlink w:anchor="REF_024">
        <w:r>
          <w:rPr>
            <w:rStyle w:val="Hyperlink"/>
          </w:rPr>
          <w:t>REF-024</w:t>
        </w:r>
      </w:hyperlink>
    </w:p>
    <w:p>
      <w:pPr>
        <w:pStyle w:val="Heading1"/>
      </w:pPr>
      <w:r>
        <w:t>VS Code Authentication and Credential Storage</w:t>
      </w:r>
    </w:p>
    <w:p>
      <w:r>
        <w:t xml:space="preserve">Static review found that the primary authentication session and observed BYOK provider keys use VS Code SecretStorage, an encrypted platform-backed facility that is not synced between machines. That is a meaningful control. Microsoft recommends SecretStorage for persisted passwords and secrets and cautions against plaintext state. The extension should apply the same protection consistently to all credentials rather than creating a weaker legacy or advanced path. </w:t>
      </w:r>
      <w:hyperlink w:anchor="REF_011">
        <w:r>
          <w:rPr>
            <w:rStyle w:val="Hyperlink"/>
          </w:rPr>
          <w:t>REF-011</w:t>
        </w:r>
      </w:hyperlink>
      <w:r>
        <w:t xml:space="preserve"> </w:t>
      </w:r>
      <w:hyperlink w:anchor="REF_012">
        <w:r>
          <w:rPr>
            <w:rStyle w:val="Hyperlink"/>
          </w:rPr>
          <w:t>REF-012</w:t>
        </w:r>
      </w:hyperlink>
    </w:p>
    <w:p>
      <w:r>
        <w:t>The augment.advanced setting object declares a direct Augment apiToken and third-party integration tokens for Atlassian, GitHub, Linear and Notion as ordinary string settings. VS Code settings can exist at user, remote or workspace scope and may be copied, backed up, exported or committed depending on policy and user action. Even without a live token, declaring secrets in the settings schema creates a confirmed unsafe storage design. Those fields should be deprecated and migrated to SecretStorage with redaction, rotation and a fail-closed refusal of workspace-scoped token values.</w:t>
      </w:r>
    </w:p>
    <w:p>
      <w:pPr>
        <w:pStyle w:val="Heading1"/>
      </w:pPr>
      <w:r>
        <w:t>VS Code Data Flows</w:t>
      </w:r>
    </w:p>
    <w:p>
      <w:r>
        <w:t>Potential outbound content includes repository files, filenames, paths, prompts, selected code, agent-read code, diffs, diagnostics, terminal output, tool results, MCP resources, integration data, account metadata and telemetry. Local persistent content may include settings, secrets, conversations, logs, indexes, caches, checkpoints and tool configuration. Each category can contain proprietary source, personal data, security information or credentials. A deployer needs a field-level map from source to recipient, location, purpose, lawful basis, retention and deletion route rather than a generic statement that data is encrypted.</w:t>
      </w:r>
    </w:p>
    <w:p>
      <w:r>
        <w:t xml:space="preserve">Runtime capture must use synthetic canary markers for source, filenames, credentials and personal data. It should separately observe authentication, indexing, completion, agent, telemetry, update, webview, MCP and integration traffic and determine whether optional flows can be disabled. Payload review must avoid real secrets and production data. The official wildcard network guidance is operationally convenient but too broad for a high-assurance allowlist without observed destinations, certificate policy and service ownership. </w:t>
      </w:r>
      <w:hyperlink w:anchor="REF_005">
        <w:r>
          <w:rPr>
            <w:rStyle w:val="Hyperlink"/>
          </w:rPr>
          <w:t>REF-005</w:t>
        </w:r>
      </w:hyperlink>
      <w:r>
        <w:t xml:space="preserve"> </w:t>
      </w:r>
      <w:hyperlink w:anchor="REF_019">
        <w:r>
          <w:rPr>
            <w:rStyle w:val="Hyperlink"/>
          </w:rPr>
          <w:t>REF-019</w:t>
        </w:r>
      </w:hyperlink>
    </w:p>
    <w:p>
      <w:pPr>
        <w:pStyle w:val="Heading1"/>
      </w:pPr>
      <w:r>
        <w:t>VS Code Workspace Indexing and Automatic Upload</w:t>
      </w:r>
    </w:p>
    <w:p>
      <w:r>
        <w:t xml:space="preserve">Official documentation states that code is automatically uploaded when a workspace is opened with Augment enabled. It documents .gitignore and .augmentignore controls and permits negation patterns that can re-include otherwise ignored content. Automatic initiation is a material privacy and source-governance boundary because users can trigger transfer by opening a repository, while ignore syntax can be misunderstood or altered by repository content. </w:t>
      </w:r>
      <w:hyperlink w:anchor="REF_002">
        <w:r>
          <w:rPr>
            <w:rStyle w:val="Hyperlink"/>
          </w:rPr>
          <w:t>REF-002</w:t>
        </w:r>
      </w:hyperlink>
    </w:p>
    <w:p>
      <w:r>
        <w:t>A controlled pilot should disable or gate indexing until classification is known, use a centrally managed deny-by-default ignore baseline, prohibit negation that re-includes secrets or regulated data, and test symlinks, nested repositories, generated files, ignored files, large files and deleted content. It should confirm whether indexing is local or service-side, where it is processed, how quickly changes and deletions propagate, and whether users can inspect the indexed set before transmission. Automatic upload must not be permitted for repositories containing customer, claims or production data.</w:t>
      </w:r>
    </w:p>
    <w:p>
      <w:pPr>
        <w:pStyle w:val="Heading1"/>
      </w:pPr>
      <w:r>
        <w:t>VS Code Agent Authority and Command Execution</w:t>
      </w:r>
    </w:p>
    <w:p>
      <w:r>
        <w:t xml:space="preserve">The bundle and official product model provide agent and terminal pathways with broad potential effect. The exact prompt, approval timing, remembered permission scope, denial behaviour and alternate-path resistance were not observed. Model instructions and UI copy cannot substitute for an operating-system or host-enforced boundary. A prompt injection could attempt to transform read access into file modification, command execution, credential discovery or exfiltration through an allowed tool. </w:t>
      </w:r>
      <w:hyperlink w:anchor="REF_013">
        <w:r>
          <w:rPr>
            <w:rStyle w:val="Hyperlink"/>
          </w:rPr>
          <w:t>REF-013</w:t>
        </w:r>
      </w:hyperlink>
      <w:r>
        <w:t xml:space="preserve"> </w:t>
      </w:r>
      <w:hyperlink w:anchor="REF_015">
        <w:r>
          <w:rPr>
            <w:rStyle w:val="Hyperlink"/>
          </w:rPr>
          <w:t>REF-015</w:t>
        </w:r>
      </w:hyperlink>
    </w:p>
    <w:p>
      <w:r>
        <w:t>Approval must be specific, informed, timely and bound to an immutable action preview. Tests should deny a command and then attempt the same outcome through terminal text, a different command, an MCP tool, a web request and a subagent. The host should restrict executable paths, working directories, environment inheritance, sensitive roots, outbound destinations and credential availability. Privileged changes must remain subject to independent review, repository rules, tests and human merge authority.</w:t>
      </w:r>
    </w:p>
    <w:p>
      <w:pPr>
        <w:pStyle w:val="Heading1"/>
      </w:pPr>
      <w:r>
        <w:t>VS Code MCP and External Tool Integrations</w:t>
      </w:r>
    </w:p>
    <w:p>
      <w:r>
        <w:t xml:space="preserve">The advanced configuration schema permits local MCP command, argument and environment definitions. Official documentation supports local and remote MCP servers, one-click integrations, variable expansion and tool-search meta-tools. Every server adds a separate identity, transport, tool schema, resource set, credential boundary and downstream service. A malicious or compromised server can poison descriptions or outputs, request excessive authority or act as a confused deputy. </w:t>
      </w:r>
      <w:hyperlink w:anchor="REF_003">
        <w:r>
          <w:rPr>
            <w:rStyle w:val="Hyperlink"/>
          </w:rPr>
          <w:t>REF-003</w:t>
        </w:r>
      </w:hyperlink>
      <w:r>
        <w:t xml:space="preserve"> </w:t>
      </w:r>
      <w:hyperlink w:anchor="REF_014">
        <w:r>
          <w:rPr>
            <w:rStyle w:val="Hyperlink"/>
          </w:rPr>
          <w:t>REF-014</w:t>
        </w:r>
      </w:hyperlink>
    </w:p>
    <w:p>
      <w:r>
        <w:t xml:space="preserve">Official granular permission documentation explicitly states that those CLI permissions do not work inside the Augment code extension. The extension must therefore not be assumed to inherit the CLI's allow, ask and deny semantics. Enterprise use should disable project-defined auto-start, allowlist immutable server identities and transports, pin packages or images, bind least-privilege credentials, restrict roots and destinations, log consent and tool calls, and reassess whenever a server or tool schema changes. </w:t>
      </w:r>
      <w:hyperlink w:anchor="REF_004">
        <w:r>
          <w:rPr>
            <w:rStyle w:val="Hyperlink"/>
          </w:rPr>
          <w:t>REF-004</w:t>
        </w:r>
      </w:hyperlink>
    </w:p>
    <w:p>
      <w:pPr>
        <w:pStyle w:val="Heading1"/>
      </w:pPr>
      <w:r>
        <w:t>VS Code Webviews and Content Security Policy</w:t>
      </w:r>
    </w:p>
    <w:p>
      <w:r>
        <w:t>Static inspection found a CSP builder with default-src none, which is a positive baseline, but it can add remote script and connection sources for cdn.jsdelivr.net and unpkg.com with unsafe-eval, and Monaco resources from cdnjs.cloudflare.com with unsafe-inline. Other sources include Google assets, GitHub avatars, Sentry ingestion, local HTTP endpoints and VS Code CDN resources. A compromised CDN, dependency or unsafe rendering path could therefore increase webview code-execution or data-exposure risk.</w:t>
      </w:r>
    </w:p>
    <w:p>
      <w:r>
        <w:t>The exact production CSP for each webview was not captured, so the report does not claim that every source is active simultaneously or that a confirmed XSS exploit exists. Semgrep signals in bundled webview and vendor code were not sufficient to establish a source-to-sink exploit. Remediation is defence in depth: bundle and integrity-pin scripts, remove unsafe-eval and unnecessary unsafe-inline, use nonces, minimize connect-src, validate message schemas, encode rendered content and test hostile Markdown, Mermaid, tool output and external-source data.</w:t>
      </w:r>
    </w:p>
    <w:p>
      <w:pPr>
        <w:pStyle w:val="Heading1"/>
      </w:pPr>
      <w:r>
        <w:t>Consolidated Supply Chain</w:t>
      </w:r>
    </w:p>
    <w:p>
      <w:r>
        <w:t>The exact Marketplace package digest and every signed member digest matched retained evidence. Bounded archive inspection found no traversal, encryption or abnormal expansion. These are positive acquisition and integrity controls. The embedded certificate chain identifies Microsoft Corporation and Visual Studio Marketplace context, but independent platform trust remained Unknown because the generic CMS verifier did not validate the detached format despite a matching signed messageDigest. Deployment should use the platform verifier and preserve exact package identity.</w:t>
      </w:r>
    </w:p>
    <w:p>
      <w:r>
        <w:t>No official public source repository tied to 0.890.3, source map, publisher SBOM, standard lockfile or reproducible build was available. The package contains a large minified entry point, multiple native prebuilds and internal workspace dependencies. This prevents complete source-to-package comparison and materially reduces independent dependency and vulnerability assurance. The publisher should provide version-bound source or escrow, build provenance, signed SBOM, licence inventory and native binary provenance. Until then, updates require repeated package-level assessment.</w:t>
      </w:r>
    </w:p>
    <w:p>
      <w:pPr>
        <w:pStyle w:val="Heading1"/>
      </w:pPr>
      <w:r>
        <w:t>VS Code Static Malware Review</w:t>
      </w:r>
    </w:p>
    <w:p>
      <w:r>
        <w:t>ClamAV scanned 1,486 files and reported zero infected files. Assessment-specific YARA rules for private keys, encoded PowerShell, reverse-shell patterns, mining protocol strings and curl or wget pipe-to-shell patterns produced no match. The archive inventory also found no structural anomalies. These results reduce the likelihood of common known malware in the retained bytes but do not establish behavioural safety or absence of obfuscated, novel or environment-triggered code.</w:t>
      </w:r>
    </w:p>
    <w:p>
      <w:r>
        <w:t>The ClamAV database was dated 2026-07-25 and generated an age warning. Native modules were inventoried but not executed or dynamically instrumented. The extension bundle is heavily minified and contains legitimate command, network, telemetry and dynamic web functionality that can overlap with generic heuristics. Any future alert must be dispositioned against package identity and behaviour; any package digest change invalidates this result and requires reacquisition and rescanning.</w:t>
      </w:r>
    </w:p>
    <w:p>
      <w:pPr>
        <w:pStyle w:val="Heading1"/>
      </w:pPr>
      <w:r>
        <w:t>VS Code SBOM and Vulnerability Triage</w:t>
      </w:r>
    </w:p>
    <w:p>
      <w:r>
        <w:t>Syft generated an essentially empty CycloneDX result, Trivy detected no supported language target and Grype reported no matches against the empty SBOM. OSV identified four vendored source component instances for leveldb and snappy and returned no known vulnerabilities. The assessment-specific manifest walker found 34 package manifests and 15 unique component identities. These results must not be summarized as a complete clean dependency scan because the distribution layout defeats normal lockfile and package-manager discovery.</w:t>
      </w:r>
    </w:p>
    <w:p>
      <w:r>
        <w:t>The package ships no standard dependency lockfile or publisher SBOM, declares internal workspace dependencies and bundles transitive code into minified assets. Component versions, reachability and licences are therefore incomplete. Before approval the publisher should provide a signed package-specific SBOM and advisory disposition, including native dependencies. Enterprise monitoring should compare each update's SBOM, package digest, native inventory and known vulnerabilities and should block a release when component visibility regresses.</w:t>
      </w:r>
    </w:p>
    <w:p>
      <w:pPr>
        <w:pStyle w:val="Heading1"/>
      </w:pPr>
      <w:r>
        <w:t>VS Code Runtime Processes, Network, Telemetry and Updates</w:t>
      </w:r>
    </w:p>
    <w:p>
      <w:r>
        <w:t>The CLI correction established that VS Code 1.131.0 was available and that the package could be installed in an isolated temporary profile. It did not provide a restricted-egress disposable host, and the extension was not activated. Process trees, child commands, filesystem access, authentication, prompts, index upload, agent actions, MCP behaviour, telemetry, update, uninstall and residue therefore remain Blocked. The runtime selection remains Yes; the evidence state is Blocked rather than Not applicable or Not observed.</w:t>
      </w:r>
    </w:p>
    <w:p>
      <w:r>
        <w:t>Closure requires a non-production identity, synthetic canary workspace, disposable OS account or VM, no personal browser or shell session, no SSH or cloud agents, explicit egress mediation and packet capture. Tests must cover first run, denial, remembered approvals, workspace trust, ignored data, local and remote MCP, hostile content, offline failure, update, downgrade, disable, uninstall, token revocation and service-side deletion. Results must be version- and platform-bound and preserved without secrets.</w:t>
      </w:r>
    </w:p>
    <w:p>
      <w:pPr>
        <w:pStyle w:val="Heading1"/>
      </w:pPr>
      <w:r>
        <w:t>Privacy &amp; Data Protection Assessment</w:t>
      </w:r>
    </w:p>
    <w:p>
      <w:r>
        <w:t xml:space="preserve">The public privacy policy describes United States processing and storage and references standard contractual clauses or other mechanisms for transfers. It gives general purpose and retention statements but not a package-specific field-level schedule or fixed retention periods for every coding workflow. The security page states that customer proprietary data is not used for model training and lists security assurance claims. These statements are useful procurement inputs, not a substitute for an executed DPA, subprocessor schedule, audit evidence or deletion verification. </w:t>
      </w:r>
      <w:hyperlink w:anchor="REF_006">
        <w:r>
          <w:rPr>
            <w:rStyle w:val="Hyperlink"/>
          </w:rPr>
          <w:t>REF-006</w:t>
        </w:r>
      </w:hyperlink>
      <w:r>
        <w:t xml:space="preserve"> </w:t>
      </w:r>
      <w:hyperlink w:anchor="REF_007">
        <w:r>
          <w:rPr>
            <w:rStyle w:val="Hyperlink"/>
          </w:rPr>
          <w:t>REF-007</w:t>
        </w:r>
      </w:hyperlink>
    </w:p>
    <w:p>
      <w:r>
        <w:t xml:space="preserve">For a UK insurer, each processing operation needs a defined purpose, lawful basis, role allocation, minimisation, retention, access control, transfer mechanism, data-protection test where applicable, rights process and breach route. A DPIA is likely appropriate before sensitive deployment because automatic indexing and agent-selected context can process personal data at scale or outside the user's immediate view. The ICO notes that AI does not displace lawfulness, transparency, minimisation, storage limitation, security and accountability. </w:t>
      </w:r>
      <w:hyperlink w:anchor="REF_019">
        <w:r>
          <w:rPr>
            <w:rStyle w:val="Hyperlink"/>
          </w:rPr>
          <w:t>REF-019</w:t>
        </w:r>
      </w:hyperlink>
      <w:r>
        <w:t xml:space="preserve"> </w:t>
      </w:r>
      <w:hyperlink w:anchor="REF_020">
        <w:r>
          <w:rPr>
            <w:rStyle w:val="Hyperlink"/>
          </w:rPr>
          <w:t>REF-020</w:t>
        </w:r>
      </w:hyperlink>
    </w:p>
    <w:p>
      <w:pPr>
        <w:pStyle w:val="Heading1"/>
      </w:pPr>
      <w:r>
        <w:t>VS Code Regulatory and Operational-Resilience Considerations</w:t>
      </w:r>
    </w:p>
    <w:p>
      <w:r>
        <w:t xml:space="preserve">The assessment does not determine the target firm's FCA or PRA status or whether the arrangement is material outsourcing. Accountable owners must make that determination from actual use, supported business services, data and dependency. Regardless of classification, the firm remains responsible for third-party risk, operational continuity and regulatory obligations. Contracts should cover service levels, incident notice, audit, subprocessing, location, security, exit, deletion, portability and material change. </w:t>
      </w:r>
      <w:hyperlink w:anchor="REF_021">
        <w:r>
          <w:rPr>
            <w:rStyle w:val="Hyperlink"/>
          </w:rPr>
          <w:t>REF-021</w:t>
        </w:r>
      </w:hyperlink>
    </w:p>
    <w:p>
      <w:r>
        <w:t xml:space="preserve">If Augment supports an important business service or an essential development and remediation process, the firm should map its people, technology, information and third-party dependencies, set impact tolerances where required and test severe but plausible disruption. Exit planning should include disabled service operation, export of configurations and conversations where appropriate, credential revocation, source and data deletion, replacement tooling and evidence that uninstall does not disrupt unrelated developer state. </w:t>
      </w:r>
      <w:hyperlink w:anchor="REF_022">
        <w:r>
          <w:rPr>
            <w:rStyle w:val="Hyperlink"/>
          </w:rPr>
          <w:t>REF-022</w:t>
        </w:r>
      </w:hyperlink>
    </w:p>
    <w:p>
      <w:pPr>
        <w:pStyle w:val="Heading1"/>
      </w:pPr>
      <w:r>
        <w:t>Framework Mappings</w:t>
      </w:r>
    </w:p>
    <w:p>
      <w:r>
        <w:t xml:space="preserve">OWASP Agentic guidance is relevant to goal hijacking, tool misuse, identity and privilege abuse, insecure inter-agent communication and insufficient monitoring. OWASP MCP guidance applies to server identity, context integrity, tool poisoning, insecure configuration and credential handling. MITRE ATLAS adds adversary techniques for prompt injection, agent tool poisoning, credential harvesting, configuration modification, host escape and exfiltration through tool invocation. These mappings organize tests; they do not convert a hypothetical path into a confirmed vulnerability. </w:t>
      </w:r>
      <w:hyperlink w:anchor="REF_013">
        <w:r>
          <w:rPr>
            <w:rStyle w:val="Hyperlink"/>
          </w:rPr>
          <w:t>REF-013</w:t>
        </w:r>
      </w:hyperlink>
      <w:r>
        <w:t xml:space="preserve"> </w:t>
      </w:r>
      <w:hyperlink w:anchor="REF_014">
        <w:r>
          <w:rPr>
            <w:rStyle w:val="Hyperlink"/>
          </w:rPr>
          <w:t>REF-014</w:t>
        </w:r>
      </w:hyperlink>
      <w:r>
        <w:t xml:space="preserve"> </w:t>
      </w:r>
      <w:hyperlink w:anchor="REF_015">
        <w:r>
          <w:rPr>
            <w:rStyle w:val="Hyperlink"/>
          </w:rPr>
          <w:t>REF-015</w:t>
        </w:r>
      </w:hyperlink>
    </w:p>
    <w:p>
      <w:r>
        <w:t xml:space="preserve">NIST AI RMF functions support governance, context mapping, measurement and treatment across the deployment lifecycle, while NIST AI 600-1 adds generative-AI concerns. NCSC guidance supports secure design, development, deployment and operation, including restrictions on external actions and data sent to external APIs. ISO/IEC 27001 provides the surrounding risk-management system for access control, supplier assurance, incident response and continual improvement. </w:t>
      </w:r>
      <w:hyperlink w:anchor="REF_016">
        <w:r>
          <w:rPr>
            <w:rStyle w:val="Hyperlink"/>
          </w:rPr>
          <w:t>REF-016</w:t>
        </w:r>
      </w:hyperlink>
      <w:r>
        <w:t xml:space="preserve"> </w:t>
      </w:r>
      <w:hyperlink w:anchor="REF_017">
        <w:r>
          <w:rPr>
            <w:rStyle w:val="Hyperlink"/>
          </w:rPr>
          <w:t>REF-017</w:t>
        </w:r>
      </w:hyperlink>
      <w:r>
        <w:t xml:space="preserve"> </w:t>
      </w:r>
      <w:hyperlink w:anchor="REF_018">
        <w:r>
          <w:rPr>
            <w:rStyle w:val="Hyperlink"/>
          </w:rPr>
          <w:t>REF-018</w:t>
        </w:r>
      </w:hyperlink>
      <w:r>
        <w:t xml:space="preserve"> </w:t>
      </w:r>
      <w:hyperlink w:anchor="REF_023">
        <w:r>
          <w:rPr>
            <w:rStyle w:val="Hyperlink"/>
          </w:rPr>
          <w:t>REF-023</w:t>
        </w:r>
      </w:hyperlink>
    </w:p>
    <w:p>
      <w:pPr>
        <w:pStyle w:val="Caption"/>
      </w:pPr>
      <w:r>
        <w:rPr>
          <w:b/>
        </w:rPr>
        <w:t>Selected framework mapping</w:t>
      </w:r>
    </w:p>
    <w:tbl>
      <w:tblPr>
        <w:tblStyle w:val="TableGrid"/>
        <w:tblW w:type="dxa" w:w="9360"/>
        <w:tblLayout w:type="fixed"/>
        <w:tblLook w:firstColumn="1" w:firstRow="1" w:lastColumn="0" w:lastRow="0" w:noHBand="0" w:noVBand="1" w:val="04A0"/>
        <w:tblInd w:w="120" w:type="dxa"/>
      </w:tblPr>
      <w:tblGrid>
        <w:gridCol w:w="1170"/>
        <w:gridCol w:w="4346"/>
        <w:gridCol w:w="3844"/>
      </w:tblGrid>
      <w:tr>
        <w:trPr>
          <w:tblHeader w:val="true"/>
        </w:trPr>
        <w:tc>
          <w:tcPr>
            <w:tcW w:type="dxa" w:w="1170"/>
            <w:shd w:fill="F2F4F7"/>
            <w:vAlign w:val="center"/>
            <w:tcMar>
              <w:top w:w="80" w:type="dxa"/>
              <w:start w:w="120" w:type="dxa"/>
              <w:bottom w:w="80" w:type="dxa"/>
              <w:end w:w="120" w:type="dxa"/>
            </w:tcMar>
          </w:tcPr>
          <w:p>
            <w:r>
              <w:rPr>
                <w:b/>
                <w:sz w:val="16"/>
              </w:rPr>
              <w:t>Framework</w:t>
            </w:r>
          </w:p>
        </w:tc>
        <w:tc>
          <w:tcPr>
            <w:tcW w:type="dxa" w:w="4346"/>
            <w:shd w:fill="F2F4F7"/>
            <w:vAlign w:val="center"/>
            <w:tcMar>
              <w:top w:w="80" w:type="dxa"/>
              <w:start w:w="120" w:type="dxa"/>
              <w:bottom w:w="80" w:type="dxa"/>
              <w:end w:w="120" w:type="dxa"/>
            </w:tcMar>
          </w:tcPr>
          <w:p>
            <w:r>
              <w:rPr>
                <w:b/>
                <w:sz w:val="16"/>
              </w:rPr>
              <w:t>Application</w:t>
            </w:r>
          </w:p>
        </w:tc>
        <w:tc>
          <w:tcPr>
            <w:tcW w:type="dxa" w:w="3844"/>
            <w:shd w:fill="F2F4F7"/>
            <w:vAlign w:val="center"/>
            <w:tcMar>
              <w:top w:w="80" w:type="dxa"/>
              <w:start w:w="120" w:type="dxa"/>
              <w:bottom w:w="80" w:type="dxa"/>
              <w:end w:w="120" w:type="dxa"/>
            </w:tcMar>
          </w:tcPr>
          <w:p>
            <w:r>
              <w:rPr>
                <w:b/>
                <w:sz w:val="16"/>
              </w:rPr>
              <w:t>Required evidence</w:t>
            </w:r>
          </w:p>
        </w:tc>
      </w:tr>
      <w:tr>
        <w:tc>
          <w:tcPr>
            <w:tcW w:type="dxa" w:w="1170"/>
            <w:vAlign w:val="center"/>
            <w:tcMar>
              <w:top w:w="80" w:type="dxa"/>
              <w:start w:w="120" w:type="dxa"/>
              <w:bottom w:w="80" w:type="dxa"/>
              <w:end w:w="120" w:type="dxa"/>
            </w:tcMar>
          </w:tcPr>
          <w:p>
            <w:r>
              <w:rPr>
                <w:sz w:val="16"/>
              </w:rPr>
              <w:t>OWASP Agentic</w:t>
            </w:r>
          </w:p>
        </w:tc>
        <w:tc>
          <w:tcPr>
            <w:tcW w:type="dxa" w:w="4346"/>
            <w:vAlign w:val="center"/>
            <w:tcMar>
              <w:top w:w="80" w:type="dxa"/>
              <w:start w:w="120" w:type="dxa"/>
              <w:bottom w:w="80" w:type="dxa"/>
              <w:end w:w="120" w:type="dxa"/>
            </w:tcMar>
          </w:tcPr>
          <w:p>
            <w:r>
              <w:rPr>
                <w:sz w:val="16"/>
              </w:rPr>
              <w:t>Goal hijack, tool misuse, identity and monitoring</w:t>
            </w:r>
          </w:p>
        </w:tc>
        <w:tc>
          <w:tcPr>
            <w:tcW w:type="dxa" w:w="3844"/>
            <w:vAlign w:val="center"/>
            <w:tcMar>
              <w:top w:w="80" w:type="dxa"/>
              <w:start w:w="120" w:type="dxa"/>
              <w:bottom w:w="80" w:type="dxa"/>
              <w:end w:w="120" w:type="dxa"/>
            </w:tcMar>
          </w:tcPr>
          <w:p>
            <w:r>
              <w:rPr>
                <w:sz w:val="16"/>
              </w:rPr>
              <w:t>Injection and denied-action bypass tests</w:t>
            </w:r>
          </w:p>
        </w:tc>
      </w:tr>
      <w:tr>
        <w:tc>
          <w:tcPr>
            <w:tcW w:type="dxa" w:w="1170"/>
            <w:vAlign w:val="center"/>
            <w:tcMar>
              <w:top w:w="80" w:type="dxa"/>
              <w:start w:w="120" w:type="dxa"/>
              <w:bottom w:w="80" w:type="dxa"/>
              <w:end w:w="120" w:type="dxa"/>
            </w:tcMar>
          </w:tcPr>
          <w:p>
            <w:r>
              <w:rPr>
                <w:sz w:val="16"/>
              </w:rPr>
              <w:t>OWASP MCP</w:t>
            </w:r>
          </w:p>
        </w:tc>
        <w:tc>
          <w:tcPr>
            <w:tcW w:type="dxa" w:w="4346"/>
            <w:vAlign w:val="center"/>
            <w:tcMar>
              <w:top w:w="80" w:type="dxa"/>
              <w:start w:w="120" w:type="dxa"/>
              <w:bottom w:w="80" w:type="dxa"/>
              <w:end w:w="120" w:type="dxa"/>
            </w:tcMar>
          </w:tcPr>
          <w:p>
            <w:r>
              <w:rPr>
                <w:sz w:val="16"/>
              </w:rPr>
              <w:t>Server, tool, context and credential boundaries</w:t>
            </w:r>
          </w:p>
        </w:tc>
        <w:tc>
          <w:tcPr>
            <w:tcW w:type="dxa" w:w="3844"/>
            <w:vAlign w:val="center"/>
            <w:tcMar>
              <w:top w:w="80" w:type="dxa"/>
              <w:start w:w="120" w:type="dxa"/>
              <w:bottom w:w="80" w:type="dxa"/>
              <w:end w:w="120" w:type="dxa"/>
            </w:tcMar>
          </w:tcPr>
          <w:p>
            <w:r>
              <w:rPr>
                <w:sz w:val="16"/>
              </w:rPr>
              <w:t>Pinned allowlist and tool-level audit</w:t>
            </w:r>
          </w:p>
        </w:tc>
      </w:tr>
      <w:tr>
        <w:tc>
          <w:tcPr>
            <w:tcW w:type="dxa" w:w="1170"/>
            <w:vAlign w:val="center"/>
            <w:tcMar>
              <w:top w:w="80" w:type="dxa"/>
              <w:start w:w="120" w:type="dxa"/>
              <w:bottom w:w="80" w:type="dxa"/>
              <w:end w:w="120" w:type="dxa"/>
            </w:tcMar>
          </w:tcPr>
          <w:p>
            <w:r>
              <w:rPr>
                <w:sz w:val="16"/>
              </w:rPr>
              <w:t>MITRE ATLAS</w:t>
            </w:r>
          </w:p>
        </w:tc>
        <w:tc>
          <w:tcPr>
            <w:tcW w:type="dxa" w:w="4346"/>
            <w:vAlign w:val="center"/>
            <w:tcMar>
              <w:top w:w="80" w:type="dxa"/>
              <w:start w:w="120" w:type="dxa"/>
              <w:bottom w:w="80" w:type="dxa"/>
              <w:end w:w="120" w:type="dxa"/>
            </w:tcMar>
          </w:tcPr>
          <w:p>
            <w:r>
              <w:rPr>
                <w:sz w:val="16"/>
              </w:rPr>
              <w:t>Prompt, tool, credential and exfiltration techniques</w:t>
            </w:r>
          </w:p>
        </w:tc>
        <w:tc>
          <w:tcPr>
            <w:tcW w:type="dxa" w:w="3844"/>
            <w:vAlign w:val="center"/>
            <w:tcMar>
              <w:top w:w="80" w:type="dxa"/>
              <w:start w:w="120" w:type="dxa"/>
              <w:bottom w:w="80" w:type="dxa"/>
              <w:end w:w="120" w:type="dxa"/>
            </w:tcMar>
          </w:tcPr>
          <w:p>
            <w:r>
              <w:rPr>
                <w:sz w:val="16"/>
              </w:rPr>
              <w:t>Synthetic adversarial scenarios</w:t>
            </w:r>
          </w:p>
        </w:tc>
      </w:tr>
      <w:tr>
        <w:tc>
          <w:tcPr>
            <w:tcW w:type="dxa" w:w="1170"/>
            <w:vAlign w:val="center"/>
            <w:tcMar>
              <w:top w:w="80" w:type="dxa"/>
              <w:start w:w="120" w:type="dxa"/>
              <w:bottom w:w="80" w:type="dxa"/>
              <w:end w:w="120" w:type="dxa"/>
            </w:tcMar>
          </w:tcPr>
          <w:p>
            <w:r>
              <w:rPr>
                <w:sz w:val="16"/>
              </w:rPr>
              <w:t>NIST AI RMF</w:t>
            </w:r>
          </w:p>
        </w:tc>
        <w:tc>
          <w:tcPr>
            <w:tcW w:type="dxa" w:w="4346"/>
            <w:vAlign w:val="center"/>
            <w:tcMar>
              <w:top w:w="80" w:type="dxa"/>
              <w:start w:w="120" w:type="dxa"/>
              <w:bottom w:w="80" w:type="dxa"/>
              <w:end w:w="120" w:type="dxa"/>
            </w:tcMar>
          </w:tcPr>
          <w:p>
            <w:r>
              <w:rPr>
                <w:sz w:val="16"/>
              </w:rPr>
              <w:t>Govern, Map, Measure and Manage</w:t>
            </w:r>
          </w:p>
        </w:tc>
        <w:tc>
          <w:tcPr>
            <w:tcW w:type="dxa" w:w="3844"/>
            <w:vAlign w:val="center"/>
            <w:tcMar>
              <w:top w:w="80" w:type="dxa"/>
              <w:start w:w="120" w:type="dxa"/>
              <w:bottom w:w="80" w:type="dxa"/>
              <w:end w:w="120" w:type="dxa"/>
            </w:tcMar>
          </w:tcPr>
          <w:p>
            <w:r>
              <w:rPr>
                <w:sz w:val="16"/>
              </w:rPr>
              <w:t>Ownership, inventory, evaluation and treatment</w:t>
            </w:r>
          </w:p>
        </w:tc>
      </w:tr>
      <w:tr>
        <w:tc>
          <w:tcPr>
            <w:tcW w:type="dxa" w:w="1170"/>
            <w:vAlign w:val="center"/>
            <w:tcMar>
              <w:top w:w="80" w:type="dxa"/>
              <w:start w:w="120" w:type="dxa"/>
              <w:bottom w:w="80" w:type="dxa"/>
              <w:end w:w="120" w:type="dxa"/>
            </w:tcMar>
          </w:tcPr>
          <w:p>
            <w:r>
              <w:rPr>
                <w:sz w:val="16"/>
              </w:rPr>
              <w:t>NCSC secure AI</w:t>
            </w:r>
          </w:p>
        </w:tc>
        <w:tc>
          <w:tcPr>
            <w:tcW w:type="dxa" w:w="4346"/>
            <w:vAlign w:val="center"/>
            <w:tcMar>
              <w:top w:w="80" w:type="dxa"/>
              <w:start w:w="120" w:type="dxa"/>
              <w:bottom w:w="80" w:type="dxa"/>
              <w:end w:w="120" w:type="dxa"/>
            </w:tcMar>
          </w:tcPr>
          <w:p>
            <w:r>
              <w:rPr>
                <w:sz w:val="16"/>
              </w:rPr>
              <w:t>Secure lifecycle and external-action restriction</w:t>
            </w:r>
          </w:p>
        </w:tc>
        <w:tc>
          <w:tcPr>
            <w:tcW w:type="dxa" w:w="3844"/>
            <w:vAlign w:val="center"/>
            <w:tcMar>
              <w:top w:w="80" w:type="dxa"/>
              <w:start w:w="120" w:type="dxa"/>
              <w:bottom w:w="80" w:type="dxa"/>
              <w:end w:w="120" w:type="dxa"/>
            </w:tcMar>
          </w:tcPr>
          <w:p>
            <w:r>
              <w:rPr>
                <w:sz w:val="16"/>
              </w:rPr>
              <w:t>Deployment and operations control evidence</w:t>
            </w:r>
          </w:p>
        </w:tc>
      </w:tr>
      <w:tr>
        <w:tc>
          <w:tcPr>
            <w:tcW w:type="dxa" w:w="1170"/>
            <w:vAlign w:val="center"/>
            <w:tcMar>
              <w:top w:w="80" w:type="dxa"/>
              <w:start w:w="120" w:type="dxa"/>
              <w:bottom w:w="80" w:type="dxa"/>
              <w:end w:w="120" w:type="dxa"/>
            </w:tcMar>
          </w:tcPr>
          <w:p>
            <w:r>
              <w:rPr>
                <w:sz w:val="16"/>
              </w:rPr>
              <w:t>ISO/IEC 27001</w:t>
            </w:r>
          </w:p>
        </w:tc>
        <w:tc>
          <w:tcPr>
            <w:tcW w:type="dxa" w:w="4346"/>
            <w:vAlign w:val="center"/>
            <w:tcMar>
              <w:top w:w="80" w:type="dxa"/>
              <w:start w:w="120" w:type="dxa"/>
              <w:bottom w:w="80" w:type="dxa"/>
              <w:end w:w="120" w:type="dxa"/>
            </w:tcMar>
          </w:tcPr>
          <w:p>
            <w:r>
              <w:rPr>
                <w:sz w:val="16"/>
              </w:rPr>
              <w:t>ISMS and supplier risk</w:t>
            </w:r>
          </w:p>
        </w:tc>
        <w:tc>
          <w:tcPr>
            <w:tcW w:type="dxa" w:w="3844"/>
            <w:vAlign w:val="center"/>
            <w:tcMar>
              <w:top w:w="80" w:type="dxa"/>
              <w:start w:w="120" w:type="dxa"/>
              <w:bottom w:w="80" w:type="dxa"/>
              <w:end w:w="120" w:type="dxa"/>
            </w:tcMar>
          </w:tcPr>
          <w:p>
            <w:r>
              <w:rPr>
                <w:sz w:val="16"/>
              </w:rPr>
              <w:t>Risk treatment and control operation</w:t>
            </w:r>
          </w:p>
        </w:tc>
      </w:tr>
    </w:tbl>
    <w:p/>
    <w:p>
      <w:pPr>
        <w:pStyle w:val="Heading1"/>
      </w:pPr>
      <w:r>
        <w:t>Threat Model and Abuse Cases</w:t>
      </w:r>
    </w:p>
    <w:p>
      <w:r>
        <w:t>Priority abuse cases include malicious repository instructions causing secret reads or command execution; a poisoned MCP server manipulating tool selection; workspace ignore rules exposing regulated data; plaintext integration tokens leaking through settings; a webview rendering hostile tool or Mermaid content; a compromised remote script origin executing in the webview; a native dependency compromise; excessive telemetry; and a service outage blocking development or remediation. Each scenario crosses at least one boundary that the product cannot be assumed to enforce without evidence.</w:t>
      </w:r>
    </w:p>
    <w:p>
      <w:r>
        <w:t>Controls should combine prevention, detection and recovery: Restricted Mode, deny-by-default roots, secret isolation, process and egress containment, immutable tool allowlists, schema validation, human approval, protected branches, synthetic canaries, endpoint telemetry, service-side audit, rapid token revocation and tested exit. The residual assessment remains High because several controls are recommendations rather than observed operating controls and because runtime and contractual evidence are absent.</w:t>
      </w:r>
    </w:p>
    <w:p>
      <w:pPr>
        <w:pStyle w:val="Heading1"/>
      </w:pPr>
      <w:r>
        <w:t>VS Code Residual Risk, Confidence and Verification</w:t>
      </w:r>
    </w:p>
    <w:p>
      <w:r>
        <w:t>The VS Code residual risk is High. Confidence is High for product identity, package integrity, manifest capabilities, token-bearing settings and documented automatic indexing; Medium for webview exposure and package composition because minification and absent source reduce semantic visibility; and Unknown for runtime enforcement because activation was Blocked. These confidence statements prevent a clean static scan or Marketplace signature from being mistaken for complete product assurance.</w:t>
      </w:r>
    </w:p>
    <w:p>
      <w:r>
        <w:t>Verification must use the exact retained version and digest in a disposable restricted-egress host. Required verification procedures include permission and denial-bypass tests, workspace trust and indexing tests, synthetic data-flow capture, MCP identity and tool tests, hostile webview content, process and filesystem observation, update, disable, uninstall, residue, token revocation and service-side deletion. Evidence must identify limitations and remain free of production credentials or customer data.</w:t>
      </w:r>
    </w:p>
    <w:p>
      <w:pPr>
        <w:pStyle w:val="Heading1"/>
      </w:pPr>
      <w:r>
        <w:t>Part II — Visual Studio Assessment</w:t>
      </w:r>
    </w:p>
    <w:p>
      <w:r>
        <w:t>Decision: Not applicable. Visual Studio is unsupported and out of scope for this VS Code extension. Evidence: the Marketplace manifest declares the Visual Studio Code engine only. Limitation: no Visual Studio package or runtime was assessed. Verification: reassess if the publisher releases a Visual Studio extension or claims Visual Studio compatibility.</w:t>
      </w:r>
    </w:p>
    <w:p>
      <w:r>
        <w:t>Decision: Not applicable. The assessed identity is a Visual Studio Code extension whose manifest declares a VS Code engine and Node entry point. No Microsoft Visual Studio package, VSIX identity or compatibility statement was acquired. Findings and conditions in Part I must not be extrapolated to Visual Studio because its extension model, process boundaries, settings, authentication and deployment controls differ.</w:t>
      </w:r>
    </w:p>
    <w:p>
      <w:r>
        <w:t>For Visual Studio, purpose and function, architecture, trust boundaries, data flows, installation manifest and uninstall, runtime and activation, network, authentication, telemetry, privacy, MCP and Agent Skills, supply chain and dependencies, threats and findings, framework disposition, controls and detection, residual risk, confidence, limitations, evidence and verification are all Not applicable to this exact target. If the publisher later releases a Visual Studio product, every concept requires a separate assessment bound to the exact Visual Studio Marketplace identity, version, package digest, supported IDE versions and operating systems.</w:t>
      </w:r>
    </w:p>
    <w:p>
      <w:pPr>
        <w:pStyle w:val="Heading1"/>
      </w:pPr>
      <w:r>
        <w:t>Part III — Installed Agent Skills</w:t>
      </w:r>
    </w:p>
    <w:p>
      <w:r>
        <w:t>Decision: Not applicable. Visual Studio is unsupported and out of scope for this VS Code extension. Evidence: the Marketplace manifest declares the Visual Studio Code engine only. Limitation: no Visual Studio package or runtime was assessed. Verification: reassess if the publisher releases a Visual Studio extension or claims Visual Studio compatibility.</w:t>
      </w:r>
    </w:p>
    <w:p>
      <w:r>
        <w:t>No standalone Agent Skill package is included in the assessed VSIX, and no installed skill was executed as part of the product assessment. The extension can participate in agent and MCP workflows, but that capability must not be conflated with a separately installed, versioned Agent Skill. The installed Agent Skills disposition for this target is Not applicable, with Medium confidence because the conclusion is based on the retained package inventory and public documentation rather than activated runtime observation.</w:t>
      </w:r>
    </w:p>
    <w:p>
      <w:r>
        <w:t>If a future Augment release installs, discovers or executes Agent Skills, the assessment must inventory exact skill identities, instructions, scripts, dependencies, tool authority, roots, update channels and provenance. Each skill must be treated as untrusted executable guidance, validated independently, constrained to least privilege and included in the runtime permission, prompt-injection, monitoring and uninstall tests.</w:t>
      </w:r>
    </w:p>
    <w:p>
      <w:pPr>
        <w:pStyle w:val="Heading1"/>
      </w:pPr>
      <w:r>
        <w:t>Cross-IDE Comparison</w:t>
      </w:r>
    </w:p>
    <w:p>
      <w:r>
        <w:t>The cross-IDE comparison contains one supported surface and one Not applicable surface. Visual Studio Code has a verified Marketplace identity, package and static evidence but High residual risk and blocked runtime evidence. Microsoft Visual Studio has no assessed package and therefore no inherited approval. Installed Agent Skills are also Not applicable for the retained VSIX. Brand, backend or account commonality does not make these surfaces technically equivalent.</w:t>
      </w:r>
    </w:p>
    <w:p>
      <w:r>
        <w:t>Any future comparison must use the same evidence categories for each IDE: exact identity, version and digest; installation and uninstall; process and privilege model; authentication and secret storage; workspace or solution trust; data flows; network and telemetry; MCP and skill authority; supply chain; privacy; findings; controls; residual risk; confidence; limitations and verification. Unsupported surfaces remain Not applicable rather than being silently omitted.</w:t>
      </w:r>
    </w:p>
    <w:p>
      <w:pPr>
        <w:pStyle w:val="Heading1"/>
      </w:pPr>
      <w:r>
        <w:t>Threats, Findings and Risk Summary</w:t>
      </w:r>
    </w:p>
    <w:p>
      <w:r>
        <w:t>Seven risk records are carried forward. F-001 is a confirmed unsafe secret-storage design in advanced settings. F-002 addresses automatic workspace upload and ignore-policy risk. F-003 covers broad agent and MCP authority without extension-specific permission proof. F-004 addresses remote-script-capable and unsafe webview CSP options. F-005 captures supply-chain and component-transparency gaps. F-006 records the blocked representative runtime evidence. F-007 covers privacy, transfer and contractual assurance gaps.</w:t>
      </w:r>
    </w:p>
    <w:p>
      <w:r>
        <w:t>The scoring separates inherent likelihood and impact from residual values after verified controls. Exact package integrity, bounded archive safety, platform Restricted Mode defaults, partial SecretStorage use and clean static scans reduce some risks. They do not resolve data-governance, agent-authority, webview, supply-chain or runtime uncertainty. Risk owners should close evidence and treatment items rather than accepting a single aggregate score as a deployment decision.</w:t>
      </w:r>
    </w:p>
    <w:p>
      <w:pPr>
        <w:pStyle w:val="Heading1"/>
      </w:pPr>
      <w:r>
        <w:t>Enterprise Controls Roadmap</w:t>
      </w:r>
    </w:p>
    <w:p>
      <w:r>
        <w:t>Preventive controls are mandatory before any pilot: synthetic data and identity; disposable managed host; Workspace Trust enabled without override; no production credentials; disabled or gated indexing; central ignore policy; least-privilege filesystem and process boundaries; exact egress allowlist; extension-specific agent approvals; pinned MCP servers; no project auto-start; SecretStorage-only credentials; protected repositories; and independent testing and review of generated changes.</w:t>
      </w:r>
    </w:p>
    <w:p>
      <w:r>
        <w:t>Procurement controls must include an executed DPA, transfer mechanism and assessment, subprocessors, retention and deletion schedule, training and secondary-use restriction, security assurance, incident notification, audit rights, vulnerability management, material-change notice, service continuity, data export and exit. Technical controls cannot cure absent contractual authority for service-side processing, and contractual language cannot cure an unconstrained endpoint agent.</w:t>
      </w:r>
    </w:p>
    <w:p>
      <w:pPr>
        <w:pStyle w:val="Heading1"/>
      </w:pPr>
      <w:r>
        <w:t>Detection Opportunities and Monitoring Plan</w:t>
      </w:r>
    </w:p>
    <w:p>
      <w:r>
        <w:t>Monitoring should capture extension version and digest, activation, trust state, indexing status, destination and byte metadata, tool identity, approval and denial events, commands, file breadth, sensitive-path attempts, MCP server identity, settings changes, update, disable and uninstall. Logs must avoid prompts, source, tokens and customer data unless specifically authorised and protected. Alerting should focus on deviations: new domains, unusual repository breadth, denied-action retries, sensitive file access and unapproved MCP changes.</w:t>
      </w:r>
    </w:p>
    <w:p>
      <w:r>
        <w:t>Response playbooks should support immediate extension disablement, identity and integration token revocation, MCP isolation, network block, preservation of minimal forensic evidence, repository integrity review, generated-change rollback, vendor notification, privacy and regulatory assessment, and service-side deletion. A pilot must test these controls, not only document them. Recovery evidence should show normal development can continue without the service and that unrelated user data remains intact.</w:t>
      </w:r>
    </w:p>
    <w:p>
      <w:pPr>
        <w:pStyle w:val="Heading1"/>
      </w:pPr>
      <w:r>
        <w:t>Limitations and Confidence Levels</w:t>
      </w:r>
    </w:p>
    <w:p>
      <w:r>
        <w:t>Material limitations are explicit: no activation or network observation; no restricted-egress runtime host; no production webview CSP capture; no source-to-package comparison; no complete SBOM; no native binary detonation; no executed enterprise contract; no service-side audit logs; and no deletion proof. Scanner errors and minification reduce static-analysis confidence. The report does not claim absence of vulnerabilities, complete dependency coverage or compliance certification.</w:t>
      </w:r>
    </w:p>
    <w:p>
      <w:r>
        <w:t>Closure questions include which exact data fields are indexed and retained; which domains and subprocessors receive them; how permission and denial work inside the extension; whether workspace settings can configure commands or tokens before trust; which CSP variants are active; how native modules are selected; how updates are verified; what uninstall leaves locally and remotely; and whether the publisher will migrate all token fields to SecretStorage and supply signed provenance.</w:t>
      </w:r>
    </w:p>
    <w:p>
      <w:pPr>
        <w:pStyle w:val="Heading1"/>
      </w:pPr>
      <w:r>
        <w:t>Residual Risk and Approval Recommendation</w:t>
      </w:r>
    </w:p>
    <w:p>
      <w:r>
        <w:t>Decision: Defer pending evidence. Overall residual risk is High for production or regulated-data use. A bounded synthetic-data pilot can be reconsidered only after the listed technical, privacy, procurement and operational controls are implemented and the representative runtime plan passes. This decision should be revisited on version change, material service or policy change, new IDE or platform, security advisory, relevant incident or completion of the blocked evidence.</w:t>
      </w:r>
    </w:p>
    <w:p>
      <w:r>
        <w:t>Approval authority remains with accountable enterprise owners. A pilot exception must define scope, duration, repositories, identity, data classes, egress, tools, monitoring, stop conditions and deletion. It must not be interpreted as approval for customer, claims, production, confidential or regulated data. Any package identity or digest drift invalidates the retained static evidence and requires a new versioned run.</w:t>
      </w:r>
    </w:p>
    <w:p>
      <w:pPr>
        <w:pStyle w:val="Heading1"/>
      </w:pPr>
      <w:r>
        <w:t>Verification Tests and Closure Plan</w:t>
      </w:r>
    </w:p>
    <w:p>
      <w:r>
        <w:t>First, the publisher should remediate plaintext token settings and provide package provenance and a complete SBOM. Second, procurement and privacy owners should execute the DPA, transfer and retention controls. Third, security engineering should build the disposable restricted-egress host and run the version-bound test matrix. Fourth, endpoint and repository owners should implement managed deployment, Workspace Trust, egress, MCP and monitoring policies. Fifth, independent reviewers should reconcile observations against every finding and approval condition.</w:t>
      </w:r>
    </w:p>
    <w:p>
      <w:r>
        <w:t>Closure evidence must be durable and reproducible: exact package digest, host and IDE versions, synthetic fixture hashes, process and destination summaries, approval screenshots or structured events without secrets, negative test results, uninstall and deletion evidence, updated finding scores, and accountable sign-off. A failed test must fix forward at the control or product layer; it must not be waived by changing the evidence state or silently reducing scope.</w:t>
      </w:r>
    </w:p>
    <w:p>
      <w:pPr>
        <w:pStyle w:val="Heading1"/>
      </w:pPr>
      <w:r>
        <w:t>Individual Finding Records</w:t>
      </w:r>
    </w:p>
    <w:p>
      <w:pPr>
        <w:pStyle w:val="Heading2"/>
      </w:pPr>
      <w:r>
        <w:t>F-001 — Advanced and integration secrets are declared as plaintext VS Code settings</w:t>
      </w:r>
    </w:p>
    <w:p>
      <w:pPr>
        <w:pStyle w:val="Caption"/>
      </w:pPr>
      <w:r>
        <w:rPr>
          <w:b/>
        </w:rPr>
        <w:t>Finding record — F-001</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VS Code configuration and credential boundary</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 xml:space="preserve">A user or workspace stores the Augment access token or Atlassian, GitHub, Linear or Notion token in augment.advanced settings; the value is then exposed through plaintext settings, backup, export, sync or accidental repository inclusion. </w:t>
            </w:r>
            <w:hyperlink w:anchor="REF_011">
              <w:r>
                <w:rPr>
                  <w:rStyle w:val="Hyperlink"/>
                </w:rPr>
                <w:t>REF-011</w:t>
              </w:r>
            </w:hyperlink>
            <w:r>
              <w:rPr>
                <w:sz w:val="16"/>
              </w:rPr>
              <w:t xml:space="preserve"> </w:t>
            </w:r>
            <w:hyperlink w:anchor="REF_012">
              <w:r>
                <w:rPr>
                  <w:rStyle w:val="Hyperlink"/>
                </w:rPr>
                <w:t>REF-012</w:t>
              </w:r>
            </w:hyperlink>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EVD-MANIFEST-001; EVD-TOKEN-001; EVD-STATIC-001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16 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Primary session and observed BYOK secrets use VS Code SecretStorage; token defaults are empty.</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Partial</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16 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 xml:space="preserve">Deprecate token-bearing settings, migrate values to SecretStorage, reject workspace-scoped secrets, redact logs and rotate any migrated token. </w:t>
            </w:r>
            <w:hyperlink w:anchor="REF_011">
              <w:r>
                <w:rPr>
                  <w:rStyle w:val="Hyperlink"/>
                </w:rPr>
                <w:t>REF-011</w:t>
              </w:r>
            </w:hyperlink>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Augment engineering and enterprise endpoint owner</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P1</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any pilot credential is configured</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Static manifest no longer declares secret strings; migration and negative tests prove encrypted storage, no sync or workspace persistence, redaction and revocation.</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CWE-522; OWASP Agentic identity and privilege; ISO/IEC 27001 access control</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w:t>
            </w:r>
          </w:p>
        </w:tc>
      </w:tr>
    </w:tbl>
    <w:p/>
    <w:p>
      <w:pPr>
        <w:pStyle w:val="Heading2"/>
      </w:pPr>
      <w:r>
        <w:t>F-002 — Automatic workspace upload can exceed intended data scope</w:t>
      </w:r>
    </w:p>
    <w:p>
      <w:pPr>
        <w:pStyle w:val="Caption"/>
      </w:pPr>
      <w:r>
        <w:rPr>
          <w:b/>
        </w:rPr>
        <w:t>Finding record — F-002</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Workspace indexing, privacy and source confidentiality</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 xml:space="preserve">Opening an Augment-enabled repository initiates code upload; incomplete ignore patterns or negation can include proprietary, personal, credential or regulated files without a pre-transfer inventory. </w:t>
            </w:r>
            <w:hyperlink w:anchor="REF_002">
              <w:r>
                <w:rPr>
                  <w:rStyle w:val="Hyperlink"/>
                </w:rPr>
                <w:t>REF-002</w:t>
              </w:r>
            </w:hyperlink>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EVD-DOCS-001; EVD-PRIVACY-001; EVD-RUNTIME-001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5</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20 Critical</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Documented .gitignore and .augmentignore support and publisher security statements.</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Partial and not runtime verified</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3</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5</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15 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 xml:space="preserve">Gate indexing, enforce central deny rules, show a pre-transfer inventory, prohibit sensitive repositories and verify deletion and transfer controls. </w:t>
            </w:r>
            <w:hyperlink w:anchor="REF_002">
              <w:r>
                <w:rPr>
                  <w:rStyle w:val="Hyperlink"/>
                </w:rPr>
                <w:t>REF-002</w:t>
              </w:r>
            </w:hyperlink>
            <w:r>
              <w:rPr>
                <w:sz w:val="16"/>
              </w:rPr>
              <w:t xml:space="preserve"> </w:t>
            </w:r>
            <w:hyperlink w:anchor="REF_019">
              <w:r>
                <w:rPr>
                  <w:rStyle w:val="Hyperlink"/>
                </w:rPr>
                <w:t>REF-019</w:t>
              </w:r>
            </w:hyperlink>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Enterprise privacy, endpoint and source-governance owners</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P1</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any workspace is opened in a pilot</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Synthetic canaries prove exclusions, symlink and nested-repository handling, pre-transfer consent, destination scope, retention and deletion.</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UK GDPR minimisation and transparency; NIST AI RMF MAP/MEASURE; ISO/IEC 27001 information transfer</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for documented behaviour; Medium for unobserved implementation</w:t>
            </w:r>
          </w:p>
        </w:tc>
      </w:tr>
    </w:tbl>
    <w:p/>
    <w:p>
      <w:pPr>
        <w:pStyle w:val="Heading2"/>
      </w:pPr>
      <w:r>
        <w:t>F-003 — Extension agent and MCP authority lacks representative permission and denial evidence</w:t>
      </w:r>
    </w:p>
    <w:p>
      <w:pPr>
        <w:pStyle w:val="Caption"/>
      </w:pPr>
      <w:r>
        <w:rPr>
          <w:b/>
        </w:rPr>
        <w:t>Finding record — F-003</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Agent tools, terminal, MCP and integrations</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 xml:space="preserve">Prompt-injected repository or tool content persuades the extension to modify files, run a command, invoke an MCP tool or transmit data; CLI granular permission documentation does not apply inside the code extension. </w:t>
            </w:r>
            <w:hyperlink w:anchor="REF_003">
              <w:r>
                <w:rPr>
                  <w:rStyle w:val="Hyperlink"/>
                </w:rPr>
                <w:t>REF-003</w:t>
              </w:r>
            </w:hyperlink>
            <w:r>
              <w:rPr>
                <w:sz w:val="16"/>
              </w:rPr>
              <w:t xml:space="preserve"> </w:t>
            </w:r>
            <w:hyperlink w:anchor="REF_004">
              <w:r>
                <w:rPr>
                  <w:rStyle w:val="Hyperlink"/>
                </w:rPr>
                <w:t>REF-004</w:t>
              </w:r>
            </w:hyperlink>
            <w:r>
              <w:rPr>
                <w:sz w:val="16"/>
              </w:rPr>
              <w:t xml:space="preserve"> </w:t>
            </w:r>
            <w:hyperlink w:anchor="REF_013">
              <w:r>
                <w:rPr>
                  <w:rStyle w:val="Hyperlink"/>
                </w:rPr>
                <w:t>REF-013</w:t>
              </w:r>
            </w:hyperlink>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EVD-MANIFEST-001; EVD-STATIC-001; EVD-DOCS-001; EVD-RUNTIME-001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5</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20 Critical</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VS Code Workspace Trust default, user-facing product flows and host repository protections.</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Partial; extension-specific enforcement unknown</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3</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5</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15 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 xml:space="preserve">Implement and test extension-specific allow, ask and deny enforcement; constrain host roots, processes, egress, credentials and immutable MCP identities. </w:t>
            </w:r>
            <w:hyperlink w:anchor="REF_009">
              <w:r>
                <w:rPr>
                  <w:rStyle w:val="Hyperlink"/>
                </w:rPr>
                <w:t>REF-009</w:t>
              </w:r>
            </w:hyperlink>
            <w:r>
              <w:rPr>
                <w:sz w:val="16"/>
              </w:rPr>
              <w:t xml:space="preserve"> </w:t>
            </w:r>
            <w:hyperlink w:anchor="REF_014">
              <w:r>
                <w:rPr>
                  <w:rStyle w:val="Hyperlink"/>
                </w:rPr>
                <w:t>REF-014</w:t>
              </w:r>
            </w:hyperlink>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Augment engineering and enterprise security engineering</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P1</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agent or MCP use</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Adversarial matrix proves timely action previews, denial persistence and no alternate-path bypass across terminal, MCP, web and subagent paths.</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OWASP Agentic goal hijack and tool misuse; OWASP MCP; MITRE ATLAS prompt injection and tool invocation</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 for capability and evidence gap; runtime exploitability Unknown</w:t>
            </w:r>
          </w:p>
        </w:tc>
      </w:tr>
    </w:tbl>
    <w:p/>
    <w:p>
      <w:pPr>
        <w:pStyle w:val="Heading2"/>
      </w:pPr>
      <w:r>
        <w:t>F-004 — Webview policy can permit remote scripts, unsafe-eval and unsafe-inline</w:t>
      </w:r>
    </w:p>
    <w:p>
      <w:pPr>
        <w:pStyle w:val="Caption"/>
      </w:pPr>
      <w:r>
        <w:rPr>
          <w:b/>
        </w:rPr>
        <w:t>Finding record — F-004</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Settings, Mermaid and other extension webviews</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Hostile rendered content, a compromised remote origin or a message-validation flaw combines with permissive script policy to execute code in a webview or expose extension data.</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EVD-CSP-001; EVD-SEMGREP-001; EVD-RUNTIME-001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3</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12 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CSP builder starts with default-src none; VS Code webview isolation; no confirmed static source-to-sink exploit.</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Partial</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3</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3</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9 Moderate</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Bundle and integrity-pin scripts, remove unsafe-eval and unnecessary unsafe-inline, nonce scripts, validate message schemas and test hostile rendered content.</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Augment webview engineering</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P2</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production approval</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Runtime CSP capture for every panel, hostile-input tests and static review show no remote executable script source or unsafe directive without documented necessity.</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CWE-79; CWE-693; OWASP injection; MITRE ATLAS LLM response rendering</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Medium</w:t>
            </w:r>
          </w:p>
        </w:tc>
      </w:tr>
    </w:tbl>
    <w:p/>
    <w:p>
      <w:pPr>
        <w:pStyle w:val="Heading2"/>
      </w:pPr>
      <w:r>
        <w:t>F-005 — Package provenance and dependency transparency are incomplete</w:t>
      </w:r>
    </w:p>
    <w:p>
      <w:pPr>
        <w:pStyle w:val="Caption"/>
      </w:pPr>
      <w:r>
        <w:rPr>
          <w:b/>
        </w:rPr>
        <w:t>Finding record — F-005</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Marketplace package, bundled JavaScript and native modules</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A compromised or vulnerable bundled component cannot be reliably identified, compared with source or triaged because the package lacks version-bound public source, source maps, complete SBOM, lockfile and reproducible provenance.</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EVD-VSIX-001; EVD-SIGNATURE-001; EVD-INVENTORY-001; EVD-SBOM-001; EVD-SOURCE-001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3</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12 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Exact Marketplace digest agreement, complete signed member-digest agreement, bounded archive safety and multi-scanner review.</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Moderate for integrity; weak for composition</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3</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12 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Publish signed package-specific SBOM, version-bound source or escrow, reproducible build provenance, native binary provenance and licence inventory.</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Augment supply-chain engineering and enterprise software assurance</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P2</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broad deployment</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Independent source-to-package or provenance verification and complete vulnerability triage for every shipped component and platform.</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OWASP software supply chain; NIST AI RMF third-party risk; ISO/IEC 27001 supplier controls</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w:t>
            </w:r>
          </w:p>
        </w:tc>
      </w:tr>
    </w:tbl>
    <w:p/>
    <w:p>
      <w:pPr>
        <w:pStyle w:val="Heading2"/>
      </w:pPr>
      <w:r>
        <w:t>F-006 — Representative behavioural runtime evidence is blocked</w:t>
      </w:r>
    </w:p>
    <w:p>
      <w:pPr>
        <w:pStyle w:val="Caption"/>
      </w:pPr>
      <w:r>
        <w:rPr>
          <w:b/>
        </w:rPr>
        <w:t>Finding record — F-006</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Activation, processes, network, telemetry, updates and uninstall</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Production approval relies on assumptions about prompts, network, data flows, denial, telemetry, update and residue because the exact extension was not activated in a disposable restricted-egress host.</w:t>
            </w:r>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EVD-INSTALL-001; EVD-RUNTIME-001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16 High</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Isolated installation identity was verified; no production profile or data was exposed.</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Prevented unsafe test, did not close evidence</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16 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Execute the documented synthetic, disposable, least-privilege, restricted-egress runtime matrix and bind results to version, platform and digest.</w:t>
            </w:r>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Enterprise security testing</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P1</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pilot approval</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All runtime cases have retained observations, negative tests, limitations and closure evidence; blocked states are resolved or explicitly accepted by accountable owners.</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NIST AI RMF MEASURE/MANAGE; NCSC secure deployment and operation</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w:t>
            </w:r>
          </w:p>
        </w:tc>
      </w:tr>
    </w:tbl>
    <w:p/>
    <w:p>
      <w:pPr>
        <w:pStyle w:val="Heading2"/>
      </w:pPr>
      <w:r>
        <w:t>F-007 — Enterprise privacy, transfer, retention and supplier commitments are not established</w:t>
      </w:r>
    </w:p>
    <w:p>
      <w:pPr>
        <w:pStyle w:val="Caption"/>
      </w:pPr>
      <w:r>
        <w:rPr>
          <w:b/>
        </w:rPr>
        <w:t>Finding record — F-007</w:t>
      </w:r>
    </w:p>
    <w:tbl>
      <w:tblPr>
        <w:tblStyle w:val="TableGrid"/>
        <w:tblW w:type="dxa" w:w="9360"/>
        <w:tblLayout w:type="fixed"/>
        <w:tblLook w:firstColumn="1" w:firstRow="1" w:lastColumn="0" w:lastRow="0" w:noHBand="0" w:noVBand="1" w:val="04A0"/>
        <w:tblInd w:w="120" w:type="dxa"/>
      </w:tblPr>
      <w:tblGrid>
        <w:gridCol w:w="1796"/>
        <w:gridCol w:w="7564"/>
      </w:tblGrid>
      <w:tr>
        <w:trPr>
          <w:tblHeader w:val="true"/>
        </w:trPr>
        <w:tc>
          <w:tcPr>
            <w:tcW w:type="dxa" w:w="1796"/>
            <w:shd w:fill="F2F4F7"/>
            <w:vAlign w:val="center"/>
            <w:tcMar>
              <w:top w:w="80" w:type="dxa"/>
              <w:start w:w="120" w:type="dxa"/>
              <w:bottom w:w="80" w:type="dxa"/>
              <w:end w:w="120" w:type="dxa"/>
            </w:tcMar>
          </w:tcPr>
          <w:p>
            <w:r>
              <w:rPr>
                <w:b/>
                <w:sz w:val="16"/>
              </w:rPr>
              <w:t>Field</w:t>
            </w:r>
          </w:p>
        </w:tc>
        <w:tc>
          <w:tcPr>
            <w:tcW w:type="dxa" w:w="7564"/>
            <w:shd w:fill="F2F4F7"/>
            <w:vAlign w:val="center"/>
            <w:tcMar>
              <w:top w:w="80" w:type="dxa"/>
              <w:start w:w="120" w:type="dxa"/>
              <w:bottom w:w="80" w:type="dxa"/>
              <w:end w:w="120" w:type="dxa"/>
            </w:tcMar>
          </w:tcPr>
          <w:p>
            <w:r>
              <w:rPr>
                <w:b/>
                <w:sz w:val="16"/>
              </w:rPr>
              <w:t>Assessment</w:t>
            </w:r>
          </w:p>
        </w:tc>
      </w:tr>
      <w:tr>
        <w:tc>
          <w:tcPr>
            <w:tcW w:type="dxa" w:w="1796"/>
            <w:vAlign w:val="center"/>
            <w:tcMar>
              <w:top w:w="80" w:type="dxa"/>
              <w:start w:w="120" w:type="dxa"/>
              <w:bottom w:w="80" w:type="dxa"/>
              <w:end w:w="120" w:type="dxa"/>
            </w:tcMar>
          </w:tcPr>
          <w:p>
            <w:r>
              <w:rPr>
                <w:sz w:val="16"/>
              </w:rPr>
              <w:t>Scope</w:t>
            </w:r>
          </w:p>
        </w:tc>
        <w:tc>
          <w:tcPr>
            <w:tcW w:type="dxa" w:w="7564"/>
            <w:vAlign w:val="center"/>
            <w:tcMar>
              <w:top w:w="80" w:type="dxa"/>
              <w:start w:w="120" w:type="dxa"/>
              <w:bottom w:w="80" w:type="dxa"/>
              <w:end w:w="120" w:type="dxa"/>
            </w:tcMar>
          </w:tcPr>
          <w:p>
            <w:r>
              <w:rPr>
                <w:sz w:val="16"/>
              </w:rPr>
              <w:t>Remote service processing and third-party governance</w:t>
            </w:r>
          </w:p>
        </w:tc>
      </w:tr>
      <w:tr>
        <w:tc>
          <w:tcPr>
            <w:tcW w:type="dxa" w:w="1796"/>
            <w:vAlign w:val="center"/>
            <w:tcMar>
              <w:top w:w="80" w:type="dxa"/>
              <w:start w:w="120" w:type="dxa"/>
              <w:bottom w:w="80" w:type="dxa"/>
              <w:end w:w="120" w:type="dxa"/>
            </w:tcMar>
          </w:tcPr>
          <w:p>
            <w:r>
              <w:rPr>
                <w:sz w:val="16"/>
              </w:rPr>
              <w:t>Scenario</w:t>
            </w:r>
          </w:p>
        </w:tc>
        <w:tc>
          <w:tcPr>
            <w:tcW w:type="dxa" w:w="7564"/>
            <w:vAlign w:val="center"/>
            <w:tcMar>
              <w:top w:w="80" w:type="dxa"/>
              <w:start w:w="120" w:type="dxa"/>
              <w:bottom w:w="80" w:type="dxa"/>
              <w:end w:w="120" w:type="dxa"/>
            </w:tcMar>
          </w:tcPr>
          <w:p>
            <w:r>
              <w:rPr>
                <w:sz w:val="16"/>
              </w:rPr>
              <w:t xml:space="preserve">Proprietary or personal data is processed in the United States or by subprocessors without an executed purpose-specific DPA, transfer assessment, fixed retention and deletion schedule, audit evidence or operational exit assurance. </w:t>
            </w:r>
            <w:hyperlink w:anchor="REF_007">
              <w:r>
                <w:rPr>
                  <w:rStyle w:val="Hyperlink"/>
                </w:rPr>
                <w:t>REF-007</w:t>
              </w:r>
            </w:hyperlink>
            <w:r>
              <w:rPr>
                <w:sz w:val="16"/>
              </w:rPr>
              <w:t xml:space="preserve"> </w:t>
            </w:r>
            <w:hyperlink w:anchor="REF_020">
              <w:r>
                <w:rPr>
                  <w:rStyle w:val="Hyperlink"/>
                </w:rPr>
                <w:t>REF-020</w:t>
              </w:r>
            </w:hyperlink>
            <w:r>
              <w:rPr>
                <w:sz w:val="16"/>
              </w:rPr>
              <w:t xml:space="preserve"> </w:t>
            </w:r>
            <w:hyperlink w:anchor="REF_021">
              <w:r>
                <w:rPr>
                  <w:rStyle w:val="Hyperlink"/>
                </w:rPr>
                <w:t>REF-021</w:t>
              </w:r>
            </w:hyperlink>
          </w:p>
        </w:tc>
      </w:tr>
      <w:tr>
        <w:tc>
          <w:tcPr>
            <w:tcW w:type="dxa" w:w="1796"/>
            <w:vAlign w:val="center"/>
            <w:tcMar>
              <w:top w:w="80" w:type="dxa"/>
              <w:start w:w="120" w:type="dxa"/>
              <w:bottom w:w="80" w:type="dxa"/>
              <w:end w:w="120" w:type="dxa"/>
            </w:tcMar>
          </w:tcPr>
          <w:p>
            <w:r>
              <w:rPr>
                <w:sz w:val="16"/>
              </w:rPr>
              <w:t>Evidence Ids</w:t>
            </w:r>
          </w:p>
        </w:tc>
        <w:tc>
          <w:tcPr>
            <w:tcW w:type="dxa" w:w="7564"/>
            <w:vAlign w:val="center"/>
            <w:tcMar>
              <w:top w:w="80" w:type="dxa"/>
              <w:start w:w="120" w:type="dxa"/>
              <w:bottom w:w="80" w:type="dxa"/>
              <w:end w:w="120" w:type="dxa"/>
            </w:tcMar>
          </w:tcPr>
          <w:p>
            <w:r>
              <w:rPr>
                <w:sz w:val="16"/>
              </w:rPr>
              <w:t>EVD-PRIVACY-001; EVD-DOCS-001; EVD-RUNTIME-001</w:t>
            </w:r>
          </w:p>
        </w:tc>
      </w:tr>
      <w:tr>
        <w:tc>
          <w:tcPr>
            <w:tcW w:type="dxa" w:w="1796"/>
            <w:vAlign w:val="center"/>
            <w:tcMar>
              <w:top w:w="80" w:type="dxa"/>
              <w:start w:w="120" w:type="dxa"/>
              <w:bottom w:w="80" w:type="dxa"/>
              <w:end w:w="120" w:type="dxa"/>
            </w:tcMar>
          </w:tcPr>
          <w:p>
            <w:r>
              <w:rPr>
                <w:sz w:val="16"/>
              </w:rPr>
              <w:t>Likelihood</w:t>
            </w:r>
          </w:p>
        </w:tc>
        <w:tc>
          <w:tcPr>
            <w:tcW w:type="dxa" w:w="7564"/>
            <w:vAlign w:val="center"/>
            <w:tcMar>
              <w:top w:w="80" w:type="dxa"/>
              <w:start w:w="120" w:type="dxa"/>
              <w:bottom w:w="80" w:type="dxa"/>
              <w:end w:w="120" w:type="dxa"/>
            </w:tcMar>
          </w:tcPr>
          <w:p>
            <w:r>
              <w:rPr>
                <w:sz w:val="16"/>
              </w:rPr>
              <w:t>4</w:t>
            </w:r>
          </w:p>
        </w:tc>
      </w:tr>
      <w:tr>
        <w:tc>
          <w:tcPr>
            <w:tcW w:type="dxa" w:w="1796"/>
            <w:vAlign w:val="center"/>
            <w:tcMar>
              <w:top w:w="80" w:type="dxa"/>
              <w:start w:w="120" w:type="dxa"/>
              <w:bottom w:w="80" w:type="dxa"/>
              <w:end w:w="120" w:type="dxa"/>
            </w:tcMar>
          </w:tcPr>
          <w:p>
            <w:r>
              <w:rPr>
                <w:sz w:val="16"/>
              </w:rPr>
              <w:t>Impact</w:t>
            </w:r>
          </w:p>
        </w:tc>
        <w:tc>
          <w:tcPr>
            <w:tcW w:type="dxa" w:w="7564"/>
            <w:vAlign w:val="center"/>
            <w:tcMar>
              <w:top w:w="80" w:type="dxa"/>
              <w:start w:w="120" w:type="dxa"/>
              <w:bottom w:w="80" w:type="dxa"/>
              <w:end w:w="120" w:type="dxa"/>
            </w:tcMar>
          </w:tcPr>
          <w:p>
            <w:r>
              <w:rPr>
                <w:sz w:val="16"/>
              </w:rPr>
              <w:t>5</w:t>
            </w:r>
          </w:p>
        </w:tc>
      </w:tr>
      <w:tr>
        <w:tc>
          <w:tcPr>
            <w:tcW w:type="dxa" w:w="1796"/>
            <w:vAlign w:val="center"/>
            <w:tcMar>
              <w:top w:w="80" w:type="dxa"/>
              <w:start w:w="120" w:type="dxa"/>
              <w:bottom w:w="80" w:type="dxa"/>
              <w:end w:w="120" w:type="dxa"/>
            </w:tcMar>
          </w:tcPr>
          <w:p>
            <w:r>
              <w:rPr>
                <w:sz w:val="16"/>
              </w:rPr>
              <w:t>Inherent</w:t>
            </w:r>
          </w:p>
        </w:tc>
        <w:tc>
          <w:tcPr>
            <w:tcW w:type="dxa" w:w="7564"/>
            <w:vAlign w:val="center"/>
            <w:tcMar>
              <w:top w:w="80" w:type="dxa"/>
              <w:start w:w="120" w:type="dxa"/>
              <w:bottom w:w="80" w:type="dxa"/>
              <w:end w:w="120" w:type="dxa"/>
            </w:tcMar>
          </w:tcPr>
          <w:p>
            <w:r>
              <w:rPr>
                <w:sz w:val="16"/>
              </w:rPr>
              <w:t>20 Critical</w:t>
            </w:r>
          </w:p>
        </w:tc>
      </w:tr>
      <w:tr>
        <w:tc>
          <w:tcPr>
            <w:tcW w:type="dxa" w:w="1796"/>
            <w:vAlign w:val="center"/>
            <w:tcMar>
              <w:top w:w="80" w:type="dxa"/>
              <w:start w:w="120" w:type="dxa"/>
              <w:bottom w:w="80" w:type="dxa"/>
              <w:end w:w="120" w:type="dxa"/>
            </w:tcMar>
          </w:tcPr>
          <w:p>
            <w:r>
              <w:rPr>
                <w:sz w:val="16"/>
              </w:rPr>
              <w:t>Controls</w:t>
            </w:r>
          </w:p>
        </w:tc>
        <w:tc>
          <w:tcPr>
            <w:tcW w:type="dxa" w:w="7564"/>
            <w:vAlign w:val="center"/>
            <w:tcMar>
              <w:top w:w="80" w:type="dxa"/>
              <w:start w:w="120" w:type="dxa"/>
              <w:bottom w:w="80" w:type="dxa"/>
              <w:end w:w="120" w:type="dxa"/>
            </w:tcMar>
          </w:tcPr>
          <w:p>
            <w:r>
              <w:rPr>
                <w:sz w:val="16"/>
              </w:rPr>
              <w:t>Public privacy and security statements, stated no-training commitment for customer proprietary data and general transfer mechanisms.</w:t>
            </w:r>
          </w:p>
        </w:tc>
      </w:tr>
      <w:tr>
        <w:tc>
          <w:tcPr>
            <w:tcW w:type="dxa" w:w="1796"/>
            <w:vAlign w:val="center"/>
            <w:tcMar>
              <w:top w:w="80" w:type="dxa"/>
              <w:start w:w="120" w:type="dxa"/>
              <w:bottom w:w="80" w:type="dxa"/>
              <w:end w:w="120" w:type="dxa"/>
            </w:tcMar>
          </w:tcPr>
          <w:p>
            <w:r>
              <w:rPr>
                <w:sz w:val="16"/>
              </w:rPr>
              <w:t>Control Strength</w:t>
            </w:r>
          </w:p>
        </w:tc>
        <w:tc>
          <w:tcPr>
            <w:tcW w:type="dxa" w:w="7564"/>
            <w:vAlign w:val="center"/>
            <w:tcMar>
              <w:top w:w="80" w:type="dxa"/>
              <w:start w:w="120" w:type="dxa"/>
              <w:bottom w:w="80" w:type="dxa"/>
              <w:end w:w="120" w:type="dxa"/>
            </w:tcMar>
          </w:tcPr>
          <w:p>
            <w:r>
              <w:rPr>
                <w:sz w:val="16"/>
              </w:rPr>
              <w:t>Partial and non-contractual</w:t>
            </w:r>
          </w:p>
        </w:tc>
      </w:tr>
      <w:tr>
        <w:tc>
          <w:tcPr>
            <w:tcW w:type="dxa" w:w="1796"/>
            <w:vAlign w:val="center"/>
            <w:tcMar>
              <w:top w:w="80" w:type="dxa"/>
              <w:start w:w="120" w:type="dxa"/>
              <w:bottom w:w="80" w:type="dxa"/>
              <w:end w:w="120" w:type="dxa"/>
            </w:tcMar>
          </w:tcPr>
          <w:p>
            <w:r>
              <w:rPr>
                <w:sz w:val="16"/>
              </w:rPr>
              <w:t>Residual Likelihood</w:t>
            </w:r>
          </w:p>
        </w:tc>
        <w:tc>
          <w:tcPr>
            <w:tcW w:type="dxa" w:w="7564"/>
            <w:vAlign w:val="center"/>
            <w:tcMar>
              <w:top w:w="80" w:type="dxa"/>
              <w:start w:w="120" w:type="dxa"/>
              <w:bottom w:w="80" w:type="dxa"/>
              <w:end w:w="120" w:type="dxa"/>
            </w:tcMar>
          </w:tcPr>
          <w:p>
            <w:r>
              <w:rPr>
                <w:sz w:val="16"/>
              </w:rPr>
              <w:t>3</w:t>
            </w:r>
          </w:p>
        </w:tc>
      </w:tr>
      <w:tr>
        <w:tc>
          <w:tcPr>
            <w:tcW w:type="dxa" w:w="1796"/>
            <w:vAlign w:val="center"/>
            <w:tcMar>
              <w:top w:w="80" w:type="dxa"/>
              <w:start w:w="120" w:type="dxa"/>
              <w:bottom w:w="80" w:type="dxa"/>
              <w:end w:w="120" w:type="dxa"/>
            </w:tcMar>
          </w:tcPr>
          <w:p>
            <w:r>
              <w:rPr>
                <w:sz w:val="16"/>
              </w:rPr>
              <w:t>Residual Impact</w:t>
            </w:r>
          </w:p>
        </w:tc>
        <w:tc>
          <w:tcPr>
            <w:tcW w:type="dxa" w:w="7564"/>
            <w:vAlign w:val="center"/>
            <w:tcMar>
              <w:top w:w="80" w:type="dxa"/>
              <w:start w:w="120" w:type="dxa"/>
              <w:bottom w:w="80" w:type="dxa"/>
              <w:end w:w="120" w:type="dxa"/>
            </w:tcMar>
          </w:tcPr>
          <w:p>
            <w:r>
              <w:rPr>
                <w:sz w:val="16"/>
              </w:rPr>
              <w:t>5</w:t>
            </w:r>
          </w:p>
        </w:tc>
      </w:tr>
      <w:tr>
        <w:tc>
          <w:tcPr>
            <w:tcW w:type="dxa" w:w="1796"/>
            <w:vAlign w:val="center"/>
            <w:tcMar>
              <w:top w:w="80" w:type="dxa"/>
              <w:start w:w="120" w:type="dxa"/>
              <w:bottom w:w="80" w:type="dxa"/>
              <w:end w:w="120" w:type="dxa"/>
            </w:tcMar>
          </w:tcPr>
          <w:p>
            <w:r>
              <w:rPr>
                <w:sz w:val="16"/>
              </w:rPr>
              <w:t>Residual</w:t>
            </w:r>
          </w:p>
        </w:tc>
        <w:tc>
          <w:tcPr>
            <w:tcW w:type="dxa" w:w="7564"/>
            <w:vAlign w:val="center"/>
            <w:tcMar>
              <w:top w:w="80" w:type="dxa"/>
              <w:start w:w="120" w:type="dxa"/>
              <w:bottom w:w="80" w:type="dxa"/>
              <w:end w:w="120" w:type="dxa"/>
            </w:tcMar>
          </w:tcPr>
          <w:p>
            <w:r>
              <w:rPr>
                <w:sz w:val="16"/>
              </w:rPr>
              <w:t>15 High</w:t>
            </w:r>
          </w:p>
        </w:tc>
      </w:tr>
      <w:tr>
        <w:tc>
          <w:tcPr>
            <w:tcW w:type="dxa" w:w="1796"/>
            <w:vAlign w:val="center"/>
            <w:tcMar>
              <w:top w:w="80" w:type="dxa"/>
              <w:start w:w="120" w:type="dxa"/>
              <w:bottom w:w="80" w:type="dxa"/>
              <w:end w:w="120" w:type="dxa"/>
            </w:tcMar>
          </w:tcPr>
          <w:p>
            <w:r>
              <w:rPr>
                <w:sz w:val="16"/>
              </w:rPr>
              <w:t>Recommendation</w:t>
            </w:r>
          </w:p>
        </w:tc>
        <w:tc>
          <w:tcPr>
            <w:tcW w:type="dxa" w:w="7564"/>
            <w:vAlign w:val="center"/>
            <w:tcMar>
              <w:top w:w="80" w:type="dxa"/>
              <w:start w:w="120" w:type="dxa"/>
              <w:bottom w:w="80" w:type="dxa"/>
              <w:end w:w="120" w:type="dxa"/>
            </w:tcMar>
          </w:tcPr>
          <w:p>
            <w:r>
              <w:rPr>
                <w:sz w:val="16"/>
              </w:rPr>
              <w:t xml:space="preserve">Complete DPIA, DPA, transfer mechanism and assessment, subprocessors, data schedule, audit evidence, incident terms, deletion proof and exit plan. </w:t>
            </w:r>
            <w:hyperlink w:anchor="REF_019">
              <w:r>
                <w:rPr>
                  <w:rStyle w:val="Hyperlink"/>
                </w:rPr>
                <w:t>REF-019</w:t>
              </w:r>
            </w:hyperlink>
            <w:r>
              <w:rPr>
                <w:sz w:val="16"/>
              </w:rPr>
              <w:t xml:space="preserve"> </w:t>
            </w:r>
            <w:hyperlink w:anchor="REF_020">
              <w:r>
                <w:rPr>
                  <w:rStyle w:val="Hyperlink"/>
                </w:rPr>
                <w:t>REF-020</w:t>
              </w:r>
            </w:hyperlink>
          </w:p>
        </w:tc>
      </w:tr>
      <w:tr>
        <w:tc>
          <w:tcPr>
            <w:tcW w:type="dxa" w:w="1796"/>
            <w:vAlign w:val="center"/>
            <w:tcMar>
              <w:top w:w="80" w:type="dxa"/>
              <w:start w:w="120" w:type="dxa"/>
              <w:bottom w:w="80" w:type="dxa"/>
              <w:end w:w="120" w:type="dxa"/>
            </w:tcMar>
          </w:tcPr>
          <w:p>
            <w:r>
              <w:rPr>
                <w:sz w:val="16"/>
              </w:rPr>
              <w:t>Owner</w:t>
            </w:r>
          </w:p>
        </w:tc>
        <w:tc>
          <w:tcPr>
            <w:tcW w:type="dxa" w:w="7564"/>
            <w:vAlign w:val="center"/>
            <w:tcMar>
              <w:top w:w="80" w:type="dxa"/>
              <w:start w:w="120" w:type="dxa"/>
              <w:bottom w:w="80" w:type="dxa"/>
              <w:end w:w="120" w:type="dxa"/>
            </w:tcMar>
          </w:tcPr>
          <w:p>
            <w:r>
              <w:rPr>
                <w:sz w:val="16"/>
              </w:rPr>
              <w:t>Enterprise privacy, legal, procurement and operational resilience</w:t>
            </w:r>
          </w:p>
        </w:tc>
      </w:tr>
      <w:tr>
        <w:tc>
          <w:tcPr>
            <w:tcW w:type="dxa" w:w="1796"/>
            <w:vAlign w:val="center"/>
            <w:tcMar>
              <w:top w:w="80" w:type="dxa"/>
              <w:start w:w="120" w:type="dxa"/>
              <w:bottom w:w="80" w:type="dxa"/>
              <w:end w:w="120" w:type="dxa"/>
            </w:tcMar>
          </w:tcPr>
          <w:p>
            <w:r>
              <w:rPr>
                <w:sz w:val="16"/>
              </w:rPr>
              <w:t>Priority</w:t>
            </w:r>
          </w:p>
        </w:tc>
        <w:tc>
          <w:tcPr>
            <w:tcW w:type="dxa" w:w="7564"/>
            <w:vAlign w:val="center"/>
            <w:tcMar>
              <w:top w:w="80" w:type="dxa"/>
              <w:start w:w="120" w:type="dxa"/>
              <w:bottom w:w="80" w:type="dxa"/>
              <w:end w:w="120" w:type="dxa"/>
            </w:tcMar>
          </w:tcPr>
          <w:p>
            <w:r>
              <w:rPr>
                <w:sz w:val="16"/>
              </w:rPr>
              <w:t>P1</w:t>
            </w:r>
          </w:p>
        </w:tc>
      </w:tr>
      <w:tr>
        <w:tc>
          <w:tcPr>
            <w:tcW w:type="dxa" w:w="1796"/>
            <w:vAlign w:val="center"/>
            <w:tcMar>
              <w:top w:w="80" w:type="dxa"/>
              <w:start w:w="120" w:type="dxa"/>
              <w:bottom w:w="80" w:type="dxa"/>
              <w:end w:w="120" w:type="dxa"/>
            </w:tcMar>
          </w:tcPr>
          <w:p>
            <w:r>
              <w:rPr>
                <w:sz w:val="16"/>
              </w:rPr>
              <w:t>Target Date</w:t>
            </w:r>
          </w:p>
        </w:tc>
        <w:tc>
          <w:tcPr>
            <w:tcW w:type="dxa" w:w="7564"/>
            <w:vAlign w:val="center"/>
            <w:tcMar>
              <w:top w:w="80" w:type="dxa"/>
              <w:start w:w="120" w:type="dxa"/>
              <w:bottom w:w="80" w:type="dxa"/>
              <w:end w:w="120" w:type="dxa"/>
            </w:tcMar>
          </w:tcPr>
          <w:p>
            <w:r>
              <w:rPr>
                <w:sz w:val="16"/>
              </w:rPr>
              <w:t>Before any non-public data use</w:t>
            </w:r>
          </w:p>
        </w:tc>
      </w:tr>
      <w:tr>
        <w:tc>
          <w:tcPr>
            <w:tcW w:type="dxa" w:w="1796"/>
            <w:vAlign w:val="center"/>
            <w:tcMar>
              <w:top w:w="80" w:type="dxa"/>
              <w:start w:w="120" w:type="dxa"/>
              <w:bottom w:w="80" w:type="dxa"/>
              <w:end w:w="120" w:type="dxa"/>
            </w:tcMar>
          </w:tcPr>
          <w:p>
            <w:r>
              <w:rPr>
                <w:sz w:val="16"/>
              </w:rPr>
              <w:t>Verification</w:t>
            </w:r>
          </w:p>
        </w:tc>
        <w:tc>
          <w:tcPr>
            <w:tcW w:type="dxa" w:w="7564"/>
            <w:vAlign w:val="center"/>
            <w:tcMar>
              <w:top w:w="80" w:type="dxa"/>
              <w:start w:w="120" w:type="dxa"/>
              <w:bottom w:w="80" w:type="dxa"/>
              <w:end w:w="120" w:type="dxa"/>
            </w:tcMar>
          </w:tcPr>
          <w:p>
            <w:r>
              <w:rPr>
                <w:sz w:val="16"/>
              </w:rPr>
              <w:t>Executed documents and technical tests bind actual fields, purposes, recipients, locations, retention, rights, deletion, incident and exit controls.</w:t>
            </w:r>
          </w:p>
        </w:tc>
      </w:tr>
      <w:tr>
        <w:tc>
          <w:tcPr>
            <w:tcW w:type="dxa" w:w="1796"/>
            <w:vAlign w:val="center"/>
            <w:tcMar>
              <w:top w:w="80" w:type="dxa"/>
              <w:start w:w="120" w:type="dxa"/>
              <w:bottom w:w="80" w:type="dxa"/>
              <w:end w:w="120" w:type="dxa"/>
            </w:tcMar>
          </w:tcPr>
          <w:p>
            <w:r>
              <w:rPr>
                <w:sz w:val="16"/>
              </w:rPr>
              <w:t>Mappings</w:t>
            </w:r>
          </w:p>
        </w:tc>
        <w:tc>
          <w:tcPr>
            <w:tcW w:type="dxa" w:w="7564"/>
            <w:vAlign w:val="center"/>
            <w:tcMar>
              <w:top w:w="80" w:type="dxa"/>
              <w:start w:w="120" w:type="dxa"/>
              <w:bottom w:w="80" w:type="dxa"/>
              <w:end w:w="120" w:type="dxa"/>
            </w:tcMar>
          </w:tcPr>
          <w:p>
            <w:r>
              <w:rPr>
                <w:sz w:val="16"/>
              </w:rPr>
              <w:t>UK GDPR; DPA 2018; FCA third-party risk; NIST AI RMF GOVERN</w:t>
            </w:r>
          </w:p>
        </w:tc>
      </w:tr>
      <w:tr>
        <w:tc>
          <w:tcPr>
            <w:tcW w:type="dxa" w:w="1796"/>
            <w:vAlign w:val="center"/>
            <w:tcMar>
              <w:top w:w="80" w:type="dxa"/>
              <w:start w:w="120" w:type="dxa"/>
              <w:bottom w:w="80" w:type="dxa"/>
              <w:end w:w="120" w:type="dxa"/>
            </w:tcMar>
          </w:tcPr>
          <w:p>
            <w:r>
              <w:rPr>
                <w:sz w:val="16"/>
              </w:rPr>
              <w:t>Confidence</w:t>
            </w:r>
          </w:p>
        </w:tc>
        <w:tc>
          <w:tcPr>
            <w:tcW w:type="dxa" w:w="7564"/>
            <w:vAlign w:val="center"/>
            <w:tcMar>
              <w:top w:w="80" w:type="dxa"/>
              <w:start w:w="120" w:type="dxa"/>
              <w:bottom w:w="80" w:type="dxa"/>
              <w:end w:w="120" w:type="dxa"/>
            </w:tcMar>
          </w:tcPr>
          <w:p>
            <w:r>
              <w:rPr>
                <w:sz w:val="16"/>
              </w:rPr>
              <w:t>High</w:t>
            </w:r>
          </w:p>
        </w:tc>
      </w:tr>
    </w:tbl>
    <w:p/>
    <w:p>
      <w:pPr>
        <w:pStyle w:val="Heading1"/>
      </w:pPr>
      <w:r>
        <w:t>Consolidated Risk Register</w:t>
      </w:r>
    </w:p>
    <w:p>
      <w:r>
        <w:t>Legend: ID is the finding identifier; L and I are inherent likelihood and impact scored 1–5; Inherent is L × I; rL and rI are residual likelihood and impact after verified controls; Residual is rL × rI; rating bands are 1–4 Low, 5–9 Moderate, 10–16 High, and 17–25 Critical. Treatment is the required action and Owner is accountable for verification.</w:t>
      </w:r>
    </w:p>
    <w:p>
      <w:pPr>
        <w:pStyle w:val="Caption"/>
      </w:pPr>
      <w:r>
        <w:rPr>
          <w:b/>
        </w:rPr>
        <w:t>Consolidated risk register</w:t>
      </w:r>
    </w:p>
    <w:tbl>
      <w:tblPr>
        <w:tblStyle w:val="TableGrid"/>
        <w:tblW w:type="dxa" w:w="9360"/>
        <w:tblLayout w:type="fixed"/>
        <w:tblLook w:firstColumn="1" w:firstRow="1" w:lastColumn="0" w:lastRow="0" w:noHBand="0" w:noVBand="1" w:val="04A0"/>
        <w:tblInd w:w="120" w:type="dxa"/>
      </w:tblPr>
      <w:tblGrid>
        <w:gridCol w:w="576"/>
        <w:gridCol w:w="1788"/>
        <w:gridCol w:w="1430"/>
        <w:gridCol w:w="576"/>
        <w:gridCol w:w="576"/>
        <w:gridCol w:w="576"/>
        <w:gridCol w:w="576"/>
        <w:gridCol w:w="1788"/>
        <w:gridCol w:w="1474"/>
      </w:tblGrid>
      <w:tr>
        <w:trPr>
          <w:tblHeader w:val="true"/>
        </w:trPr>
        <w:tc>
          <w:tcPr>
            <w:tcW w:type="dxa" w:w="576"/>
            <w:shd w:fill="F2F4F7"/>
            <w:vAlign w:val="center"/>
            <w:tcMar>
              <w:top w:w="80" w:type="dxa"/>
              <w:start w:w="120" w:type="dxa"/>
              <w:bottom w:w="80" w:type="dxa"/>
              <w:end w:w="120" w:type="dxa"/>
            </w:tcMar>
          </w:tcPr>
          <w:p>
            <w:r>
              <w:rPr>
                <w:b/>
                <w:sz w:val="16"/>
              </w:rPr>
              <w:t>ID</w:t>
            </w:r>
          </w:p>
        </w:tc>
        <w:tc>
          <w:tcPr>
            <w:tcW w:type="dxa" w:w="1788"/>
            <w:shd w:fill="F2F4F7"/>
            <w:vAlign w:val="center"/>
            <w:tcMar>
              <w:top w:w="80" w:type="dxa"/>
              <w:start w:w="120" w:type="dxa"/>
              <w:bottom w:w="80" w:type="dxa"/>
              <w:end w:w="120" w:type="dxa"/>
            </w:tcMar>
          </w:tcPr>
          <w:p>
            <w:r>
              <w:rPr>
                <w:b/>
                <w:sz w:val="16"/>
              </w:rPr>
              <w:t>Risk</w:t>
            </w:r>
          </w:p>
        </w:tc>
        <w:tc>
          <w:tcPr>
            <w:tcW w:type="dxa" w:w="1430"/>
            <w:shd w:fill="F2F4F7"/>
            <w:vAlign w:val="center"/>
            <w:tcMar>
              <w:top w:w="80" w:type="dxa"/>
              <w:start w:w="120" w:type="dxa"/>
              <w:bottom w:w="80" w:type="dxa"/>
              <w:end w:w="120" w:type="dxa"/>
            </w:tcMar>
          </w:tcPr>
          <w:p>
            <w:r>
              <w:rPr>
                <w:b/>
                <w:sz w:val="16"/>
              </w:rPr>
              <w:t>Scope</w:t>
            </w:r>
          </w:p>
        </w:tc>
        <w:tc>
          <w:tcPr>
            <w:tcW w:type="dxa" w:w="576"/>
            <w:shd w:fill="F2F4F7"/>
            <w:vAlign w:val="center"/>
            <w:tcMar>
              <w:top w:w="80" w:type="dxa"/>
              <w:start w:w="120" w:type="dxa"/>
              <w:bottom w:w="80" w:type="dxa"/>
              <w:end w:w="120" w:type="dxa"/>
            </w:tcMar>
          </w:tcPr>
          <w:p>
            <w:r>
              <w:rPr>
                <w:b/>
                <w:sz w:val="16"/>
              </w:rPr>
              <w:t>L/I</w:t>
            </w:r>
          </w:p>
        </w:tc>
        <w:tc>
          <w:tcPr>
            <w:tcW w:type="dxa" w:w="576"/>
            <w:shd w:fill="F2F4F7"/>
            <w:vAlign w:val="center"/>
            <w:tcMar>
              <w:top w:w="80" w:type="dxa"/>
              <w:start w:w="120" w:type="dxa"/>
              <w:bottom w:w="80" w:type="dxa"/>
              <w:end w:w="120" w:type="dxa"/>
            </w:tcMar>
          </w:tcPr>
          <w:p>
            <w:r>
              <w:rPr>
                <w:b/>
                <w:sz w:val="16"/>
              </w:rPr>
              <w:t>Inherent</w:t>
            </w:r>
          </w:p>
        </w:tc>
        <w:tc>
          <w:tcPr>
            <w:tcW w:type="dxa" w:w="576"/>
            <w:shd w:fill="F2F4F7"/>
            <w:vAlign w:val="center"/>
            <w:tcMar>
              <w:top w:w="80" w:type="dxa"/>
              <w:start w:w="120" w:type="dxa"/>
              <w:bottom w:w="80" w:type="dxa"/>
              <w:end w:w="120" w:type="dxa"/>
            </w:tcMar>
          </w:tcPr>
          <w:p>
            <w:r>
              <w:rPr>
                <w:b/>
                <w:sz w:val="16"/>
              </w:rPr>
              <w:t>rL/rI</w:t>
            </w:r>
          </w:p>
        </w:tc>
        <w:tc>
          <w:tcPr>
            <w:tcW w:type="dxa" w:w="576"/>
            <w:shd w:fill="F2F4F7"/>
            <w:vAlign w:val="center"/>
            <w:tcMar>
              <w:top w:w="80" w:type="dxa"/>
              <w:start w:w="120" w:type="dxa"/>
              <w:bottom w:w="80" w:type="dxa"/>
              <w:end w:w="120" w:type="dxa"/>
            </w:tcMar>
          </w:tcPr>
          <w:p>
            <w:r>
              <w:rPr>
                <w:b/>
                <w:sz w:val="16"/>
              </w:rPr>
              <w:t>Residual</w:t>
            </w:r>
          </w:p>
        </w:tc>
        <w:tc>
          <w:tcPr>
            <w:tcW w:type="dxa" w:w="1788"/>
            <w:shd w:fill="F2F4F7"/>
            <w:vAlign w:val="center"/>
            <w:tcMar>
              <w:top w:w="80" w:type="dxa"/>
              <w:start w:w="120" w:type="dxa"/>
              <w:bottom w:w="80" w:type="dxa"/>
              <w:end w:w="120" w:type="dxa"/>
            </w:tcMar>
          </w:tcPr>
          <w:p>
            <w:r>
              <w:rPr>
                <w:b/>
                <w:sz w:val="16"/>
              </w:rPr>
              <w:t>Treatment</w:t>
            </w:r>
          </w:p>
        </w:tc>
        <w:tc>
          <w:tcPr>
            <w:tcW w:type="dxa" w:w="1474"/>
            <w:shd w:fill="F2F4F7"/>
            <w:vAlign w:val="center"/>
            <w:tcMar>
              <w:top w:w="80" w:type="dxa"/>
              <w:start w:w="120" w:type="dxa"/>
              <w:bottom w:w="80" w:type="dxa"/>
              <w:end w:w="120" w:type="dxa"/>
            </w:tcMar>
          </w:tcPr>
          <w:p>
            <w:r>
              <w:rPr>
                <w:b/>
                <w:sz w:val="16"/>
              </w:rPr>
              <w:t>Owner</w:t>
            </w:r>
          </w:p>
        </w:tc>
      </w:tr>
      <w:tr>
        <w:tc>
          <w:tcPr>
            <w:tcW w:type="dxa" w:w="576"/>
            <w:vAlign w:val="center"/>
            <w:tcMar>
              <w:top w:w="80" w:type="dxa"/>
              <w:start w:w="120" w:type="dxa"/>
              <w:bottom w:w="80" w:type="dxa"/>
              <w:end w:w="120" w:type="dxa"/>
            </w:tcMar>
          </w:tcPr>
          <w:p>
            <w:r>
              <w:rPr>
                <w:sz w:val="16"/>
              </w:rPr>
              <w:t>F-001</w:t>
            </w:r>
          </w:p>
        </w:tc>
        <w:tc>
          <w:tcPr>
            <w:tcW w:type="dxa" w:w="1788"/>
            <w:vAlign w:val="center"/>
            <w:tcMar>
              <w:top w:w="80" w:type="dxa"/>
              <w:start w:w="120" w:type="dxa"/>
              <w:bottom w:w="80" w:type="dxa"/>
              <w:end w:w="120" w:type="dxa"/>
            </w:tcMar>
          </w:tcPr>
          <w:p>
            <w:r>
              <w:rPr>
                <w:sz w:val="16"/>
              </w:rPr>
              <w:t>Advanced and integration secrets are declared as plaintext VS Code settings</w:t>
            </w:r>
          </w:p>
        </w:tc>
        <w:tc>
          <w:tcPr>
            <w:tcW w:type="dxa" w:w="1430"/>
            <w:vAlign w:val="center"/>
            <w:tcMar>
              <w:top w:w="80" w:type="dxa"/>
              <w:start w:w="120" w:type="dxa"/>
              <w:bottom w:w="80" w:type="dxa"/>
              <w:end w:w="120" w:type="dxa"/>
            </w:tcMar>
          </w:tcPr>
          <w:p>
            <w:r>
              <w:rPr>
                <w:sz w:val="16"/>
              </w:rPr>
              <w:t>VS Code configuration and credential boundary</w:t>
            </w:r>
          </w:p>
        </w:tc>
        <w:tc>
          <w:tcPr>
            <w:tcW w:type="dxa" w:w="576"/>
            <w:vAlign w:val="center"/>
            <w:tcMar>
              <w:top w:w="80" w:type="dxa"/>
              <w:start w:w="120" w:type="dxa"/>
              <w:bottom w:w="80" w:type="dxa"/>
              <w:end w:w="120" w:type="dxa"/>
            </w:tcMar>
          </w:tcPr>
          <w:p>
            <w:r>
              <w:rPr>
                <w:sz w:val="16"/>
              </w:rPr>
              <w:t>4/4</w:t>
            </w:r>
          </w:p>
        </w:tc>
        <w:tc>
          <w:tcPr>
            <w:tcW w:type="dxa" w:w="576"/>
            <w:vAlign w:val="center"/>
            <w:tcMar>
              <w:top w:w="80" w:type="dxa"/>
              <w:start w:w="120" w:type="dxa"/>
              <w:bottom w:w="80" w:type="dxa"/>
              <w:end w:w="120" w:type="dxa"/>
            </w:tcMar>
          </w:tcPr>
          <w:p>
            <w:r>
              <w:rPr>
                <w:sz w:val="16"/>
              </w:rPr>
              <w:t>16 High</w:t>
            </w:r>
          </w:p>
        </w:tc>
        <w:tc>
          <w:tcPr>
            <w:tcW w:type="dxa" w:w="576"/>
            <w:vAlign w:val="center"/>
            <w:tcMar>
              <w:top w:w="80" w:type="dxa"/>
              <w:start w:w="120" w:type="dxa"/>
              <w:bottom w:w="80" w:type="dxa"/>
              <w:end w:w="120" w:type="dxa"/>
            </w:tcMar>
          </w:tcPr>
          <w:p>
            <w:r>
              <w:rPr>
                <w:sz w:val="16"/>
              </w:rPr>
              <w:t>4/4</w:t>
            </w:r>
          </w:p>
        </w:tc>
        <w:tc>
          <w:tcPr>
            <w:tcW w:type="dxa" w:w="576"/>
            <w:vAlign w:val="center"/>
            <w:tcMar>
              <w:top w:w="80" w:type="dxa"/>
              <w:start w:w="120" w:type="dxa"/>
              <w:bottom w:w="80" w:type="dxa"/>
              <w:end w:w="120" w:type="dxa"/>
            </w:tcMar>
          </w:tcPr>
          <w:p>
            <w:r>
              <w:rPr>
                <w:sz w:val="16"/>
              </w:rPr>
              <w:t>16 High</w:t>
            </w:r>
          </w:p>
        </w:tc>
        <w:tc>
          <w:tcPr>
            <w:tcW w:type="dxa" w:w="1788"/>
            <w:vAlign w:val="center"/>
            <w:tcMar>
              <w:top w:w="80" w:type="dxa"/>
              <w:start w:w="120" w:type="dxa"/>
              <w:bottom w:w="80" w:type="dxa"/>
              <w:end w:w="120" w:type="dxa"/>
            </w:tcMar>
          </w:tcPr>
          <w:p>
            <w:r>
              <w:rPr>
                <w:sz w:val="16"/>
              </w:rPr>
              <w:t xml:space="preserve">Deprecate token-bearing settings, migrate values to SecretStorage, reject workspace-scoped secrets, redact logs and rotate any migrated token. </w:t>
            </w:r>
            <w:hyperlink w:anchor="REF_011">
              <w:r>
                <w:rPr>
                  <w:rStyle w:val="Hyperlink"/>
                </w:rPr>
                <w:t>REF-011</w:t>
              </w:r>
            </w:hyperlink>
          </w:p>
        </w:tc>
        <w:tc>
          <w:tcPr>
            <w:tcW w:type="dxa" w:w="1474"/>
            <w:vAlign w:val="center"/>
            <w:tcMar>
              <w:top w:w="80" w:type="dxa"/>
              <w:start w:w="120" w:type="dxa"/>
              <w:bottom w:w="80" w:type="dxa"/>
              <w:end w:w="120" w:type="dxa"/>
            </w:tcMar>
          </w:tcPr>
          <w:p>
            <w:r>
              <w:rPr>
                <w:sz w:val="16"/>
              </w:rPr>
              <w:t>Augment engineering and enterprise endpoint owner</w:t>
            </w:r>
          </w:p>
        </w:tc>
      </w:tr>
      <w:tr>
        <w:tc>
          <w:tcPr>
            <w:tcW w:type="dxa" w:w="576"/>
            <w:vAlign w:val="center"/>
            <w:tcMar>
              <w:top w:w="80" w:type="dxa"/>
              <w:start w:w="120" w:type="dxa"/>
              <w:bottom w:w="80" w:type="dxa"/>
              <w:end w:w="120" w:type="dxa"/>
            </w:tcMar>
          </w:tcPr>
          <w:p>
            <w:r>
              <w:rPr>
                <w:sz w:val="16"/>
              </w:rPr>
              <w:t>F-002</w:t>
            </w:r>
          </w:p>
        </w:tc>
        <w:tc>
          <w:tcPr>
            <w:tcW w:type="dxa" w:w="1788"/>
            <w:vAlign w:val="center"/>
            <w:tcMar>
              <w:top w:w="80" w:type="dxa"/>
              <w:start w:w="120" w:type="dxa"/>
              <w:bottom w:w="80" w:type="dxa"/>
              <w:end w:w="120" w:type="dxa"/>
            </w:tcMar>
          </w:tcPr>
          <w:p>
            <w:r>
              <w:rPr>
                <w:sz w:val="16"/>
              </w:rPr>
              <w:t>Automatic workspace upload can exceed intended data scope</w:t>
            </w:r>
          </w:p>
        </w:tc>
        <w:tc>
          <w:tcPr>
            <w:tcW w:type="dxa" w:w="1430"/>
            <w:vAlign w:val="center"/>
            <w:tcMar>
              <w:top w:w="80" w:type="dxa"/>
              <w:start w:w="120" w:type="dxa"/>
              <w:bottom w:w="80" w:type="dxa"/>
              <w:end w:w="120" w:type="dxa"/>
            </w:tcMar>
          </w:tcPr>
          <w:p>
            <w:r>
              <w:rPr>
                <w:sz w:val="16"/>
              </w:rPr>
              <w:t>Workspace indexing, privacy and source confidentiality</w:t>
            </w:r>
          </w:p>
        </w:tc>
        <w:tc>
          <w:tcPr>
            <w:tcW w:type="dxa" w:w="576"/>
            <w:vAlign w:val="center"/>
            <w:tcMar>
              <w:top w:w="80" w:type="dxa"/>
              <w:start w:w="120" w:type="dxa"/>
              <w:bottom w:w="80" w:type="dxa"/>
              <w:end w:w="120" w:type="dxa"/>
            </w:tcMar>
          </w:tcPr>
          <w:p>
            <w:r>
              <w:rPr>
                <w:sz w:val="16"/>
              </w:rPr>
              <w:t>4/5</w:t>
            </w:r>
          </w:p>
        </w:tc>
        <w:tc>
          <w:tcPr>
            <w:tcW w:type="dxa" w:w="576"/>
            <w:vAlign w:val="center"/>
            <w:tcMar>
              <w:top w:w="80" w:type="dxa"/>
              <w:start w:w="120" w:type="dxa"/>
              <w:bottom w:w="80" w:type="dxa"/>
              <w:end w:w="120" w:type="dxa"/>
            </w:tcMar>
          </w:tcPr>
          <w:p>
            <w:r>
              <w:rPr>
                <w:sz w:val="16"/>
              </w:rPr>
              <w:t>20 Critical</w:t>
            </w:r>
          </w:p>
        </w:tc>
        <w:tc>
          <w:tcPr>
            <w:tcW w:type="dxa" w:w="576"/>
            <w:vAlign w:val="center"/>
            <w:tcMar>
              <w:top w:w="80" w:type="dxa"/>
              <w:start w:w="120" w:type="dxa"/>
              <w:bottom w:w="80" w:type="dxa"/>
              <w:end w:w="120" w:type="dxa"/>
            </w:tcMar>
          </w:tcPr>
          <w:p>
            <w:r>
              <w:rPr>
                <w:sz w:val="16"/>
              </w:rPr>
              <w:t>3/5</w:t>
            </w:r>
          </w:p>
        </w:tc>
        <w:tc>
          <w:tcPr>
            <w:tcW w:type="dxa" w:w="576"/>
            <w:vAlign w:val="center"/>
            <w:tcMar>
              <w:top w:w="80" w:type="dxa"/>
              <w:start w:w="120" w:type="dxa"/>
              <w:bottom w:w="80" w:type="dxa"/>
              <w:end w:w="120" w:type="dxa"/>
            </w:tcMar>
          </w:tcPr>
          <w:p>
            <w:r>
              <w:rPr>
                <w:sz w:val="16"/>
              </w:rPr>
              <w:t>15 High</w:t>
            </w:r>
          </w:p>
        </w:tc>
        <w:tc>
          <w:tcPr>
            <w:tcW w:type="dxa" w:w="1788"/>
            <w:vAlign w:val="center"/>
            <w:tcMar>
              <w:top w:w="80" w:type="dxa"/>
              <w:start w:w="120" w:type="dxa"/>
              <w:bottom w:w="80" w:type="dxa"/>
              <w:end w:w="120" w:type="dxa"/>
            </w:tcMar>
          </w:tcPr>
          <w:p>
            <w:r>
              <w:rPr>
                <w:sz w:val="16"/>
              </w:rPr>
              <w:t xml:space="preserve">Gate indexing, enforce central deny rules, show a pre-transfer inventory, prohibit sensitive repositories and verify deletion and transfer controls. </w:t>
            </w:r>
            <w:hyperlink w:anchor="REF_002">
              <w:r>
                <w:rPr>
                  <w:rStyle w:val="Hyperlink"/>
                </w:rPr>
                <w:t>REF-002</w:t>
              </w:r>
            </w:hyperlink>
            <w:r>
              <w:rPr>
                <w:sz w:val="16"/>
              </w:rPr>
              <w:t xml:space="preserve"> </w:t>
            </w:r>
            <w:hyperlink w:anchor="REF_019">
              <w:r>
                <w:rPr>
                  <w:rStyle w:val="Hyperlink"/>
                </w:rPr>
                <w:t>REF-019</w:t>
              </w:r>
            </w:hyperlink>
          </w:p>
        </w:tc>
        <w:tc>
          <w:tcPr>
            <w:tcW w:type="dxa" w:w="1474"/>
            <w:vAlign w:val="center"/>
            <w:tcMar>
              <w:top w:w="80" w:type="dxa"/>
              <w:start w:w="120" w:type="dxa"/>
              <w:bottom w:w="80" w:type="dxa"/>
              <w:end w:w="120" w:type="dxa"/>
            </w:tcMar>
          </w:tcPr>
          <w:p>
            <w:r>
              <w:rPr>
                <w:sz w:val="16"/>
              </w:rPr>
              <w:t>Enterprise privacy, endpoint and source-governance owners</w:t>
            </w:r>
          </w:p>
        </w:tc>
      </w:tr>
      <w:tr>
        <w:tc>
          <w:tcPr>
            <w:tcW w:type="dxa" w:w="576"/>
            <w:vAlign w:val="center"/>
            <w:tcMar>
              <w:top w:w="80" w:type="dxa"/>
              <w:start w:w="120" w:type="dxa"/>
              <w:bottom w:w="80" w:type="dxa"/>
              <w:end w:w="120" w:type="dxa"/>
            </w:tcMar>
          </w:tcPr>
          <w:p>
            <w:r>
              <w:rPr>
                <w:sz w:val="16"/>
              </w:rPr>
              <w:t>F-003</w:t>
            </w:r>
          </w:p>
        </w:tc>
        <w:tc>
          <w:tcPr>
            <w:tcW w:type="dxa" w:w="1788"/>
            <w:vAlign w:val="center"/>
            <w:tcMar>
              <w:top w:w="80" w:type="dxa"/>
              <w:start w:w="120" w:type="dxa"/>
              <w:bottom w:w="80" w:type="dxa"/>
              <w:end w:w="120" w:type="dxa"/>
            </w:tcMar>
          </w:tcPr>
          <w:p>
            <w:r>
              <w:rPr>
                <w:sz w:val="16"/>
              </w:rPr>
              <w:t>Extension agent and MCP authority lacks representative permission and denial evidence</w:t>
            </w:r>
          </w:p>
        </w:tc>
        <w:tc>
          <w:tcPr>
            <w:tcW w:type="dxa" w:w="1430"/>
            <w:vAlign w:val="center"/>
            <w:tcMar>
              <w:top w:w="80" w:type="dxa"/>
              <w:start w:w="120" w:type="dxa"/>
              <w:bottom w:w="80" w:type="dxa"/>
              <w:end w:w="120" w:type="dxa"/>
            </w:tcMar>
          </w:tcPr>
          <w:p>
            <w:r>
              <w:rPr>
                <w:sz w:val="16"/>
              </w:rPr>
              <w:t>Agent tools, terminal, MCP and integrations</w:t>
            </w:r>
          </w:p>
        </w:tc>
        <w:tc>
          <w:tcPr>
            <w:tcW w:type="dxa" w:w="576"/>
            <w:vAlign w:val="center"/>
            <w:tcMar>
              <w:top w:w="80" w:type="dxa"/>
              <w:start w:w="120" w:type="dxa"/>
              <w:bottom w:w="80" w:type="dxa"/>
              <w:end w:w="120" w:type="dxa"/>
            </w:tcMar>
          </w:tcPr>
          <w:p>
            <w:r>
              <w:rPr>
                <w:sz w:val="16"/>
              </w:rPr>
              <w:t>4/5</w:t>
            </w:r>
          </w:p>
        </w:tc>
        <w:tc>
          <w:tcPr>
            <w:tcW w:type="dxa" w:w="576"/>
            <w:vAlign w:val="center"/>
            <w:tcMar>
              <w:top w:w="80" w:type="dxa"/>
              <w:start w:w="120" w:type="dxa"/>
              <w:bottom w:w="80" w:type="dxa"/>
              <w:end w:w="120" w:type="dxa"/>
            </w:tcMar>
          </w:tcPr>
          <w:p>
            <w:r>
              <w:rPr>
                <w:sz w:val="16"/>
              </w:rPr>
              <w:t>20 Critical</w:t>
            </w:r>
          </w:p>
        </w:tc>
        <w:tc>
          <w:tcPr>
            <w:tcW w:type="dxa" w:w="576"/>
            <w:vAlign w:val="center"/>
            <w:tcMar>
              <w:top w:w="80" w:type="dxa"/>
              <w:start w:w="120" w:type="dxa"/>
              <w:bottom w:w="80" w:type="dxa"/>
              <w:end w:w="120" w:type="dxa"/>
            </w:tcMar>
          </w:tcPr>
          <w:p>
            <w:r>
              <w:rPr>
                <w:sz w:val="16"/>
              </w:rPr>
              <w:t>3/5</w:t>
            </w:r>
          </w:p>
        </w:tc>
        <w:tc>
          <w:tcPr>
            <w:tcW w:type="dxa" w:w="576"/>
            <w:vAlign w:val="center"/>
            <w:tcMar>
              <w:top w:w="80" w:type="dxa"/>
              <w:start w:w="120" w:type="dxa"/>
              <w:bottom w:w="80" w:type="dxa"/>
              <w:end w:w="120" w:type="dxa"/>
            </w:tcMar>
          </w:tcPr>
          <w:p>
            <w:r>
              <w:rPr>
                <w:sz w:val="16"/>
              </w:rPr>
              <w:t>15 High</w:t>
            </w:r>
          </w:p>
        </w:tc>
        <w:tc>
          <w:tcPr>
            <w:tcW w:type="dxa" w:w="1788"/>
            <w:vAlign w:val="center"/>
            <w:tcMar>
              <w:top w:w="80" w:type="dxa"/>
              <w:start w:w="120" w:type="dxa"/>
              <w:bottom w:w="80" w:type="dxa"/>
              <w:end w:w="120" w:type="dxa"/>
            </w:tcMar>
          </w:tcPr>
          <w:p>
            <w:r>
              <w:rPr>
                <w:sz w:val="16"/>
              </w:rPr>
              <w:t xml:space="preserve">Implement and test extension-specific allow, ask and deny enforcement; constrain host roots, processes, egress, credentials and immutable MCP identities. </w:t>
            </w:r>
            <w:hyperlink w:anchor="REF_009">
              <w:r>
                <w:rPr>
                  <w:rStyle w:val="Hyperlink"/>
                </w:rPr>
                <w:t>REF-009</w:t>
              </w:r>
            </w:hyperlink>
            <w:r>
              <w:rPr>
                <w:sz w:val="16"/>
              </w:rPr>
              <w:t xml:space="preserve"> </w:t>
            </w:r>
            <w:hyperlink w:anchor="REF_014">
              <w:r>
                <w:rPr>
                  <w:rStyle w:val="Hyperlink"/>
                </w:rPr>
                <w:t>REF-014</w:t>
              </w:r>
            </w:hyperlink>
          </w:p>
        </w:tc>
        <w:tc>
          <w:tcPr>
            <w:tcW w:type="dxa" w:w="1474"/>
            <w:vAlign w:val="center"/>
            <w:tcMar>
              <w:top w:w="80" w:type="dxa"/>
              <w:start w:w="120" w:type="dxa"/>
              <w:bottom w:w="80" w:type="dxa"/>
              <w:end w:w="120" w:type="dxa"/>
            </w:tcMar>
          </w:tcPr>
          <w:p>
            <w:r>
              <w:rPr>
                <w:sz w:val="16"/>
              </w:rPr>
              <w:t>Augment engineering and enterprise security engineering</w:t>
            </w:r>
          </w:p>
        </w:tc>
      </w:tr>
      <w:tr>
        <w:tc>
          <w:tcPr>
            <w:tcW w:type="dxa" w:w="576"/>
            <w:vAlign w:val="center"/>
            <w:tcMar>
              <w:top w:w="80" w:type="dxa"/>
              <w:start w:w="120" w:type="dxa"/>
              <w:bottom w:w="80" w:type="dxa"/>
              <w:end w:w="120" w:type="dxa"/>
            </w:tcMar>
          </w:tcPr>
          <w:p>
            <w:r>
              <w:rPr>
                <w:sz w:val="16"/>
              </w:rPr>
              <w:t>F-004</w:t>
            </w:r>
          </w:p>
        </w:tc>
        <w:tc>
          <w:tcPr>
            <w:tcW w:type="dxa" w:w="1788"/>
            <w:vAlign w:val="center"/>
            <w:tcMar>
              <w:top w:w="80" w:type="dxa"/>
              <w:start w:w="120" w:type="dxa"/>
              <w:bottom w:w="80" w:type="dxa"/>
              <w:end w:w="120" w:type="dxa"/>
            </w:tcMar>
          </w:tcPr>
          <w:p>
            <w:r>
              <w:rPr>
                <w:sz w:val="16"/>
              </w:rPr>
              <w:t>Webview policy can permit remote scripts, unsafe-eval and unsafe-inline</w:t>
            </w:r>
          </w:p>
        </w:tc>
        <w:tc>
          <w:tcPr>
            <w:tcW w:type="dxa" w:w="1430"/>
            <w:vAlign w:val="center"/>
            <w:tcMar>
              <w:top w:w="80" w:type="dxa"/>
              <w:start w:w="120" w:type="dxa"/>
              <w:bottom w:w="80" w:type="dxa"/>
              <w:end w:w="120" w:type="dxa"/>
            </w:tcMar>
          </w:tcPr>
          <w:p>
            <w:r>
              <w:rPr>
                <w:sz w:val="16"/>
              </w:rPr>
              <w:t>Settings, Mermaid and other extension webviews</w:t>
            </w:r>
          </w:p>
        </w:tc>
        <w:tc>
          <w:tcPr>
            <w:tcW w:type="dxa" w:w="576"/>
            <w:vAlign w:val="center"/>
            <w:tcMar>
              <w:top w:w="80" w:type="dxa"/>
              <w:start w:w="120" w:type="dxa"/>
              <w:bottom w:w="80" w:type="dxa"/>
              <w:end w:w="120" w:type="dxa"/>
            </w:tcMar>
          </w:tcPr>
          <w:p>
            <w:r>
              <w:rPr>
                <w:sz w:val="16"/>
              </w:rPr>
              <w:t>3/4</w:t>
            </w:r>
          </w:p>
        </w:tc>
        <w:tc>
          <w:tcPr>
            <w:tcW w:type="dxa" w:w="576"/>
            <w:vAlign w:val="center"/>
            <w:tcMar>
              <w:top w:w="80" w:type="dxa"/>
              <w:start w:w="120" w:type="dxa"/>
              <w:bottom w:w="80" w:type="dxa"/>
              <w:end w:w="120" w:type="dxa"/>
            </w:tcMar>
          </w:tcPr>
          <w:p>
            <w:r>
              <w:rPr>
                <w:sz w:val="16"/>
              </w:rPr>
              <w:t>12 High</w:t>
            </w:r>
          </w:p>
        </w:tc>
        <w:tc>
          <w:tcPr>
            <w:tcW w:type="dxa" w:w="576"/>
            <w:vAlign w:val="center"/>
            <w:tcMar>
              <w:top w:w="80" w:type="dxa"/>
              <w:start w:w="120" w:type="dxa"/>
              <w:bottom w:w="80" w:type="dxa"/>
              <w:end w:w="120" w:type="dxa"/>
            </w:tcMar>
          </w:tcPr>
          <w:p>
            <w:r>
              <w:rPr>
                <w:sz w:val="16"/>
              </w:rPr>
              <w:t>3/3</w:t>
            </w:r>
          </w:p>
        </w:tc>
        <w:tc>
          <w:tcPr>
            <w:tcW w:type="dxa" w:w="576"/>
            <w:vAlign w:val="center"/>
            <w:tcMar>
              <w:top w:w="80" w:type="dxa"/>
              <w:start w:w="120" w:type="dxa"/>
              <w:bottom w:w="80" w:type="dxa"/>
              <w:end w:w="120" w:type="dxa"/>
            </w:tcMar>
          </w:tcPr>
          <w:p>
            <w:r>
              <w:rPr>
                <w:sz w:val="16"/>
              </w:rPr>
              <w:t>9 Moderate</w:t>
            </w:r>
          </w:p>
        </w:tc>
        <w:tc>
          <w:tcPr>
            <w:tcW w:type="dxa" w:w="1788"/>
            <w:vAlign w:val="center"/>
            <w:tcMar>
              <w:top w:w="80" w:type="dxa"/>
              <w:start w:w="120" w:type="dxa"/>
              <w:bottom w:w="80" w:type="dxa"/>
              <w:end w:w="120" w:type="dxa"/>
            </w:tcMar>
          </w:tcPr>
          <w:p>
            <w:r>
              <w:rPr>
                <w:sz w:val="16"/>
              </w:rPr>
              <w:t>Bundle and integrity-pin scripts, remove unsafe-eval and unnecessary unsafe-inline, nonce scripts, validate message schemas and test hostile rendered content.</w:t>
            </w:r>
          </w:p>
        </w:tc>
        <w:tc>
          <w:tcPr>
            <w:tcW w:type="dxa" w:w="1474"/>
            <w:vAlign w:val="center"/>
            <w:tcMar>
              <w:top w:w="80" w:type="dxa"/>
              <w:start w:w="120" w:type="dxa"/>
              <w:bottom w:w="80" w:type="dxa"/>
              <w:end w:w="120" w:type="dxa"/>
            </w:tcMar>
          </w:tcPr>
          <w:p>
            <w:r>
              <w:rPr>
                <w:sz w:val="16"/>
              </w:rPr>
              <w:t>Augment webview engineering</w:t>
            </w:r>
          </w:p>
        </w:tc>
      </w:tr>
      <w:tr>
        <w:tc>
          <w:tcPr>
            <w:tcW w:type="dxa" w:w="576"/>
            <w:vAlign w:val="center"/>
            <w:tcMar>
              <w:top w:w="80" w:type="dxa"/>
              <w:start w:w="120" w:type="dxa"/>
              <w:bottom w:w="80" w:type="dxa"/>
              <w:end w:w="120" w:type="dxa"/>
            </w:tcMar>
          </w:tcPr>
          <w:p>
            <w:r>
              <w:rPr>
                <w:sz w:val="16"/>
              </w:rPr>
              <w:t>F-005</w:t>
            </w:r>
          </w:p>
        </w:tc>
        <w:tc>
          <w:tcPr>
            <w:tcW w:type="dxa" w:w="1788"/>
            <w:vAlign w:val="center"/>
            <w:tcMar>
              <w:top w:w="80" w:type="dxa"/>
              <w:start w:w="120" w:type="dxa"/>
              <w:bottom w:w="80" w:type="dxa"/>
              <w:end w:w="120" w:type="dxa"/>
            </w:tcMar>
          </w:tcPr>
          <w:p>
            <w:r>
              <w:rPr>
                <w:sz w:val="16"/>
              </w:rPr>
              <w:t>Package provenance and dependency transparency are incomplete</w:t>
            </w:r>
          </w:p>
        </w:tc>
        <w:tc>
          <w:tcPr>
            <w:tcW w:type="dxa" w:w="1430"/>
            <w:vAlign w:val="center"/>
            <w:tcMar>
              <w:top w:w="80" w:type="dxa"/>
              <w:start w:w="120" w:type="dxa"/>
              <w:bottom w:w="80" w:type="dxa"/>
              <w:end w:w="120" w:type="dxa"/>
            </w:tcMar>
          </w:tcPr>
          <w:p>
            <w:r>
              <w:rPr>
                <w:sz w:val="16"/>
              </w:rPr>
              <w:t>Marketplace package, bundled JavaScript and native modules</w:t>
            </w:r>
          </w:p>
        </w:tc>
        <w:tc>
          <w:tcPr>
            <w:tcW w:type="dxa" w:w="576"/>
            <w:vAlign w:val="center"/>
            <w:tcMar>
              <w:top w:w="80" w:type="dxa"/>
              <w:start w:w="120" w:type="dxa"/>
              <w:bottom w:w="80" w:type="dxa"/>
              <w:end w:w="120" w:type="dxa"/>
            </w:tcMar>
          </w:tcPr>
          <w:p>
            <w:r>
              <w:rPr>
                <w:sz w:val="16"/>
              </w:rPr>
              <w:t>3/4</w:t>
            </w:r>
          </w:p>
        </w:tc>
        <w:tc>
          <w:tcPr>
            <w:tcW w:type="dxa" w:w="576"/>
            <w:vAlign w:val="center"/>
            <w:tcMar>
              <w:top w:w="80" w:type="dxa"/>
              <w:start w:w="120" w:type="dxa"/>
              <w:bottom w:w="80" w:type="dxa"/>
              <w:end w:w="120" w:type="dxa"/>
            </w:tcMar>
          </w:tcPr>
          <w:p>
            <w:r>
              <w:rPr>
                <w:sz w:val="16"/>
              </w:rPr>
              <w:t>12 High</w:t>
            </w:r>
          </w:p>
        </w:tc>
        <w:tc>
          <w:tcPr>
            <w:tcW w:type="dxa" w:w="576"/>
            <w:vAlign w:val="center"/>
            <w:tcMar>
              <w:top w:w="80" w:type="dxa"/>
              <w:start w:w="120" w:type="dxa"/>
              <w:bottom w:w="80" w:type="dxa"/>
              <w:end w:w="120" w:type="dxa"/>
            </w:tcMar>
          </w:tcPr>
          <w:p>
            <w:r>
              <w:rPr>
                <w:sz w:val="16"/>
              </w:rPr>
              <w:t>3/4</w:t>
            </w:r>
          </w:p>
        </w:tc>
        <w:tc>
          <w:tcPr>
            <w:tcW w:type="dxa" w:w="576"/>
            <w:vAlign w:val="center"/>
            <w:tcMar>
              <w:top w:w="80" w:type="dxa"/>
              <w:start w:w="120" w:type="dxa"/>
              <w:bottom w:w="80" w:type="dxa"/>
              <w:end w:w="120" w:type="dxa"/>
            </w:tcMar>
          </w:tcPr>
          <w:p>
            <w:r>
              <w:rPr>
                <w:sz w:val="16"/>
              </w:rPr>
              <w:t>12 High</w:t>
            </w:r>
          </w:p>
        </w:tc>
        <w:tc>
          <w:tcPr>
            <w:tcW w:type="dxa" w:w="1788"/>
            <w:vAlign w:val="center"/>
            <w:tcMar>
              <w:top w:w="80" w:type="dxa"/>
              <w:start w:w="120" w:type="dxa"/>
              <w:bottom w:w="80" w:type="dxa"/>
              <w:end w:w="120" w:type="dxa"/>
            </w:tcMar>
          </w:tcPr>
          <w:p>
            <w:r>
              <w:rPr>
                <w:sz w:val="16"/>
              </w:rPr>
              <w:t>Publish signed package-specific SBOM, version-bound source or escrow, reproducible build provenance, native binary provenance and licence inventory.</w:t>
            </w:r>
          </w:p>
        </w:tc>
        <w:tc>
          <w:tcPr>
            <w:tcW w:type="dxa" w:w="1474"/>
            <w:vAlign w:val="center"/>
            <w:tcMar>
              <w:top w:w="80" w:type="dxa"/>
              <w:start w:w="120" w:type="dxa"/>
              <w:bottom w:w="80" w:type="dxa"/>
              <w:end w:w="120" w:type="dxa"/>
            </w:tcMar>
          </w:tcPr>
          <w:p>
            <w:r>
              <w:rPr>
                <w:sz w:val="16"/>
              </w:rPr>
              <w:t>Augment supply-chain engineering and enterprise software assurance</w:t>
            </w:r>
          </w:p>
        </w:tc>
      </w:tr>
      <w:tr>
        <w:tc>
          <w:tcPr>
            <w:tcW w:type="dxa" w:w="576"/>
            <w:vAlign w:val="center"/>
            <w:tcMar>
              <w:top w:w="80" w:type="dxa"/>
              <w:start w:w="120" w:type="dxa"/>
              <w:bottom w:w="80" w:type="dxa"/>
              <w:end w:w="120" w:type="dxa"/>
            </w:tcMar>
          </w:tcPr>
          <w:p>
            <w:r>
              <w:rPr>
                <w:sz w:val="16"/>
              </w:rPr>
              <w:t>F-006</w:t>
            </w:r>
          </w:p>
        </w:tc>
        <w:tc>
          <w:tcPr>
            <w:tcW w:type="dxa" w:w="1788"/>
            <w:vAlign w:val="center"/>
            <w:tcMar>
              <w:top w:w="80" w:type="dxa"/>
              <w:start w:w="120" w:type="dxa"/>
              <w:bottom w:w="80" w:type="dxa"/>
              <w:end w:w="120" w:type="dxa"/>
            </w:tcMar>
          </w:tcPr>
          <w:p>
            <w:r>
              <w:rPr>
                <w:sz w:val="16"/>
              </w:rPr>
              <w:t>Representative behavioural runtime evidence is blocked</w:t>
            </w:r>
          </w:p>
        </w:tc>
        <w:tc>
          <w:tcPr>
            <w:tcW w:type="dxa" w:w="1430"/>
            <w:vAlign w:val="center"/>
            <w:tcMar>
              <w:top w:w="80" w:type="dxa"/>
              <w:start w:w="120" w:type="dxa"/>
              <w:bottom w:w="80" w:type="dxa"/>
              <w:end w:w="120" w:type="dxa"/>
            </w:tcMar>
          </w:tcPr>
          <w:p>
            <w:r>
              <w:rPr>
                <w:sz w:val="16"/>
              </w:rPr>
              <w:t>Activation, processes, network, telemetry, updates and uninstall</w:t>
            </w:r>
          </w:p>
        </w:tc>
        <w:tc>
          <w:tcPr>
            <w:tcW w:type="dxa" w:w="576"/>
            <w:vAlign w:val="center"/>
            <w:tcMar>
              <w:top w:w="80" w:type="dxa"/>
              <w:start w:w="120" w:type="dxa"/>
              <w:bottom w:w="80" w:type="dxa"/>
              <w:end w:w="120" w:type="dxa"/>
            </w:tcMar>
          </w:tcPr>
          <w:p>
            <w:r>
              <w:rPr>
                <w:sz w:val="16"/>
              </w:rPr>
              <w:t>4/4</w:t>
            </w:r>
          </w:p>
        </w:tc>
        <w:tc>
          <w:tcPr>
            <w:tcW w:type="dxa" w:w="576"/>
            <w:vAlign w:val="center"/>
            <w:tcMar>
              <w:top w:w="80" w:type="dxa"/>
              <w:start w:w="120" w:type="dxa"/>
              <w:bottom w:w="80" w:type="dxa"/>
              <w:end w:w="120" w:type="dxa"/>
            </w:tcMar>
          </w:tcPr>
          <w:p>
            <w:r>
              <w:rPr>
                <w:sz w:val="16"/>
              </w:rPr>
              <w:t>16 High</w:t>
            </w:r>
          </w:p>
        </w:tc>
        <w:tc>
          <w:tcPr>
            <w:tcW w:type="dxa" w:w="576"/>
            <w:vAlign w:val="center"/>
            <w:tcMar>
              <w:top w:w="80" w:type="dxa"/>
              <w:start w:w="120" w:type="dxa"/>
              <w:bottom w:w="80" w:type="dxa"/>
              <w:end w:w="120" w:type="dxa"/>
            </w:tcMar>
          </w:tcPr>
          <w:p>
            <w:r>
              <w:rPr>
                <w:sz w:val="16"/>
              </w:rPr>
              <w:t>4/4</w:t>
            </w:r>
          </w:p>
        </w:tc>
        <w:tc>
          <w:tcPr>
            <w:tcW w:type="dxa" w:w="576"/>
            <w:vAlign w:val="center"/>
            <w:tcMar>
              <w:top w:w="80" w:type="dxa"/>
              <w:start w:w="120" w:type="dxa"/>
              <w:bottom w:w="80" w:type="dxa"/>
              <w:end w:w="120" w:type="dxa"/>
            </w:tcMar>
          </w:tcPr>
          <w:p>
            <w:r>
              <w:rPr>
                <w:sz w:val="16"/>
              </w:rPr>
              <w:t>16 High</w:t>
            </w:r>
          </w:p>
        </w:tc>
        <w:tc>
          <w:tcPr>
            <w:tcW w:type="dxa" w:w="1788"/>
            <w:vAlign w:val="center"/>
            <w:tcMar>
              <w:top w:w="80" w:type="dxa"/>
              <w:start w:w="120" w:type="dxa"/>
              <w:bottom w:w="80" w:type="dxa"/>
              <w:end w:w="120" w:type="dxa"/>
            </w:tcMar>
          </w:tcPr>
          <w:p>
            <w:r>
              <w:rPr>
                <w:sz w:val="16"/>
              </w:rPr>
              <w:t>Execute the documented synthetic, disposable, least-privilege, restricted-egress runtime matrix and bind results to version, platform and digest.</w:t>
            </w:r>
          </w:p>
        </w:tc>
        <w:tc>
          <w:tcPr>
            <w:tcW w:type="dxa" w:w="1474"/>
            <w:vAlign w:val="center"/>
            <w:tcMar>
              <w:top w:w="80" w:type="dxa"/>
              <w:start w:w="120" w:type="dxa"/>
              <w:bottom w:w="80" w:type="dxa"/>
              <w:end w:w="120" w:type="dxa"/>
            </w:tcMar>
          </w:tcPr>
          <w:p>
            <w:r>
              <w:rPr>
                <w:sz w:val="16"/>
              </w:rPr>
              <w:t>Enterprise security testing</w:t>
            </w:r>
          </w:p>
        </w:tc>
      </w:tr>
      <w:tr>
        <w:tc>
          <w:tcPr>
            <w:tcW w:type="dxa" w:w="576"/>
            <w:vAlign w:val="center"/>
            <w:tcMar>
              <w:top w:w="80" w:type="dxa"/>
              <w:start w:w="120" w:type="dxa"/>
              <w:bottom w:w="80" w:type="dxa"/>
              <w:end w:w="120" w:type="dxa"/>
            </w:tcMar>
          </w:tcPr>
          <w:p>
            <w:r>
              <w:rPr>
                <w:sz w:val="16"/>
              </w:rPr>
              <w:t>F-007</w:t>
            </w:r>
          </w:p>
        </w:tc>
        <w:tc>
          <w:tcPr>
            <w:tcW w:type="dxa" w:w="1788"/>
            <w:vAlign w:val="center"/>
            <w:tcMar>
              <w:top w:w="80" w:type="dxa"/>
              <w:start w:w="120" w:type="dxa"/>
              <w:bottom w:w="80" w:type="dxa"/>
              <w:end w:w="120" w:type="dxa"/>
            </w:tcMar>
          </w:tcPr>
          <w:p>
            <w:r>
              <w:rPr>
                <w:sz w:val="16"/>
              </w:rPr>
              <w:t>Enterprise privacy, transfer, retention and supplier commitments are not established</w:t>
            </w:r>
          </w:p>
        </w:tc>
        <w:tc>
          <w:tcPr>
            <w:tcW w:type="dxa" w:w="1430"/>
            <w:vAlign w:val="center"/>
            <w:tcMar>
              <w:top w:w="80" w:type="dxa"/>
              <w:start w:w="120" w:type="dxa"/>
              <w:bottom w:w="80" w:type="dxa"/>
              <w:end w:w="120" w:type="dxa"/>
            </w:tcMar>
          </w:tcPr>
          <w:p>
            <w:r>
              <w:rPr>
                <w:sz w:val="16"/>
              </w:rPr>
              <w:t>Remote service processing and third-party governance</w:t>
            </w:r>
          </w:p>
        </w:tc>
        <w:tc>
          <w:tcPr>
            <w:tcW w:type="dxa" w:w="576"/>
            <w:vAlign w:val="center"/>
            <w:tcMar>
              <w:top w:w="80" w:type="dxa"/>
              <w:start w:w="120" w:type="dxa"/>
              <w:bottom w:w="80" w:type="dxa"/>
              <w:end w:w="120" w:type="dxa"/>
            </w:tcMar>
          </w:tcPr>
          <w:p>
            <w:r>
              <w:rPr>
                <w:sz w:val="16"/>
              </w:rPr>
              <w:t>4/5</w:t>
            </w:r>
          </w:p>
        </w:tc>
        <w:tc>
          <w:tcPr>
            <w:tcW w:type="dxa" w:w="576"/>
            <w:vAlign w:val="center"/>
            <w:tcMar>
              <w:top w:w="80" w:type="dxa"/>
              <w:start w:w="120" w:type="dxa"/>
              <w:bottom w:w="80" w:type="dxa"/>
              <w:end w:w="120" w:type="dxa"/>
            </w:tcMar>
          </w:tcPr>
          <w:p>
            <w:r>
              <w:rPr>
                <w:sz w:val="16"/>
              </w:rPr>
              <w:t>20 Critical</w:t>
            </w:r>
          </w:p>
        </w:tc>
        <w:tc>
          <w:tcPr>
            <w:tcW w:type="dxa" w:w="576"/>
            <w:vAlign w:val="center"/>
            <w:tcMar>
              <w:top w:w="80" w:type="dxa"/>
              <w:start w:w="120" w:type="dxa"/>
              <w:bottom w:w="80" w:type="dxa"/>
              <w:end w:w="120" w:type="dxa"/>
            </w:tcMar>
          </w:tcPr>
          <w:p>
            <w:r>
              <w:rPr>
                <w:sz w:val="16"/>
              </w:rPr>
              <w:t>3/5</w:t>
            </w:r>
          </w:p>
        </w:tc>
        <w:tc>
          <w:tcPr>
            <w:tcW w:type="dxa" w:w="576"/>
            <w:vAlign w:val="center"/>
            <w:tcMar>
              <w:top w:w="80" w:type="dxa"/>
              <w:start w:w="120" w:type="dxa"/>
              <w:bottom w:w="80" w:type="dxa"/>
              <w:end w:w="120" w:type="dxa"/>
            </w:tcMar>
          </w:tcPr>
          <w:p>
            <w:r>
              <w:rPr>
                <w:sz w:val="16"/>
              </w:rPr>
              <w:t>15 High</w:t>
            </w:r>
          </w:p>
        </w:tc>
        <w:tc>
          <w:tcPr>
            <w:tcW w:type="dxa" w:w="1788"/>
            <w:vAlign w:val="center"/>
            <w:tcMar>
              <w:top w:w="80" w:type="dxa"/>
              <w:start w:w="120" w:type="dxa"/>
              <w:bottom w:w="80" w:type="dxa"/>
              <w:end w:w="120" w:type="dxa"/>
            </w:tcMar>
          </w:tcPr>
          <w:p>
            <w:r>
              <w:rPr>
                <w:sz w:val="16"/>
              </w:rPr>
              <w:t xml:space="preserve">Complete DPIA, DPA, transfer mechanism and assessment, subprocessors, data schedule, audit evidence, incident terms, deletion proof and exit plan. </w:t>
            </w:r>
            <w:hyperlink w:anchor="REF_019">
              <w:r>
                <w:rPr>
                  <w:rStyle w:val="Hyperlink"/>
                </w:rPr>
                <w:t>REF-019</w:t>
              </w:r>
            </w:hyperlink>
            <w:r>
              <w:rPr>
                <w:sz w:val="16"/>
              </w:rPr>
              <w:t xml:space="preserve"> </w:t>
            </w:r>
            <w:hyperlink w:anchor="REF_020">
              <w:r>
                <w:rPr>
                  <w:rStyle w:val="Hyperlink"/>
                </w:rPr>
                <w:t>REF-020</w:t>
              </w:r>
            </w:hyperlink>
          </w:p>
        </w:tc>
        <w:tc>
          <w:tcPr>
            <w:tcW w:type="dxa" w:w="1474"/>
            <w:vAlign w:val="center"/>
            <w:tcMar>
              <w:top w:w="80" w:type="dxa"/>
              <w:start w:w="120" w:type="dxa"/>
              <w:bottom w:w="80" w:type="dxa"/>
              <w:end w:w="120" w:type="dxa"/>
            </w:tcMar>
          </w:tcPr>
          <w:p>
            <w:r>
              <w:rPr>
                <w:sz w:val="16"/>
              </w:rPr>
              <w:t>Enterprise privacy, legal, procurement and operational resilience</w:t>
            </w:r>
          </w:p>
        </w:tc>
      </w:tr>
    </w:tbl>
    <w:p/>
    <w:p>
      <w:pPr>
        <w:pStyle w:val="Heading1"/>
      </w:pPr>
      <w:r>
        <w:t>Evidence Register</w:t>
      </w:r>
    </w:p>
    <w:p>
      <w:pPr>
        <w:pStyle w:val="Caption"/>
      </w:pPr>
      <w:r>
        <w:rPr>
          <w:b/>
        </w:rPr>
        <w:t>Evidence register</w:t>
      </w:r>
    </w:p>
    <w:tbl>
      <w:tblPr>
        <w:tblStyle w:val="TableGrid"/>
        <w:tblW w:type="dxa" w:w="9360"/>
        <w:tblLayout w:type="fixed"/>
        <w:tblLook w:firstColumn="1" w:firstRow="1" w:lastColumn="0" w:lastRow="0" w:noHBand="0" w:noVBand="1" w:val="04A0"/>
        <w:tblInd w:w="120" w:type="dxa"/>
      </w:tblPr>
      <w:tblGrid>
        <w:gridCol w:w="677"/>
        <w:gridCol w:w="1828"/>
        <w:gridCol w:w="2059"/>
        <w:gridCol w:w="2059"/>
        <w:gridCol w:w="677"/>
        <w:gridCol w:w="2060"/>
      </w:tblGrid>
      <w:tr>
        <w:trPr>
          <w:tblHeader w:val="true"/>
        </w:trPr>
        <w:tc>
          <w:tcPr>
            <w:tcW w:type="dxa" w:w="677"/>
            <w:shd w:fill="F2F4F7"/>
            <w:vAlign w:val="center"/>
            <w:tcMar>
              <w:top w:w="80" w:type="dxa"/>
              <w:start w:w="120" w:type="dxa"/>
              <w:bottom w:w="80" w:type="dxa"/>
              <w:end w:w="120" w:type="dxa"/>
            </w:tcMar>
          </w:tcPr>
          <w:p>
            <w:r>
              <w:rPr>
                <w:b/>
                <w:sz w:val="16"/>
              </w:rPr>
              <w:t>ID</w:t>
            </w:r>
          </w:p>
        </w:tc>
        <w:tc>
          <w:tcPr>
            <w:tcW w:type="dxa" w:w="1828"/>
            <w:shd w:fill="F2F4F7"/>
            <w:vAlign w:val="center"/>
            <w:tcMar>
              <w:top w:w="80" w:type="dxa"/>
              <w:start w:w="120" w:type="dxa"/>
              <w:bottom w:w="80" w:type="dxa"/>
              <w:end w:w="120" w:type="dxa"/>
            </w:tcMar>
          </w:tcPr>
          <w:p>
            <w:r>
              <w:rPr>
                <w:b/>
                <w:sz w:val="16"/>
              </w:rPr>
              <w:t>Evidence</w:t>
            </w:r>
          </w:p>
        </w:tc>
        <w:tc>
          <w:tcPr>
            <w:tcW w:type="dxa" w:w="2059"/>
            <w:shd w:fill="F2F4F7"/>
            <w:vAlign w:val="center"/>
            <w:tcMar>
              <w:top w:w="80" w:type="dxa"/>
              <w:start w:w="120" w:type="dxa"/>
              <w:bottom w:w="80" w:type="dxa"/>
              <w:end w:w="120" w:type="dxa"/>
            </w:tcMar>
          </w:tcPr>
          <w:p>
            <w:r>
              <w:rPr>
                <w:b/>
                <w:sz w:val="16"/>
              </w:rPr>
              <w:t>Source</w:t>
            </w:r>
          </w:p>
        </w:tc>
        <w:tc>
          <w:tcPr>
            <w:tcW w:type="dxa" w:w="2059"/>
            <w:shd w:fill="F2F4F7"/>
            <w:vAlign w:val="center"/>
            <w:tcMar>
              <w:top w:w="80" w:type="dxa"/>
              <w:start w:w="120" w:type="dxa"/>
              <w:bottom w:w="80" w:type="dxa"/>
              <w:end w:w="120" w:type="dxa"/>
            </w:tcMar>
          </w:tcPr>
          <w:p>
            <w:r>
              <w:rPr>
                <w:b/>
                <w:sz w:val="16"/>
              </w:rPr>
              <w:t>Method</w:t>
            </w:r>
          </w:p>
        </w:tc>
        <w:tc>
          <w:tcPr>
            <w:tcW w:type="dxa" w:w="677"/>
            <w:shd w:fill="F2F4F7"/>
            <w:vAlign w:val="center"/>
            <w:tcMar>
              <w:top w:w="80" w:type="dxa"/>
              <w:start w:w="120" w:type="dxa"/>
              <w:bottom w:w="80" w:type="dxa"/>
              <w:end w:w="120" w:type="dxa"/>
            </w:tcMar>
          </w:tcPr>
          <w:p>
            <w:r>
              <w:rPr>
                <w:b/>
                <w:sz w:val="16"/>
              </w:rPr>
              <w:t>State</w:t>
            </w:r>
          </w:p>
        </w:tc>
        <w:tc>
          <w:tcPr>
            <w:tcW w:type="dxa" w:w="2060"/>
            <w:shd w:fill="F2F4F7"/>
            <w:vAlign w:val="center"/>
            <w:tcMar>
              <w:top w:w="80" w:type="dxa"/>
              <w:start w:w="120" w:type="dxa"/>
              <w:bottom w:w="80" w:type="dxa"/>
              <w:end w:w="120" w:type="dxa"/>
            </w:tcMar>
          </w:tcPr>
          <w:p>
            <w:r>
              <w:rPr>
                <w:b/>
                <w:sz w:val="16"/>
              </w:rPr>
              <w:t>Limitation</w:t>
            </w:r>
          </w:p>
        </w:tc>
      </w:tr>
      <w:tr>
        <w:tc>
          <w:tcPr>
            <w:tcW w:type="dxa" w:w="677"/>
            <w:vAlign w:val="center"/>
            <w:tcMar>
              <w:top w:w="80" w:type="dxa"/>
              <w:start w:w="120" w:type="dxa"/>
              <w:bottom w:w="80" w:type="dxa"/>
              <w:end w:w="120" w:type="dxa"/>
            </w:tcMar>
          </w:tcPr>
          <w:p>
            <w:r>
              <w:rPr>
                <w:sz w:val="16"/>
              </w:rPr>
              <w:t>EVD-MARKETPLACE-001</w:t>
            </w:r>
          </w:p>
        </w:tc>
        <w:tc>
          <w:tcPr>
            <w:tcW w:type="dxa" w:w="1828"/>
            <w:vAlign w:val="center"/>
            <w:tcMar>
              <w:top w:w="80" w:type="dxa"/>
              <w:start w:w="120" w:type="dxa"/>
              <w:bottom w:w="80" w:type="dxa"/>
              <w:end w:w="120" w:type="dxa"/>
            </w:tcMar>
          </w:tcPr>
          <w:p>
            <w:r>
              <w:rPr>
                <w:sz w:val="16"/>
              </w:rPr>
              <w:t>Visual Studio Marketplace product identity and release metadata</w:t>
            </w:r>
          </w:p>
        </w:tc>
        <w:tc>
          <w:tcPr>
            <w:tcW w:type="dxa" w:w="2059"/>
            <w:vAlign w:val="center"/>
            <w:tcMar>
              <w:top w:w="80" w:type="dxa"/>
              <w:start w:w="120" w:type="dxa"/>
              <w:bottom w:w="80" w:type="dxa"/>
              <w:end w:w="120" w:type="dxa"/>
            </w:tcMar>
          </w:tcPr>
          <w:p>
            <w:r>
              <w:rPr>
                <w:sz w:val="16"/>
              </w:rPr>
              <w:t>Marketplace gallery response, package metadata, details and changelog retained on 2026-08-01</w:t>
            </w:r>
          </w:p>
        </w:tc>
        <w:tc>
          <w:tcPr>
            <w:tcW w:type="dxa" w:w="2059"/>
            <w:vAlign w:val="center"/>
            <w:tcMar>
              <w:top w:w="80" w:type="dxa"/>
              <w:start w:w="120" w:type="dxa"/>
              <w:bottom w:w="80" w:type="dxa"/>
              <w:end w:w="120" w:type="dxa"/>
            </w:tcMar>
          </w:tcPr>
          <w:p>
            <w:r>
              <w:rPr>
                <w:sz w:val="16"/>
              </w:rPr>
              <w:t>HTTPS acquisition, structured parsing and cross-check of publisher, identifier, version and stable channel</w:t>
            </w:r>
          </w:p>
        </w:tc>
        <w:tc>
          <w:tcPr>
            <w:tcW w:type="dxa" w:w="677"/>
            <w:vAlign w:val="center"/>
            <w:tcMar>
              <w:top w:w="80" w:type="dxa"/>
              <w:start w:w="120" w:type="dxa"/>
              <w:bottom w:w="80" w:type="dxa"/>
              <w:end w:w="120" w:type="dxa"/>
            </w:tcMar>
          </w:tcPr>
          <w:p>
            <w:r>
              <w:rPr>
                <w:sz w:val="16"/>
              </w:rPr>
              <w:t>Verified</w:t>
            </w:r>
          </w:p>
        </w:tc>
        <w:tc>
          <w:tcPr>
            <w:tcW w:type="dxa" w:w="2060"/>
            <w:vAlign w:val="center"/>
            <w:tcMar>
              <w:top w:w="80" w:type="dxa"/>
              <w:start w:w="120" w:type="dxa"/>
              <w:bottom w:w="80" w:type="dxa"/>
              <w:end w:w="120" w:type="dxa"/>
            </w:tcMar>
          </w:tcPr>
          <w:p>
            <w:r>
              <w:rPr>
                <w:sz w:val="16"/>
              </w:rPr>
              <w:t>Marketplace install counts and publisher assertions are not security assurance.</w:t>
            </w:r>
          </w:p>
        </w:tc>
      </w:tr>
      <w:tr>
        <w:tc>
          <w:tcPr>
            <w:tcW w:type="dxa" w:w="677"/>
            <w:vAlign w:val="center"/>
            <w:tcMar>
              <w:top w:w="80" w:type="dxa"/>
              <w:start w:w="120" w:type="dxa"/>
              <w:bottom w:w="80" w:type="dxa"/>
              <w:end w:w="120" w:type="dxa"/>
            </w:tcMar>
          </w:tcPr>
          <w:p>
            <w:r>
              <w:rPr>
                <w:sz w:val="16"/>
              </w:rPr>
              <w:t>EVD-VSIX-001</w:t>
            </w:r>
          </w:p>
        </w:tc>
        <w:tc>
          <w:tcPr>
            <w:tcW w:type="dxa" w:w="1828"/>
            <w:vAlign w:val="center"/>
            <w:tcMar>
              <w:top w:w="80" w:type="dxa"/>
              <w:start w:w="120" w:type="dxa"/>
              <w:bottom w:w="80" w:type="dxa"/>
              <w:end w:w="120" w:type="dxa"/>
            </w:tcMar>
          </w:tcPr>
          <w:p>
            <w:r>
              <w:rPr>
                <w:sz w:val="16"/>
              </w:rPr>
              <w:t>Retained Augment Code 0.890.3 VSIX</w:t>
            </w:r>
          </w:p>
        </w:tc>
        <w:tc>
          <w:tcPr>
            <w:tcW w:type="dxa" w:w="2059"/>
            <w:vAlign w:val="center"/>
            <w:tcMar>
              <w:top w:w="80" w:type="dxa"/>
              <w:start w:w="120" w:type="dxa"/>
              <w:bottom w:w="80" w:type="dxa"/>
              <w:end w:w="120" w:type="dxa"/>
            </w:tcMar>
          </w:tcPr>
          <w:p>
            <w:r>
              <w:rPr>
                <w:sz w:val="16"/>
              </w:rPr>
              <w:t>Microsoft Visual Studio Marketplace package endpoint</w:t>
            </w:r>
          </w:p>
        </w:tc>
        <w:tc>
          <w:tcPr>
            <w:tcW w:type="dxa" w:w="2059"/>
            <w:vAlign w:val="center"/>
            <w:tcMar>
              <w:top w:w="80" w:type="dxa"/>
              <w:start w:w="120" w:type="dxa"/>
              <w:bottom w:w="80" w:type="dxa"/>
              <w:end w:w="120" w:type="dxa"/>
            </w:tcMar>
          </w:tcPr>
          <w:p>
            <w:r>
              <w:rPr>
                <w:sz w:val="16"/>
              </w:rPr>
              <w:t>Immutable acquisition and SHA-256 hashing</w:t>
            </w:r>
          </w:p>
        </w:tc>
        <w:tc>
          <w:tcPr>
            <w:tcW w:type="dxa" w:w="677"/>
            <w:vAlign w:val="center"/>
            <w:tcMar>
              <w:top w:w="80" w:type="dxa"/>
              <w:start w:w="120" w:type="dxa"/>
              <w:bottom w:w="80" w:type="dxa"/>
              <w:end w:w="120" w:type="dxa"/>
            </w:tcMar>
          </w:tcPr>
          <w:p>
            <w:r>
              <w:rPr>
                <w:sz w:val="16"/>
              </w:rPr>
              <w:t>Verified</w:t>
            </w:r>
          </w:p>
        </w:tc>
        <w:tc>
          <w:tcPr>
            <w:tcW w:type="dxa" w:w="2060"/>
            <w:vAlign w:val="center"/>
            <w:tcMar>
              <w:top w:w="80" w:type="dxa"/>
              <w:start w:w="120" w:type="dxa"/>
              <w:bottom w:w="80" w:type="dxa"/>
              <w:end w:w="120" w:type="dxa"/>
            </w:tcMar>
          </w:tcPr>
          <w:p>
            <w:r>
              <w:rPr>
                <w:sz w:val="16"/>
              </w:rPr>
              <w:t>The package is platform-neutral and contains multiple native prebuilds; no vendor build was reproduced.</w:t>
            </w:r>
          </w:p>
        </w:tc>
      </w:tr>
      <w:tr>
        <w:tc>
          <w:tcPr>
            <w:tcW w:type="dxa" w:w="677"/>
            <w:vAlign w:val="center"/>
            <w:tcMar>
              <w:top w:w="80" w:type="dxa"/>
              <w:start w:w="120" w:type="dxa"/>
              <w:bottom w:w="80" w:type="dxa"/>
              <w:end w:w="120" w:type="dxa"/>
            </w:tcMar>
          </w:tcPr>
          <w:p>
            <w:r>
              <w:rPr>
                <w:sz w:val="16"/>
              </w:rPr>
              <w:t>EVD-MANIFEST-001</w:t>
            </w:r>
          </w:p>
        </w:tc>
        <w:tc>
          <w:tcPr>
            <w:tcW w:type="dxa" w:w="1828"/>
            <w:vAlign w:val="center"/>
            <w:tcMar>
              <w:top w:w="80" w:type="dxa"/>
              <w:start w:w="120" w:type="dxa"/>
              <w:bottom w:w="80" w:type="dxa"/>
              <w:end w:w="120" w:type="dxa"/>
            </w:tcMar>
          </w:tcPr>
          <w:p>
            <w:r>
              <w:rPr>
                <w:sz w:val="16"/>
              </w:rPr>
              <w:t>Extension package manifest and contributions</w:t>
            </w:r>
          </w:p>
        </w:tc>
        <w:tc>
          <w:tcPr>
            <w:tcW w:type="dxa" w:w="2059"/>
            <w:vAlign w:val="center"/>
            <w:tcMar>
              <w:top w:w="80" w:type="dxa"/>
              <w:start w:w="120" w:type="dxa"/>
              <w:bottom w:w="80" w:type="dxa"/>
              <w:end w:w="120" w:type="dxa"/>
            </w:tcMar>
          </w:tcPr>
          <w:p>
            <w:r>
              <w:rPr>
                <w:sz w:val="16"/>
              </w:rPr>
              <w:t>extension/package.json inside the retained VSIX</w:t>
            </w:r>
          </w:p>
        </w:tc>
        <w:tc>
          <w:tcPr>
            <w:tcW w:type="dxa" w:w="2059"/>
            <w:vAlign w:val="center"/>
            <w:tcMar>
              <w:top w:w="80" w:type="dxa"/>
              <w:start w:w="120" w:type="dxa"/>
              <w:bottom w:w="80" w:type="dxa"/>
              <w:end w:w="120" w:type="dxa"/>
            </w:tcMar>
          </w:tcPr>
          <w:p>
            <w:r>
              <w:rPr>
                <w:sz w:val="16"/>
              </w:rPr>
              <w:t>Bounded archive extraction and structured JSON inspection</w:t>
            </w:r>
          </w:p>
        </w:tc>
        <w:tc>
          <w:tcPr>
            <w:tcW w:type="dxa" w:w="677"/>
            <w:vAlign w:val="center"/>
            <w:tcMar>
              <w:top w:w="80" w:type="dxa"/>
              <w:start w:w="120" w:type="dxa"/>
              <w:bottom w:w="80" w:type="dxa"/>
              <w:end w:w="120" w:type="dxa"/>
            </w:tcMar>
          </w:tcPr>
          <w:p>
            <w:r>
              <w:rPr>
                <w:sz w:val="16"/>
              </w:rPr>
              <w:t>Verified</w:t>
            </w:r>
          </w:p>
        </w:tc>
        <w:tc>
          <w:tcPr>
            <w:tcW w:type="dxa" w:w="2060"/>
            <w:vAlign w:val="center"/>
            <w:tcMar>
              <w:top w:w="80" w:type="dxa"/>
              <w:start w:w="120" w:type="dxa"/>
              <w:bottom w:w="80" w:type="dxa"/>
              <w:end w:w="120" w:type="dxa"/>
            </w:tcMar>
          </w:tcPr>
          <w:p>
            <w:r>
              <w:rPr>
                <w:sz w:val="16"/>
              </w:rPr>
              <w:t>Manifest declarations do not prove runtime enforcement.</w:t>
            </w:r>
          </w:p>
        </w:tc>
      </w:tr>
      <w:tr>
        <w:tc>
          <w:tcPr>
            <w:tcW w:type="dxa" w:w="677"/>
            <w:vAlign w:val="center"/>
            <w:tcMar>
              <w:top w:w="80" w:type="dxa"/>
              <w:start w:w="120" w:type="dxa"/>
              <w:bottom w:w="80" w:type="dxa"/>
              <w:end w:w="120" w:type="dxa"/>
            </w:tcMar>
          </w:tcPr>
          <w:p>
            <w:r>
              <w:rPr>
                <w:sz w:val="16"/>
              </w:rPr>
              <w:t>EVD-INVENTORY-001</w:t>
            </w:r>
          </w:p>
        </w:tc>
        <w:tc>
          <w:tcPr>
            <w:tcW w:type="dxa" w:w="1828"/>
            <w:vAlign w:val="center"/>
            <w:tcMar>
              <w:top w:w="80" w:type="dxa"/>
              <w:start w:w="120" w:type="dxa"/>
              <w:bottom w:w="80" w:type="dxa"/>
              <w:end w:w="120" w:type="dxa"/>
            </w:tcMar>
          </w:tcPr>
          <w:p>
            <w:r>
              <w:rPr>
                <w:sz w:val="16"/>
              </w:rPr>
              <w:t>Bounded VSIX inventory and native binary inventory</w:t>
            </w:r>
          </w:p>
        </w:tc>
        <w:tc>
          <w:tcPr>
            <w:tcW w:type="dxa" w:w="2059"/>
            <w:vAlign w:val="center"/>
            <w:tcMar>
              <w:top w:w="80" w:type="dxa"/>
              <w:start w:w="120" w:type="dxa"/>
              <w:bottom w:w="80" w:type="dxa"/>
              <w:end w:w="120" w:type="dxa"/>
            </w:tcMar>
          </w:tcPr>
          <w:p>
            <w:r>
              <w:rPr>
                <w:sz w:val="16"/>
              </w:rPr>
              <w:t>vsix-inventory.json and native-binary-inventory.json</w:t>
            </w:r>
          </w:p>
        </w:tc>
        <w:tc>
          <w:tcPr>
            <w:tcW w:type="dxa" w:w="2059"/>
            <w:vAlign w:val="center"/>
            <w:tcMar>
              <w:top w:w="80" w:type="dxa"/>
              <w:start w:w="120" w:type="dxa"/>
              <w:bottom w:w="80" w:type="dxa"/>
              <w:end w:w="120" w:type="dxa"/>
            </w:tcMar>
          </w:tcPr>
          <w:p>
            <w:r>
              <w:rPr>
                <w:sz w:val="16"/>
              </w:rPr>
              <w:t>Released portable inspect_vsix.py helper with path, size, entry-count and expansion bounds</w:t>
            </w:r>
          </w:p>
        </w:tc>
        <w:tc>
          <w:tcPr>
            <w:tcW w:type="dxa" w:w="677"/>
            <w:vAlign w:val="center"/>
            <w:tcMar>
              <w:top w:w="80" w:type="dxa"/>
              <w:start w:w="120" w:type="dxa"/>
              <w:bottom w:w="80" w:type="dxa"/>
              <w:end w:w="120" w:type="dxa"/>
            </w:tcMar>
          </w:tcPr>
          <w:p>
            <w:r>
              <w:rPr>
                <w:sz w:val="16"/>
              </w:rPr>
              <w:t>Verified</w:t>
            </w:r>
          </w:p>
        </w:tc>
        <w:tc>
          <w:tcPr>
            <w:tcW w:type="dxa" w:w="2060"/>
            <w:vAlign w:val="center"/>
            <w:tcMar>
              <w:top w:w="80" w:type="dxa"/>
              <w:start w:w="120" w:type="dxa"/>
              <w:bottom w:w="80" w:type="dxa"/>
              <w:end w:w="120" w:type="dxa"/>
            </w:tcMar>
          </w:tcPr>
          <w:p>
            <w:r>
              <w:rPr>
                <w:sz w:val="16"/>
              </w:rPr>
              <w:t>Inventory establishes package shape, not semantic safety of minified code or native binaries.</w:t>
            </w:r>
          </w:p>
        </w:tc>
      </w:tr>
      <w:tr>
        <w:tc>
          <w:tcPr>
            <w:tcW w:type="dxa" w:w="677"/>
            <w:vAlign w:val="center"/>
            <w:tcMar>
              <w:top w:w="80" w:type="dxa"/>
              <w:start w:w="120" w:type="dxa"/>
              <w:bottom w:w="80" w:type="dxa"/>
              <w:end w:w="120" w:type="dxa"/>
            </w:tcMar>
          </w:tcPr>
          <w:p>
            <w:r>
              <w:rPr>
                <w:sz w:val="16"/>
              </w:rPr>
              <w:t>EVD-SIGNATURE-001</w:t>
            </w:r>
          </w:p>
        </w:tc>
        <w:tc>
          <w:tcPr>
            <w:tcW w:type="dxa" w:w="1828"/>
            <w:vAlign w:val="center"/>
            <w:tcMar>
              <w:top w:w="80" w:type="dxa"/>
              <w:start w:w="120" w:type="dxa"/>
              <w:bottom w:w="80" w:type="dxa"/>
              <w:end w:w="120" w:type="dxa"/>
            </w:tcMar>
          </w:tcPr>
          <w:p>
            <w:r>
              <w:rPr>
                <w:sz w:val="16"/>
              </w:rPr>
              <w:t>Marketplace signature package and digest bindings</w:t>
            </w:r>
          </w:p>
        </w:tc>
        <w:tc>
          <w:tcPr>
            <w:tcW w:type="dxa" w:w="2059"/>
            <w:vAlign w:val="center"/>
            <w:tcMar>
              <w:top w:w="80" w:type="dxa"/>
              <w:start w:w="120" w:type="dxa"/>
              <w:bottom w:w="80" w:type="dxa"/>
              <w:end w:w="120" w:type="dxa"/>
            </w:tcMar>
          </w:tcPr>
          <w:p>
            <w:r>
              <w:rPr>
                <w:sz w:val="16"/>
              </w:rPr>
              <w:t>Marketplace signature archive and signed manifest</w:t>
            </w:r>
          </w:p>
        </w:tc>
        <w:tc>
          <w:tcPr>
            <w:tcW w:type="dxa" w:w="2059"/>
            <w:vAlign w:val="center"/>
            <w:tcMar>
              <w:top w:w="80" w:type="dxa"/>
              <w:start w:w="120" w:type="dxa"/>
              <w:bottom w:w="80" w:type="dxa"/>
              <w:end w:w="120" w:type="dxa"/>
            </w:tcMar>
          </w:tcPr>
          <w:p>
            <w:r>
              <w:rPr>
                <w:sz w:val="16"/>
              </w:rPr>
              <w:t>Package and all member digests reconciled; embedded certificate chain inspected; generic CMS verification attempted</w:t>
            </w:r>
          </w:p>
        </w:tc>
        <w:tc>
          <w:tcPr>
            <w:tcW w:type="dxa" w:w="677"/>
            <w:vAlign w:val="center"/>
            <w:tcMar>
              <w:top w:w="80" w:type="dxa"/>
              <w:start w:w="120" w:type="dxa"/>
              <w:bottom w:w="80" w:type="dxa"/>
              <w:end w:w="120" w:type="dxa"/>
            </w:tcMar>
          </w:tcPr>
          <w:p>
            <w:r>
              <w:rPr>
                <w:sz w:val="16"/>
              </w:rPr>
              <w:t>Verified</w:t>
            </w:r>
          </w:p>
        </w:tc>
        <w:tc>
          <w:tcPr>
            <w:tcW w:type="dxa" w:w="2060"/>
            <w:vAlign w:val="center"/>
            <w:tcMar>
              <w:top w:w="80" w:type="dxa"/>
              <w:start w:w="120" w:type="dxa"/>
              <w:bottom w:w="80" w:type="dxa"/>
              <w:end w:w="120" w:type="dxa"/>
            </w:tcMar>
          </w:tcPr>
          <w:p>
            <w:r>
              <w:rPr>
                <w:sz w:val="16"/>
              </w:rPr>
              <w:t>Digest bindings match, but independent platform trust validation remains Unknown because generic OpenSSL detached CMS verification did not validate the platform signature format.</w:t>
            </w:r>
          </w:p>
        </w:tc>
      </w:tr>
      <w:tr>
        <w:tc>
          <w:tcPr>
            <w:tcW w:type="dxa" w:w="677"/>
            <w:vAlign w:val="center"/>
            <w:tcMar>
              <w:top w:w="80" w:type="dxa"/>
              <w:start w:w="120" w:type="dxa"/>
              <w:bottom w:w="80" w:type="dxa"/>
              <w:end w:w="120" w:type="dxa"/>
            </w:tcMar>
          </w:tcPr>
          <w:p>
            <w:r>
              <w:rPr>
                <w:sz w:val="16"/>
              </w:rPr>
              <w:t>EVD-INSTALL-001</w:t>
            </w:r>
          </w:p>
        </w:tc>
        <w:tc>
          <w:tcPr>
            <w:tcW w:type="dxa" w:w="1828"/>
            <w:vAlign w:val="center"/>
            <w:tcMar>
              <w:top w:w="80" w:type="dxa"/>
              <w:start w:w="120" w:type="dxa"/>
              <w:bottom w:w="80" w:type="dxa"/>
              <w:end w:w="120" w:type="dxa"/>
            </w:tcMar>
          </w:tcPr>
          <w:p>
            <w:r>
              <w:rPr>
                <w:sz w:val="16"/>
              </w:rPr>
              <w:t>Isolated VS Code installation manifest</w:t>
            </w:r>
          </w:p>
        </w:tc>
        <w:tc>
          <w:tcPr>
            <w:tcW w:type="dxa" w:w="2059"/>
            <w:vAlign w:val="center"/>
            <w:tcMar>
              <w:top w:w="80" w:type="dxa"/>
              <w:start w:w="120" w:type="dxa"/>
              <w:bottom w:w="80" w:type="dxa"/>
              <w:end w:w="120" w:type="dxa"/>
            </w:tcMar>
          </w:tcPr>
          <w:p>
            <w:r>
              <w:rPr>
                <w:sz w:val="16"/>
              </w:rPr>
              <w:t>VS Code CLI 1.131.0 arm64 using temporary user-data and extension directories</w:t>
            </w:r>
          </w:p>
        </w:tc>
        <w:tc>
          <w:tcPr>
            <w:tcW w:type="dxa" w:w="2059"/>
            <w:vAlign w:val="center"/>
            <w:tcMar>
              <w:top w:w="80" w:type="dxa"/>
              <w:start w:w="120" w:type="dxa"/>
              <w:bottom w:w="80" w:type="dxa"/>
              <w:end w:w="120" w:type="dxa"/>
            </w:tcMar>
          </w:tcPr>
          <w:p>
            <w:r>
              <w:rPr>
                <w:sz w:val="16"/>
              </w:rPr>
              <w:t>Offline local VSIX installation with telemetry disabled, followed by --list-extensions --show-versions</w:t>
            </w:r>
          </w:p>
        </w:tc>
        <w:tc>
          <w:tcPr>
            <w:tcW w:type="dxa" w:w="677"/>
            <w:vAlign w:val="center"/>
            <w:tcMar>
              <w:top w:w="80" w:type="dxa"/>
              <w:start w:w="120" w:type="dxa"/>
              <w:bottom w:w="80" w:type="dxa"/>
              <w:end w:w="120" w:type="dxa"/>
            </w:tcMar>
          </w:tcPr>
          <w:p>
            <w:r>
              <w:rPr>
                <w:sz w:val="16"/>
              </w:rPr>
              <w:t>Verified</w:t>
            </w:r>
          </w:p>
        </w:tc>
        <w:tc>
          <w:tcPr>
            <w:tcW w:type="dxa" w:w="2060"/>
            <w:vAlign w:val="center"/>
            <w:tcMar>
              <w:top w:w="80" w:type="dxa"/>
              <w:start w:w="120" w:type="dxa"/>
              <w:bottom w:w="80" w:type="dxa"/>
              <w:end w:w="120" w:type="dxa"/>
            </w:tcMar>
          </w:tcPr>
          <w:p>
            <w:r>
              <w:rPr>
                <w:sz w:val="16"/>
              </w:rPr>
              <w:t>Installation only; the extension was not activated and the temporary host was not a restricted-egress behavioural test environment.</w:t>
            </w:r>
          </w:p>
        </w:tc>
      </w:tr>
      <w:tr>
        <w:tc>
          <w:tcPr>
            <w:tcW w:type="dxa" w:w="677"/>
            <w:vAlign w:val="center"/>
            <w:tcMar>
              <w:top w:w="80" w:type="dxa"/>
              <w:start w:w="120" w:type="dxa"/>
              <w:bottom w:w="80" w:type="dxa"/>
              <w:end w:w="120" w:type="dxa"/>
            </w:tcMar>
          </w:tcPr>
          <w:p>
            <w:r>
              <w:rPr>
                <w:sz w:val="16"/>
              </w:rPr>
              <w:t>EVD-STATIC-001</w:t>
            </w:r>
          </w:p>
        </w:tc>
        <w:tc>
          <w:tcPr>
            <w:tcW w:type="dxa" w:w="1828"/>
            <w:vAlign w:val="center"/>
            <w:tcMar>
              <w:top w:w="80" w:type="dxa"/>
              <w:start w:w="120" w:type="dxa"/>
              <w:bottom w:w="80" w:type="dxa"/>
              <w:end w:w="120" w:type="dxa"/>
            </w:tcMar>
          </w:tcPr>
          <w:p>
            <w:r>
              <w:rPr>
                <w:sz w:val="16"/>
              </w:rPr>
              <w:t>Static manifest, configuration and bundled-code inspection</w:t>
            </w:r>
          </w:p>
        </w:tc>
        <w:tc>
          <w:tcPr>
            <w:tcW w:type="dxa" w:w="2059"/>
            <w:vAlign w:val="center"/>
            <w:tcMar>
              <w:top w:w="80" w:type="dxa"/>
              <w:start w:w="120" w:type="dxa"/>
              <w:bottom w:w="80" w:type="dxa"/>
              <w:end w:w="120" w:type="dxa"/>
            </w:tcMar>
          </w:tcPr>
          <w:p>
            <w:r>
              <w:rPr>
                <w:sz w:val="16"/>
              </w:rPr>
              <w:t>static-manifest-analysis.json and direct bounded inspection of extension/out/extension.js</w:t>
            </w:r>
          </w:p>
        </w:tc>
        <w:tc>
          <w:tcPr>
            <w:tcW w:type="dxa" w:w="2059"/>
            <w:vAlign w:val="center"/>
            <w:tcMar>
              <w:top w:w="80" w:type="dxa"/>
              <w:start w:w="120" w:type="dxa"/>
              <w:bottom w:w="80" w:type="dxa"/>
              <w:end w:w="120" w:type="dxa"/>
            </w:tcMar>
          </w:tcPr>
          <w:p>
            <w:r>
              <w:rPr>
                <w:sz w:val="16"/>
              </w:rPr>
              <w:t>Structured manifest review, literal capability tracing and analyst disposition</w:t>
            </w:r>
          </w:p>
        </w:tc>
        <w:tc>
          <w:tcPr>
            <w:tcW w:type="dxa" w:w="677"/>
            <w:vAlign w:val="center"/>
            <w:tcMar>
              <w:top w:w="80" w:type="dxa"/>
              <w:start w:w="120" w:type="dxa"/>
              <w:bottom w:w="80" w:type="dxa"/>
              <w:end w:w="120" w:type="dxa"/>
            </w:tcMar>
          </w:tcPr>
          <w:p>
            <w:r>
              <w:rPr>
                <w:sz w:val="16"/>
              </w:rPr>
              <w:t>Verified</w:t>
            </w:r>
          </w:p>
        </w:tc>
        <w:tc>
          <w:tcPr>
            <w:tcW w:type="dxa" w:w="2060"/>
            <w:vAlign w:val="center"/>
            <w:tcMar>
              <w:top w:w="80" w:type="dxa"/>
              <w:start w:w="120" w:type="dxa"/>
              <w:bottom w:w="80" w:type="dxa"/>
              <w:end w:w="120" w:type="dxa"/>
            </w:tcMar>
          </w:tcPr>
          <w:p>
            <w:r>
              <w:rPr>
                <w:sz w:val="16"/>
              </w:rPr>
              <w:t>The 8.4 MB minified entry point has no source map or public version-bound source repository, materially limiting semantic review.</w:t>
            </w:r>
          </w:p>
        </w:tc>
      </w:tr>
      <w:tr>
        <w:tc>
          <w:tcPr>
            <w:tcW w:type="dxa" w:w="677"/>
            <w:vAlign w:val="center"/>
            <w:tcMar>
              <w:top w:w="80" w:type="dxa"/>
              <w:start w:w="120" w:type="dxa"/>
              <w:bottom w:w="80" w:type="dxa"/>
              <w:end w:w="120" w:type="dxa"/>
            </w:tcMar>
          </w:tcPr>
          <w:p>
            <w:r>
              <w:rPr>
                <w:sz w:val="16"/>
              </w:rPr>
              <w:t>EVD-TOKEN-001</w:t>
            </w:r>
          </w:p>
        </w:tc>
        <w:tc>
          <w:tcPr>
            <w:tcW w:type="dxa" w:w="1828"/>
            <w:vAlign w:val="center"/>
            <w:tcMar>
              <w:top w:w="80" w:type="dxa"/>
              <w:start w:w="120" w:type="dxa"/>
              <w:bottom w:w="80" w:type="dxa"/>
              <w:end w:w="120" w:type="dxa"/>
            </w:tcMar>
          </w:tcPr>
          <w:p>
            <w:r>
              <w:rPr>
                <w:sz w:val="16"/>
              </w:rPr>
              <w:t>Token-bearing settings schema</w:t>
            </w:r>
          </w:p>
        </w:tc>
        <w:tc>
          <w:tcPr>
            <w:tcW w:type="dxa" w:w="2059"/>
            <w:vAlign w:val="center"/>
            <w:tcMar>
              <w:top w:w="80" w:type="dxa"/>
              <w:start w:w="120" w:type="dxa"/>
              <w:bottom w:w="80" w:type="dxa"/>
              <w:end w:w="120" w:type="dxa"/>
            </w:tcMar>
          </w:tcPr>
          <w:p>
            <w:r>
              <w:rPr>
                <w:sz w:val="16"/>
              </w:rPr>
              <w:t>augment.advanced configuration in the retained package manifest</w:t>
            </w:r>
          </w:p>
        </w:tc>
        <w:tc>
          <w:tcPr>
            <w:tcW w:type="dxa" w:w="2059"/>
            <w:vAlign w:val="center"/>
            <w:tcMar>
              <w:top w:w="80" w:type="dxa"/>
              <w:start w:w="120" w:type="dxa"/>
              <w:bottom w:w="80" w:type="dxa"/>
              <w:end w:w="120" w:type="dxa"/>
            </w:tcMar>
          </w:tcPr>
          <w:p>
            <w:r>
              <w:rPr>
                <w:sz w:val="16"/>
              </w:rPr>
              <w:t>Structured inspection of apiToken and third-party integration personalApiToken/apiToken fields, cross-checked against VS Code SecretStorage guidance</w:t>
            </w:r>
          </w:p>
        </w:tc>
        <w:tc>
          <w:tcPr>
            <w:tcW w:type="dxa" w:w="677"/>
            <w:vAlign w:val="center"/>
            <w:tcMar>
              <w:top w:w="80" w:type="dxa"/>
              <w:start w:w="120" w:type="dxa"/>
              <w:bottom w:w="80" w:type="dxa"/>
              <w:end w:w="120" w:type="dxa"/>
            </w:tcMar>
          </w:tcPr>
          <w:p>
            <w:r>
              <w:rPr>
                <w:sz w:val="16"/>
              </w:rPr>
              <w:t>Verified</w:t>
            </w:r>
          </w:p>
        </w:tc>
        <w:tc>
          <w:tcPr>
            <w:tcW w:type="dxa" w:w="2060"/>
            <w:vAlign w:val="center"/>
            <w:tcMar>
              <w:top w:w="80" w:type="dxa"/>
              <w:start w:w="120" w:type="dxa"/>
              <w:bottom w:w="80" w:type="dxa"/>
              <w:end w:w="120" w:type="dxa"/>
            </w:tcMar>
          </w:tcPr>
          <w:p>
            <w:r>
              <w:rPr>
                <w:sz w:val="16"/>
              </w:rPr>
              <w:t>No real token was configured; exposure paths and Settings Sync behaviour were not exercised at runtime.</w:t>
            </w:r>
          </w:p>
        </w:tc>
      </w:tr>
      <w:tr>
        <w:tc>
          <w:tcPr>
            <w:tcW w:type="dxa" w:w="677"/>
            <w:vAlign w:val="center"/>
            <w:tcMar>
              <w:top w:w="80" w:type="dxa"/>
              <w:start w:w="120" w:type="dxa"/>
              <w:bottom w:w="80" w:type="dxa"/>
              <w:end w:w="120" w:type="dxa"/>
            </w:tcMar>
          </w:tcPr>
          <w:p>
            <w:r>
              <w:rPr>
                <w:sz w:val="16"/>
              </w:rPr>
              <w:t>EVD-CSP-001</w:t>
            </w:r>
          </w:p>
        </w:tc>
        <w:tc>
          <w:tcPr>
            <w:tcW w:type="dxa" w:w="1828"/>
            <w:vAlign w:val="center"/>
            <w:tcMar>
              <w:top w:w="80" w:type="dxa"/>
              <w:start w:w="120" w:type="dxa"/>
              <w:bottom w:w="80" w:type="dxa"/>
              <w:end w:w="120" w:type="dxa"/>
            </w:tcMar>
          </w:tcPr>
          <w:p>
            <w:r>
              <w:rPr>
                <w:sz w:val="16"/>
              </w:rPr>
              <w:t>Webview content-security-policy construction</w:t>
            </w:r>
          </w:p>
        </w:tc>
        <w:tc>
          <w:tcPr>
            <w:tcW w:type="dxa" w:w="2059"/>
            <w:vAlign w:val="center"/>
            <w:tcMar>
              <w:top w:w="80" w:type="dxa"/>
              <w:start w:w="120" w:type="dxa"/>
              <w:bottom w:w="80" w:type="dxa"/>
              <w:end w:w="120" w:type="dxa"/>
            </w:tcMar>
          </w:tcPr>
          <w:p>
            <w:r>
              <w:rPr>
                <w:sz w:val="16"/>
              </w:rPr>
              <w:t>Minified extension bundle CSP builder</w:t>
            </w:r>
          </w:p>
        </w:tc>
        <w:tc>
          <w:tcPr>
            <w:tcW w:type="dxa" w:w="2059"/>
            <w:vAlign w:val="center"/>
            <w:tcMar>
              <w:top w:w="80" w:type="dxa"/>
              <w:start w:w="120" w:type="dxa"/>
              <w:bottom w:w="80" w:type="dxa"/>
              <w:end w:w="120" w:type="dxa"/>
            </w:tcMar>
          </w:tcPr>
          <w:p>
            <w:r>
              <w:rPr>
                <w:sz w:val="16"/>
              </w:rPr>
              <w:t>Direct literal inspection and analyst review of sources added for Monaco, Mermaid, Google assets, Sentry and local endpoints</w:t>
            </w:r>
          </w:p>
        </w:tc>
        <w:tc>
          <w:tcPr>
            <w:tcW w:type="dxa" w:w="677"/>
            <w:vAlign w:val="center"/>
            <w:tcMar>
              <w:top w:w="80" w:type="dxa"/>
              <w:start w:w="120" w:type="dxa"/>
              <w:bottom w:w="80" w:type="dxa"/>
              <w:end w:w="120" w:type="dxa"/>
            </w:tcMar>
          </w:tcPr>
          <w:p>
            <w:r>
              <w:rPr>
                <w:sz w:val="16"/>
              </w:rPr>
              <w:t>Verified</w:t>
            </w:r>
          </w:p>
        </w:tc>
        <w:tc>
          <w:tcPr>
            <w:tcW w:type="dxa" w:w="2060"/>
            <w:vAlign w:val="center"/>
            <w:tcMar>
              <w:top w:w="80" w:type="dxa"/>
              <w:start w:w="120" w:type="dxa"/>
              <w:bottom w:w="80" w:type="dxa"/>
              <w:end w:w="120" w:type="dxa"/>
            </w:tcMar>
          </w:tcPr>
          <w:p>
            <w:r>
              <w:rPr>
                <w:sz w:val="16"/>
              </w:rPr>
              <w:t>The static bundle shows capability to add remote script sources, unsafe-inline and unsafe-eval; the exact active CSP for each production webview was not captured at runtime.</w:t>
            </w:r>
          </w:p>
        </w:tc>
      </w:tr>
      <w:tr>
        <w:tc>
          <w:tcPr>
            <w:tcW w:type="dxa" w:w="677"/>
            <w:vAlign w:val="center"/>
            <w:tcMar>
              <w:top w:w="80" w:type="dxa"/>
              <w:start w:w="120" w:type="dxa"/>
              <w:bottom w:w="80" w:type="dxa"/>
              <w:end w:w="120" w:type="dxa"/>
            </w:tcMar>
          </w:tcPr>
          <w:p>
            <w:r>
              <w:rPr>
                <w:sz w:val="16"/>
              </w:rPr>
              <w:t>EVD-MALWARE-001</w:t>
            </w:r>
          </w:p>
        </w:tc>
        <w:tc>
          <w:tcPr>
            <w:tcW w:type="dxa" w:w="1828"/>
            <w:vAlign w:val="center"/>
            <w:tcMar>
              <w:top w:w="80" w:type="dxa"/>
              <w:start w:w="120" w:type="dxa"/>
              <w:bottom w:w="80" w:type="dxa"/>
              <w:end w:w="120" w:type="dxa"/>
            </w:tcMar>
          </w:tcPr>
          <w:p>
            <w:r>
              <w:rPr>
                <w:sz w:val="16"/>
              </w:rPr>
              <w:t>Static malware review</w:t>
            </w:r>
          </w:p>
        </w:tc>
        <w:tc>
          <w:tcPr>
            <w:tcW w:type="dxa" w:w="2059"/>
            <w:vAlign w:val="center"/>
            <w:tcMar>
              <w:top w:w="80" w:type="dxa"/>
              <w:start w:w="120" w:type="dxa"/>
              <w:bottom w:w="80" w:type="dxa"/>
              <w:end w:w="120" w:type="dxa"/>
            </w:tcMar>
          </w:tcPr>
          <w:p>
            <w:r>
              <w:rPr>
                <w:sz w:val="16"/>
              </w:rPr>
              <w:t>ClamAV 1.5.3 database 28071 and assessment-specific YARA rules</w:t>
            </w:r>
          </w:p>
        </w:tc>
        <w:tc>
          <w:tcPr>
            <w:tcW w:type="dxa" w:w="2059"/>
            <w:vAlign w:val="center"/>
            <w:tcMar>
              <w:top w:w="80" w:type="dxa"/>
              <w:start w:w="120" w:type="dxa"/>
              <w:bottom w:w="80" w:type="dxa"/>
              <w:end w:w="120" w:type="dxa"/>
            </w:tcMar>
          </w:tcPr>
          <w:p>
            <w:r>
              <w:rPr>
                <w:sz w:val="16"/>
              </w:rPr>
              <w:t>Scan of extracted verified package using antivirus and bounded IOC-oriented rules</w:t>
            </w:r>
          </w:p>
        </w:tc>
        <w:tc>
          <w:tcPr>
            <w:tcW w:type="dxa" w:w="677"/>
            <w:vAlign w:val="center"/>
            <w:tcMar>
              <w:top w:w="80" w:type="dxa"/>
              <w:start w:w="120" w:type="dxa"/>
              <w:bottom w:w="80" w:type="dxa"/>
              <w:end w:w="120" w:type="dxa"/>
            </w:tcMar>
          </w:tcPr>
          <w:p>
            <w:r>
              <w:rPr>
                <w:sz w:val="16"/>
              </w:rPr>
              <w:t>Not observed</w:t>
            </w:r>
          </w:p>
        </w:tc>
        <w:tc>
          <w:tcPr>
            <w:tcW w:type="dxa" w:w="2060"/>
            <w:vAlign w:val="center"/>
            <w:tcMar>
              <w:top w:w="80" w:type="dxa"/>
              <w:start w:w="120" w:type="dxa"/>
              <w:bottom w:w="80" w:type="dxa"/>
              <w:end w:w="120" w:type="dxa"/>
            </w:tcMar>
          </w:tcPr>
          <w:p>
            <w:r>
              <w:rPr>
                <w:sz w:val="16"/>
              </w:rPr>
              <w:t>No detection is not proof of absence; the ClamAV database was seven days old and native binaries were not detonated.</w:t>
            </w:r>
          </w:p>
        </w:tc>
      </w:tr>
      <w:tr>
        <w:tc>
          <w:tcPr>
            <w:tcW w:type="dxa" w:w="677"/>
            <w:vAlign w:val="center"/>
            <w:tcMar>
              <w:top w:w="80" w:type="dxa"/>
              <w:start w:w="120" w:type="dxa"/>
              <w:bottom w:w="80" w:type="dxa"/>
              <w:end w:w="120" w:type="dxa"/>
            </w:tcMar>
          </w:tcPr>
          <w:p>
            <w:r>
              <w:rPr>
                <w:sz w:val="16"/>
              </w:rPr>
              <w:t>EVD-SEMGREP-001</w:t>
            </w:r>
          </w:p>
        </w:tc>
        <w:tc>
          <w:tcPr>
            <w:tcW w:type="dxa" w:w="1828"/>
            <w:vAlign w:val="center"/>
            <w:tcMar>
              <w:top w:w="80" w:type="dxa"/>
              <w:start w:w="120" w:type="dxa"/>
              <w:bottom w:w="80" w:type="dxa"/>
              <w:end w:w="120" w:type="dxa"/>
            </w:tcMar>
          </w:tcPr>
          <w:p>
            <w:r>
              <w:rPr>
                <w:sz w:val="16"/>
              </w:rPr>
              <w:t>Semgrep static-analysis signals and analyst triage</w:t>
            </w:r>
          </w:p>
        </w:tc>
        <w:tc>
          <w:tcPr>
            <w:tcW w:type="dxa" w:w="2059"/>
            <w:vAlign w:val="center"/>
            <w:tcMar>
              <w:top w:w="80" w:type="dxa"/>
              <w:start w:w="120" w:type="dxa"/>
              <w:bottom w:w="80" w:type="dxa"/>
              <w:end w:w="120" w:type="dxa"/>
            </w:tcMar>
          </w:tcPr>
          <w:p>
            <w:r>
              <w:rPr>
                <w:sz w:val="16"/>
              </w:rPr>
              <w:t>semgrep.json</w:t>
            </w:r>
          </w:p>
        </w:tc>
        <w:tc>
          <w:tcPr>
            <w:tcW w:type="dxa" w:w="2059"/>
            <w:vAlign w:val="center"/>
            <w:tcMar>
              <w:top w:w="80" w:type="dxa"/>
              <w:start w:w="120" w:type="dxa"/>
              <w:bottom w:w="80" w:type="dxa"/>
              <w:end w:w="120" w:type="dxa"/>
            </w:tcMar>
          </w:tcPr>
          <w:p>
            <w:r>
              <w:rPr>
                <w:sz w:val="16"/>
              </w:rPr>
              <w:t>Semgrep 1.172.0 with 2,930 rules over 684 extracted files; 13 signals manually dispositioned</w:t>
            </w:r>
          </w:p>
        </w:tc>
        <w:tc>
          <w:tcPr>
            <w:tcW w:type="dxa" w:w="677"/>
            <w:vAlign w:val="center"/>
            <w:tcMar>
              <w:top w:w="80" w:type="dxa"/>
              <w:start w:w="120" w:type="dxa"/>
              <w:bottom w:w="80" w:type="dxa"/>
              <w:end w:w="120" w:type="dxa"/>
            </w:tcMar>
          </w:tcPr>
          <w:p>
            <w:r>
              <w:rPr>
                <w:sz w:val="16"/>
              </w:rPr>
              <w:t>Inferred</w:t>
            </w:r>
          </w:p>
        </w:tc>
        <w:tc>
          <w:tcPr>
            <w:tcW w:type="dxa" w:w="2060"/>
            <w:vAlign w:val="center"/>
            <w:tcMar>
              <w:top w:w="80" w:type="dxa"/>
              <w:start w:w="120" w:type="dxa"/>
              <w:bottom w:w="80" w:type="dxa"/>
              <w:end w:w="120" w:type="dxa"/>
            </w:tcMar>
          </w:tcPr>
          <w:p>
            <w:r>
              <w:rPr>
                <w:sz w:val="16"/>
              </w:rPr>
              <w:t>There were 1,279 rule errors including 1,104 Pro-only operator errors and 157 timeouts; minification and vendored assets make the signals low confidence and none was promoted as an independently confirmed exploit.</w:t>
            </w:r>
          </w:p>
        </w:tc>
      </w:tr>
      <w:tr>
        <w:tc>
          <w:tcPr>
            <w:tcW w:type="dxa" w:w="677"/>
            <w:vAlign w:val="center"/>
            <w:tcMar>
              <w:top w:w="80" w:type="dxa"/>
              <w:start w:w="120" w:type="dxa"/>
              <w:bottom w:w="80" w:type="dxa"/>
              <w:end w:w="120" w:type="dxa"/>
            </w:tcMar>
          </w:tcPr>
          <w:p>
            <w:r>
              <w:rPr>
                <w:sz w:val="16"/>
              </w:rPr>
              <w:t>EVD-SBOM-001</w:t>
            </w:r>
          </w:p>
        </w:tc>
        <w:tc>
          <w:tcPr>
            <w:tcW w:type="dxa" w:w="1828"/>
            <w:vAlign w:val="center"/>
            <w:tcMar>
              <w:top w:w="80" w:type="dxa"/>
              <w:start w:w="120" w:type="dxa"/>
              <w:bottom w:w="80" w:type="dxa"/>
              <w:end w:w="120" w:type="dxa"/>
            </w:tcMar>
          </w:tcPr>
          <w:p>
            <w:r>
              <w:rPr>
                <w:sz w:val="16"/>
              </w:rPr>
              <w:t>Package component and vulnerability inventory</w:t>
            </w:r>
          </w:p>
        </w:tc>
        <w:tc>
          <w:tcPr>
            <w:tcW w:type="dxa" w:w="2059"/>
            <w:vAlign w:val="center"/>
            <w:tcMar>
              <w:top w:w="80" w:type="dxa"/>
              <w:start w:w="120" w:type="dxa"/>
              <w:bottom w:w="80" w:type="dxa"/>
              <w:end w:w="120" w:type="dxa"/>
            </w:tcMar>
          </w:tcPr>
          <w:p>
            <w:r>
              <w:rPr>
                <w:sz w:val="16"/>
              </w:rPr>
              <w:t>Syft, Grype, Trivy, OSV and assessment-specific package-manifest inventory</w:t>
            </w:r>
          </w:p>
        </w:tc>
        <w:tc>
          <w:tcPr>
            <w:tcW w:type="dxa" w:w="2059"/>
            <w:vAlign w:val="center"/>
            <w:tcMar>
              <w:top w:w="80" w:type="dxa"/>
              <w:start w:w="120" w:type="dxa"/>
              <w:bottom w:w="80" w:type="dxa"/>
              <w:end w:w="120" w:type="dxa"/>
            </w:tcMar>
          </w:tcPr>
          <w:p>
            <w:r>
              <w:rPr>
                <w:sz w:val="16"/>
              </w:rPr>
              <w:t>Multi-tool static inventory and advisory lookup without executing package code</w:t>
            </w:r>
          </w:p>
        </w:tc>
        <w:tc>
          <w:tcPr>
            <w:tcW w:type="dxa" w:w="677"/>
            <w:vAlign w:val="center"/>
            <w:tcMar>
              <w:top w:w="80" w:type="dxa"/>
              <w:start w:w="120" w:type="dxa"/>
              <w:bottom w:w="80" w:type="dxa"/>
              <w:end w:w="120" w:type="dxa"/>
            </w:tcMar>
          </w:tcPr>
          <w:p>
            <w:r>
              <w:rPr>
                <w:sz w:val="16"/>
              </w:rPr>
              <w:t>Unknown</w:t>
            </w:r>
          </w:p>
        </w:tc>
        <w:tc>
          <w:tcPr>
            <w:tcW w:type="dxa" w:w="2060"/>
            <w:vAlign w:val="center"/>
            <w:tcMar>
              <w:top w:w="80" w:type="dxa"/>
              <w:start w:w="120" w:type="dxa"/>
              <w:bottom w:w="80" w:type="dxa"/>
              <w:end w:w="120" w:type="dxa"/>
            </w:tcMar>
          </w:tcPr>
          <w:p>
            <w:r>
              <w:rPr>
                <w:sz w:val="16"/>
              </w:rPr>
              <w:t>No publisher SBOM or standard lockfile was shipped; Syft produced zero components, Trivy found no supported package target, and bundled transitive completeness is unknown.</w:t>
            </w:r>
          </w:p>
        </w:tc>
      </w:tr>
      <w:tr>
        <w:tc>
          <w:tcPr>
            <w:tcW w:type="dxa" w:w="677"/>
            <w:vAlign w:val="center"/>
            <w:tcMar>
              <w:top w:w="80" w:type="dxa"/>
              <w:start w:w="120" w:type="dxa"/>
              <w:bottom w:w="80" w:type="dxa"/>
              <w:end w:w="120" w:type="dxa"/>
            </w:tcMar>
          </w:tcPr>
          <w:p>
            <w:r>
              <w:rPr>
                <w:sz w:val="16"/>
              </w:rPr>
              <w:t>EVD-SOURCE-001</w:t>
            </w:r>
          </w:p>
        </w:tc>
        <w:tc>
          <w:tcPr>
            <w:tcW w:type="dxa" w:w="1828"/>
            <w:vAlign w:val="center"/>
            <w:tcMar>
              <w:top w:w="80" w:type="dxa"/>
              <w:start w:w="120" w:type="dxa"/>
              <w:bottom w:w="80" w:type="dxa"/>
              <w:end w:w="120" w:type="dxa"/>
            </w:tcMar>
          </w:tcPr>
          <w:p>
            <w:r>
              <w:rPr>
                <w:sz w:val="16"/>
              </w:rPr>
              <w:t>Version-bound source availability</w:t>
            </w:r>
          </w:p>
        </w:tc>
        <w:tc>
          <w:tcPr>
            <w:tcW w:type="dxa" w:w="2059"/>
            <w:vAlign w:val="center"/>
            <w:tcMar>
              <w:top w:w="80" w:type="dxa"/>
              <w:start w:w="120" w:type="dxa"/>
              <w:bottom w:w="80" w:type="dxa"/>
              <w:end w:w="120" w:type="dxa"/>
            </w:tcMar>
          </w:tcPr>
          <w:p>
            <w:r>
              <w:rPr>
                <w:sz w:val="16"/>
              </w:rPr>
              <w:t>Marketplace metadata, package manifest and official publisher organisation search</w:t>
            </w:r>
          </w:p>
        </w:tc>
        <w:tc>
          <w:tcPr>
            <w:tcW w:type="dxa" w:w="2059"/>
            <w:vAlign w:val="center"/>
            <w:tcMar>
              <w:top w:w="80" w:type="dxa"/>
              <w:start w:w="120" w:type="dxa"/>
              <w:bottom w:w="80" w:type="dxa"/>
              <w:end w:w="120" w:type="dxa"/>
            </w:tcMar>
          </w:tcPr>
          <w:p>
            <w:r>
              <w:rPr>
                <w:sz w:val="16"/>
              </w:rPr>
              <w:t>Primary-source identity review and repository search</w:t>
            </w:r>
          </w:p>
        </w:tc>
        <w:tc>
          <w:tcPr>
            <w:tcW w:type="dxa" w:w="677"/>
            <w:vAlign w:val="center"/>
            <w:tcMar>
              <w:top w:w="80" w:type="dxa"/>
              <w:start w:w="120" w:type="dxa"/>
              <w:bottom w:w="80" w:type="dxa"/>
              <w:end w:w="120" w:type="dxa"/>
            </w:tcMar>
          </w:tcPr>
          <w:p>
            <w:r>
              <w:rPr>
                <w:sz w:val="16"/>
              </w:rPr>
              <w:t>Unknown</w:t>
            </w:r>
          </w:p>
        </w:tc>
        <w:tc>
          <w:tcPr>
            <w:tcW w:type="dxa" w:w="2060"/>
            <w:vAlign w:val="center"/>
            <w:tcMar>
              <w:top w:w="80" w:type="dxa"/>
              <w:start w:w="120" w:type="dxa"/>
              <w:bottom w:w="80" w:type="dxa"/>
              <w:end w:w="120" w:type="dxa"/>
            </w:tcMar>
          </w:tcPr>
          <w:p>
            <w:r>
              <w:rPr>
                <w:sz w:val="16"/>
              </w:rPr>
              <w:t>No official public source repository tied to version 0.890.3 was established, so source-to-package correspondence and reproducible build provenance could not be tested.</w:t>
            </w:r>
          </w:p>
        </w:tc>
      </w:tr>
      <w:tr>
        <w:tc>
          <w:tcPr>
            <w:tcW w:type="dxa" w:w="677"/>
            <w:vAlign w:val="center"/>
            <w:tcMar>
              <w:top w:w="80" w:type="dxa"/>
              <w:start w:w="120" w:type="dxa"/>
              <w:bottom w:w="80" w:type="dxa"/>
              <w:end w:w="120" w:type="dxa"/>
            </w:tcMar>
          </w:tcPr>
          <w:p>
            <w:r>
              <w:rPr>
                <w:sz w:val="16"/>
              </w:rPr>
              <w:t>EVD-DOCS-001</w:t>
            </w:r>
          </w:p>
        </w:tc>
        <w:tc>
          <w:tcPr>
            <w:tcW w:type="dxa" w:w="1828"/>
            <w:vAlign w:val="center"/>
            <w:tcMar>
              <w:top w:w="80" w:type="dxa"/>
              <w:start w:w="120" w:type="dxa"/>
              <w:bottom w:w="80" w:type="dxa"/>
              <w:end w:w="120" w:type="dxa"/>
            </w:tcMar>
          </w:tcPr>
          <w:p>
            <w:r>
              <w:rPr>
                <w:sz w:val="16"/>
              </w:rPr>
              <w:t>Official workspace indexing, MCP, permissions and network documentation</w:t>
            </w:r>
          </w:p>
        </w:tc>
        <w:tc>
          <w:tcPr>
            <w:tcW w:type="dxa" w:w="2059"/>
            <w:vAlign w:val="center"/>
            <w:tcMar>
              <w:top w:w="80" w:type="dxa"/>
              <w:start w:w="120" w:type="dxa"/>
              <w:bottom w:w="80" w:type="dxa"/>
              <w:end w:w="120" w:type="dxa"/>
            </w:tcMar>
          </w:tcPr>
          <w:p>
            <w:r>
              <w:rPr>
                <w:sz w:val="16"/>
              </w:rPr>
              <w:t>Augment Code documentation accessed 2026-08-01</w:t>
            </w:r>
          </w:p>
        </w:tc>
        <w:tc>
          <w:tcPr>
            <w:tcW w:type="dxa" w:w="2059"/>
            <w:vAlign w:val="center"/>
            <w:tcMar>
              <w:top w:w="80" w:type="dxa"/>
              <w:start w:w="120" w:type="dxa"/>
              <w:bottom w:w="80" w:type="dxa"/>
              <w:end w:w="120" w:type="dxa"/>
            </w:tcMar>
          </w:tcPr>
          <w:p>
            <w:r>
              <w:rPr>
                <w:sz w:val="16"/>
              </w:rPr>
              <w:t>Primary-source review and comparison with retained package capabilities</w:t>
            </w:r>
          </w:p>
        </w:tc>
        <w:tc>
          <w:tcPr>
            <w:tcW w:type="dxa" w:w="677"/>
            <w:vAlign w:val="center"/>
            <w:tcMar>
              <w:top w:w="80" w:type="dxa"/>
              <w:start w:w="120" w:type="dxa"/>
              <w:bottom w:w="80" w:type="dxa"/>
              <w:end w:w="120" w:type="dxa"/>
            </w:tcMar>
          </w:tcPr>
          <w:p>
            <w:r>
              <w:rPr>
                <w:sz w:val="16"/>
              </w:rPr>
              <w:t>Verified</w:t>
            </w:r>
          </w:p>
        </w:tc>
        <w:tc>
          <w:tcPr>
            <w:tcW w:type="dxa" w:w="2060"/>
            <w:vAlign w:val="center"/>
            <w:tcMar>
              <w:top w:w="80" w:type="dxa"/>
              <w:start w:w="120" w:type="dxa"/>
              <w:bottom w:w="80" w:type="dxa"/>
              <w:end w:w="120" w:type="dxa"/>
            </w:tcMar>
          </w:tcPr>
          <w:p>
            <w:r>
              <w:rPr>
                <w:sz w:val="16"/>
              </w:rPr>
              <w:t>Documentation may describe current service behaviour rather than a version-pinned 0.890.3 contract.</w:t>
            </w:r>
          </w:p>
        </w:tc>
      </w:tr>
      <w:tr>
        <w:tc>
          <w:tcPr>
            <w:tcW w:type="dxa" w:w="677"/>
            <w:vAlign w:val="center"/>
            <w:tcMar>
              <w:top w:w="80" w:type="dxa"/>
              <w:start w:w="120" w:type="dxa"/>
              <w:bottom w:w="80" w:type="dxa"/>
              <w:end w:w="120" w:type="dxa"/>
            </w:tcMar>
          </w:tcPr>
          <w:p>
            <w:r>
              <w:rPr>
                <w:sz w:val="16"/>
              </w:rPr>
              <w:t>EVD-PRIVACY-001</w:t>
            </w:r>
          </w:p>
        </w:tc>
        <w:tc>
          <w:tcPr>
            <w:tcW w:type="dxa" w:w="1828"/>
            <w:vAlign w:val="center"/>
            <w:tcMar>
              <w:top w:w="80" w:type="dxa"/>
              <w:start w:w="120" w:type="dxa"/>
              <w:bottom w:w="80" w:type="dxa"/>
              <w:end w:w="120" w:type="dxa"/>
            </w:tcMar>
          </w:tcPr>
          <w:p>
            <w:r>
              <w:rPr>
                <w:sz w:val="16"/>
              </w:rPr>
              <w:t>Publisher security, privacy and legal statements</w:t>
            </w:r>
          </w:p>
        </w:tc>
        <w:tc>
          <w:tcPr>
            <w:tcW w:type="dxa" w:w="2059"/>
            <w:vAlign w:val="center"/>
            <w:tcMar>
              <w:top w:w="80" w:type="dxa"/>
              <w:start w:w="120" w:type="dxa"/>
              <w:bottom w:w="80" w:type="dxa"/>
              <w:end w:w="120" w:type="dxa"/>
            </w:tcMar>
          </w:tcPr>
          <w:p>
            <w:r>
              <w:rPr>
                <w:sz w:val="16"/>
              </w:rPr>
              <w:t>Augment security page, privacy policy v1.2, legal index, terms and SLA</w:t>
            </w:r>
          </w:p>
        </w:tc>
        <w:tc>
          <w:tcPr>
            <w:tcW w:type="dxa" w:w="2059"/>
            <w:vAlign w:val="center"/>
            <w:tcMar>
              <w:top w:w="80" w:type="dxa"/>
              <w:start w:w="120" w:type="dxa"/>
              <w:bottom w:w="80" w:type="dxa"/>
              <w:end w:w="120" w:type="dxa"/>
            </w:tcMar>
          </w:tcPr>
          <w:p>
            <w:r>
              <w:rPr>
                <w:sz w:val="16"/>
              </w:rPr>
              <w:t>Primary-source review for data use, training, transfers, retention, subprocessors and assurance claims</w:t>
            </w:r>
          </w:p>
        </w:tc>
        <w:tc>
          <w:tcPr>
            <w:tcW w:type="dxa" w:w="677"/>
            <w:vAlign w:val="center"/>
            <w:tcMar>
              <w:top w:w="80" w:type="dxa"/>
              <w:start w:w="120" w:type="dxa"/>
              <w:bottom w:w="80" w:type="dxa"/>
              <w:end w:w="120" w:type="dxa"/>
            </w:tcMar>
          </w:tcPr>
          <w:p>
            <w:r>
              <w:rPr>
                <w:sz w:val="16"/>
              </w:rPr>
              <w:t>Verified</w:t>
            </w:r>
          </w:p>
        </w:tc>
        <w:tc>
          <w:tcPr>
            <w:tcW w:type="dxa" w:w="2060"/>
            <w:vAlign w:val="center"/>
            <w:tcMar>
              <w:top w:w="80" w:type="dxa"/>
              <w:start w:w="120" w:type="dxa"/>
              <w:bottom w:w="80" w:type="dxa"/>
              <w:end w:w="120" w:type="dxa"/>
            </w:tcMar>
          </w:tcPr>
          <w:p>
            <w:r>
              <w:rPr>
                <w:sz w:val="16"/>
              </w:rPr>
              <w:t>Public statements are not an executed enterprise DPA, audit report, data-flow schedule or deletion certificate.</w:t>
            </w:r>
          </w:p>
        </w:tc>
      </w:tr>
      <w:tr>
        <w:tc>
          <w:tcPr>
            <w:tcW w:type="dxa" w:w="677"/>
            <w:vAlign w:val="center"/>
            <w:tcMar>
              <w:top w:w="80" w:type="dxa"/>
              <w:start w:w="120" w:type="dxa"/>
              <w:bottom w:w="80" w:type="dxa"/>
              <w:end w:w="120" w:type="dxa"/>
            </w:tcMar>
          </w:tcPr>
          <w:p>
            <w:r>
              <w:rPr>
                <w:sz w:val="16"/>
              </w:rPr>
              <w:t>EVD-RUNTIME-001</w:t>
            </w:r>
          </w:p>
        </w:tc>
        <w:tc>
          <w:tcPr>
            <w:tcW w:type="dxa" w:w="1828"/>
            <w:vAlign w:val="center"/>
            <w:tcMar>
              <w:top w:w="80" w:type="dxa"/>
              <w:start w:w="120" w:type="dxa"/>
              <w:bottom w:w="80" w:type="dxa"/>
              <w:end w:w="120" w:type="dxa"/>
            </w:tcMar>
          </w:tcPr>
          <w:p>
            <w:r>
              <w:rPr>
                <w:sz w:val="16"/>
              </w:rPr>
              <w:t>Representative behavioural runtime evidence</w:t>
            </w:r>
          </w:p>
        </w:tc>
        <w:tc>
          <w:tcPr>
            <w:tcW w:type="dxa" w:w="2059"/>
            <w:vAlign w:val="center"/>
            <w:tcMar>
              <w:top w:w="80" w:type="dxa"/>
              <w:start w:w="120" w:type="dxa"/>
              <w:bottom w:w="80" w:type="dxa"/>
              <w:end w:w="120" w:type="dxa"/>
            </w:tcMar>
          </w:tcPr>
          <w:p>
            <w:r>
              <w:rPr>
                <w:sz w:val="16"/>
              </w:rPr>
              <w:t>Assessment environment readiness review</w:t>
            </w:r>
          </w:p>
        </w:tc>
        <w:tc>
          <w:tcPr>
            <w:tcW w:type="dxa" w:w="2059"/>
            <w:vAlign w:val="center"/>
            <w:tcMar>
              <w:top w:w="80" w:type="dxa"/>
              <w:start w:w="120" w:type="dxa"/>
              <w:bottom w:w="80" w:type="dxa"/>
              <w:end w:w="120" w:type="dxa"/>
            </w:tcMar>
          </w:tcPr>
          <w:p>
            <w:r>
              <w:rPr>
                <w:sz w:val="16"/>
              </w:rPr>
              <w:t>Readiness check for disposable profile, restricted egress, synthetic workspace, packet capture and non-production identity</w:t>
            </w:r>
          </w:p>
        </w:tc>
        <w:tc>
          <w:tcPr>
            <w:tcW w:type="dxa" w:w="677"/>
            <w:vAlign w:val="center"/>
            <w:tcMar>
              <w:top w:w="80" w:type="dxa"/>
              <w:start w:w="120" w:type="dxa"/>
              <w:bottom w:w="80" w:type="dxa"/>
              <w:end w:w="120" w:type="dxa"/>
            </w:tcMar>
          </w:tcPr>
          <w:p>
            <w:r>
              <w:rPr>
                <w:sz w:val="16"/>
              </w:rPr>
              <w:t>Blocked</w:t>
            </w:r>
          </w:p>
        </w:tc>
        <w:tc>
          <w:tcPr>
            <w:tcW w:type="dxa" w:w="2060"/>
            <w:vAlign w:val="center"/>
            <w:tcMar>
              <w:top w:w="80" w:type="dxa"/>
              <w:start w:w="120" w:type="dxa"/>
              <w:bottom w:w="80" w:type="dxa"/>
              <w:end w:w="120" w:type="dxa"/>
            </w:tcMar>
          </w:tcPr>
          <w:p>
            <w:r>
              <w:rPr>
                <w:sz w:val="16"/>
              </w:rPr>
              <w:t>VS Code CLI was available, but no disposable restricted-egress runtime host was available; activation, prompts, denial bypass, network, telemetry, update, uninstall and residue were not observed.</w:t>
            </w:r>
          </w:p>
        </w:tc>
      </w:tr>
    </w:tbl>
    <w:p/>
    <w:p>
      <w:pPr>
        <w:pStyle w:val="Heading1"/>
      </w:pPr>
      <w:r>
        <w:t>References</w:t>
      </w:r>
    </w:p>
    <w:tbl>
      <w:tblPr>
        <w:tblStyle w:val="TableGrid"/>
        <w:tblW w:type="dxa" w:w="9360"/>
        <w:tblLayout w:type="fixed"/>
        <w:tblLook w:firstColumn="1" w:firstRow="1" w:lastColumn="0" w:lastRow="0" w:noHBand="0" w:noVBand="1" w:val="04A0"/>
        <w:tblInd w:w="120" w:type="dxa"/>
      </w:tblPr>
      <w:tblGrid>
        <w:gridCol w:w="661"/>
        <w:gridCol w:w="1595"/>
        <w:gridCol w:w="1439"/>
        <w:gridCol w:w="2502"/>
        <w:gridCol w:w="661"/>
        <w:gridCol w:w="2502"/>
      </w:tblGrid>
      <w:tr>
        <w:trPr>
          <w:tblHeader w:val="true"/>
        </w:trPr>
        <w:tc>
          <w:tcPr>
            <w:tcW w:type="dxa" w:w="661"/>
            <w:shd w:fill="F2F4F7"/>
            <w:tcMar>
              <w:top w:w="80" w:type="dxa"/>
              <w:start w:w="120" w:type="dxa"/>
              <w:bottom w:w="80" w:type="dxa"/>
              <w:end w:w="120" w:type="dxa"/>
            </w:tcMar>
          </w:tcPr>
          <w:p>
            <w:r>
              <w:t>ID</w:t>
            </w:r>
          </w:p>
        </w:tc>
        <w:tc>
          <w:tcPr>
            <w:tcW w:type="dxa" w:w="1595"/>
            <w:shd w:fill="F2F4F7"/>
            <w:tcMar>
              <w:top w:w="80" w:type="dxa"/>
              <w:start w:w="120" w:type="dxa"/>
              <w:bottom w:w="80" w:type="dxa"/>
              <w:end w:w="120" w:type="dxa"/>
            </w:tcMar>
          </w:tcPr>
          <w:p>
            <w:r>
              <w:t>Title</w:t>
            </w:r>
          </w:p>
        </w:tc>
        <w:tc>
          <w:tcPr>
            <w:tcW w:type="dxa" w:w="1439"/>
            <w:shd w:fill="F2F4F7"/>
            <w:tcMar>
              <w:top w:w="80" w:type="dxa"/>
              <w:start w:w="120" w:type="dxa"/>
              <w:bottom w:w="80" w:type="dxa"/>
              <w:end w:w="120" w:type="dxa"/>
            </w:tcMar>
          </w:tcPr>
          <w:p>
            <w:r>
              <w:t>Publisher</w:t>
            </w:r>
          </w:p>
        </w:tc>
        <w:tc>
          <w:tcPr>
            <w:tcW w:type="dxa" w:w="2502"/>
            <w:shd w:fill="F2F4F7"/>
            <w:tcMar>
              <w:top w:w="80" w:type="dxa"/>
              <w:start w:w="120" w:type="dxa"/>
              <w:bottom w:w="80" w:type="dxa"/>
              <w:end w:w="120" w:type="dxa"/>
            </w:tcMar>
          </w:tcPr>
          <w:p>
            <w:r>
              <w:t>Source</w:t>
            </w:r>
          </w:p>
        </w:tc>
        <w:tc>
          <w:tcPr>
            <w:tcW w:type="dxa" w:w="661"/>
            <w:shd w:fill="F2F4F7"/>
            <w:tcMar>
              <w:top w:w="80" w:type="dxa"/>
              <w:start w:w="120" w:type="dxa"/>
              <w:bottom w:w="80" w:type="dxa"/>
              <w:end w:w="120" w:type="dxa"/>
            </w:tcMar>
          </w:tcPr>
          <w:p>
            <w:r>
              <w:t>Accessed</w:t>
            </w:r>
          </w:p>
        </w:tc>
        <w:tc>
          <w:tcPr>
            <w:tcW w:type="dxa" w:w="2502"/>
            <w:shd w:fill="F2F4F7"/>
            <w:tcMar>
              <w:top w:w="80" w:type="dxa"/>
              <w:start w:w="120" w:type="dxa"/>
              <w:bottom w:w="80" w:type="dxa"/>
              <w:end w:w="120" w:type="dxa"/>
            </w:tcMar>
          </w:tcPr>
          <w:p>
            <w:r>
              <w:t>Applicability</w:t>
            </w:r>
          </w:p>
        </w:tc>
      </w:tr>
      <w:tr>
        <w:tc>
          <w:tcPr>
            <w:tcW w:type="dxa" w:w="661"/>
            <w:vAlign w:val="center"/>
            <w:tcMar>
              <w:top w:w="80" w:type="dxa"/>
              <w:start w:w="120" w:type="dxa"/>
              <w:bottom w:w="80" w:type="dxa"/>
              <w:end w:w="120" w:type="dxa"/>
            </w:tcMar>
          </w:tcPr>
          <w:p>
            <w:bookmarkStart w:id="1000" w:name="REF_001"/>
            <w:r>
              <w:rPr>
                <w:b/>
                <w:sz w:val="16"/>
              </w:rPr>
              <w:t>REF-001</w:t>
            </w:r>
            <w:bookmarkEnd w:id="1000"/>
          </w:p>
        </w:tc>
        <w:tc>
          <w:tcPr>
            <w:tcW w:type="dxa" w:w="1595"/>
            <w:vAlign w:val="center"/>
            <w:tcMar>
              <w:top w:w="80" w:type="dxa"/>
              <w:start w:w="120" w:type="dxa"/>
              <w:bottom w:w="80" w:type="dxa"/>
              <w:end w:w="120" w:type="dxa"/>
            </w:tcMar>
          </w:tcPr>
          <w:p>
            <w:r>
              <w:rPr>
                <w:sz w:val="16"/>
              </w:rPr>
              <w:t>Augment Code for Visual Studio Code</w:t>
            </w:r>
          </w:p>
        </w:tc>
        <w:tc>
          <w:tcPr>
            <w:tcW w:type="dxa" w:w="1439"/>
            <w:vAlign w:val="center"/>
            <w:tcMar>
              <w:top w:w="80" w:type="dxa"/>
              <w:start w:w="120" w:type="dxa"/>
              <w:bottom w:w="80" w:type="dxa"/>
              <w:end w:w="120" w:type="dxa"/>
            </w:tcMar>
          </w:tcPr>
          <w:p>
            <w:r>
              <w:rPr>
                <w:sz w:val="16"/>
              </w:rPr>
              <w:t>Microsoft Visual Studio Marketplace</w:t>
            </w:r>
          </w:p>
        </w:tc>
        <w:tc>
          <w:tcPr>
            <w:tcW w:type="dxa" w:w="2502"/>
            <w:vAlign w:val="center"/>
            <w:tcMar>
              <w:top w:w="80" w:type="dxa"/>
              <w:start w:w="120" w:type="dxa"/>
              <w:bottom w:w="80" w:type="dxa"/>
              <w:end w:w="120" w:type="dxa"/>
            </w:tcMar>
          </w:tcPr>
          <w:p>
            <w:hyperlink r:id="rId12">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Exact product identity, stable release and publisher metadata.</w:t>
            </w:r>
          </w:p>
        </w:tc>
      </w:tr>
      <w:tr>
        <w:tc>
          <w:tcPr>
            <w:tcW w:type="dxa" w:w="661"/>
            <w:vAlign w:val="center"/>
            <w:tcMar>
              <w:top w:w="80" w:type="dxa"/>
              <w:start w:w="120" w:type="dxa"/>
              <w:bottom w:w="80" w:type="dxa"/>
              <w:end w:w="120" w:type="dxa"/>
            </w:tcMar>
          </w:tcPr>
          <w:p>
            <w:bookmarkStart w:id="1001" w:name="REF_002"/>
            <w:r>
              <w:rPr>
                <w:b/>
                <w:sz w:val="16"/>
              </w:rPr>
              <w:t>REF-002</w:t>
            </w:r>
            <w:bookmarkEnd w:id="1001"/>
          </w:p>
        </w:tc>
        <w:tc>
          <w:tcPr>
            <w:tcW w:type="dxa" w:w="1595"/>
            <w:vAlign w:val="center"/>
            <w:tcMar>
              <w:top w:w="80" w:type="dxa"/>
              <w:start w:w="120" w:type="dxa"/>
              <w:bottom w:w="80" w:type="dxa"/>
              <w:end w:w="120" w:type="dxa"/>
            </w:tcMar>
          </w:tcPr>
          <w:p>
            <w:r>
              <w:rPr>
                <w:sz w:val="16"/>
              </w:rPr>
              <w:t>Workspace indexing</w:t>
            </w:r>
          </w:p>
        </w:tc>
        <w:tc>
          <w:tcPr>
            <w:tcW w:type="dxa" w:w="1439"/>
            <w:vAlign w:val="center"/>
            <w:tcMar>
              <w:top w:w="80" w:type="dxa"/>
              <w:start w:w="120" w:type="dxa"/>
              <w:bottom w:w="80" w:type="dxa"/>
              <w:end w:w="120" w:type="dxa"/>
            </w:tcMar>
          </w:tcPr>
          <w:p>
            <w:r>
              <w:rPr>
                <w:sz w:val="16"/>
              </w:rPr>
              <w:t>Augment Code</w:t>
            </w:r>
          </w:p>
        </w:tc>
        <w:tc>
          <w:tcPr>
            <w:tcW w:type="dxa" w:w="2502"/>
            <w:vAlign w:val="center"/>
            <w:tcMar>
              <w:top w:w="80" w:type="dxa"/>
              <w:start w:w="120" w:type="dxa"/>
              <w:bottom w:w="80" w:type="dxa"/>
              <w:end w:w="120" w:type="dxa"/>
            </w:tcMar>
          </w:tcPr>
          <w:p>
            <w:hyperlink r:id="rId13">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Automatic upload, ignore-file behaviour and indexing controls.</w:t>
            </w:r>
          </w:p>
        </w:tc>
      </w:tr>
      <w:tr>
        <w:tc>
          <w:tcPr>
            <w:tcW w:type="dxa" w:w="661"/>
            <w:vAlign w:val="center"/>
            <w:tcMar>
              <w:top w:w="80" w:type="dxa"/>
              <w:start w:w="120" w:type="dxa"/>
              <w:bottom w:w="80" w:type="dxa"/>
              <w:end w:w="120" w:type="dxa"/>
            </w:tcMar>
          </w:tcPr>
          <w:p>
            <w:bookmarkStart w:id="1002" w:name="REF_003"/>
            <w:r>
              <w:rPr>
                <w:b/>
                <w:sz w:val="16"/>
              </w:rPr>
              <w:t>REF-003</w:t>
            </w:r>
            <w:bookmarkEnd w:id="1002"/>
          </w:p>
        </w:tc>
        <w:tc>
          <w:tcPr>
            <w:tcW w:type="dxa" w:w="1595"/>
            <w:vAlign w:val="center"/>
            <w:tcMar>
              <w:top w:w="80" w:type="dxa"/>
              <w:start w:w="120" w:type="dxa"/>
              <w:bottom w:w="80" w:type="dxa"/>
              <w:end w:w="120" w:type="dxa"/>
            </w:tcMar>
          </w:tcPr>
          <w:p>
            <w:r>
              <w:rPr>
                <w:sz w:val="16"/>
              </w:rPr>
              <w:t>Model Context Protocol</w:t>
            </w:r>
          </w:p>
        </w:tc>
        <w:tc>
          <w:tcPr>
            <w:tcW w:type="dxa" w:w="1439"/>
            <w:vAlign w:val="center"/>
            <w:tcMar>
              <w:top w:w="80" w:type="dxa"/>
              <w:start w:w="120" w:type="dxa"/>
              <w:bottom w:w="80" w:type="dxa"/>
              <w:end w:w="120" w:type="dxa"/>
            </w:tcMar>
          </w:tcPr>
          <w:p>
            <w:r>
              <w:rPr>
                <w:sz w:val="16"/>
              </w:rPr>
              <w:t>Augment Code</w:t>
            </w:r>
          </w:p>
        </w:tc>
        <w:tc>
          <w:tcPr>
            <w:tcW w:type="dxa" w:w="2502"/>
            <w:vAlign w:val="center"/>
            <w:tcMar>
              <w:top w:w="80" w:type="dxa"/>
              <w:start w:w="120" w:type="dxa"/>
              <w:bottom w:w="80" w:type="dxa"/>
              <w:end w:w="120" w:type="dxa"/>
            </w:tcMar>
          </w:tcPr>
          <w:p>
            <w:hyperlink r:id="rId14">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Local and remote MCP configuration, tools and variable expansion.</w:t>
            </w:r>
          </w:p>
        </w:tc>
      </w:tr>
      <w:tr>
        <w:tc>
          <w:tcPr>
            <w:tcW w:type="dxa" w:w="661"/>
            <w:vAlign w:val="center"/>
            <w:tcMar>
              <w:top w:w="80" w:type="dxa"/>
              <w:start w:w="120" w:type="dxa"/>
              <w:bottom w:w="80" w:type="dxa"/>
              <w:end w:w="120" w:type="dxa"/>
            </w:tcMar>
          </w:tcPr>
          <w:p>
            <w:bookmarkStart w:id="1003" w:name="REF_004"/>
            <w:r>
              <w:rPr>
                <w:b/>
                <w:sz w:val="16"/>
              </w:rPr>
              <w:t>REF-004</w:t>
            </w:r>
            <w:bookmarkEnd w:id="1003"/>
          </w:p>
        </w:tc>
        <w:tc>
          <w:tcPr>
            <w:tcW w:type="dxa" w:w="1595"/>
            <w:vAlign w:val="center"/>
            <w:tcMar>
              <w:top w:w="80" w:type="dxa"/>
              <w:start w:w="120" w:type="dxa"/>
              <w:bottom w:w="80" w:type="dxa"/>
              <w:end w:w="120" w:type="dxa"/>
            </w:tcMar>
          </w:tcPr>
          <w:p>
            <w:r>
              <w:rPr>
                <w:sz w:val="16"/>
              </w:rPr>
              <w:t>CLI permissions</w:t>
            </w:r>
          </w:p>
        </w:tc>
        <w:tc>
          <w:tcPr>
            <w:tcW w:type="dxa" w:w="1439"/>
            <w:vAlign w:val="center"/>
            <w:tcMar>
              <w:top w:w="80" w:type="dxa"/>
              <w:start w:w="120" w:type="dxa"/>
              <w:bottom w:w="80" w:type="dxa"/>
              <w:end w:w="120" w:type="dxa"/>
            </w:tcMar>
          </w:tcPr>
          <w:p>
            <w:r>
              <w:rPr>
                <w:sz w:val="16"/>
              </w:rPr>
              <w:t>Augment Code</w:t>
            </w:r>
          </w:p>
        </w:tc>
        <w:tc>
          <w:tcPr>
            <w:tcW w:type="dxa" w:w="2502"/>
            <w:vAlign w:val="center"/>
            <w:tcMar>
              <w:top w:w="80" w:type="dxa"/>
              <w:start w:w="120" w:type="dxa"/>
              <w:bottom w:w="80" w:type="dxa"/>
              <w:end w:w="120" w:type="dxa"/>
            </w:tcMar>
          </w:tcPr>
          <w:p>
            <w:hyperlink r:id="rId15">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Documents granular CLI permissions and explicitly limits their applicability to the CLI rather than the code extension.</w:t>
            </w:r>
          </w:p>
        </w:tc>
      </w:tr>
      <w:tr>
        <w:tc>
          <w:tcPr>
            <w:tcW w:type="dxa" w:w="661"/>
            <w:vAlign w:val="center"/>
            <w:tcMar>
              <w:top w:w="80" w:type="dxa"/>
              <w:start w:w="120" w:type="dxa"/>
              <w:bottom w:w="80" w:type="dxa"/>
              <w:end w:w="120" w:type="dxa"/>
            </w:tcMar>
          </w:tcPr>
          <w:p>
            <w:bookmarkStart w:id="1004" w:name="REF_005"/>
            <w:r>
              <w:rPr>
                <w:b/>
                <w:sz w:val="16"/>
              </w:rPr>
              <w:t>REF-005</w:t>
            </w:r>
            <w:bookmarkEnd w:id="1004"/>
          </w:p>
        </w:tc>
        <w:tc>
          <w:tcPr>
            <w:tcW w:type="dxa" w:w="1595"/>
            <w:vAlign w:val="center"/>
            <w:tcMar>
              <w:top w:w="80" w:type="dxa"/>
              <w:start w:w="120" w:type="dxa"/>
              <w:bottom w:w="80" w:type="dxa"/>
              <w:end w:w="120" w:type="dxa"/>
            </w:tcMar>
          </w:tcPr>
          <w:p>
            <w:r>
              <w:rPr>
                <w:sz w:val="16"/>
              </w:rPr>
              <w:t>Network configuration</w:t>
            </w:r>
          </w:p>
        </w:tc>
        <w:tc>
          <w:tcPr>
            <w:tcW w:type="dxa" w:w="1439"/>
            <w:vAlign w:val="center"/>
            <w:tcMar>
              <w:top w:w="80" w:type="dxa"/>
              <w:start w:w="120" w:type="dxa"/>
              <w:bottom w:w="80" w:type="dxa"/>
              <w:end w:w="120" w:type="dxa"/>
            </w:tcMar>
          </w:tcPr>
          <w:p>
            <w:r>
              <w:rPr>
                <w:sz w:val="16"/>
              </w:rPr>
              <w:t>Augment Code</w:t>
            </w:r>
          </w:p>
        </w:tc>
        <w:tc>
          <w:tcPr>
            <w:tcW w:type="dxa" w:w="2502"/>
            <w:vAlign w:val="center"/>
            <w:tcMar>
              <w:top w:w="80" w:type="dxa"/>
              <w:start w:w="120" w:type="dxa"/>
              <w:bottom w:w="80" w:type="dxa"/>
              <w:end w:w="120" w:type="dxa"/>
            </w:tcMar>
          </w:tcPr>
          <w:p>
            <w:hyperlink r:id="rId16">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Official network allowlisting guidance and wildcard service domain.</w:t>
            </w:r>
          </w:p>
        </w:tc>
      </w:tr>
      <w:tr>
        <w:tc>
          <w:tcPr>
            <w:tcW w:type="dxa" w:w="661"/>
            <w:vAlign w:val="center"/>
            <w:tcMar>
              <w:top w:w="80" w:type="dxa"/>
              <w:start w:w="120" w:type="dxa"/>
              <w:bottom w:w="80" w:type="dxa"/>
              <w:end w:w="120" w:type="dxa"/>
            </w:tcMar>
          </w:tcPr>
          <w:p>
            <w:bookmarkStart w:id="1005" w:name="REF_006"/>
            <w:r>
              <w:rPr>
                <w:b/>
                <w:sz w:val="16"/>
              </w:rPr>
              <w:t>REF-006</w:t>
            </w:r>
            <w:bookmarkEnd w:id="1005"/>
          </w:p>
        </w:tc>
        <w:tc>
          <w:tcPr>
            <w:tcW w:type="dxa" w:w="1595"/>
            <w:vAlign w:val="center"/>
            <w:tcMar>
              <w:top w:w="80" w:type="dxa"/>
              <w:start w:w="120" w:type="dxa"/>
              <w:bottom w:w="80" w:type="dxa"/>
              <w:end w:w="120" w:type="dxa"/>
            </w:tcMar>
          </w:tcPr>
          <w:p>
            <w:r>
              <w:rPr>
                <w:sz w:val="16"/>
              </w:rPr>
              <w:t>Security</w:t>
            </w:r>
          </w:p>
        </w:tc>
        <w:tc>
          <w:tcPr>
            <w:tcW w:type="dxa" w:w="1439"/>
            <w:vAlign w:val="center"/>
            <w:tcMar>
              <w:top w:w="80" w:type="dxa"/>
              <w:start w:w="120" w:type="dxa"/>
              <w:bottom w:w="80" w:type="dxa"/>
              <w:end w:w="120" w:type="dxa"/>
            </w:tcMar>
          </w:tcPr>
          <w:p>
            <w:r>
              <w:rPr>
                <w:sz w:val="16"/>
              </w:rPr>
              <w:t>Augment Code</w:t>
            </w:r>
          </w:p>
        </w:tc>
        <w:tc>
          <w:tcPr>
            <w:tcW w:type="dxa" w:w="2502"/>
            <w:vAlign w:val="center"/>
            <w:tcMar>
              <w:top w:w="80" w:type="dxa"/>
              <w:start w:w="120" w:type="dxa"/>
              <w:bottom w:w="80" w:type="dxa"/>
              <w:end w:w="120" w:type="dxa"/>
            </w:tcMar>
          </w:tcPr>
          <w:p>
            <w:hyperlink r:id="rId17">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Publisher security and data-use assertions.</w:t>
            </w:r>
          </w:p>
        </w:tc>
      </w:tr>
      <w:tr>
        <w:tc>
          <w:tcPr>
            <w:tcW w:type="dxa" w:w="661"/>
            <w:vAlign w:val="center"/>
            <w:tcMar>
              <w:top w:w="80" w:type="dxa"/>
              <w:start w:w="120" w:type="dxa"/>
              <w:bottom w:w="80" w:type="dxa"/>
              <w:end w:w="120" w:type="dxa"/>
            </w:tcMar>
          </w:tcPr>
          <w:p>
            <w:bookmarkStart w:id="1006" w:name="REF_007"/>
            <w:r>
              <w:rPr>
                <w:b/>
                <w:sz w:val="16"/>
              </w:rPr>
              <w:t>REF-007</w:t>
            </w:r>
            <w:bookmarkEnd w:id="1006"/>
          </w:p>
        </w:tc>
        <w:tc>
          <w:tcPr>
            <w:tcW w:type="dxa" w:w="1595"/>
            <w:vAlign w:val="center"/>
            <w:tcMar>
              <w:top w:w="80" w:type="dxa"/>
              <w:start w:w="120" w:type="dxa"/>
              <w:bottom w:w="80" w:type="dxa"/>
              <w:end w:w="120" w:type="dxa"/>
            </w:tcMar>
          </w:tcPr>
          <w:p>
            <w:r>
              <w:rPr>
                <w:sz w:val="16"/>
              </w:rPr>
              <w:t>Privacy Policy</w:t>
            </w:r>
          </w:p>
        </w:tc>
        <w:tc>
          <w:tcPr>
            <w:tcW w:type="dxa" w:w="1439"/>
            <w:vAlign w:val="center"/>
            <w:tcMar>
              <w:top w:w="80" w:type="dxa"/>
              <w:start w:w="120" w:type="dxa"/>
              <w:bottom w:w="80" w:type="dxa"/>
              <w:end w:w="120" w:type="dxa"/>
            </w:tcMar>
          </w:tcPr>
          <w:p>
            <w:r>
              <w:rPr>
                <w:sz w:val="16"/>
              </w:rPr>
              <w:t>Augment Code</w:t>
            </w:r>
          </w:p>
        </w:tc>
        <w:tc>
          <w:tcPr>
            <w:tcW w:type="dxa" w:w="2502"/>
            <w:vAlign w:val="center"/>
            <w:tcMar>
              <w:top w:w="80" w:type="dxa"/>
              <w:start w:w="120" w:type="dxa"/>
              <w:bottom w:w="80" w:type="dxa"/>
              <w:end w:w="120" w:type="dxa"/>
            </w:tcMar>
          </w:tcPr>
          <w:p>
            <w:hyperlink r:id="rId18">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Public privacy terms, transfers, purposes and retention statements.</w:t>
            </w:r>
          </w:p>
        </w:tc>
      </w:tr>
      <w:tr>
        <w:tc>
          <w:tcPr>
            <w:tcW w:type="dxa" w:w="661"/>
            <w:vAlign w:val="center"/>
            <w:tcMar>
              <w:top w:w="80" w:type="dxa"/>
              <w:start w:w="120" w:type="dxa"/>
              <w:bottom w:w="80" w:type="dxa"/>
              <w:end w:w="120" w:type="dxa"/>
            </w:tcMar>
          </w:tcPr>
          <w:p>
            <w:bookmarkStart w:id="1007" w:name="REF_008"/>
            <w:r>
              <w:rPr>
                <w:b/>
                <w:sz w:val="16"/>
              </w:rPr>
              <w:t>REF-008</w:t>
            </w:r>
            <w:bookmarkEnd w:id="1007"/>
          </w:p>
        </w:tc>
        <w:tc>
          <w:tcPr>
            <w:tcW w:type="dxa" w:w="1595"/>
            <w:vAlign w:val="center"/>
            <w:tcMar>
              <w:top w:w="80" w:type="dxa"/>
              <w:start w:w="120" w:type="dxa"/>
              <w:bottom w:w="80" w:type="dxa"/>
              <w:end w:w="120" w:type="dxa"/>
            </w:tcMar>
          </w:tcPr>
          <w:p>
            <w:r>
              <w:rPr>
                <w:sz w:val="16"/>
              </w:rPr>
              <w:t>Legal</w:t>
            </w:r>
          </w:p>
        </w:tc>
        <w:tc>
          <w:tcPr>
            <w:tcW w:type="dxa" w:w="1439"/>
            <w:vAlign w:val="center"/>
            <w:tcMar>
              <w:top w:w="80" w:type="dxa"/>
              <w:start w:w="120" w:type="dxa"/>
              <w:bottom w:w="80" w:type="dxa"/>
              <w:end w:w="120" w:type="dxa"/>
            </w:tcMar>
          </w:tcPr>
          <w:p>
            <w:r>
              <w:rPr>
                <w:sz w:val="16"/>
              </w:rPr>
              <w:t>Augment Code</w:t>
            </w:r>
          </w:p>
        </w:tc>
        <w:tc>
          <w:tcPr>
            <w:tcW w:type="dxa" w:w="2502"/>
            <w:vAlign w:val="center"/>
            <w:tcMar>
              <w:top w:w="80" w:type="dxa"/>
              <w:start w:w="120" w:type="dxa"/>
              <w:bottom w:w="80" w:type="dxa"/>
              <w:end w:w="120" w:type="dxa"/>
            </w:tcMar>
          </w:tcPr>
          <w:p>
            <w:hyperlink r:id="rId19">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Publisher legal document index.</w:t>
            </w:r>
          </w:p>
        </w:tc>
      </w:tr>
      <w:tr>
        <w:tc>
          <w:tcPr>
            <w:tcW w:type="dxa" w:w="661"/>
            <w:vAlign w:val="center"/>
            <w:tcMar>
              <w:top w:w="80" w:type="dxa"/>
              <w:start w:w="120" w:type="dxa"/>
              <w:bottom w:w="80" w:type="dxa"/>
              <w:end w:w="120" w:type="dxa"/>
            </w:tcMar>
          </w:tcPr>
          <w:p>
            <w:bookmarkStart w:id="1008" w:name="REF_009"/>
            <w:r>
              <w:rPr>
                <w:b/>
                <w:sz w:val="16"/>
              </w:rPr>
              <w:t>REF-009</w:t>
            </w:r>
            <w:bookmarkEnd w:id="1008"/>
          </w:p>
        </w:tc>
        <w:tc>
          <w:tcPr>
            <w:tcW w:type="dxa" w:w="1595"/>
            <w:vAlign w:val="center"/>
            <w:tcMar>
              <w:top w:w="80" w:type="dxa"/>
              <w:start w:w="120" w:type="dxa"/>
              <w:bottom w:w="80" w:type="dxa"/>
              <w:end w:w="120" w:type="dxa"/>
            </w:tcMar>
          </w:tcPr>
          <w:p>
            <w:r>
              <w:rPr>
                <w:sz w:val="16"/>
              </w:rPr>
              <w:t>Workspace Trust</w:t>
            </w:r>
          </w:p>
        </w:tc>
        <w:tc>
          <w:tcPr>
            <w:tcW w:type="dxa" w:w="1439"/>
            <w:vAlign w:val="center"/>
            <w:tcMar>
              <w:top w:w="80" w:type="dxa"/>
              <w:start w:w="120" w:type="dxa"/>
              <w:bottom w:w="80" w:type="dxa"/>
              <w:end w:w="120" w:type="dxa"/>
            </w:tcMar>
          </w:tcPr>
          <w:p>
            <w:r>
              <w:rPr>
                <w:sz w:val="16"/>
              </w:rPr>
              <w:t>Microsoft Visual Studio Code</w:t>
            </w:r>
          </w:p>
        </w:tc>
        <w:tc>
          <w:tcPr>
            <w:tcW w:type="dxa" w:w="2502"/>
            <w:vAlign w:val="center"/>
            <w:tcMar>
              <w:top w:w="80" w:type="dxa"/>
              <w:start w:w="120" w:type="dxa"/>
              <w:bottom w:w="80" w:type="dxa"/>
              <w:end w:w="120" w:type="dxa"/>
            </w:tcMar>
          </w:tcPr>
          <w:p>
            <w:hyperlink r:id="rId20">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Restricted Mode and extension execution boundary.</w:t>
            </w:r>
          </w:p>
        </w:tc>
      </w:tr>
      <w:tr>
        <w:tc>
          <w:tcPr>
            <w:tcW w:type="dxa" w:w="661"/>
            <w:vAlign w:val="center"/>
            <w:tcMar>
              <w:top w:w="80" w:type="dxa"/>
              <w:start w:w="120" w:type="dxa"/>
              <w:bottom w:w="80" w:type="dxa"/>
              <w:end w:w="120" w:type="dxa"/>
            </w:tcMar>
          </w:tcPr>
          <w:p>
            <w:bookmarkStart w:id="1009" w:name="REF_010"/>
            <w:r>
              <w:rPr>
                <w:b/>
                <w:sz w:val="16"/>
              </w:rPr>
              <w:t>REF-010</w:t>
            </w:r>
            <w:bookmarkEnd w:id="1009"/>
          </w:p>
        </w:tc>
        <w:tc>
          <w:tcPr>
            <w:tcW w:type="dxa" w:w="1595"/>
            <w:vAlign w:val="center"/>
            <w:tcMar>
              <w:top w:w="80" w:type="dxa"/>
              <w:start w:w="120" w:type="dxa"/>
              <w:bottom w:w="80" w:type="dxa"/>
              <w:end w:w="120" w:type="dxa"/>
            </w:tcMar>
          </w:tcPr>
          <w:p>
            <w:r>
              <w:rPr>
                <w:sz w:val="16"/>
              </w:rPr>
              <w:t>Workspace Trust Extension Guide</w:t>
            </w:r>
          </w:p>
        </w:tc>
        <w:tc>
          <w:tcPr>
            <w:tcW w:type="dxa" w:w="1439"/>
            <w:vAlign w:val="center"/>
            <w:tcMar>
              <w:top w:w="80" w:type="dxa"/>
              <w:start w:w="120" w:type="dxa"/>
              <w:bottom w:w="80" w:type="dxa"/>
              <w:end w:w="120" w:type="dxa"/>
            </w:tcMar>
          </w:tcPr>
          <w:p>
            <w:r>
              <w:rPr>
                <w:sz w:val="16"/>
              </w:rPr>
              <w:t>Microsoft Visual Studio Code</w:t>
            </w:r>
          </w:p>
        </w:tc>
        <w:tc>
          <w:tcPr>
            <w:tcW w:type="dxa" w:w="2502"/>
            <w:vAlign w:val="center"/>
            <w:tcMar>
              <w:top w:w="80" w:type="dxa"/>
              <w:start w:w="120" w:type="dxa"/>
              <w:bottom w:w="80" w:type="dxa"/>
              <w:end w:w="120" w:type="dxa"/>
            </w:tcMar>
          </w:tcPr>
          <w:p>
            <w:hyperlink r:id="rId21">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Extension manifest, restricted configuration and runtime enforcement guidance.</w:t>
            </w:r>
          </w:p>
        </w:tc>
      </w:tr>
      <w:tr>
        <w:tc>
          <w:tcPr>
            <w:tcW w:type="dxa" w:w="661"/>
            <w:vAlign w:val="center"/>
            <w:tcMar>
              <w:top w:w="80" w:type="dxa"/>
              <w:start w:w="120" w:type="dxa"/>
              <w:bottom w:w="80" w:type="dxa"/>
              <w:end w:w="120" w:type="dxa"/>
            </w:tcMar>
          </w:tcPr>
          <w:p>
            <w:bookmarkStart w:id="1010" w:name="REF_011"/>
            <w:r>
              <w:rPr>
                <w:b/>
                <w:sz w:val="16"/>
              </w:rPr>
              <w:t>REF-011</w:t>
            </w:r>
            <w:bookmarkEnd w:id="1010"/>
          </w:p>
        </w:tc>
        <w:tc>
          <w:tcPr>
            <w:tcW w:type="dxa" w:w="1595"/>
            <w:vAlign w:val="center"/>
            <w:tcMar>
              <w:top w:w="80" w:type="dxa"/>
              <w:start w:w="120" w:type="dxa"/>
              <w:bottom w:w="80" w:type="dxa"/>
              <w:end w:w="120" w:type="dxa"/>
            </w:tcMar>
          </w:tcPr>
          <w:p>
            <w:r>
              <w:rPr>
                <w:sz w:val="16"/>
              </w:rPr>
              <w:t>VS Code API SecretStorage</w:t>
            </w:r>
          </w:p>
        </w:tc>
        <w:tc>
          <w:tcPr>
            <w:tcW w:type="dxa" w:w="1439"/>
            <w:vAlign w:val="center"/>
            <w:tcMar>
              <w:top w:w="80" w:type="dxa"/>
              <w:start w:w="120" w:type="dxa"/>
              <w:bottom w:w="80" w:type="dxa"/>
              <w:end w:w="120" w:type="dxa"/>
            </w:tcMar>
          </w:tcPr>
          <w:p>
            <w:r>
              <w:rPr>
                <w:sz w:val="16"/>
              </w:rPr>
              <w:t>Microsoft Visual Studio Code</w:t>
            </w:r>
          </w:p>
        </w:tc>
        <w:tc>
          <w:tcPr>
            <w:tcW w:type="dxa" w:w="2502"/>
            <w:vAlign w:val="center"/>
            <w:tcMar>
              <w:top w:w="80" w:type="dxa"/>
              <w:start w:w="120" w:type="dxa"/>
              <w:bottom w:w="80" w:type="dxa"/>
              <w:end w:w="120" w:type="dxa"/>
            </w:tcMar>
          </w:tcPr>
          <w:p>
            <w:hyperlink r:id="rId22">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Encrypted extension secret storage that is not synced across machines.</w:t>
            </w:r>
          </w:p>
        </w:tc>
      </w:tr>
      <w:tr>
        <w:tc>
          <w:tcPr>
            <w:tcW w:type="dxa" w:w="661"/>
            <w:vAlign w:val="center"/>
            <w:tcMar>
              <w:top w:w="80" w:type="dxa"/>
              <w:start w:w="120" w:type="dxa"/>
              <w:bottom w:w="80" w:type="dxa"/>
              <w:end w:w="120" w:type="dxa"/>
            </w:tcMar>
          </w:tcPr>
          <w:p>
            <w:bookmarkStart w:id="1011" w:name="REF_012"/>
            <w:r>
              <w:rPr>
                <w:b/>
                <w:sz w:val="16"/>
              </w:rPr>
              <w:t>REF-012</w:t>
            </w:r>
            <w:bookmarkEnd w:id="1011"/>
          </w:p>
        </w:tc>
        <w:tc>
          <w:tcPr>
            <w:tcW w:type="dxa" w:w="1595"/>
            <w:vAlign w:val="center"/>
            <w:tcMar>
              <w:top w:w="80" w:type="dxa"/>
              <w:start w:w="120" w:type="dxa"/>
              <w:bottom w:w="80" w:type="dxa"/>
              <w:end w:w="120" w:type="dxa"/>
            </w:tcMar>
          </w:tcPr>
          <w:p>
            <w:r>
              <w:rPr>
                <w:sz w:val="16"/>
              </w:rPr>
              <w:t>Supporting Remote Development and GitHub Codespaces</w:t>
            </w:r>
          </w:p>
        </w:tc>
        <w:tc>
          <w:tcPr>
            <w:tcW w:type="dxa" w:w="1439"/>
            <w:vAlign w:val="center"/>
            <w:tcMar>
              <w:top w:w="80" w:type="dxa"/>
              <w:start w:w="120" w:type="dxa"/>
              <w:bottom w:w="80" w:type="dxa"/>
              <w:end w:w="120" w:type="dxa"/>
            </w:tcMar>
          </w:tcPr>
          <w:p>
            <w:r>
              <w:rPr>
                <w:sz w:val="16"/>
              </w:rPr>
              <w:t>Microsoft Visual Studio Code</w:t>
            </w:r>
          </w:p>
        </w:tc>
        <w:tc>
          <w:tcPr>
            <w:tcW w:type="dxa" w:w="2502"/>
            <w:vAlign w:val="center"/>
            <w:tcMar>
              <w:top w:w="80" w:type="dxa"/>
              <w:start w:w="120" w:type="dxa"/>
              <w:bottom w:w="80" w:type="dxa"/>
              <w:end w:w="120" w:type="dxa"/>
            </w:tcMar>
          </w:tcPr>
          <w:p>
            <w:hyperlink r:id="rId23">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Microsoft recommendation to use SecretStorage for persisted passwords and secrets.</w:t>
            </w:r>
          </w:p>
        </w:tc>
      </w:tr>
      <w:tr>
        <w:tc>
          <w:tcPr>
            <w:tcW w:type="dxa" w:w="661"/>
            <w:vAlign w:val="center"/>
            <w:tcMar>
              <w:top w:w="80" w:type="dxa"/>
              <w:start w:w="120" w:type="dxa"/>
              <w:bottom w:w="80" w:type="dxa"/>
              <w:end w:w="120" w:type="dxa"/>
            </w:tcMar>
          </w:tcPr>
          <w:p>
            <w:bookmarkStart w:id="1012" w:name="REF_013"/>
            <w:r>
              <w:rPr>
                <w:b/>
                <w:sz w:val="16"/>
              </w:rPr>
              <w:t>REF-013</w:t>
            </w:r>
            <w:bookmarkEnd w:id="1012"/>
          </w:p>
        </w:tc>
        <w:tc>
          <w:tcPr>
            <w:tcW w:type="dxa" w:w="1595"/>
            <w:vAlign w:val="center"/>
            <w:tcMar>
              <w:top w:w="80" w:type="dxa"/>
              <w:start w:w="120" w:type="dxa"/>
              <w:bottom w:w="80" w:type="dxa"/>
              <w:end w:w="120" w:type="dxa"/>
            </w:tcMar>
          </w:tcPr>
          <w:p>
            <w:r>
              <w:rPr>
                <w:sz w:val="16"/>
              </w:rPr>
              <w:t>OWASP Top 10 for Agentic Applications 2026</w:t>
            </w:r>
          </w:p>
        </w:tc>
        <w:tc>
          <w:tcPr>
            <w:tcW w:type="dxa" w:w="1439"/>
            <w:vAlign w:val="center"/>
            <w:tcMar>
              <w:top w:w="80" w:type="dxa"/>
              <w:start w:w="120" w:type="dxa"/>
              <w:bottom w:w="80" w:type="dxa"/>
              <w:end w:w="120" w:type="dxa"/>
            </w:tcMar>
          </w:tcPr>
          <w:p>
            <w:r>
              <w:rPr>
                <w:sz w:val="16"/>
              </w:rPr>
              <w:t>OWASP GenAI Security Project</w:t>
            </w:r>
          </w:p>
        </w:tc>
        <w:tc>
          <w:tcPr>
            <w:tcW w:type="dxa" w:w="2502"/>
            <w:vAlign w:val="center"/>
            <w:tcMar>
              <w:top w:w="80" w:type="dxa"/>
              <w:start w:w="120" w:type="dxa"/>
              <w:bottom w:w="80" w:type="dxa"/>
              <w:end w:w="120" w:type="dxa"/>
            </w:tcMar>
          </w:tcPr>
          <w:p>
            <w:hyperlink r:id="rId24">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Agentic goal hijack, tool misuse, identity and trust risks.</w:t>
            </w:r>
          </w:p>
        </w:tc>
      </w:tr>
      <w:tr>
        <w:tc>
          <w:tcPr>
            <w:tcW w:type="dxa" w:w="661"/>
            <w:vAlign w:val="center"/>
            <w:tcMar>
              <w:top w:w="80" w:type="dxa"/>
              <w:start w:w="120" w:type="dxa"/>
              <w:bottom w:w="80" w:type="dxa"/>
              <w:end w:w="120" w:type="dxa"/>
            </w:tcMar>
          </w:tcPr>
          <w:p>
            <w:bookmarkStart w:id="1013" w:name="REF_014"/>
            <w:r>
              <w:rPr>
                <w:b/>
                <w:sz w:val="16"/>
              </w:rPr>
              <w:t>REF-014</w:t>
            </w:r>
            <w:bookmarkEnd w:id="1013"/>
          </w:p>
        </w:tc>
        <w:tc>
          <w:tcPr>
            <w:tcW w:type="dxa" w:w="1595"/>
            <w:vAlign w:val="center"/>
            <w:tcMar>
              <w:top w:w="80" w:type="dxa"/>
              <w:start w:w="120" w:type="dxa"/>
              <w:bottom w:w="80" w:type="dxa"/>
              <w:end w:w="120" w:type="dxa"/>
            </w:tcMar>
          </w:tcPr>
          <w:p>
            <w:r>
              <w:rPr>
                <w:sz w:val="16"/>
              </w:rPr>
              <w:t>OWASP MCP Top 10</w:t>
            </w:r>
          </w:p>
        </w:tc>
        <w:tc>
          <w:tcPr>
            <w:tcW w:type="dxa" w:w="1439"/>
            <w:vAlign w:val="center"/>
            <w:tcMar>
              <w:top w:w="80" w:type="dxa"/>
              <w:start w:w="120" w:type="dxa"/>
              <w:bottom w:w="80" w:type="dxa"/>
              <w:end w:w="120" w:type="dxa"/>
            </w:tcMar>
          </w:tcPr>
          <w:p>
            <w:r>
              <w:rPr>
                <w:sz w:val="16"/>
              </w:rPr>
              <w:t>OWASP Foundation</w:t>
            </w:r>
          </w:p>
        </w:tc>
        <w:tc>
          <w:tcPr>
            <w:tcW w:type="dxa" w:w="2502"/>
            <w:vAlign w:val="center"/>
            <w:tcMar>
              <w:top w:w="80" w:type="dxa"/>
              <w:start w:w="120" w:type="dxa"/>
              <w:bottom w:w="80" w:type="dxa"/>
              <w:end w:w="120" w:type="dxa"/>
            </w:tcMar>
          </w:tcPr>
          <w:p>
            <w:hyperlink r:id="rId25">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MCP lifecycle and context-security risk categories.</w:t>
            </w:r>
          </w:p>
        </w:tc>
      </w:tr>
      <w:tr>
        <w:tc>
          <w:tcPr>
            <w:tcW w:type="dxa" w:w="661"/>
            <w:vAlign w:val="center"/>
            <w:tcMar>
              <w:top w:w="80" w:type="dxa"/>
              <w:start w:w="120" w:type="dxa"/>
              <w:bottom w:w="80" w:type="dxa"/>
              <w:end w:w="120" w:type="dxa"/>
            </w:tcMar>
          </w:tcPr>
          <w:p>
            <w:bookmarkStart w:id="1014" w:name="REF_015"/>
            <w:r>
              <w:rPr>
                <w:b/>
                <w:sz w:val="16"/>
              </w:rPr>
              <w:t>REF-015</w:t>
            </w:r>
            <w:bookmarkEnd w:id="1014"/>
          </w:p>
        </w:tc>
        <w:tc>
          <w:tcPr>
            <w:tcW w:type="dxa" w:w="1595"/>
            <w:vAlign w:val="center"/>
            <w:tcMar>
              <w:top w:w="80" w:type="dxa"/>
              <w:start w:w="120" w:type="dxa"/>
              <w:bottom w:w="80" w:type="dxa"/>
              <w:end w:w="120" w:type="dxa"/>
            </w:tcMar>
          </w:tcPr>
          <w:p>
            <w:r>
              <w:rPr>
                <w:sz w:val="16"/>
              </w:rPr>
              <w:t>MITRE ATLAS</w:t>
            </w:r>
          </w:p>
        </w:tc>
        <w:tc>
          <w:tcPr>
            <w:tcW w:type="dxa" w:w="1439"/>
            <w:vAlign w:val="center"/>
            <w:tcMar>
              <w:top w:w="80" w:type="dxa"/>
              <w:start w:w="120" w:type="dxa"/>
              <w:bottom w:w="80" w:type="dxa"/>
              <w:end w:w="120" w:type="dxa"/>
            </w:tcMar>
          </w:tcPr>
          <w:p>
            <w:r>
              <w:rPr>
                <w:sz w:val="16"/>
              </w:rPr>
              <w:t>MITRE</w:t>
            </w:r>
          </w:p>
        </w:tc>
        <w:tc>
          <w:tcPr>
            <w:tcW w:type="dxa" w:w="2502"/>
            <w:vAlign w:val="center"/>
            <w:tcMar>
              <w:top w:w="80" w:type="dxa"/>
              <w:start w:w="120" w:type="dxa"/>
              <w:bottom w:w="80" w:type="dxa"/>
              <w:end w:w="120" w:type="dxa"/>
            </w:tcMar>
          </w:tcPr>
          <w:p>
            <w:hyperlink r:id="rId26">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AI agent prompt injection, tool poisoning, credential access and exfiltration techniques.</w:t>
            </w:r>
          </w:p>
        </w:tc>
      </w:tr>
      <w:tr>
        <w:tc>
          <w:tcPr>
            <w:tcW w:type="dxa" w:w="661"/>
            <w:vAlign w:val="center"/>
            <w:tcMar>
              <w:top w:w="80" w:type="dxa"/>
              <w:start w:w="120" w:type="dxa"/>
              <w:bottom w:w="80" w:type="dxa"/>
              <w:end w:w="120" w:type="dxa"/>
            </w:tcMar>
          </w:tcPr>
          <w:p>
            <w:bookmarkStart w:id="1015" w:name="REF_016"/>
            <w:r>
              <w:rPr>
                <w:b/>
                <w:sz w:val="16"/>
              </w:rPr>
              <w:t>REF-016</w:t>
            </w:r>
            <w:bookmarkEnd w:id="1015"/>
          </w:p>
        </w:tc>
        <w:tc>
          <w:tcPr>
            <w:tcW w:type="dxa" w:w="1595"/>
            <w:vAlign w:val="center"/>
            <w:tcMar>
              <w:top w:w="80" w:type="dxa"/>
              <w:start w:w="120" w:type="dxa"/>
              <w:bottom w:w="80" w:type="dxa"/>
              <w:end w:w="120" w:type="dxa"/>
            </w:tcMar>
          </w:tcPr>
          <w:p>
            <w:r>
              <w:rPr>
                <w:sz w:val="16"/>
              </w:rPr>
              <w:t>AI Risk Management Framework</w:t>
            </w:r>
          </w:p>
        </w:tc>
        <w:tc>
          <w:tcPr>
            <w:tcW w:type="dxa" w:w="1439"/>
            <w:vAlign w:val="center"/>
            <w:tcMar>
              <w:top w:w="80" w:type="dxa"/>
              <w:start w:w="120" w:type="dxa"/>
              <w:bottom w:w="80" w:type="dxa"/>
              <w:end w:w="120" w:type="dxa"/>
            </w:tcMar>
          </w:tcPr>
          <w:p>
            <w:r>
              <w:rPr>
                <w:sz w:val="16"/>
              </w:rPr>
              <w:t>NIST</w:t>
            </w:r>
          </w:p>
        </w:tc>
        <w:tc>
          <w:tcPr>
            <w:tcW w:type="dxa" w:w="2502"/>
            <w:vAlign w:val="center"/>
            <w:tcMar>
              <w:top w:w="80" w:type="dxa"/>
              <w:start w:w="120" w:type="dxa"/>
              <w:bottom w:w="80" w:type="dxa"/>
              <w:end w:w="120" w:type="dxa"/>
            </w:tcMar>
          </w:tcPr>
          <w:p>
            <w:hyperlink r:id="rId27">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Govern, Map, Measure and Manage lifecycle basis and Generative AI profile pointer.</w:t>
            </w:r>
          </w:p>
        </w:tc>
      </w:tr>
      <w:tr>
        <w:tc>
          <w:tcPr>
            <w:tcW w:type="dxa" w:w="661"/>
            <w:vAlign w:val="center"/>
            <w:tcMar>
              <w:top w:w="80" w:type="dxa"/>
              <w:start w:w="120" w:type="dxa"/>
              <w:bottom w:w="80" w:type="dxa"/>
              <w:end w:w="120" w:type="dxa"/>
            </w:tcMar>
          </w:tcPr>
          <w:p>
            <w:bookmarkStart w:id="1016" w:name="REF_017"/>
            <w:r>
              <w:rPr>
                <w:b/>
                <w:sz w:val="16"/>
              </w:rPr>
              <w:t>REF-017</w:t>
            </w:r>
            <w:bookmarkEnd w:id="1016"/>
          </w:p>
        </w:tc>
        <w:tc>
          <w:tcPr>
            <w:tcW w:type="dxa" w:w="1595"/>
            <w:vAlign w:val="center"/>
            <w:tcMar>
              <w:top w:w="80" w:type="dxa"/>
              <w:start w:w="120" w:type="dxa"/>
              <w:bottom w:w="80" w:type="dxa"/>
              <w:end w:w="120" w:type="dxa"/>
            </w:tcMar>
          </w:tcPr>
          <w:p>
            <w:r>
              <w:rPr>
                <w:sz w:val="16"/>
              </w:rPr>
              <w:t>Generative AI Profile NIST AI 600-1</w:t>
            </w:r>
          </w:p>
        </w:tc>
        <w:tc>
          <w:tcPr>
            <w:tcW w:type="dxa" w:w="1439"/>
            <w:vAlign w:val="center"/>
            <w:tcMar>
              <w:top w:w="80" w:type="dxa"/>
              <w:start w:w="120" w:type="dxa"/>
              <w:bottom w:w="80" w:type="dxa"/>
              <w:end w:w="120" w:type="dxa"/>
            </w:tcMar>
          </w:tcPr>
          <w:p>
            <w:r>
              <w:rPr>
                <w:sz w:val="16"/>
              </w:rPr>
              <w:t>NIST</w:t>
            </w:r>
          </w:p>
        </w:tc>
        <w:tc>
          <w:tcPr>
            <w:tcW w:type="dxa" w:w="2502"/>
            <w:vAlign w:val="center"/>
            <w:tcMar>
              <w:top w:w="80" w:type="dxa"/>
              <w:start w:w="120" w:type="dxa"/>
              <w:bottom w:w="80" w:type="dxa"/>
              <w:end w:w="120" w:type="dxa"/>
            </w:tcMar>
          </w:tcPr>
          <w:p>
            <w:hyperlink r:id="rId28">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Generative-AI risk actions and evaluation considerations.</w:t>
            </w:r>
          </w:p>
        </w:tc>
      </w:tr>
      <w:tr>
        <w:tc>
          <w:tcPr>
            <w:tcW w:type="dxa" w:w="661"/>
            <w:vAlign w:val="center"/>
            <w:tcMar>
              <w:top w:w="80" w:type="dxa"/>
              <w:start w:w="120" w:type="dxa"/>
              <w:bottom w:w="80" w:type="dxa"/>
              <w:end w:w="120" w:type="dxa"/>
            </w:tcMar>
          </w:tcPr>
          <w:p>
            <w:bookmarkStart w:id="1017" w:name="REF_018"/>
            <w:r>
              <w:rPr>
                <w:b/>
                <w:sz w:val="16"/>
              </w:rPr>
              <w:t>REF-018</w:t>
            </w:r>
            <w:bookmarkEnd w:id="1017"/>
          </w:p>
        </w:tc>
        <w:tc>
          <w:tcPr>
            <w:tcW w:type="dxa" w:w="1595"/>
            <w:vAlign w:val="center"/>
            <w:tcMar>
              <w:top w:w="80" w:type="dxa"/>
              <w:start w:w="120" w:type="dxa"/>
              <w:bottom w:w="80" w:type="dxa"/>
              <w:end w:w="120" w:type="dxa"/>
            </w:tcMar>
          </w:tcPr>
          <w:p>
            <w:r>
              <w:rPr>
                <w:sz w:val="16"/>
              </w:rPr>
              <w:t>Guidelines for secure AI system development</w:t>
            </w:r>
          </w:p>
        </w:tc>
        <w:tc>
          <w:tcPr>
            <w:tcW w:type="dxa" w:w="1439"/>
            <w:vAlign w:val="center"/>
            <w:tcMar>
              <w:top w:w="80" w:type="dxa"/>
              <w:start w:w="120" w:type="dxa"/>
              <w:bottom w:w="80" w:type="dxa"/>
              <w:end w:w="120" w:type="dxa"/>
            </w:tcMar>
          </w:tcPr>
          <w:p>
            <w:r>
              <w:rPr>
                <w:sz w:val="16"/>
              </w:rPr>
              <w:t>UK National Cyber Security Centre</w:t>
            </w:r>
          </w:p>
        </w:tc>
        <w:tc>
          <w:tcPr>
            <w:tcW w:type="dxa" w:w="2502"/>
            <w:vAlign w:val="center"/>
            <w:tcMar>
              <w:top w:w="80" w:type="dxa"/>
              <w:start w:w="120" w:type="dxa"/>
              <w:bottom w:w="80" w:type="dxa"/>
              <w:end w:w="120" w:type="dxa"/>
            </w:tcMar>
          </w:tcPr>
          <w:p>
            <w:hyperlink r:id="rId29">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Secure design, development, deployment and operation lifecycle.</w:t>
            </w:r>
          </w:p>
        </w:tc>
      </w:tr>
      <w:tr>
        <w:tc>
          <w:tcPr>
            <w:tcW w:type="dxa" w:w="661"/>
            <w:vAlign w:val="center"/>
            <w:tcMar>
              <w:top w:w="80" w:type="dxa"/>
              <w:start w:w="120" w:type="dxa"/>
              <w:bottom w:w="80" w:type="dxa"/>
              <w:end w:w="120" w:type="dxa"/>
            </w:tcMar>
          </w:tcPr>
          <w:p>
            <w:bookmarkStart w:id="1018" w:name="REF_019"/>
            <w:r>
              <w:rPr>
                <w:b/>
                <w:sz w:val="16"/>
              </w:rPr>
              <w:t>REF-019</w:t>
            </w:r>
            <w:bookmarkEnd w:id="1018"/>
          </w:p>
        </w:tc>
        <w:tc>
          <w:tcPr>
            <w:tcW w:type="dxa" w:w="1595"/>
            <w:vAlign w:val="center"/>
            <w:tcMar>
              <w:top w:w="80" w:type="dxa"/>
              <w:start w:w="120" w:type="dxa"/>
              <w:bottom w:w="80" w:type="dxa"/>
              <w:end w:w="120" w:type="dxa"/>
            </w:tcMar>
          </w:tcPr>
          <w:p>
            <w:r>
              <w:rPr>
                <w:sz w:val="16"/>
              </w:rPr>
              <w:t>Artificial intelligence and data protection</w:t>
            </w:r>
          </w:p>
        </w:tc>
        <w:tc>
          <w:tcPr>
            <w:tcW w:type="dxa" w:w="1439"/>
            <w:vAlign w:val="center"/>
            <w:tcMar>
              <w:top w:w="80" w:type="dxa"/>
              <w:start w:w="120" w:type="dxa"/>
              <w:bottom w:w="80" w:type="dxa"/>
              <w:end w:w="120" w:type="dxa"/>
            </w:tcMar>
          </w:tcPr>
          <w:p>
            <w:r>
              <w:rPr>
                <w:sz w:val="16"/>
              </w:rPr>
              <w:t>UK Information Commissioner's Office</w:t>
            </w:r>
          </w:p>
        </w:tc>
        <w:tc>
          <w:tcPr>
            <w:tcW w:type="dxa" w:w="2502"/>
            <w:vAlign w:val="center"/>
            <w:tcMar>
              <w:top w:w="80" w:type="dxa"/>
              <w:start w:w="120" w:type="dxa"/>
              <w:bottom w:w="80" w:type="dxa"/>
              <w:end w:w="120" w:type="dxa"/>
            </w:tcMar>
          </w:tcPr>
          <w:p>
            <w:hyperlink r:id="rId30">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UK data-protection principles and AI risk toolkit.</w:t>
            </w:r>
          </w:p>
        </w:tc>
      </w:tr>
      <w:tr>
        <w:tc>
          <w:tcPr>
            <w:tcW w:type="dxa" w:w="661"/>
            <w:vAlign w:val="center"/>
            <w:tcMar>
              <w:top w:w="80" w:type="dxa"/>
              <w:start w:w="120" w:type="dxa"/>
              <w:bottom w:w="80" w:type="dxa"/>
              <w:end w:w="120" w:type="dxa"/>
            </w:tcMar>
          </w:tcPr>
          <w:p>
            <w:bookmarkStart w:id="1019" w:name="REF_020"/>
            <w:r>
              <w:rPr>
                <w:b/>
                <w:sz w:val="16"/>
              </w:rPr>
              <w:t>REF-020</w:t>
            </w:r>
            <w:bookmarkEnd w:id="1019"/>
          </w:p>
        </w:tc>
        <w:tc>
          <w:tcPr>
            <w:tcW w:type="dxa" w:w="1595"/>
            <w:vAlign w:val="center"/>
            <w:tcMar>
              <w:top w:w="80" w:type="dxa"/>
              <w:start w:w="120" w:type="dxa"/>
              <w:bottom w:w="80" w:type="dxa"/>
              <w:end w:w="120" w:type="dxa"/>
            </w:tcMar>
          </w:tcPr>
          <w:p>
            <w:r>
              <w:rPr>
                <w:sz w:val="16"/>
              </w:rPr>
              <w:t>International transfers</w:t>
            </w:r>
          </w:p>
        </w:tc>
        <w:tc>
          <w:tcPr>
            <w:tcW w:type="dxa" w:w="1439"/>
            <w:vAlign w:val="center"/>
            <w:tcMar>
              <w:top w:w="80" w:type="dxa"/>
              <w:start w:w="120" w:type="dxa"/>
              <w:bottom w:w="80" w:type="dxa"/>
              <w:end w:w="120" w:type="dxa"/>
            </w:tcMar>
          </w:tcPr>
          <w:p>
            <w:r>
              <w:rPr>
                <w:sz w:val="16"/>
              </w:rPr>
              <w:t>UK Information Commissioner's Office</w:t>
            </w:r>
          </w:p>
        </w:tc>
        <w:tc>
          <w:tcPr>
            <w:tcW w:type="dxa" w:w="2502"/>
            <w:vAlign w:val="center"/>
            <w:tcMar>
              <w:top w:w="80" w:type="dxa"/>
              <w:start w:w="120" w:type="dxa"/>
              <w:bottom w:w="80" w:type="dxa"/>
              <w:end w:w="120" w:type="dxa"/>
            </w:tcMar>
          </w:tcPr>
          <w:p>
            <w:hyperlink r:id="rId31">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Restricted transfer safeguards and transfer risk assessment.</w:t>
            </w:r>
          </w:p>
        </w:tc>
      </w:tr>
      <w:tr>
        <w:tc>
          <w:tcPr>
            <w:tcW w:type="dxa" w:w="661"/>
            <w:vAlign w:val="center"/>
            <w:tcMar>
              <w:top w:w="80" w:type="dxa"/>
              <w:start w:w="120" w:type="dxa"/>
              <w:bottom w:w="80" w:type="dxa"/>
              <w:end w:w="120" w:type="dxa"/>
            </w:tcMar>
          </w:tcPr>
          <w:p>
            <w:bookmarkStart w:id="1020" w:name="REF_021"/>
            <w:r>
              <w:rPr>
                <w:b/>
                <w:sz w:val="16"/>
              </w:rPr>
              <w:t>REF-021</w:t>
            </w:r>
            <w:bookmarkEnd w:id="1020"/>
          </w:p>
        </w:tc>
        <w:tc>
          <w:tcPr>
            <w:tcW w:type="dxa" w:w="1595"/>
            <w:vAlign w:val="center"/>
            <w:tcMar>
              <w:top w:w="80" w:type="dxa"/>
              <w:start w:w="120" w:type="dxa"/>
              <w:bottom w:w="80" w:type="dxa"/>
              <w:end w:w="120" w:type="dxa"/>
            </w:tcMar>
          </w:tcPr>
          <w:p>
            <w:r>
              <w:rPr>
                <w:sz w:val="16"/>
              </w:rPr>
              <w:t>Outsourcing and operational resilience</w:t>
            </w:r>
          </w:p>
        </w:tc>
        <w:tc>
          <w:tcPr>
            <w:tcW w:type="dxa" w:w="1439"/>
            <w:vAlign w:val="center"/>
            <w:tcMar>
              <w:top w:w="80" w:type="dxa"/>
              <w:start w:w="120" w:type="dxa"/>
              <w:bottom w:w="80" w:type="dxa"/>
              <w:end w:w="120" w:type="dxa"/>
            </w:tcMar>
          </w:tcPr>
          <w:p>
            <w:r>
              <w:rPr>
                <w:sz w:val="16"/>
              </w:rPr>
              <w:t>Financial Conduct Authority</w:t>
            </w:r>
          </w:p>
        </w:tc>
        <w:tc>
          <w:tcPr>
            <w:tcW w:type="dxa" w:w="2502"/>
            <w:vAlign w:val="center"/>
            <w:tcMar>
              <w:top w:w="80" w:type="dxa"/>
              <w:start w:w="120" w:type="dxa"/>
              <w:bottom w:w="80" w:type="dxa"/>
              <w:end w:w="120" w:type="dxa"/>
            </w:tcMar>
          </w:tcPr>
          <w:p>
            <w:hyperlink r:id="rId32">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Third-party accountability, mapping, lifecycle risk and operational resilience.</w:t>
            </w:r>
          </w:p>
        </w:tc>
      </w:tr>
      <w:tr>
        <w:tc>
          <w:tcPr>
            <w:tcW w:type="dxa" w:w="661"/>
            <w:vAlign w:val="center"/>
            <w:tcMar>
              <w:top w:w="80" w:type="dxa"/>
              <w:start w:w="120" w:type="dxa"/>
              <w:bottom w:w="80" w:type="dxa"/>
              <w:end w:w="120" w:type="dxa"/>
            </w:tcMar>
          </w:tcPr>
          <w:p>
            <w:bookmarkStart w:id="1021" w:name="REF_022"/>
            <w:r>
              <w:rPr>
                <w:b/>
                <w:sz w:val="16"/>
              </w:rPr>
              <w:t>REF-022</w:t>
            </w:r>
            <w:bookmarkEnd w:id="1021"/>
          </w:p>
        </w:tc>
        <w:tc>
          <w:tcPr>
            <w:tcW w:type="dxa" w:w="1595"/>
            <w:vAlign w:val="center"/>
            <w:tcMar>
              <w:top w:w="80" w:type="dxa"/>
              <w:start w:w="120" w:type="dxa"/>
              <w:bottom w:w="80" w:type="dxa"/>
              <w:end w:w="120" w:type="dxa"/>
            </w:tcMar>
          </w:tcPr>
          <w:p>
            <w:r>
              <w:rPr>
                <w:sz w:val="16"/>
              </w:rPr>
              <w:t>Operational resilience insights for insurance firms</w:t>
            </w:r>
          </w:p>
        </w:tc>
        <w:tc>
          <w:tcPr>
            <w:tcW w:type="dxa" w:w="1439"/>
            <w:vAlign w:val="center"/>
            <w:tcMar>
              <w:top w:w="80" w:type="dxa"/>
              <w:start w:w="120" w:type="dxa"/>
              <w:bottom w:w="80" w:type="dxa"/>
              <w:end w:w="120" w:type="dxa"/>
            </w:tcMar>
          </w:tcPr>
          <w:p>
            <w:r>
              <w:rPr>
                <w:sz w:val="16"/>
              </w:rPr>
              <w:t>Financial Conduct Authority</w:t>
            </w:r>
          </w:p>
        </w:tc>
        <w:tc>
          <w:tcPr>
            <w:tcW w:type="dxa" w:w="2502"/>
            <w:vAlign w:val="center"/>
            <w:tcMar>
              <w:top w:w="80" w:type="dxa"/>
              <w:start w:w="120" w:type="dxa"/>
              <w:bottom w:w="80" w:type="dxa"/>
              <w:end w:w="120" w:type="dxa"/>
            </w:tcMar>
          </w:tcPr>
          <w:p>
            <w:hyperlink r:id="rId33">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Insurance-sector operational resilience context.</w:t>
            </w:r>
          </w:p>
        </w:tc>
      </w:tr>
      <w:tr>
        <w:tc>
          <w:tcPr>
            <w:tcW w:type="dxa" w:w="661"/>
            <w:vAlign w:val="center"/>
            <w:tcMar>
              <w:top w:w="80" w:type="dxa"/>
              <w:start w:w="120" w:type="dxa"/>
              <w:bottom w:w="80" w:type="dxa"/>
              <w:end w:w="120" w:type="dxa"/>
            </w:tcMar>
          </w:tcPr>
          <w:p>
            <w:bookmarkStart w:id="1022" w:name="REF_023"/>
            <w:r>
              <w:rPr>
                <w:b/>
                <w:sz w:val="16"/>
              </w:rPr>
              <w:t>REF-023</w:t>
            </w:r>
            <w:bookmarkEnd w:id="1022"/>
          </w:p>
        </w:tc>
        <w:tc>
          <w:tcPr>
            <w:tcW w:type="dxa" w:w="1595"/>
            <w:vAlign w:val="center"/>
            <w:tcMar>
              <w:top w:w="80" w:type="dxa"/>
              <w:start w:w="120" w:type="dxa"/>
              <w:bottom w:w="80" w:type="dxa"/>
              <w:end w:w="120" w:type="dxa"/>
            </w:tcMar>
          </w:tcPr>
          <w:p>
            <w:r>
              <w:rPr>
                <w:sz w:val="16"/>
              </w:rPr>
              <w:t>ISO/IEC 27001:2022</w:t>
            </w:r>
          </w:p>
        </w:tc>
        <w:tc>
          <w:tcPr>
            <w:tcW w:type="dxa" w:w="1439"/>
            <w:vAlign w:val="center"/>
            <w:tcMar>
              <w:top w:w="80" w:type="dxa"/>
              <w:start w:w="120" w:type="dxa"/>
              <w:bottom w:w="80" w:type="dxa"/>
              <w:end w:w="120" w:type="dxa"/>
            </w:tcMar>
          </w:tcPr>
          <w:p>
            <w:r>
              <w:rPr>
                <w:sz w:val="16"/>
              </w:rPr>
              <w:t>International Organization for Standardization</w:t>
            </w:r>
          </w:p>
        </w:tc>
        <w:tc>
          <w:tcPr>
            <w:tcW w:type="dxa" w:w="2502"/>
            <w:vAlign w:val="center"/>
            <w:tcMar>
              <w:top w:w="80" w:type="dxa"/>
              <w:start w:w="120" w:type="dxa"/>
              <w:bottom w:w="80" w:type="dxa"/>
              <w:end w:w="120" w:type="dxa"/>
            </w:tcMar>
          </w:tcPr>
          <w:p>
            <w:hyperlink r:id="rId34">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Information-security management and risk-treatment context.</w:t>
            </w:r>
          </w:p>
        </w:tc>
      </w:tr>
      <w:tr>
        <w:tc>
          <w:tcPr>
            <w:tcW w:type="dxa" w:w="661"/>
            <w:vAlign w:val="center"/>
            <w:tcMar>
              <w:top w:w="80" w:type="dxa"/>
              <w:start w:w="120" w:type="dxa"/>
              <w:bottom w:w="80" w:type="dxa"/>
              <w:end w:w="120" w:type="dxa"/>
            </w:tcMar>
          </w:tcPr>
          <w:p>
            <w:bookmarkStart w:id="1023" w:name="REF_024"/>
            <w:r>
              <w:rPr>
                <w:b/>
                <w:sz w:val="16"/>
              </w:rPr>
              <w:t>REF-024</w:t>
            </w:r>
            <w:bookmarkEnd w:id="1023"/>
          </w:p>
        </w:tc>
        <w:tc>
          <w:tcPr>
            <w:tcW w:type="dxa" w:w="1595"/>
            <w:vAlign w:val="center"/>
            <w:tcMar>
              <w:top w:w="80" w:type="dxa"/>
              <w:start w:w="120" w:type="dxa"/>
              <w:bottom w:w="80" w:type="dxa"/>
              <w:end w:w="120" w:type="dxa"/>
            </w:tcMar>
          </w:tcPr>
          <w:p>
            <w:r>
              <w:rPr>
                <w:sz w:val="16"/>
              </w:rPr>
              <w:t>Extension Manifest</w:t>
            </w:r>
          </w:p>
        </w:tc>
        <w:tc>
          <w:tcPr>
            <w:tcW w:type="dxa" w:w="1439"/>
            <w:vAlign w:val="center"/>
            <w:tcMar>
              <w:top w:w="80" w:type="dxa"/>
              <w:start w:w="120" w:type="dxa"/>
              <w:bottom w:w="80" w:type="dxa"/>
              <w:end w:w="120" w:type="dxa"/>
            </w:tcMar>
          </w:tcPr>
          <w:p>
            <w:r>
              <w:rPr>
                <w:sz w:val="16"/>
              </w:rPr>
              <w:t>Microsoft Visual Studio Code</w:t>
            </w:r>
          </w:p>
        </w:tc>
        <w:tc>
          <w:tcPr>
            <w:tcW w:type="dxa" w:w="2502"/>
            <w:vAlign w:val="center"/>
            <w:tcMar>
              <w:top w:w="80" w:type="dxa"/>
              <w:start w:w="120" w:type="dxa"/>
              <w:bottom w:w="80" w:type="dxa"/>
              <w:end w:w="120" w:type="dxa"/>
            </w:tcMar>
          </w:tcPr>
          <w:p>
            <w:hyperlink r:id="rId35">
              <w:r>
                <w:rPr>
                  <w:rStyle w:val="Hyperlink"/>
                </w:rPr>
                <w:t>Open source</w:t>
              </w:r>
            </w:hyperlink>
          </w:p>
        </w:tc>
        <w:tc>
          <w:tcPr>
            <w:tcW w:type="dxa" w:w="661"/>
            <w:vAlign w:val="center"/>
            <w:tcMar>
              <w:top w:w="80" w:type="dxa"/>
              <w:start w:w="120" w:type="dxa"/>
              <w:bottom w:w="80" w:type="dxa"/>
              <w:end w:w="120" w:type="dxa"/>
            </w:tcMar>
          </w:tcPr>
          <w:p>
            <w:r>
              <w:rPr>
                <w:sz w:val="16"/>
              </w:rPr>
              <w:t>2026-08-01</w:t>
            </w:r>
          </w:p>
        </w:tc>
        <w:tc>
          <w:tcPr>
            <w:tcW w:type="dxa" w:w="2502"/>
            <w:vAlign w:val="center"/>
            <w:tcMar>
              <w:top w:w="80" w:type="dxa"/>
              <w:start w:w="120" w:type="dxa"/>
              <w:bottom w:w="80" w:type="dxa"/>
              <w:end w:w="120" w:type="dxa"/>
            </w:tcMar>
          </w:tcPr>
          <w:p>
            <w:r>
              <w:rPr>
                <w:sz w:val="16"/>
              </w:rPr>
              <w:t>Required manifest fields and uninstall-hook behaviour.</w:t>
            </w:r>
          </w:p>
        </w:tc>
      </w:tr>
    </w:tbl>
    <w:p>
      <w:pPr>
        <w:pStyle w:val="Heading1"/>
      </w:pPr>
      <w:r>
        <w:t>Appendices</w:t>
      </w:r>
    </w:p>
    <w:p>
      <w:pPr>
        <w:pStyle w:val="Heading2"/>
      </w:pPr>
      <w:r>
        <w:t>Appendix A — Analysis Selections and Results</w:t>
      </w:r>
    </w:p>
    <w:p>
      <w:r>
        <w:t>Static analysis: selected and completed within the recorded package scope. Static malware review: selected and completed within the available scanner scope. Runtime analysis: selected; any unavailable representative host is recorded as Blocked rather than silently treated as No. Privacy review: selected and completed from package, policy, documentation, and observed evidence. Evidence dispositions used by this report are Verified, Inferred, Not observed, Not applicable, Unknown, and Blocked. Native Microsoft Word closeout remains a separate final gate.</w:t>
      </w:r>
    </w:p>
    <w:p>
      <w:pPr>
        <w:pStyle w:val="Heading2"/>
      </w:pPr>
      <w:r>
        <w:t>Appendix B — Build and Quality-Assurance Contract</w:t>
      </w:r>
    </w:p>
    <w:p>
      <w:r>
        <w:t>The candidate report was compiled from all fifteen hash-bound validated stage outputs and a hash-bound report model. Deterministic validation, publication-safety inspection, accessibility review, privacy and metadata review, citation and bookmark audit, scoring reconciliation, secure review, native Microsoft Word rendering, page count, and every-page inspection are shipping gates. A passed candidate build alone is not an authoritative determination.</w:t>
      </w:r>
    </w:p>
    <w:p>
      <w:pPr>
        <w:pStyle w:val="Heading1"/>
      </w:pPr>
      <w:r>
        <w:t>Glossary</w:t>
      </w:r>
    </w:p>
    <w:p>
      <w:pPr>
        <w:pStyle w:val="Caption"/>
      </w:pPr>
      <w:r>
        <w:rPr>
          <w:b/>
        </w:rPr>
        <w:t>Glossary</w:t>
      </w:r>
    </w:p>
    <w:tbl>
      <w:tblPr>
        <w:tblStyle w:val="TableGrid"/>
        <w:tblW w:type="dxa" w:w="9360"/>
        <w:tblLayout w:type="fixed"/>
        <w:tblLook w:firstColumn="1" w:firstRow="1" w:lastColumn="0" w:lastRow="0" w:noHBand="0" w:noVBand="1" w:val="04A0"/>
        <w:tblInd w:w="120" w:type="dxa"/>
      </w:tblPr>
      <w:tblGrid>
        <w:gridCol w:w="2160"/>
        <w:gridCol w:w="7200"/>
      </w:tblGrid>
      <w:tr>
        <w:trPr>
          <w:tblHeader w:val="true"/>
        </w:trPr>
        <w:tc>
          <w:tcPr>
            <w:tcW w:type="dxa" w:w="2160"/>
            <w:shd w:fill="F2F4F7"/>
            <w:vAlign w:val="center"/>
            <w:tcMar>
              <w:top w:w="35" w:type="dxa"/>
              <w:start w:w="120" w:type="dxa"/>
              <w:bottom w:w="35" w:type="dxa"/>
              <w:end w:w="120" w:type="dxa"/>
            </w:tcMar>
          </w:tcPr>
          <w:p>
            <w:pPr>
              <w:spacing w:before="0" w:after="0"/>
            </w:pPr>
            <w:r>
              <w:rPr>
                <w:b/>
                <w:sz w:val="16"/>
              </w:rPr>
              <w:t>Term</w:t>
            </w:r>
          </w:p>
        </w:tc>
        <w:tc>
          <w:tcPr>
            <w:tcW w:type="dxa" w:w="7200"/>
            <w:shd w:fill="F2F4F7"/>
            <w:vAlign w:val="center"/>
            <w:tcMar>
              <w:top w:w="35" w:type="dxa"/>
              <w:start w:w="120" w:type="dxa"/>
              <w:bottom w:w="35" w:type="dxa"/>
              <w:end w:w="120" w:type="dxa"/>
            </w:tcMar>
          </w:tcPr>
          <w:p>
            <w:pPr>
              <w:spacing w:before="0" w:after="0"/>
            </w:pPr>
            <w:r>
              <w:rPr>
                <w:b/>
                <w:sz w:val="16"/>
              </w:rPr>
              <w:t>Definition</w:t>
            </w:r>
          </w:p>
        </w:tc>
      </w:tr>
      <w:tr>
        <w:tc>
          <w:tcPr>
            <w:tcW w:type="dxa" w:w="2160"/>
            <w:vAlign w:val="center"/>
            <w:tcMar>
              <w:top w:w="35" w:type="dxa"/>
              <w:start w:w="120" w:type="dxa"/>
              <w:bottom w:w="35" w:type="dxa"/>
              <w:end w:w="120" w:type="dxa"/>
            </w:tcMar>
          </w:tcPr>
          <w:p>
            <w:pPr>
              <w:spacing w:before="0" w:after="0"/>
            </w:pPr>
            <w:r>
              <w:rPr>
                <w:sz w:val="16"/>
              </w:rPr>
              <w:t>Agentic coding extension</w:t>
            </w:r>
          </w:p>
        </w:tc>
        <w:tc>
          <w:tcPr>
            <w:tcW w:type="dxa" w:w="7200"/>
            <w:vAlign w:val="center"/>
            <w:tcMar>
              <w:top w:w="35" w:type="dxa"/>
              <w:start w:w="120" w:type="dxa"/>
              <w:bottom w:w="35" w:type="dxa"/>
              <w:end w:w="120" w:type="dxa"/>
            </w:tcMar>
          </w:tcPr>
          <w:p>
            <w:pPr>
              <w:spacing w:before="0" w:after="0"/>
            </w:pPr>
            <w:r>
              <w:rPr>
                <w:sz w:val="16"/>
              </w:rPr>
              <w:t>An IDE extension that can plan and use tools or change state, not only suggest text.</w:t>
            </w:r>
          </w:p>
        </w:tc>
      </w:tr>
      <w:tr>
        <w:tc>
          <w:tcPr>
            <w:tcW w:type="dxa" w:w="2160"/>
            <w:vAlign w:val="center"/>
            <w:tcMar>
              <w:top w:w="35" w:type="dxa"/>
              <w:start w:w="120" w:type="dxa"/>
              <w:bottom w:w="35" w:type="dxa"/>
              <w:end w:w="120" w:type="dxa"/>
            </w:tcMar>
          </w:tcPr>
          <w:p>
            <w:pPr>
              <w:spacing w:before="0" w:after="0"/>
            </w:pPr>
            <w:r>
              <w:rPr>
                <w:sz w:val="16"/>
              </w:rPr>
              <w:t>Blocked</w:t>
            </w:r>
          </w:p>
        </w:tc>
        <w:tc>
          <w:tcPr>
            <w:tcW w:type="dxa" w:w="7200"/>
            <w:vAlign w:val="center"/>
            <w:tcMar>
              <w:top w:w="35" w:type="dxa"/>
              <w:start w:w="120" w:type="dxa"/>
              <w:bottom w:w="35" w:type="dxa"/>
              <w:end w:w="120" w:type="dxa"/>
            </w:tcMar>
          </w:tcPr>
          <w:p>
            <w:pPr>
              <w:spacing w:before="0" w:after="0"/>
            </w:pPr>
            <w:r>
              <w:rPr>
                <w:sz w:val="16"/>
              </w:rPr>
              <w:t>A selected assessment capability could not be completed safely because a material prerequisite was unavailable.</w:t>
            </w:r>
          </w:p>
        </w:tc>
      </w:tr>
      <w:tr>
        <w:tc>
          <w:tcPr>
            <w:tcW w:type="dxa" w:w="2160"/>
            <w:vAlign w:val="center"/>
            <w:tcMar>
              <w:top w:w="35" w:type="dxa"/>
              <w:start w:w="120" w:type="dxa"/>
              <w:bottom w:w="35" w:type="dxa"/>
              <w:end w:w="120" w:type="dxa"/>
            </w:tcMar>
          </w:tcPr>
          <w:p>
            <w:pPr>
              <w:spacing w:before="0" w:after="0"/>
            </w:pPr>
            <w:r>
              <w:rPr>
                <w:sz w:val="16"/>
              </w:rPr>
              <w:t>CSP</w:t>
            </w:r>
          </w:p>
        </w:tc>
        <w:tc>
          <w:tcPr>
            <w:tcW w:type="dxa" w:w="7200"/>
            <w:vAlign w:val="center"/>
            <w:tcMar>
              <w:top w:w="35" w:type="dxa"/>
              <w:start w:w="120" w:type="dxa"/>
              <w:bottom w:w="35" w:type="dxa"/>
              <w:end w:w="120" w:type="dxa"/>
            </w:tcMar>
          </w:tcPr>
          <w:p>
            <w:pPr>
              <w:spacing w:before="0" w:after="0"/>
            </w:pPr>
            <w:r>
              <w:rPr>
                <w:sz w:val="16"/>
              </w:rPr>
              <w:t>Content Security Policy, a browser security control that constrains resources and execution in a webview.</w:t>
            </w:r>
          </w:p>
        </w:tc>
      </w:tr>
      <w:tr>
        <w:tc>
          <w:tcPr>
            <w:tcW w:type="dxa" w:w="2160"/>
            <w:vAlign w:val="center"/>
            <w:tcMar>
              <w:top w:w="35" w:type="dxa"/>
              <w:start w:w="120" w:type="dxa"/>
              <w:bottom w:w="35" w:type="dxa"/>
              <w:end w:w="120" w:type="dxa"/>
            </w:tcMar>
          </w:tcPr>
          <w:p>
            <w:pPr>
              <w:spacing w:before="0" w:after="0"/>
            </w:pPr>
            <w:r>
              <w:rPr>
                <w:sz w:val="16"/>
              </w:rPr>
              <w:t>DPA</w:t>
            </w:r>
          </w:p>
        </w:tc>
        <w:tc>
          <w:tcPr>
            <w:tcW w:type="dxa" w:w="7200"/>
            <w:vAlign w:val="center"/>
            <w:tcMar>
              <w:top w:w="35" w:type="dxa"/>
              <w:start w:w="120" w:type="dxa"/>
              <w:bottom w:w="35" w:type="dxa"/>
              <w:end w:w="120" w:type="dxa"/>
            </w:tcMar>
          </w:tcPr>
          <w:p>
            <w:pPr>
              <w:spacing w:before="0" w:after="0"/>
            </w:pPr>
            <w:r>
              <w:rPr>
                <w:sz w:val="16"/>
              </w:rPr>
              <w:t>Data processing agreement defining roles, instructions, safeguards and processor obligations.</w:t>
            </w:r>
          </w:p>
        </w:tc>
      </w:tr>
      <w:tr>
        <w:tc>
          <w:tcPr>
            <w:tcW w:type="dxa" w:w="2160"/>
            <w:vAlign w:val="center"/>
            <w:tcMar>
              <w:top w:w="35" w:type="dxa"/>
              <w:start w:w="120" w:type="dxa"/>
              <w:bottom w:w="35" w:type="dxa"/>
              <w:end w:w="120" w:type="dxa"/>
            </w:tcMar>
          </w:tcPr>
          <w:p>
            <w:pPr>
              <w:spacing w:before="0" w:after="0"/>
            </w:pPr>
            <w:r>
              <w:rPr>
                <w:sz w:val="16"/>
              </w:rPr>
              <w:t>MCP</w:t>
            </w:r>
          </w:p>
        </w:tc>
        <w:tc>
          <w:tcPr>
            <w:tcW w:type="dxa" w:w="7200"/>
            <w:vAlign w:val="center"/>
            <w:tcMar>
              <w:top w:w="35" w:type="dxa"/>
              <w:start w:w="120" w:type="dxa"/>
              <w:bottom w:w="35" w:type="dxa"/>
              <w:end w:w="120" w:type="dxa"/>
            </w:tcMar>
          </w:tcPr>
          <w:p>
            <w:pPr>
              <w:spacing w:before="0" w:after="0"/>
            </w:pPr>
            <w:r>
              <w:rPr>
                <w:sz w:val="16"/>
              </w:rPr>
              <w:t>Model Context Protocol, a protocol for connecting AI hosts to tools, resources and prompts.</w:t>
            </w:r>
          </w:p>
        </w:tc>
      </w:tr>
      <w:tr>
        <w:tc>
          <w:tcPr>
            <w:tcW w:type="dxa" w:w="2160"/>
            <w:vAlign w:val="center"/>
            <w:tcMar>
              <w:top w:w="35" w:type="dxa"/>
              <w:start w:w="120" w:type="dxa"/>
              <w:bottom w:w="35" w:type="dxa"/>
              <w:end w:w="120" w:type="dxa"/>
            </w:tcMar>
          </w:tcPr>
          <w:p>
            <w:pPr>
              <w:spacing w:before="0" w:after="0"/>
            </w:pPr>
            <w:r>
              <w:rPr>
                <w:sz w:val="16"/>
              </w:rPr>
              <w:t>Restricted Mode</w:t>
            </w:r>
          </w:p>
        </w:tc>
        <w:tc>
          <w:tcPr>
            <w:tcW w:type="dxa" w:w="7200"/>
            <w:vAlign w:val="center"/>
            <w:tcMar>
              <w:top w:w="35" w:type="dxa"/>
              <w:start w:w="120" w:type="dxa"/>
              <w:bottom w:w="35" w:type="dxa"/>
              <w:end w:w="120" w:type="dxa"/>
            </w:tcMar>
          </w:tcPr>
          <w:p>
            <w:pPr>
              <w:spacing w:before="0" w:after="0"/>
            </w:pPr>
            <w:r>
              <w:rPr>
                <w:sz w:val="16"/>
              </w:rPr>
              <w:t>VS Code state that limits extension and workspace capabilities until a workspace is trusted.</w:t>
            </w:r>
          </w:p>
        </w:tc>
      </w:tr>
      <w:tr>
        <w:tc>
          <w:tcPr>
            <w:tcW w:type="dxa" w:w="2160"/>
            <w:vAlign w:val="center"/>
            <w:tcMar>
              <w:top w:w="35" w:type="dxa"/>
              <w:start w:w="120" w:type="dxa"/>
              <w:bottom w:w="35" w:type="dxa"/>
              <w:end w:w="120" w:type="dxa"/>
            </w:tcMar>
          </w:tcPr>
          <w:p>
            <w:pPr>
              <w:spacing w:before="0" w:after="0"/>
            </w:pPr>
            <w:r>
              <w:rPr>
                <w:sz w:val="16"/>
              </w:rPr>
              <w:t>SBOM</w:t>
            </w:r>
          </w:p>
        </w:tc>
        <w:tc>
          <w:tcPr>
            <w:tcW w:type="dxa" w:w="7200"/>
            <w:vAlign w:val="center"/>
            <w:tcMar>
              <w:top w:w="35" w:type="dxa"/>
              <w:start w:w="120" w:type="dxa"/>
              <w:bottom w:w="35" w:type="dxa"/>
              <w:end w:w="120" w:type="dxa"/>
            </w:tcMar>
          </w:tcPr>
          <w:p>
            <w:pPr>
              <w:spacing w:before="0" w:after="0"/>
            </w:pPr>
            <w:r>
              <w:rPr>
                <w:sz w:val="16"/>
              </w:rPr>
              <w:t>Software bill of materials identifying components and versions in a software artifact.</w:t>
            </w:r>
          </w:p>
        </w:tc>
      </w:tr>
      <w:tr>
        <w:tc>
          <w:tcPr>
            <w:tcW w:type="dxa" w:w="2160"/>
            <w:vAlign w:val="center"/>
            <w:tcMar>
              <w:top w:w="35" w:type="dxa"/>
              <w:start w:w="120" w:type="dxa"/>
              <w:bottom w:w="35" w:type="dxa"/>
              <w:end w:w="120" w:type="dxa"/>
            </w:tcMar>
          </w:tcPr>
          <w:p>
            <w:pPr>
              <w:spacing w:before="0" w:after="0"/>
            </w:pPr>
            <w:r>
              <w:rPr>
                <w:sz w:val="16"/>
              </w:rPr>
              <w:t>SecretStorage</w:t>
            </w:r>
          </w:p>
        </w:tc>
        <w:tc>
          <w:tcPr>
            <w:tcW w:type="dxa" w:w="7200"/>
            <w:vAlign w:val="center"/>
            <w:tcMar>
              <w:top w:w="35" w:type="dxa"/>
              <w:start w:w="120" w:type="dxa"/>
              <w:bottom w:w="35" w:type="dxa"/>
              <w:end w:w="120" w:type="dxa"/>
            </w:tcMar>
          </w:tcPr>
          <w:p>
            <w:pPr>
              <w:spacing w:before="0" w:after="0"/>
            </w:pPr>
            <w:r>
              <w:rPr>
                <w:sz w:val="16"/>
              </w:rPr>
              <w:t>VS Code encrypted, platform-backed storage for extension secrets that is not synced across machines.</w:t>
            </w:r>
          </w:p>
        </w:tc>
      </w:tr>
      <w:tr>
        <w:tc>
          <w:tcPr>
            <w:tcW w:type="dxa" w:w="2160"/>
            <w:vAlign w:val="center"/>
            <w:tcMar>
              <w:top w:w="35" w:type="dxa"/>
              <w:start w:w="120" w:type="dxa"/>
              <w:bottom w:w="35" w:type="dxa"/>
              <w:end w:w="120" w:type="dxa"/>
            </w:tcMar>
          </w:tcPr>
          <w:p>
            <w:pPr>
              <w:spacing w:before="0" w:after="0"/>
            </w:pPr>
            <w:r>
              <w:rPr>
                <w:sz w:val="16"/>
              </w:rPr>
              <w:t>VSIX</w:t>
            </w:r>
          </w:p>
        </w:tc>
        <w:tc>
          <w:tcPr>
            <w:tcW w:type="dxa" w:w="7200"/>
            <w:vAlign w:val="center"/>
            <w:tcMar>
              <w:top w:w="35" w:type="dxa"/>
              <w:start w:w="120" w:type="dxa"/>
              <w:bottom w:w="35" w:type="dxa"/>
              <w:end w:w="120" w:type="dxa"/>
            </w:tcMar>
          </w:tcPr>
          <w:p>
            <w:pPr>
              <w:spacing w:before="0" w:after="0"/>
            </w:pPr>
            <w:r>
              <w:rPr>
                <w:sz w:val="16"/>
              </w:rPr>
              <w:t>Visual Studio extension archive format used by Visual Studio Code Marketplace packages.</w:t>
            </w:r>
          </w:p>
        </w:tc>
      </w:tr>
    </w:tbl>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PUBLIC | Page </w:t>
    </w: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Augment Code for Visual Studio Code (augment.vscode-augment) | Security assessment | Classification: 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marketplace.visualstudio.com/items?itemName=augment.vscode-augment" TargetMode="External"/><Relationship Id="rId13" Type="http://schemas.openxmlformats.org/officeDocument/2006/relationships/hyperlink" Target="https://docs.augmentcode.com/setup-augment/workspace-indexing" TargetMode="External"/><Relationship Id="rId14" Type="http://schemas.openxmlformats.org/officeDocument/2006/relationships/hyperlink" Target="https://docs.augmentcode.com/setup-augment/mcp" TargetMode="External"/><Relationship Id="rId15" Type="http://schemas.openxmlformats.org/officeDocument/2006/relationships/hyperlink" Target="https://docs.augmentcode.com/cli/permissions" TargetMode="External"/><Relationship Id="rId16" Type="http://schemas.openxmlformats.org/officeDocument/2006/relationships/hyperlink" Target="https://docs.augmentcode.com/setup-augment/network-configuration" TargetMode="External"/><Relationship Id="rId17" Type="http://schemas.openxmlformats.org/officeDocument/2006/relationships/hyperlink" Target="https://www.augmentcode.com/security" TargetMode="External"/><Relationship Id="rId18" Type="http://schemas.openxmlformats.org/officeDocument/2006/relationships/hyperlink" Target="https://www.augmentcode.com/legal/privacy-policy/" TargetMode="External"/><Relationship Id="rId19" Type="http://schemas.openxmlformats.org/officeDocument/2006/relationships/hyperlink" Target="https://www.augmentcode.com/legal" TargetMode="External"/><Relationship Id="rId20" Type="http://schemas.openxmlformats.org/officeDocument/2006/relationships/hyperlink" Target="https://code.visualstudio.com/docs/editing/workspaces/workspace-trust" TargetMode="External"/><Relationship Id="rId21" Type="http://schemas.openxmlformats.org/officeDocument/2006/relationships/hyperlink" Target="https://code.visualstudio.com/api/extension-guides/workspace-trust" TargetMode="External"/><Relationship Id="rId22" Type="http://schemas.openxmlformats.org/officeDocument/2006/relationships/hyperlink" Target="https://code.visualstudio.com/api/references/vscode-api" TargetMode="External"/><Relationship Id="rId23" Type="http://schemas.openxmlformats.org/officeDocument/2006/relationships/hyperlink" Target="https://code.visualstudio.com/api/advanced-topics/remote-extensions" TargetMode="External"/><Relationship Id="rId24" Type="http://schemas.openxmlformats.org/officeDocument/2006/relationships/hyperlink" Target="https://genai.owasp.org/initiatives/agentic-security-initiative/" TargetMode="External"/><Relationship Id="rId25" Type="http://schemas.openxmlformats.org/officeDocument/2006/relationships/hyperlink" Target="https://owasp.org/www-project-mcp-top-10/" TargetMode="External"/><Relationship Id="rId26" Type="http://schemas.openxmlformats.org/officeDocument/2006/relationships/hyperlink" Target="https://atlas.mitre.org/" TargetMode="External"/><Relationship Id="rId27" Type="http://schemas.openxmlformats.org/officeDocument/2006/relationships/hyperlink" Target="https://www.nist.gov/itl/ai-risk-management-framework" TargetMode="External"/><Relationship Id="rId28" Type="http://schemas.openxmlformats.org/officeDocument/2006/relationships/hyperlink" Target="https://nvlpubs.nist.gov/nistpubs/ai/NIST.AI.600-1.pdf" TargetMode="External"/><Relationship Id="rId29" Type="http://schemas.openxmlformats.org/officeDocument/2006/relationships/hyperlink" Target="https://www.ncsc.gov.uk/collection/guidelines-secure-ai-system-development/introduction" TargetMode="External"/><Relationship Id="rId30" Type="http://schemas.openxmlformats.org/officeDocument/2006/relationships/hyperlink" Target="https://ico.org.uk/for-organisations/uk-gdpr-guidance-and-resources/artificial-intelligence/" TargetMode="External"/><Relationship Id="rId31" Type="http://schemas.openxmlformats.org/officeDocument/2006/relationships/hyperlink" Target="https://ico.org.uk/for-organisations/uk-gdpr-guidance-and-resources/international-transfers/" TargetMode="External"/><Relationship Id="rId32" Type="http://schemas.openxmlformats.org/officeDocument/2006/relationships/hyperlink" Target="https://www.fca.org.uk/firms/outsourcing-and-operational-resilience" TargetMode="External"/><Relationship Id="rId33" Type="http://schemas.openxmlformats.org/officeDocument/2006/relationships/hyperlink" Target="https://www.fca.org.uk/firms/operational-resilience/insights-insurance-firms" TargetMode="External"/><Relationship Id="rId34" Type="http://schemas.openxmlformats.org/officeDocument/2006/relationships/hyperlink" Target="https://www.iso.org/standard/27001" TargetMode="External"/><Relationship Id="rId35" Type="http://schemas.openxmlformats.org/officeDocument/2006/relationships/hyperlink" Target="https://code.visualstudio.com/api/references/extension-manif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Augment Code for Visual Studio Code (augment.vscode-augment) security assessment</dc:title>
  <dc:subject>Evidence-led Microsoft IDE extension security assessment</dc:subject>
  <dc:creator>Security Assessment Automation</dc:creator>
  <cp:keywords>security assessment, VS Code, AI, OWASP, privacy</cp:keywords>
  <dc:description>Generated from hash-bound validated stage outputs.</dc:description>
  <cp:lastModifiedBy>Security Assessment Automation</cp:lastModifiedBy>
  <cp:revision>1</cp:revision>
  <dcterms:created xsi:type="dcterms:W3CDTF">2013-12-23T23:15:00Z</dcterms:created>
  <dcterms:modified xsi:type="dcterms:W3CDTF">2013-12-23T23:15:00Z</dcterms:modified>
  <cp:category/>
</cp:coreProperties>
</file>