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0B2545"/>
          <w:sz w:val="48"/>
          <w:lang w:val="en-GB" w:eastAsia="en-GB" w:bidi="en-GB"/>
        </w:rPr>
        <w:t>SonarQube MCP Server (io.github.SonarSource/sonarqube-mcp-server)</w:t>
      </w:r>
    </w:p>
    <w:p>
      <w:pPr>
        <w:widowControl/>
        <w:jc w:val="center"/>
      </w:pPr>
      <w:r>
        <w:rPr>
          <w:i/>
          <w:lang w:val="en-GB" w:eastAsia="en-GB" w:bidi="en-GB"/>
        </w:rPr>
        <w:t>Microsoft IDE AI Extension Security Assessment</w:t>
      </w:r>
    </w:p>
    <w:p>
      <w:pPr>
        <w:pStyle w:val="Heading1"/>
        <w:widowControl/>
      </w:pPr>
      <w:r>
        <w:rPr>
          <w:lang w:val="en-GB" w:eastAsia="en-GB" w:bidi="en-GB"/>
        </w:rPr>
        <w:t>Document Control</w:t>
      </w:r>
    </w:p>
    <w:p>
      <w:pPr>
        <w:pStyle w:val="Caption"/>
        <w:keepLines/>
        <w:widowControl/>
      </w:pPr>
      <w:r>
        <w:rPr>
          <w:b/>
          <w:lang w:val="en-GB" w:eastAsia="en-GB" w:bidi="en-GB"/>
        </w:rPr>
        <w:t>Table 1 — Document control</w:t>
      </w:r>
    </w:p>
    <w:tbl>
      <w:tblPr>
        <w:tblStyle w:val="TableGrid"/>
        <w:tblW w:type="dxa" w:w="9360"/>
        <w:tblLayout w:type="fixed"/>
        <w:tblLook w:firstColumn="1" w:firstRow="1" w:lastColumn="0" w:lastRow="0" w:noHBand="0" w:noVBand="1" w:val="04A0"/>
        <w:tblInd w:w="120" w:type="dxa"/>
      </w:tblPr>
      <w:tblGrid>
        <w:gridCol w:w="1954"/>
        <w:gridCol w:w="7406"/>
      </w:tblGrid>
      <w:tr>
        <w:trPr>
          <w:tblHeader w:val="true"/>
          <w:cantSplit/>
        </w:trPr>
        <w:tc>
          <w:tcPr>
            <w:tcW w:type="dxa" w:w="1954"/>
            <w:shd w:fill="F2F4F7"/>
            <w:vAlign w:val="center"/>
            <w:tcMar>
              <w:top w:w="80" w:type="dxa"/>
              <w:start w:w="120" w:type="dxa"/>
              <w:bottom w:w="80" w:type="dxa"/>
              <w:end w:w="120" w:type="dxa"/>
            </w:tcMar>
          </w:tcPr>
          <w:p>
            <w:r>
              <w:rPr>
                <w:b/>
                <w:sz w:val="16"/>
                <w:lang w:val="en-GB" w:eastAsia="en-GB" w:bidi="en-GB"/>
              </w:rPr>
              <w:t>Field</w:t>
            </w:r>
          </w:p>
        </w:tc>
        <w:tc>
          <w:tcPr>
            <w:tcW w:type="dxa" w:w="7406"/>
            <w:shd w:fill="F2F4F7"/>
            <w:vAlign w:val="center"/>
            <w:tcMar>
              <w:top w:w="80" w:type="dxa"/>
              <w:start w:w="120" w:type="dxa"/>
              <w:bottom w:w="80" w:type="dxa"/>
              <w:end w:w="120" w:type="dxa"/>
            </w:tcMar>
          </w:tcPr>
          <w:p>
            <w:r>
              <w:rPr>
                <w:b/>
                <w:sz w:val="16"/>
                <w:lang w:val="en-GB" w:eastAsia="en-GB" w:bidi="en-GB"/>
              </w:rPr>
              <w:t>Value</w:t>
            </w:r>
          </w:p>
        </w:tc>
      </w:tr>
      <w:tr>
        <w:trPr>
          <w:cantSplit/>
        </w:trPr>
        <w:tc>
          <w:tcPr>
            <w:tcW w:type="dxa" w:w="1954"/>
            <w:vAlign w:val="center"/>
            <w:tcMar>
              <w:top w:w="80" w:type="dxa"/>
              <w:start w:w="120" w:type="dxa"/>
              <w:bottom w:w="80" w:type="dxa"/>
              <w:end w:w="120" w:type="dxa"/>
            </w:tcMar>
          </w:tcPr>
          <w:p>
            <w:r>
              <w:rPr>
                <w:sz w:val="16"/>
                <w:lang w:val="en-GB" w:eastAsia="en-GB" w:bidi="en-GB"/>
              </w:rPr>
              <w:t>Assessment</w:t>
            </w:r>
          </w:p>
        </w:tc>
        <w:tc>
          <w:tcPr>
            <w:tcW w:type="dxa" w:w="7406"/>
            <w:vAlign w:val="center"/>
            <w:tcMar>
              <w:top w:w="80" w:type="dxa"/>
              <w:start w:w="120" w:type="dxa"/>
              <w:bottom w:w="80" w:type="dxa"/>
              <w:end w:w="120" w:type="dxa"/>
            </w:tcMar>
          </w:tcPr>
          <w:p>
            <w:r>
              <w:rPr>
                <w:sz w:val="16"/>
                <w:lang w:val="en-GB" w:eastAsia="en-GB" w:bidi="en-GB"/>
              </w:rPr>
              <w:t>SonarQube MCP Server</w:t>
            </w:r>
          </w:p>
        </w:tc>
      </w:tr>
      <w:tr>
        <w:trPr>
          <w:cantSplit/>
        </w:trPr>
        <w:tc>
          <w:tcPr>
            <w:tcW w:type="dxa" w:w="1954"/>
            <w:vAlign w:val="center"/>
            <w:tcMar>
              <w:top w:w="80" w:type="dxa"/>
              <w:start w:w="120" w:type="dxa"/>
              <w:bottom w:w="80" w:type="dxa"/>
              <w:end w:w="120" w:type="dxa"/>
            </w:tcMar>
          </w:tcPr>
          <w:p>
            <w:r>
              <w:rPr>
                <w:sz w:val="16"/>
                <w:lang w:val="en-GB" w:eastAsia="en-GB" w:bidi="en-GB"/>
              </w:rPr>
              <w:t>Target</w:t>
            </w:r>
          </w:p>
        </w:tc>
        <w:tc>
          <w:tcPr>
            <w:tcW w:type="dxa" w:w="7406"/>
            <w:vAlign w:val="center"/>
            <w:tcMar>
              <w:top w:w="80" w:type="dxa"/>
              <w:start w:w="120" w:type="dxa"/>
              <w:bottom w:w="80" w:type="dxa"/>
              <w:end w:w="120" w:type="dxa"/>
            </w:tcMar>
          </w:tcPr>
          <w:p>
            <w:r>
              <w:rPr>
                <w:sz w:val="16"/>
                <w:lang w:val="en-GB" w:eastAsia="en-GB" w:bidi="en-GB"/>
              </w:rPr>
              <w:t>SonarQube MCP Server (io.github.SonarSource/sonarqube-mcp-server)</w:t>
            </w:r>
          </w:p>
        </w:tc>
      </w:tr>
      <w:tr>
        <w:trPr>
          <w:cantSplit/>
        </w:trPr>
        <w:tc>
          <w:tcPr>
            <w:tcW w:type="dxa" w:w="1954"/>
            <w:vAlign w:val="center"/>
            <w:tcMar>
              <w:top w:w="80" w:type="dxa"/>
              <w:start w:w="120" w:type="dxa"/>
              <w:bottom w:w="80" w:type="dxa"/>
              <w:end w:w="120" w:type="dxa"/>
            </w:tcMar>
          </w:tcPr>
          <w:p>
            <w:r>
              <w:rPr>
                <w:sz w:val="16"/>
                <w:lang w:val="en-GB" w:eastAsia="en-GB" w:bidi="en-GB"/>
              </w:rPr>
              <w:t>Publisher</w:t>
            </w:r>
          </w:p>
        </w:tc>
        <w:tc>
          <w:tcPr>
            <w:tcW w:type="dxa" w:w="7406"/>
            <w:vAlign w:val="center"/>
            <w:tcMar>
              <w:top w:w="80" w:type="dxa"/>
              <w:start w:w="120" w:type="dxa"/>
              <w:bottom w:w="80" w:type="dxa"/>
              <w:end w:w="120" w:type="dxa"/>
            </w:tcMar>
          </w:tcPr>
          <w:p>
            <w:r>
              <w:rPr>
                <w:sz w:val="16"/>
                <w:lang w:val="en-GB" w:eastAsia="en-GB" w:bidi="en-GB"/>
              </w:rPr>
              <w:t>SonarSource</w:t>
            </w:r>
          </w:p>
        </w:tc>
      </w:tr>
      <w:tr>
        <w:trPr>
          <w:cantSplit/>
        </w:trPr>
        <w:tc>
          <w:tcPr>
            <w:tcW w:type="dxa" w:w="1954"/>
            <w:vAlign w:val="center"/>
            <w:tcMar>
              <w:top w:w="80" w:type="dxa"/>
              <w:start w:w="120" w:type="dxa"/>
              <w:bottom w:w="80" w:type="dxa"/>
              <w:end w:w="120" w:type="dxa"/>
            </w:tcMar>
          </w:tcPr>
          <w:p>
            <w:r>
              <w:rPr>
                <w:sz w:val="16"/>
                <w:lang w:val="en-GB" w:eastAsia="en-GB" w:bidi="en-GB"/>
              </w:rPr>
              <w:t>Extension ID</w:t>
            </w:r>
          </w:p>
        </w:tc>
        <w:tc>
          <w:tcPr>
            <w:tcW w:type="dxa" w:w="7406"/>
            <w:vAlign w:val="center"/>
            <w:tcMar>
              <w:top w:w="80" w:type="dxa"/>
              <w:start w:w="120" w:type="dxa"/>
              <w:bottom w:w="80" w:type="dxa"/>
              <w:end w:w="120" w:type="dxa"/>
            </w:tcMar>
          </w:tcPr>
          <w:p>
            <w:r>
              <w:rPr>
                <w:sz w:val="16"/>
                <w:lang w:val="en-GB" w:eastAsia="en-GB" w:bidi="en-GB"/>
              </w:rPr>
              <w:t>io.github.sonarsource.sonarqube-mcp-server</w:t>
            </w:r>
          </w:p>
        </w:tc>
      </w:tr>
      <w:tr>
        <w:trPr>
          <w:cantSplit/>
        </w:trPr>
        <w:tc>
          <w:tcPr>
            <w:tcW w:type="dxa" w:w="1954"/>
            <w:vAlign w:val="center"/>
            <w:tcMar>
              <w:top w:w="80" w:type="dxa"/>
              <w:start w:w="120" w:type="dxa"/>
              <w:bottom w:w="80" w:type="dxa"/>
              <w:end w:w="120" w:type="dxa"/>
            </w:tcMar>
          </w:tcPr>
          <w:p>
            <w:r>
              <w:rPr>
                <w:sz w:val="16"/>
                <w:lang w:val="en-GB" w:eastAsia="en-GB" w:bidi="en-GB"/>
              </w:rPr>
              <w:t>Version</w:t>
            </w:r>
          </w:p>
        </w:tc>
        <w:tc>
          <w:tcPr>
            <w:tcW w:type="dxa" w:w="7406"/>
            <w:vAlign w:val="center"/>
            <w:tcMar>
              <w:top w:w="80" w:type="dxa"/>
              <w:start w:w="120" w:type="dxa"/>
              <w:bottom w:w="80" w:type="dxa"/>
              <w:end w:w="120" w:type="dxa"/>
            </w:tcMar>
          </w:tcPr>
          <w:p>
            <w:r>
              <w:rPr>
                <w:sz w:val="16"/>
                <w:lang w:val="en-GB" w:eastAsia="en-GB" w:bidi="en-GB"/>
              </w:rPr>
              <w:t>1.24.0.3152</w:t>
            </w:r>
          </w:p>
        </w:tc>
      </w:tr>
      <w:tr>
        <w:trPr>
          <w:cantSplit/>
        </w:trPr>
        <w:tc>
          <w:tcPr>
            <w:tcW w:type="dxa" w:w="1954"/>
            <w:vAlign w:val="center"/>
            <w:tcMar>
              <w:top w:w="80" w:type="dxa"/>
              <w:start w:w="120" w:type="dxa"/>
              <w:bottom w:w="80" w:type="dxa"/>
              <w:end w:w="120" w:type="dxa"/>
            </w:tcMar>
          </w:tcPr>
          <w:p>
            <w:r>
              <w:rPr>
                <w:sz w:val="16"/>
                <w:lang w:val="en-GB" w:eastAsia="en-GB" w:bidi="en-GB"/>
              </w:rPr>
              <w:t>Run key</w:t>
            </w:r>
          </w:p>
        </w:tc>
        <w:tc>
          <w:tcPr>
            <w:tcW w:type="dxa" w:w="7406"/>
            <w:vAlign w:val="center"/>
            <w:tcMar>
              <w:top w:w="80" w:type="dxa"/>
              <w:start w:w="120" w:type="dxa"/>
              <w:bottom w:w="80" w:type="dxa"/>
              <w:end w:w="120" w:type="dxa"/>
            </w:tcMar>
          </w:tcPr>
          <w:p>
            <w:r>
              <w:rPr>
                <w:sz w:val="16"/>
                <w:lang w:val="en-GB" w:eastAsia="en-GB" w:bidi="en-GB"/>
              </w:rPr>
              <w:t>2026-08-05-v1.2</w:t>
            </w:r>
          </w:p>
        </w:tc>
      </w:tr>
      <w:tr>
        <w:trPr>
          <w:cantSplit/>
        </w:trPr>
        <w:tc>
          <w:tcPr>
            <w:tcW w:type="dxa" w:w="1954"/>
            <w:vAlign w:val="center"/>
            <w:tcMar>
              <w:top w:w="80" w:type="dxa"/>
              <w:start w:w="120" w:type="dxa"/>
              <w:bottom w:w="80" w:type="dxa"/>
              <w:end w:w="120" w:type="dxa"/>
            </w:tcMar>
          </w:tcPr>
          <w:p>
            <w:r>
              <w:rPr>
                <w:sz w:val="16"/>
                <w:lang w:val="en-GB" w:eastAsia="en-GB" w:bidi="en-GB"/>
              </w:rPr>
              <w:t>Distribution</w:t>
            </w:r>
          </w:p>
        </w:tc>
        <w:tc>
          <w:tcPr>
            <w:tcW w:type="dxa" w:w="7406"/>
            <w:vAlign w:val="center"/>
            <w:tcMar>
              <w:top w:w="80" w:type="dxa"/>
              <w:start w:w="120" w:type="dxa"/>
              <w:bottom w:w="80" w:type="dxa"/>
              <w:end w:w="120" w:type="dxa"/>
            </w:tcMar>
          </w:tcPr>
          <w:p>
            <w:r>
              <w:rPr>
                <w:sz w:val="16"/>
                <w:lang w:val="en-GB" w:eastAsia="en-GB" w:bidi="en-GB"/>
              </w:rPr>
              <w:t>Public distribution</w:t>
            </w:r>
          </w:p>
        </w:tc>
      </w:tr>
      <w:tr>
        <w:trPr>
          <w:cantSplit/>
        </w:trPr>
        <w:tc>
          <w:tcPr>
            <w:tcW w:type="dxa" w:w="1954"/>
            <w:vAlign w:val="center"/>
            <w:tcMar>
              <w:top w:w="80" w:type="dxa"/>
              <w:start w:w="120" w:type="dxa"/>
              <w:bottom w:w="80" w:type="dxa"/>
              <w:end w:w="120" w:type="dxa"/>
            </w:tcMar>
          </w:tcPr>
          <w:p>
            <w:r>
              <w:rPr>
                <w:sz w:val="16"/>
                <w:lang w:val="en-GB" w:eastAsia="en-GB" w:bidi="en-GB"/>
              </w:rPr>
              <w:t>Decision</w:t>
            </w:r>
          </w:p>
        </w:tc>
        <w:tc>
          <w:tcPr>
            <w:tcW w:type="dxa" w:w="7406"/>
            <w:vAlign w:val="center"/>
            <w:tcMar>
              <w:top w:w="80" w:type="dxa"/>
              <w:start w:w="120" w:type="dxa"/>
              <w:bottom w:w="80" w:type="dxa"/>
              <w:end w:w="120" w:type="dxa"/>
            </w:tcMar>
          </w:tcPr>
          <w:p>
            <w:r>
              <w:rPr>
                <w:sz w:val="16"/>
                <w:lang w:val="en-GB" w:eastAsia="en-GB" w:bidi="en-GB"/>
              </w:rPr>
              <w:t>Defer pending evidence</w:t>
            </w:r>
          </w:p>
        </w:tc>
      </w:tr>
    </w:tbl>
    <w:p>
      <w:pPr>
        <w:widowControl/>
      </w:pPr>
    </w:p>
    <w:p>
      <w:pPr>
        <w:pStyle w:val="Heading1"/>
        <w:widowControl/>
      </w:pPr>
      <w:r>
        <w:rPr>
          <w:lang w:val="en-GB" w:eastAsia="en-GB" w:bidi="en-GB"/>
        </w:rPr>
        <w:t>Revision History</w:t>
      </w:r>
    </w:p>
    <w:p>
      <w:pPr>
        <w:pStyle w:val="Caption"/>
        <w:keepLines/>
        <w:widowControl/>
      </w:pPr>
      <w:r>
        <w:rPr>
          <w:b/>
          <w:lang w:val="en-GB" w:eastAsia="en-GB" w:bidi="en-GB"/>
        </w:rPr>
        <w:t>Table 2 — Revision history</w:t>
      </w:r>
    </w:p>
    <w:tbl>
      <w:tblPr>
        <w:tblStyle w:val="TableGrid"/>
        <w:tblW w:type="dxa" w:w="9360"/>
        <w:tblLayout w:type="fixed"/>
        <w:tblLook w:firstColumn="1" w:firstRow="1" w:lastColumn="0" w:lastRow="0" w:noHBand="0" w:noVBand="1" w:val="04A0"/>
        <w:tblInd w:w="120" w:type="dxa"/>
      </w:tblPr>
      <w:tblGrid>
        <w:gridCol w:w="1671"/>
        <w:gridCol w:w="1314"/>
        <w:gridCol w:w="1314"/>
        <w:gridCol w:w="5061"/>
      </w:tblGrid>
      <w:tr>
        <w:trPr>
          <w:tblHeader w:val="true"/>
          <w:cantSplit/>
        </w:trPr>
        <w:tc>
          <w:tcPr>
            <w:tcW w:type="dxa" w:w="1671"/>
            <w:shd w:fill="F2F4F7"/>
            <w:vAlign w:val="center"/>
            <w:tcMar>
              <w:top w:w="80" w:type="dxa"/>
              <w:start w:w="120" w:type="dxa"/>
              <w:bottom w:w="80" w:type="dxa"/>
              <w:end w:w="120" w:type="dxa"/>
            </w:tcMar>
          </w:tcPr>
          <w:p>
            <w:r>
              <w:rPr>
                <w:b/>
                <w:sz w:val="16"/>
                <w:lang w:val="en-GB" w:eastAsia="en-GB" w:bidi="en-GB"/>
              </w:rPr>
              <w:t>Document version</w:t>
            </w:r>
          </w:p>
        </w:tc>
        <w:tc>
          <w:tcPr>
            <w:tcW w:type="dxa" w:w="1314"/>
            <w:shd w:fill="F2F4F7"/>
            <w:vAlign w:val="center"/>
            <w:tcMar>
              <w:top w:w="80" w:type="dxa"/>
              <w:start w:w="120" w:type="dxa"/>
              <w:bottom w:w="80" w:type="dxa"/>
              <w:end w:w="120" w:type="dxa"/>
            </w:tcMar>
          </w:tcPr>
          <w:p>
            <w:r>
              <w:rPr>
                <w:b/>
                <w:sz w:val="16"/>
                <w:lang w:val="en-GB" w:eastAsia="en-GB" w:bidi="en-GB"/>
              </w:rPr>
              <w:t>Date</w:t>
            </w:r>
          </w:p>
        </w:tc>
        <w:tc>
          <w:tcPr>
            <w:tcW w:type="dxa" w:w="1314"/>
            <w:shd w:fill="F2F4F7"/>
            <w:vAlign w:val="center"/>
            <w:tcMar>
              <w:top w:w="80" w:type="dxa"/>
              <w:start w:w="120" w:type="dxa"/>
              <w:bottom w:w="80" w:type="dxa"/>
              <w:end w:w="120" w:type="dxa"/>
            </w:tcMar>
          </w:tcPr>
          <w:p>
            <w:r>
              <w:rPr>
                <w:b/>
                <w:sz w:val="16"/>
                <w:lang w:val="en-GB" w:eastAsia="en-GB" w:bidi="en-GB"/>
              </w:rPr>
              <w:t>Status</w:t>
            </w:r>
          </w:p>
        </w:tc>
        <w:tc>
          <w:tcPr>
            <w:tcW w:type="dxa" w:w="5061"/>
            <w:shd w:fill="F2F4F7"/>
            <w:vAlign w:val="center"/>
            <w:tcMar>
              <w:top w:w="80" w:type="dxa"/>
              <w:start w:w="120" w:type="dxa"/>
              <w:bottom w:w="80" w:type="dxa"/>
              <w:end w:w="120" w:type="dxa"/>
            </w:tcMar>
          </w:tcPr>
          <w:p>
            <w:r>
              <w:rPr>
                <w:b/>
                <w:sz w:val="16"/>
                <w:lang w:val="en-GB" w:eastAsia="en-GB" w:bidi="en-GB"/>
              </w:rPr>
              <w:t>Change</w:t>
            </w:r>
          </w:p>
        </w:tc>
      </w:tr>
      <w:tr>
        <w:trPr>
          <w:cantSplit/>
        </w:trPr>
        <w:tc>
          <w:tcPr>
            <w:tcW w:type="dxa" w:w="1671"/>
            <w:vAlign w:val="center"/>
            <w:tcMar>
              <w:top w:w="80" w:type="dxa"/>
              <w:start w:w="120" w:type="dxa"/>
              <w:bottom w:w="80" w:type="dxa"/>
              <w:end w:w="120" w:type="dxa"/>
            </w:tcMar>
          </w:tcPr>
          <w:p>
            <w:r>
              <w:rPr>
                <w:sz w:val="16"/>
                <w:lang w:val="en-GB" w:eastAsia="en-GB" w:bidi="en-GB"/>
              </w:rPr>
              <w:t>1.0</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Superseded</w:t>
            </w:r>
          </w:p>
        </w:tc>
        <w:tc>
          <w:tcPr>
            <w:tcW w:type="dxa" w:w="5061"/>
            <w:vAlign w:val="center"/>
            <w:tcMar>
              <w:top w:w="80" w:type="dxa"/>
              <w:start w:w="120" w:type="dxa"/>
              <w:bottom w:w="80" w:type="dxa"/>
              <w:end w:w="120" w:type="dxa"/>
            </w:tcMar>
          </w:tcPr>
          <w:p>
            <w:r>
              <w:rPr>
                <w:sz w:val="16"/>
                <w:lang w:val="en-GB" w:eastAsia="en-GB" w:bidi="en-GB"/>
              </w:rPr>
              <w:t>Initial assessment candidate.</w:t>
            </w:r>
          </w:p>
        </w:tc>
      </w:tr>
      <w:tr>
        <w:trPr>
          <w:cantSplit/>
        </w:trPr>
        <w:tc>
          <w:tcPr>
            <w:tcW w:type="dxa" w:w="1671"/>
            <w:vAlign w:val="center"/>
            <w:tcMar>
              <w:top w:w="80" w:type="dxa"/>
              <w:start w:w="120" w:type="dxa"/>
              <w:bottom w:w="80" w:type="dxa"/>
              <w:end w:w="120" w:type="dxa"/>
            </w:tcMar>
          </w:tcPr>
          <w:p>
            <w:r>
              <w:rPr>
                <w:sz w:val="16"/>
                <w:lang w:val="en-GB" w:eastAsia="en-GB" w:bidi="en-GB"/>
              </w:rPr>
              <w:t>1.1</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Superseded</w:t>
            </w:r>
          </w:p>
        </w:tc>
        <w:tc>
          <w:tcPr>
            <w:tcW w:type="dxa" w:w="5061"/>
            <w:vAlign w:val="center"/>
            <w:tcMar>
              <w:top w:w="80" w:type="dxa"/>
              <w:start w:w="120" w:type="dxa"/>
              <w:bottom w:w="80" w:type="dxa"/>
              <w:end w:w="120" w:type="dxa"/>
            </w:tcMar>
          </w:tcPr>
          <w:p>
            <w:r>
              <w:rPr>
                <w:sz w:val="16"/>
                <w:lang w:val="en-GB" w:eastAsia="en-GB" w:bidi="en-GB"/>
              </w:rPr>
              <w:t>Correct Figure 1 and pagination; apply en-GB and the named author.</w:t>
            </w:r>
          </w:p>
        </w:tc>
      </w:tr>
      <w:tr>
        <w:trPr>
          <w:cantSplit/>
        </w:trPr>
        <w:tc>
          <w:tcPr>
            <w:tcW w:type="dxa" w:w="1671"/>
            <w:vAlign w:val="center"/>
            <w:tcMar>
              <w:top w:w="80" w:type="dxa"/>
              <w:start w:w="120" w:type="dxa"/>
              <w:bottom w:w="80" w:type="dxa"/>
              <w:end w:w="120" w:type="dxa"/>
            </w:tcMar>
          </w:tcPr>
          <w:p>
            <w:r>
              <w:rPr>
                <w:sz w:val="16"/>
                <w:lang w:val="en-GB" w:eastAsia="en-GB" w:bidi="en-GB"/>
              </w:rPr>
              <w:t>1.2</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Candidate</w:t>
            </w:r>
          </w:p>
        </w:tc>
        <w:tc>
          <w:tcPr>
            <w:tcW w:type="dxa" w:w="5061"/>
            <w:vAlign w:val="center"/>
            <w:tcMar>
              <w:top w:w="80" w:type="dxa"/>
              <w:start w:w="120" w:type="dxa"/>
              <w:bottom w:w="80" w:type="dxa"/>
              <w:end w:w="120" w:type="dxa"/>
            </w:tcMar>
          </w:tcPr>
          <w:p>
            <w:r>
              <w:rPr>
                <w:sz w:val="16"/>
                <w:lang w:val="en-GB" w:eastAsia="en-GB" w:bidi="en-GB"/>
              </w:rPr>
              <w:t>Use the generic report author required by the current publication policy.</w:t>
            </w:r>
          </w:p>
        </w:tc>
      </w:tr>
    </w:tbl>
    <w:p>
      <w:pPr>
        <w:widowControl/>
      </w:pPr>
    </w:p>
    <w:p>
      <w:pPr>
        <w:widowControl/>
      </w:pPr>
      <w:r>
        <w:rPr>
          <w:lang w:val="en-GB" w:eastAsia="en-GB" w:bidi="en-GB"/>
        </w:rPr>
        <w:br w:type="page"/>
      </w:r>
    </w:p>
    <w:p>
      <w:pPr>
        <w:pStyle w:val="TOCHeading"/>
        <w:widowControl/>
      </w:pPr>
      <w:r>
        <w:rPr>
          <w:lang w:val="en-GB" w:eastAsia="en-GB" w:bidi="en-GB"/>
        </w:rPr>
        <w:t>Contents</w:t>
      </w:r>
    </w:p>
    <w:p>
      <w:pPr>
        <w:widowControl/>
      </w:pPr>
      <w:fldSimple w:instr="TOC \o &quot;1-3&quot; \h \z \u" w:dirty="true"/>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rPr>
          <w:lang w:val="en-GB" w:eastAsia="en-GB" w:bidi="en-GB"/>
        </w:rPr>
        <w:t>Executive Summary</w:t>
      </w:r>
    </w:p>
    <w:p>
      <w:pPr>
        <w:widowControl/>
      </w:pPr>
      <w:r>
        <w:rPr>
          <w:lang w:val="en-GB" w:eastAsia="en-GB" w:bidi="en-GB"/>
        </w:rPr>
        <w:t>Decision: Defer pending evidence. Overall residual risk: High. This assessment is scoped to VS Code, Visual Studio version 1.24.0.3152 and is based on the evidence state and limitations recorded below.</w:t>
      </w:r>
    </w:p>
    <w:p>
      <w:pPr>
        <w:pStyle w:val="ListBullet"/>
        <w:widowControl/>
      </w:pPr>
      <w:r>
        <w:rPr>
          <w:lang w:val="en-GB" w:eastAsia="en-GB" w:bidi="en-GB"/>
        </w:rPr>
        <w:t xml:space="preserve">The product is first-party SonarSource software, but it is an MCP server configured by compatible clients; it is not a first-party VS Code or Visual Studio extension. VS Code is documented, while a full Visual Studio integration was not established. </w:t>
      </w:r>
      <w:hyperlink w:anchor="REF_001">
        <w:r>
          <w:rPr>
            <w:rStyle w:val="Hyperlink"/>
            <w:lang w:val="en-GB" w:eastAsia="en-GB" w:bidi="en-GB"/>
          </w:rPr>
          <w:t>REF-001</w:t>
        </w:r>
      </w:hyperlink>
      <w:r>
        <w:rPr>
          <w:lang w:val="en-GB" w:eastAsia="en-GB" w:bidi="en-GB"/>
        </w:rPr>
        <w:t xml:space="preserve"> </w:t>
      </w:r>
      <w:hyperlink w:anchor="REF_003">
        <w:r>
          <w:rPr>
            <w:rStyle w:val="Hyperlink"/>
            <w:lang w:val="en-GB" w:eastAsia="en-GB" w:bidi="en-GB"/>
          </w:rPr>
          <w:t>REF-003</w:t>
        </w:r>
      </w:hyperlink>
    </w:p>
    <w:p>
      <w:pPr>
        <w:pStyle w:val="ListBullet"/>
        <w:widowControl/>
      </w:pPr>
      <w:r>
        <w:rPr>
          <w:lang w:val="en-GB" w:eastAsia="en-GB" w:bidi="en-GB"/>
        </w:rPr>
        <w:t xml:space="preserve">Defer production and regulated-data approval for version 1.24.0.3152 because high-impact analyzer-loading and current runtime-dependency risks remain, and representative IDE, CAG and multi-user HTTP evidence is incomplete. </w:t>
      </w:r>
      <w:hyperlink w:anchor="REF_008">
        <w:r>
          <w:rPr>
            <w:rStyle w:val="Hyperlink"/>
            <w:lang w:val="en-GB" w:eastAsia="en-GB" w:bidi="en-GB"/>
          </w:rPr>
          <w:t>REF-008</w:t>
        </w:r>
      </w:hyperlink>
      <w:r>
        <w:rPr>
          <w:lang w:val="en-GB" w:eastAsia="en-GB" w:bidi="en-GB"/>
        </w:rPr>
        <w:t xml:space="preserve"> </w:t>
      </w:r>
      <w:hyperlink w:anchor="REF_009">
        <w:r>
          <w:rPr>
            <w:rStyle w:val="Hyperlink"/>
            <w:lang w:val="en-GB" w:eastAsia="en-GB" w:bidi="en-GB"/>
          </w:rPr>
          <w:t>REF-009</w:t>
        </w:r>
      </w:hyperlink>
      <w:r>
        <w:rPr>
          <w:lang w:val="en-GB" w:eastAsia="en-GB" w:bidi="en-GB"/>
        </w:rPr>
        <w:t xml:space="preserve"> </w:t>
      </w:r>
      <w:hyperlink w:anchor="REF_010">
        <w:r>
          <w:rPr>
            <w:rStyle w:val="Hyperlink"/>
            <w:lang w:val="en-GB" w:eastAsia="en-GB" w:bidi="en-GB"/>
          </w:rPr>
          <w:t>REF-010</w:t>
        </w:r>
      </w:hyperlink>
    </w:p>
    <w:p>
      <w:pPr>
        <w:pStyle w:val="ListBullet"/>
        <w:widowControl/>
      </w:pPr>
      <w:r>
        <w:rPr>
          <w:lang w:val="en-GB" w:eastAsia="en-GB" w:bidi="en-GB"/>
        </w:rPr>
        <w:t xml:space="preserve">For a controlled VS Code pilot, use only docker.io/sonarsource/sonarqube-mcp pinned to the approved manifest digest; do not treat the mcp/sonarqube quick-install alias or a mutable tag as first-party provenance. </w:t>
      </w:r>
      <w:hyperlink w:anchor="REF_005">
        <w:r>
          <w:rPr>
            <w:rStyle w:val="Hyperlink"/>
            <w:lang w:val="en-GB" w:eastAsia="en-GB" w:bidi="en-GB"/>
          </w:rPr>
          <w:t>REF-005</w:t>
        </w:r>
      </w:hyperlink>
      <w:r>
        <w:rPr>
          <w:lang w:val="en-GB" w:eastAsia="en-GB" w:bidi="en-GB"/>
        </w:rPr>
        <w:t xml:space="preserve"> </w:t>
      </w:r>
      <w:hyperlink w:anchor="REF_006">
        <w:r>
          <w:rPr>
            <w:rStyle w:val="Hyperlink"/>
            <w:lang w:val="en-GB" w:eastAsia="en-GB" w:bidi="en-GB"/>
          </w:rPr>
          <w:t>REF-006</w:t>
        </w:r>
      </w:hyperlink>
    </w:p>
    <w:p>
      <w:pPr>
        <w:pStyle w:val="ListBullet"/>
        <w:widowControl/>
      </w:pPr>
      <w:r>
        <w:rPr>
          <w:lang w:val="en-GB" w:eastAsia="en-GB" w:bidi="en-GB"/>
        </w:rPr>
        <w:t xml:space="preserve">Enable server-level SONARQUBE_READ_ONLY=true, explicitly narrow SONARQUBE_TOOLSETS, use a purpose-limited user token, keep telemetry disabled until privacy terms are approved, and prevent project files from supplying credentials. </w:t>
      </w:r>
      <w:hyperlink w:anchor="REF_004">
        <w:r>
          <w:rPr>
            <w:rStyle w:val="Hyperlink"/>
            <w:lang w:val="en-GB" w:eastAsia="en-GB" w:bidi="en-GB"/>
          </w:rPr>
          <w:t>REF-004</w:t>
        </w:r>
      </w:hyperlink>
      <w:r>
        <w:rPr>
          <w:lang w:val="en-GB" w:eastAsia="en-GB" w:bidi="en-GB"/>
        </w:rPr>
        <w:t xml:space="preserve"> </w:t>
      </w:r>
      <w:hyperlink w:anchor="REF_011">
        <w:r>
          <w:rPr>
            <w:rStyle w:val="Hyperlink"/>
            <w:lang w:val="en-GB" w:eastAsia="en-GB" w:bidi="en-GB"/>
          </w:rPr>
          <w:t>REF-011</w:t>
        </w:r>
      </w:hyperlink>
      <w:r>
        <w:rPr>
          <w:lang w:val="en-GB" w:eastAsia="en-GB" w:bidi="en-GB"/>
        </w:rPr>
        <w:t xml:space="preserve"> </w:t>
      </w:r>
      <w:hyperlink w:anchor="REF_012">
        <w:r>
          <w:rPr>
            <w:rStyle w:val="Hyperlink"/>
            <w:lang w:val="en-GB" w:eastAsia="en-GB" w:bidi="en-GB"/>
          </w:rPr>
          <w:t>REF-012</w:t>
        </w:r>
      </w:hyperlink>
    </w:p>
    <w:p>
      <w:pPr>
        <w:pStyle w:val="ListBullet"/>
        <w:widowControl/>
      </w:pPr>
      <w:r>
        <w:rPr>
          <w:lang w:val="en-GB" w:eastAsia="en-GB" w:bidi="en-GB"/>
        </w:rPr>
        <w:t xml:space="preserve">Require SonarSource to fix analyzer download verification, clear the CAG child environment, authenticate native build inputs, bound telemetry work, isolate HTTP tenant state and accurately annotate mutating tools before broad deployment. </w:t>
      </w:r>
      <w:hyperlink w:anchor="REF_011">
        <w:r>
          <w:rPr>
            <w:rStyle w:val="Hyperlink"/>
            <w:lang w:val="en-GB" w:eastAsia="en-GB" w:bidi="en-GB"/>
          </w:rPr>
          <w:t>REF-011</w:t>
        </w:r>
      </w:hyperlink>
      <w:r>
        <w:rPr>
          <w:lang w:val="en-GB" w:eastAsia="en-GB" w:bidi="en-GB"/>
        </w:rPr>
        <w:t xml:space="preserve"> </w:t>
      </w:r>
      <w:hyperlink w:anchor="REF_012">
        <w:r>
          <w:rPr>
            <w:rStyle w:val="Hyperlink"/>
            <w:lang w:val="en-GB" w:eastAsia="en-GB" w:bidi="en-GB"/>
          </w:rPr>
          <w:t>REF-012</w:t>
        </w:r>
      </w:hyperlink>
      <w:r>
        <w:rPr>
          <w:lang w:val="en-GB" w:eastAsia="en-GB" w:bidi="en-GB"/>
        </w:rPr>
        <w:t xml:space="preserve"> </w:t>
      </w:r>
      <w:hyperlink w:anchor="REF_013">
        <w:r>
          <w:rPr>
            <w:rStyle w:val="Hyperlink"/>
            <w:lang w:val="en-GB" w:eastAsia="en-GB" w:bidi="en-GB"/>
          </w:rPr>
          <w:t>REF-013</w:t>
        </w:r>
      </w:hyperlink>
    </w:p>
    <w:p>
      <w:pPr>
        <w:pStyle w:val="ListBullet"/>
        <w:widowControl/>
      </w:pPr>
      <w:r>
        <w:rPr>
          <w:lang w:val="en-GB" w:eastAsia="en-GB" w:bidi="en-GB"/>
        </w:rPr>
        <w:t xml:space="preserve">Upgrade both Jackson 2 and Jackson 3 runtime lines to fixed releases and provide a package-specific SBOM/VEX or reachability analysis. The shaded JAR prevents complete independent library attribution. </w:t>
      </w:r>
      <w:hyperlink w:anchor="REF_008">
        <w:r>
          <w:rPr>
            <w:rStyle w:val="Hyperlink"/>
            <w:lang w:val="en-GB" w:eastAsia="en-GB" w:bidi="en-GB"/>
          </w:rPr>
          <w:t>REF-008</w:t>
        </w:r>
      </w:hyperlink>
      <w:r>
        <w:rPr>
          <w:lang w:val="en-GB" w:eastAsia="en-GB" w:bidi="en-GB"/>
        </w:rPr>
        <w:t xml:space="preserve"> </w:t>
      </w:r>
      <w:hyperlink w:anchor="REF_009">
        <w:r>
          <w:rPr>
            <w:rStyle w:val="Hyperlink"/>
            <w:lang w:val="en-GB" w:eastAsia="en-GB" w:bidi="en-GB"/>
          </w:rPr>
          <w:t>REF-009</w:t>
        </w:r>
      </w:hyperlink>
      <w:r>
        <w:rPr>
          <w:lang w:val="en-GB" w:eastAsia="en-GB" w:bidi="en-GB"/>
        </w:rPr>
        <w:t xml:space="preserve"> </w:t>
      </w:r>
      <w:hyperlink w:anchor="REF_010">
        <w:r>
          <w:rPr>
            <w:rStyle w:val="Hyperlink"/>
            <w:lang w:val="en-GB" w:eastAsia="en-GB" w:bidi="en-GB"/>
          </w:rPr>
          <w:t>REF-010</w:t>
        </w:r>
      </w:hyperlink>
    </w:p>
    <w:p>
      <w:pPr>
        <w:pStyle w:val="ListBullet"/>
        <w:widowControl/>
      </w:pPr>
      <w:r>
        <w:rPr>
          <w:lang w:val="en-GB" w:eastAsia="en-GB" w:bidi="en-GB"/>
        </w:rPr>
        <w:t>Retain the refreshed zero-detection malware results as positive evidence only. They do not override the code, dependency, provenance, privacy or runtime findings and do not classify the product as safe by themselves.</w:t>
      </w:r>
    </w:p>
    <w:p>
      <w:pPr>
        <w:pStyle w:val="Heading2"/>
        <w:widowControl/>
      </w:pPr>
      <w:r>
        <w:rPr>
          <w:lang w:val="en-GB" w:eastAsia="en-GB" w:bidi="en-GB"/>
        </w:rPr>
        <w:t>Approval Conditions and Immediate Actions</w:t>
      </w:r>
    </w:p>
    <w:p>
      <w:pPr>
        <w:pStyle w:val="ListNumber"/>
        <w:widowControl/>
      </w:pPr>
      <w:r>
        <w:rPr>
          <w:lang w:val="en-GB" w:eastAsia="en-GB" w:bidi="en-GB"/>
        </w:rPr>
        <w:t>Pin the direct SonarSource image to the approved multi-architecture digest and verify the embedded JAR digest before deployment.</w:t>
      </w:r>
    </w:p>
    <w:p>
      <w:pPr>
        <w:pStyle w:val="ListNumber"/>
        <w:widowControl/>
      </w:pPr>
      <w:r>
        <w:rPr>
          <w:lang w:val="en-GB" w:eastAsia="en-GB" w:bidi="en-GB"/>
        </w:rPr>
        <w:t>Do not use the mcp/sonarqube catalogue alias unless SonarSource supplies a verifiable first-party ownership and build chain for the exact bytes.</w:t>
      </w:r>
    </w:p>
    <w:p>
      <w:pPr>
        <w:pStyle w:val="ListNumber"/>
        <w:widowControl/>
      </w:pPr>
      <w:r>
        <w:rPr>
          <w:lang w:val="en-GB" w:eastAsia="en-GB" w:bidi="en-GB"/>
        </w:rPr>
        <w:t>Enable server-level read-only mode and permit only the minimum required toolsets; require separate approved exceptions for every write capability.</w:t>
      </w:r>
    </w:p>
    <w:p>
      <w:pPr>
        <w:pStyle w:val="ListNumber"/>
        <w:widowControl/>
      </w:pPr>
      <w:r>
        <w:rPr>
          <w:lang w:val="en-GB" w:eastAsia="en-GB" w:bidi="en-GB"/>
        </w:rPr>
        <w:t>Use a purpose-limited SonarQube user token stored outside repository configuration, rotate it on exposure and prohibit globally privileged or production administrator credentials.</w:t>
      </w:r>
    </w:p>
    <w:p>
      <w:pPr>
        <w:pStyle w:val="ListNumber"/>
        <w:widowControl/>
      </w:pPr>
      <w:r>
        <w:rPr>
          <w:lang w:val="en-GB" w:eastAsia="en-GB" w:bidi="en-GB"/>
        </w:rPr>
        <w:t>Patch Jackson 2.x and 3.x runtime components to fixed versions and provide SBOM plus VEX/reachability evidence for every remaining advisory.</w:t>
      </w:r>
    </w:p>
    <w:p>
      <w:pPr>
        <w:pStyle w:val="ListNumber"/>
        <w:widowControl/>
      </w:pPr>
      <w:r>
        <w:rPr>
          <w:lang w:val="en-GB" w:eastAsia="en-GB" w:bidi="en-GB"/>
        </w:rPr>
        <w:t>Reject missing, blank or malformed analyzer hashes before download; verify strong independently authenticated digests or signatures before atomic installation and load.</w:t>
      </w:r>
    </w:p>
    <w:p>
      <w:pPr>
        <w:pStyle w:val="ListNumber"/>
        <w:widowControl/>
      </w:pPr>
      <w:r>
        <w:rPr>
          <w:lang w:val="en-GB" w:eastAsia="en-GB" w:bidi="en-GB"/>
        </w:rPr>
        <w:t>Require HTTPS and approved SonarQube endpoint allowlists; prohibit unexpected redirects and plaintext exceptions without documented compensating controls.</w:t>
      </w:r>
    </w:p>
    <w:p>
      <w:pPr>
        <w:pStyle w:val="ListNumber"/>
        <w:widowControl/>
      </w:pPr>
      <w:r>
        <w:rPr>
          <w:lang w:val="en-GB" w:eastAsia="en-GB" w:bidi="en-GB"/>
        </w:rPr>
        <w:t>Clear the CAG child environment before adding a minimal allowlist, use an absolute verified executable path and isolate the native process from the primary token and workspace.</w:t>
      </w:r>
    </w:p>
    <w:p>
      <w:pPr>
        <w:pStyle w:val="ListNumber"/>
        <w:widowControl/>
      </w:pPr>
      <w:r>
        <w:rPr>
          <w:lang w:val="en-GB" w:eastAsia="en-GB" w:bidi="en-GB"/>
        </w:rPr>
        <w:t>Publish signed checksums for CAG archives, pin base images and repositories, and promote the same tested OCI digest rather than rebuilding for publication.</w:t>
      </w:r>
    </w:p>
    <w:p>
      <w:pPr>
        <w:pStyle w:val="ListNumber"/>
        <w:widowControl/>
      </w:pPr>
      <w:r>
        <w:rPr>
          <w:lang w:val="en-GB" w:eastAsia="en-GB" w:bidi="en-GB"/>
        </w:rPr>
        <w:t>Bound telemetry queues, network deadlines and request rates; never retain a token-bearing API client in asynchronous analytics state.</w:t>
      </w:r>
    </w:p>
    <w:p>
      <w:pPr>
        <w:pStyle w:val="ListNumber"/>
        <w:widowControl/>
      </w:pPr>
      <w:r>
        <w:rPr>
          <w:lang w:val="en-GB" w:eastAsia="en-GB" w:bidi="en-GB"/>
        </w:rPr>
        <w:t>Isolate or serialize HTTP local-analysis state per tenant and await rule and file lifecycle updates before returning results.</w:t>
      </w:r>
    </w:p>
    <w:p>
      <w:pPr>
        <w:pStyle w:val="ListNumber"/>
        <w:widowControl/>
      </w:pPr>
      <w:r>
        <w:rPr>
          <w:lang w:val="en-GB" w:eastAsia="en-GB" w:bidi="en-GB"/>
        </w:rPr>
        <w:t>Authenticate and enforce Origin and Host before any local file read; limit reads to regular files within approved roots and enforce byte/time limits.</w:t>
      </w:r>
    </w:p>
    <w:p>
      <w:pPr>
        <w:pStyle w:val="ListNumber"/>
        <w:widowControl/>
      </w:pPr>
      <w:r>
        <w:rPr>
          <w:lang w:val="en-GB" w:eastAsia="en-GB" w:bidi="en-GB"/>
        </w:rPr>
        <w:t>Correct MCP annotations for all mutating tools and require meaningful just-in-time user confirmation for security-governance state changes.</w:t>
      </w:r>
    </w:p>
    <w:p>
      <w:pPr>
        <w:pStyle w:val="ListNumber"/>
        <w:widowControl/>
      </w:pPr>
      <w:r>
        <w:rPr>
          <w:lang w:val="en-GB" w:eastAsia="en-GB" w:bidi="en-GB"/>
        </w:rPr>
        <w:t>Complete an enterprise DPA/DPIA and transfer, retention, deletion, subprocessor, incident and rights assessment before enabling telemetry or regulated data.</w:t>
      </w:r>
    </w:p>
    <w:p>
      <w:pPr>
        <w:pStyle w:val="ListNumber"/>
        <w:widowControl/>
      </w:pPr>
      <w:r>
        <w:rPr>
          <w:lang w:val="en-GB" w:eastAsia="en-GB" w:bidi="en-GB"/>
        </w:rPr>
        <w:t>Run the full VS Code, CAG, HTTP multi-user, real synthetic Sonar tenant, update, disable, uninstall and residue matrix and independently assess any future Visual Studio product.</w:t>
      </w:r>
    </w:p>
    <w:p>
      <w:pPr>
        <w:pStyle w:val="Heading2"/>
        <w:keepNext/>
        <w:pageBreakBefore/>
        <w:widowControl/>
      </w:pPr>
      <w:r>
        <w:rPr>
          <w:lang w:val="en-GB" w:eastAsia="en-GB" w:bidi="en-GB"/>
        </w:rPr>
        <w:t>Architecture and Trust-Boundary Figure</w:t>
      </w:r>
    </w:p>
    <w:p>
      <w:pPr>
        <w:keepNext/>
        <w:widowControl/>
      </w:pPr>
      <w:r>
        <w:rPr>
          <w:lang w:val="en-GB" w:eastAsia="en-GB" w:bidi="en-GB"/>
        </w:rPr>
        <w:drawing>
          <wp:inline xmlns:a="http://schemas.openxmlformats.org/drawingml/2006/main" xmlns:pic="http://schemas.openxmlformats.org/drawingml/2006/picture">
            <wp:extent cx="5943600" cy="3632200"/>
            <wp:docPr id="1" name="SonarQube MCP Server trust boundaries and principal data flows" title="SonarQube MCP Server trust boundaries and principal data flows" descr="Diagram showing the developer and VS Code MCP client connected to the SonarQube MCP Server, which accesses a local workspace, SonarQube API, downloaded analyzers, a native CAG subprocess, telemetry, and artifact registri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2200"/>
                    </a:xfrm>
                    <a:prstGeom prst="rect"/>
                  </pic:spPr>
                </pic:pic>
              </a:graphicData>
            </a:graphic>
          </wp:inline>
        </w:drawing>
      </w:r>
    </w:p>
    <w:p>
      <w:pPr>
        <w:pStyle w:val="Caption"/>
        <w:keepLines/>
        <w:widowControl/>
      </w:pPr>
      <w:r>
        <w:rPr>
          <w:lang w:val="en-GB" w:eastAsia="en-GB" w:bidi="en-GB"/>
        </w:rPr>
        <w:t>Figure 1 — SonarQube MCP Server trust boundaries and principal data flows</w:t>
      </w:r>
    </w:p>
    <w:p>
      <w:pPr>
        <w:pStyle w:val="Heading1"/>
        <w:widowControl/>
      </w:pPr>
      <w:r>
        <w:rPr>
          <w:lang w:val="en-GB" w:eastAsia="en-GB" w:bidi="en-GB"/>
        </w:rPr>
        <w:t>Executive Summary</w:t>
      </w:r>
    </w:p>
    <w:p>
      <w:pPr>
        <w:widowControl/>
      </w:pPr>
      <w:r>
        <w:rPr>
          <w:lang w:val="en-GB" w:eastAsia="en-GB" w:bidi="en-GB"/>
        </w:rPr>
        <w:t>SonarQube MCP Server 1.24.0.3152 is confirmed first-party SonarSource software and the signed JAR, official source commit and direct OCI image were bound by hashes. This is an MCP server that can be configured in VS Code and other compatible hosts; it is not a standalone first-party VS Code extension and no first-party Microsoft Visual Studio product was established. The decision is Defer pending evidence with High overall residual risk, not a malware classification.</w:t>
      </w:r>
    </w:p>
    <w:p>
      <w:pPr>
        <w:widowControl/>
      </w:pPr>
      <w:r>
        <w:rPr>
          <w:lang w:val="en-GB" w:eastAsia="en-GB" w:bidi="en-GB"/>
        </w:rPr>
        <w:t>Positive evidence includes a verified release signature, matching image/JAR/CAG hashes, refreshed zero-detection malware scans, schema rejection and effective server-level read-only filtering in an isolated run. Material concerns remain in analyzer authenticity, vulnerable runtime dependencies, native subprocess isolation, HTTP concurrency, telemetry resource handling, tool annotations and mutable distribution guidance. Production, regulated, confidential and operationally critical use should remain denied until P1 conditions close.</w:t>
      </w:r>
    </w:p>
    <w:p>
      <w:pPr>
        <w:pStyle w:val="Caption"/>
        <w:keepLines/>
        <w:widowControl/>
      </w:pPr>
      <w:r>
        <w:rPr>
          <w:b/>
          <w:lang w:val="en-GB" w:eastAsia="en-GB" w:bidi="en-GB"/>
        </w:rPr>
        <w:t>Executive Summary evidence summary</w:t>
      </w:r>
    </w:p>
    <w:tbl>
      <w:tblPr>
        <w:tblStyle w:val="TableGrid"/>
        <w:tblW w:type="dxa" w:w="9360"/>
        <w:tblLayout w:type="fixed"/>
        <w:tblLook w:firstColumn="1" w:firstRow="1" w:lastColumn="0" w:lastRow="0" w:noHBand="0" w:noVBand="1" w:val="04A0"/>
        <w:tblInd w:w="120" w:type="dxa"/>
      </w:tblPr>
      <w:tblGrid>
        <w:gridCol w:w="1451"/>
        <w:gridCol w:w="4601"/>
        <w:gridCol w:w="3308"/>
      </w:tblGrid>
      <w:tr>
        <w:trPr>
          <w:tblHeader w:val="true"/>
          <w:cantSplit/>
        </w:trPr>
        <w:tc>
          <w:tcPr>
            <w:tcW w:type="dxa" w:w="1451"/>
            <w:shd w:fill="F2F4F7"/>
            <w:vAlign w:val="center"/>
            <w:tcMar>
              <w:top w:w="80" w:type="dxa"/>
              <w:start w:w="120" w:type="dxa"/>
              <w:bottom w:w="80" w:type="dxa"/>
              <w:end w:w="120" w:type="dxa"/>
            </w:tcMar>
          </w:tcPr>
          <w:p>
            <w:r>
              <w:rPr>
                <w:b/>
                <w:sz w:val="16"/>
                <w:lang w:val="en-GB" w:eastAsia="en-GB" w:bidi="en-GB"/>
              </w:rPr>
              <w:t>Evidence area</w:t>
            </w:r>
          </w:p>
        </w:tc>
        <w:tc>
          <w:tcPr>
            <w:tcW w:type="dxa" w:w="4601"/>
            <w:shd w:fill="F2F4F7"/>
            <w:vAlign w:val="center"/>
            <w:tcMar>
              <w:top w:w="80" w:type="dxa"/>
              <w:start w:w="120" w:type="dxa"/>
              <w:bottom w:w="80" w:type="dxa"/>
              <w:end w:w="120" w:type="dxa"/>
            </w:tcMar>
          </w:tcPr>
          <w:p>
            <w:r>
              <w:rPr>
                <w:b/>
                <w:sz w:val="16"/>
                <w:lang w:val="en-GB" w:eastAsia="en-GB" w:bidi="en-GB"/>
              </w:rPr>
              <w:t>Assessment result</w:t>
            </w:r>
          </w:p>
        </w:tc>
        <w:tc>
          <w:tcPr>
            <w:tcW w:type="dxa" w:w="330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451"/>
            <w:vAlign w:val="center"/>
            <w:tcMar>
              <w:top w:w="80" w:type="dxa"/>
              <w:start w:w="120" w:type="dxa"/>
              <w:bottom w:w="80" w:type="dxa"/>
              <w:end w:w="120" w:type="dxa"/>
            </w:tcMar>
          </w:tcPr>
          <w:p>
            <w:r>
              <w:rPr>
                <w:sz w:val="16"/>
                <w:lang w:val="en-GB" w:eastAsia="en-GB" w:bidi="en-GB"/>
              </w:rPr>
              <w:t>Identity</w:t>
            </w:r>
          </w:p>
        </w:tc>
        <w:tc>
          <w:tcPr>
            <w:tcW w:type="dxa" w:w="4601"/>
            <w:vAlign w:val="center"/>
            <w:tcMar>
              <w:top w:w="80" w:type="dxa"/>
              <w:start w:w="120" w:type="dxa"/>
              <w:bottom w:w="80" w:type="dxa"/>
              <w:end w:w="120" w:type="dxa"/>
            </w:tcMar>
          </w:tcPr>
          <w:p>
            <w:r>
              <w:rPr>
                <w:sz w:val="16"/>
                <w:lang w:val="en-GB" w:eastAsia="en-GB" w:bidi="en-GB"/>
              </w:rPr>
              <w:t>First-party server; VS Code documented; Visual Studio not established</w:t>
            </w:r>
          </w:p>
        </w:tc>
        <w:tc>
          <w:tcPr>
            <w:tcW w:type="dxa" w:w="3308"/>
            <w:vAlign w:val="center"/>
            <w:tcMar>
              <w:top w:w="80" w:type="dxa"/>
              <w:start w:w="120" w:type="dxa"/>
              <w:bottom w:w="80" w:type="dxa"/>
              <w:end w:w="120" w:type="dxa"/>
            </w:tcMar>
          </w:tcPr>
          <w:p>
            <w:r>
              <w:rPr>
                <w:sz w:val="16"/>
                <w:lang w:val="en-GB" w:eastAsia="en-GB" w:bidi="en-GB"/>
              </w:rPr>
              <w:t>Use direct publisher-controlled artifacts only</w:t>
            </w:r>
          </w:p>
        </w:tc>
      </w:tr>
      <w:tr>
        <w:trPr>
          <w:cantSplit/>
        </w:trPr>
        <w:tc>
          <w:tcPr>
            <w:tcW w:type="dxa" w:w="1451"/>
            <w:vAlign w:val="center"/>
            <w:tcMar>
              <w:top w:w="80" w:type="dxa"/>
              <w:start w:w="120" w:type="dxa"/>
              <w:bottom w:w="80" w:type="dxa"/>
              <w:end w:w="120" w:type="dxa"/>
            </w:tcMar>
          </w:tcPr>
          <w:p>
            <w:r>
              <w:rPr>
                <w:sz w:val="16"/>
                <w:lang w:val="en-GB" w:eastAsia="en-GB" w:bidi="en-GB"/>
              </w:rPr>
              <w:t>Decision</w:t>
            </w:r>
          </w:p>
        </w:tc>
        <w:tc>
          <w:tcPr>
            <w:tcW w:type="dxa" w:w="4601"/>
            <w:vAlign w:val="center"/>
            <w:tcMar>
              <w:top w:w="80" w:type="dxa"/>
              <w:start w:w="120" w:type="dxa"/>
              <w:bottom w:w="80" w:type="dxa"/>
              <w:end w:w="120" w:type="dxa"/>
            </w:tcMar>
          </w:tcPr>
          <w:p>
            <w:r>
              <w:rPr>
                <w:sz w:val="16"/>
                <w:lang w:val="en-GB" w:eastAsia="en-GB" w:bidi="en-GB"/>
              </w:rPr>
              <w:t>Defer pending evidence; High residual risk</w:t>
            </w:r>
          </w:p>
        </w:tc>
        <w:tc>
          <w:tcPr>
            <w:tcW w:type="dxa" w:w="3308"/>
            <w:vAlign w:val="center"/>
            <w:tcMar>
              <w:top w:w="80" w:type="dxa"/>
              <w:start w:w="120" w:type="dxa"/>
              <w:bottom w:w="80" w:type="dxa"/>
              <w:end w:w="120" w:type="dxa"/>
            </w:tcMar>
          </w:tcPr>
          <w:p>
            <w:r>
              <w:rPr>
                <w:sz w:val="16"/>
                <w:lang w:val="en-GB" w:eastAsia="en-GB" w:bidi="en-GB"/>
              </w:rPr>
              <w:t>Close P1 findings and runtime gaps</w:t>
            </w:r>
          </w:p>
        </w:tc>
      </w:tr>
      <w:tr>
        <w:trPr>
          <w:cantSplit/>
        </w:trPr>
        <w:tc>
          <w:tcPr>
            <w:tcW w:type="dxa" w:w="1451"/>
            <w:vAlign w:val="center"/>
            <w:tcMar>
              <w:top w:w="80" w:type="dxa"/>
              <w:start w:w="120" w:type="dxa"/>
              <w:bottom w:w="80" w:type="dxa"/>
              <w:end w:w="120" w:type="dxa"/>
            </w:tcMar>
          </w:tcPr>
          <w:p>
            <w:r>
              <w:rPr>
                <w:sz w:val="16"/>
                <w:lang w:val="en-GB" w:eastAsia="en-GB" w:bidi="en-GB"/>
              </w:rPr>
              <w:t>Malware</w:t>
            </w:r>
          </w:p>
        </w:tc>
        <w:tc>
          <w:tcPr>
            <w:tcW w:type="dxa" w:w="4601"/>
            <w:vAlign w:val="center"/>
            <w:tcMar>
              <w:top w:w="80" w:type="dxa"/>
              <w:start w:w="120" w:type="dxa"/>
              <w:bottom w:w="80" w:type="dxa"/>
              <w:end w:w="120" w:type="dxa"/>
            </w:tcMar>
          </w:tcPr>
          <w:p>
            <w:r>
              <w:rPr>
                <w:sz w:val="16"/>
                <w:lang w:val="en-GB" w:eastAsia="en-GB" w:bidi="en-GB"/>
              </w:rPr>
              <w:t>No known-malware detection</w:t>
            </w:r>
          </w:p>
        </w:tc>
        <w:tc>
          <w:tcPr>
            <w:tcW w:type="dxa" w:w="3308"/>
            <w:vAlign w:val="center"/>
            <w:tcMar>
              <w:top w:w="80" w:type="dxa"/>
              <w:start w:w="120" w:type="dxa"/>
              <w:bottom w:w="80" w:type="dxa"/>
              <w:end w:w="120" w:type="dxa"/>
            </w:tcMar>
          </w:tcPr>
          <w:p>
            <w:r>
              <w:rPr>
                <w:sz w:val="16"/>
                <w:lang w:val="en-GB" w:eastAsia="en-GB" w:bidi="en-GB"/>
              </w:rPr>
              <w:t>Do not treat no-detection as approval</w:t>
            </w:r>
          </w:p>
        </w:tc>
      </w:tr>
    </w:tbl>
    <w:p>
      <w:pPr>
        <w:widowControl/>
      </w:pPr>
    </w:p>
    <w:p>
      <w:pPr>
        <w:pStyle w:val="Heading1"/>
        <w:widowControl/>
      </w:pPr>
      <w:r>
        <w:rPr>
          <w:lang w:val="en-GB" w:eastAsia="en-GB" w:bidi="en-GB"/>
        </w:rPr>
        <w:t>Purpose &amp; Function Overview</w:t>
      </w:r>
    </w:p>
    <w:p>
      <w:pPr>
        <w:widowControl/>
      </w:pPr>
      <w:r>
        <w:rPr>
          <w:lang w:val="en-GB" w:eastAsia="en-GB" w:bidi="en-GB"/>
        </w:rPr>
        <w:t>SonarQube MCP Server connects an MCP-compatible AI host to SonarQube Cloud or SonarQube Server functions. It lets the host discover projects, inspect issues, security hotspots, measures, quality gates, rules, coverage, branches and pull requests, and—when enabled—change selected SonarQube state. Local analysis can read workspace files and load analyzers; the optional native CAG component can augment repository context. The server therefore combines model-directed agency, a user token, local code access and external API authority.</w:t>
      </w:r>
    </w:p>
    <w:p>
      <w:pPr>
        <w:widowControl/>
      </w:pPr>
      <w:r>
        <w:rPr>
          <w:lang w:val="en-GB" w:eastAsia="en-GB" w:bidi="en-GB"/>
        </w:rPr>
        <w:t>The business purpose is to bring code-quality and security-analysis context into developer workflows. This report determines whether the exact first-party release can be considered for a Large UK Insurance environment and whether VS Code or Microsoft Visual Studio is supported. It is not a functional endorsement or a claim that every tool is unsafe. The assessment tests provenance, least privilege, consent, dependency, privacy and operational evidence needed to make a controlled risk decision.</w:t>
      </w:r>
    </w:p>
    <w:p>
      <w:pPr>
        <w:pStyle w:val="Caption"/>
        <w:keepLines/>
        <w:widowControl/>
      </w:pPr>
      <w:r>
        <w:rPr>
          <w:b/>
          <w:lang w:val="en-GB" w:eastAsia="en-GB" w:bidi="en-GB"/>
        </w:rPr>
        <w:t>Purpose &amp; Function Overview evidence summary</w:t>
      </w:r>
    </w:p>
    <w:tbl>
      <w:tblPr>
        <w:tblStyle w:val="TableGrid"/>
        <w:tblW w:type="dxa" w:w="9360"/>
        <w:tblLayout w:type="fixed"/>
        <w:tblLook w:firstColumn="1" w:firstRow="1" w:lastColumn="0" w:lastRow="0" w:noHBand="0" w:noVBand="1" w:val="04A0"/>
        <w:tblInd w:w="120" w:type="dxa"/>
      </w:tblPr>
      <w:tblGrid>
        <w:gridCol w:w="1629"/>
        <w:gridCol w:w="3936"/>
        <w:gridCol w:w="3795"/>
      </w:tblGrid>
      <w:tr>
        <w:trPr>
          <w:tblHeader w:val="true"/>
          <w:cantSplit/>
        </w:trPr>
        <w:tc>
          <w:tcPr>
            <w:tcW w:type="dxa" w:w="1629"/>
            <w:shd w:fill="F2F4F7"/>
            <w:vAlign w:val="center"/>
            <w:tcMar>
              <w:top w:w="80" w:type="dxa"/>
              <w:start w:w="120" w:type="dxa"/>
              <w:bottom w:w="80" w:type="dxa"/>
              <w:end w:w="120" w:type="dxa"/>
            </w:tcMar>
          </w:tcPr>
          <w:p>
            <w:r>
              <w:rPr>
                <w:b/>
                <w:sz w:val="16"/>
                <w:lang w:val="en-GB" w:eastAsia="en-GB" w:bidi="en-GB"/>
              </w:rPr>
              <w:t>Evidence area</w:t>
            </w:r>
          </w:p>
        </w:tc>
        <w:tc>
          <w:tcPr>
            <w:tcW w:type="dxa" w:w="3936"/>
            <w:shd w:fill="F2F4F7"/>
            <w:vAlign w:val="center"/>
            <w:tcMar>
              <w:top w:w="80" w:type="dxa"/>
              <w:start w:w="120" w:type="dxa"/>
              <w:bottom w:w="80" w:type="dxa"/>
              <w:end w:w="120" w:type="dxa"/>
            </w:tcMar>
          </w:tcPr>
          <w:p>
            <w:r>
              <w:rPr>
                <w:b/>
                <w:sz w:val="16"/>
                <w:lang w:val="en-GB" w:eastAsia="en-GB" w:bidi="en-GB"/>
              </w:rPr>
              <w:t>Assessment result</w:t>
            </w:r>
          </w:p>
        </w:tc>
        <w:tc>
          <w:tcPr>
            <w:tcW w:type="dxa" w:w="379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29"/>
            <w:vAlign w:val="center"/>
            <w:tcMar>
              <w:top w:w="80" w:type="dxa"/>
              <w:start w:w="120" w:type="dxa"/>
              <w:bottom w:w="80" w:type="dxa"/>
              <w:end w:w="120" w:type="dxa"/>
            </w:tcMar>
          </w:tcPr>
          <w:p>
            <w:r>
              <w:rPr>
                <w:sz w:val="16"/>
                <w:lang w:val="en-GB" w:eastAsia="en-GB" w:bidi="en-GB"/>
              </w:rPr>
              <w:t>Function</w:t>
            </w:r>
          </w:p>
        </w:tc>
        <w:tc>
          <w:tcPr>
            <w:tcW w:type="dxa" w:w="3936"/>
            <w:vAlign w:val="center"/>
            <w:tcMar>
              <w:top w:w="80" w:type="dxa"/>
              <w:start w:w="120" w:type="dxa"/>
              <w:bottom w:w="80" w:type="dxa"/>
              <w:end w:w="120" w:type="dxa"/>
            </w:tcMar>
          </w:tcPr>
          <w:p>
            <w:r>
              <w:rPr>
                <w:sz w:val="16"/>
                <w:lang w:val="en-GB" w:eastAsia="en-GB" w:bidi="en-GB"/>
              </w:rPr>
              <w:t>MCP bridge to SonarQube and local analysis</w:t>
            </w:r>
          </w:p>
        </w:tc>
        <w:tc>
          <w:tcPr>
            <w:tcW w:type="dxa" w:w="3795"/>
            <w:vAlign w:val="center"/>
            <w:tcMar>
              <w:top w:w="80" w:type="dxa"/>
              <w:start w:w="120" w:type="dxa"/>
              <w:bottom w:w="80" w:type="dxa"/>
              <w:end w:w="120" w:type="dxa"/>
            </w:tcMar>
          </w:tcPr>
          <w:p>
            <w:r>
              <w:rPr>
                <w:sz w:val="16"/>
                <w:lang w:val="en-GB" w:eastAsia="en-GB" w:bidi="en-GB"/>
              </w:rPr>
              <w:t>Restrict to approved business purposes</w:t>
            </w:r>
          </w:p>
        </w:tc>
      </w:tr>
      <w:tr>
        <w:trPr>
          <w:cantSplit/>
        </w:trPr>
        <w:tc>
          <w:tcPr>
            <w:tcW w:type="dxa" w:w="1629"/>
            <w:vAlign w:val="center"/>
            <w:tcMar>
              <w:top w:w="80" w:type="dxa"/>
              <w:start w:w="120" w:type="dxa"/>
              <w:bottom w:w="80" w:type="dxa"/>
              <w:end w:w="120" w:type="dxa"/>
            </w:tcMar>
          </w:tcPr>
          <w:p>
            <w:r>
              <w:rPr>
                <w:sz w:val="16"/>
                <w:lang w:val="en-GB" w:eastAsia="en-GB" w:bidi="en-GB"/>
              </w:rPr>
              <w:t>Authority</w:t>
            </w:r>
          </w:p>
        </w:tc>
        <w:tc>
          <w:tcPr>
            <w:tcW w:type="dxa" w:w="3936"/>
            <w:vAlign w:val="center"/>
            <w:tcMar>
              <w:top w:w="80" w:type="dxa"/>
              <w:start w:w="120" w:type="dxa"/>
              <w:bottom w:w="80" w:type="dxa"/>
              <w:end w:w="120" w:type="dxa"/>
            </w:tcMar>
          </w:tcPr>
          <w:p>
            <w:r>
              <w:rPr>
                <w:sz w:val="16"/>
                <w:lang w:val="en-GB" w:eastAsia="en-GB" w:bidi="en-GB"/>
              </w:rPr>
              <w:t>Token, workspace and mutation capabilities</w:t>
            </w:r>
          </w:p>
        </w:tc>
        <w:tc>
          <w:tcPr>
            <w:tcW w:type="dxa" w:w="3795"/>
            <w:vAlign w:val="center"/>
            <w:tcMar>
              <w:top w:w="80" w:type="dxa"/>
              <w:start w:w="120" w:type="dxa"/>
              <w:bottom w:w="80" w:type="dxa"/>
              <w:end w:w="120" w:type="dxa"/>
            </w:tcMar>
          </w:tcPr>
          <w:p>
            <w:r>
              <w:rPr>
                <w:sz w:val="16"/>
                <w:lang w:val="en-GB" w:eastAsia="en-GB" w:bidi="en-GB"/>
              </w:rPr>
              <w:t>Apply least privilege and human confirmation</w:t>
            </w:r>
          </w:p>
        </w:tc>
      </w:tr>
      <w:tr>
        <w:trPr>
          <w:cantSplit/>
        </w:trPr>
        <w:tc>
          <w:tcPr>
            <w:tcW w:type="dxa" w:w="1629"/>
            <w:vAlign w:val="center"/>
            <w:tcMar>
              <w:top w:w="80" w:type="dxa"/>
              <w:start w:w="120" w:type="dxa"/>
              <w:bottom w:w="80" w:type="dxa"/>
              <w:end w:w="120" w:type="dxa"/>
            </w:tcMar>
          </w:tcPr>
          <w:p>
            <w:r>
              <w:rPr>
                <w:sz w:val="16"/>
                <w:lang w:val="en-GB" w:eastAsia="en-GB" w:bidi="en-GB"/>
              </w:rPr>
              <w:t>IDE form</w:t>
            </w:r>
          </w:p>
        </w:tc>
        <w:tc>
          <w:tcPr>
            <w:tcW w:type="dxa" w:w="3936"/>
            <w:vAlign w:val="center"/>
            <w:tcMar>
              <w:top w:w="80" w:type="dxa"/>
              <w:start w:w="120" w:type="dxa"/>
              <w:bottom w:w="80" w:type="dxa"/>
              <w:end w:w="120" w:type="dxa"/>
            </w:tcMar>
          </w:tcPr>
          <w:p>
            <w:r>
              <w:rPr>
                <w:sz w:val="16"/>
                <w:lang w:val="en-GB" w:eastAsia="en-GB" w:bidi="en-GB"/>
              </w:rPr>
              <w:t>Server configuration rather than IDE extension</w:t>
            </w:r>
          </w:p>
        </w:tc>
        <w:tc>
          <w:tcPr>
            <w:tcW w:type="dxa" w:w="3795"/>
            <w:vAlign w:val="center"/>
            <w:tcMar>
              <w:top w:w="80" w:type="dxa"/>
              <w:start w:w="120" w:type="dxa"/>
              <w:bottom w:w="80" w:type="dxa"/>
              <w:end w:w="120" w:type="dxa"/>
            </w:tcMar>
          </w:tcPr>
          <w:p>
            <w:r>
              <w:rPr>
                <w:sz w:val="16"/>
                <w:lang w:val="en-GB" w:eastAsia="en-GB" w:bidi="en-GB"/>
              </w:rPr>
              <w:t>Maintain correct product identity</w:t>
            </w:r>
          </w:p>
        </w:tc>
      </w:tr>
    </w:tbl>
    <w:p>
      <w:pPr>
        <w:widowControl/>
      </w:pPr>
    </w:p>
    <w:p>
      <w:pPr>
        <w:pStyle w:val="Heading1"/>
        <w:widowControl/>
      </w:pPr>
      <w:r>
        <w:rPr>
          <w:lang w:val="en-GB" w:eastAsia="en-GB" w:bidi="en-GB"/>
        </w:rPr>
        <w:t>Scope, Assumptions &amp; Methodology</w:t>
      </w:r>
    </w:p>
    <w:p>
      <w:pPr>
        <w:widowControl/>
      </w:pPr>
      <w:r>
        <w:rPr>
          <w:lang w:val="en-GB" w:eastAsia="en-GB" w:bidi="en-GB"/>
        </w:rPr>
        <w:t>The assessed target is the exact GitHub release, commit, signed JAR and first-party multi-architecture container identified in the evidence register. The enterprise context is a Large UK Insurance organisation. Static analysis, malware review, privacy review and safe runtime analysis were selected. Standing authority covered non-destructive work in disposable, least-privilege conditions with synthetic data and no production credentials.</w:t>
      </w:r>
    </w:p>
    <w:p>
      <w:pPr>
        <w:widowControl/>
      </w:pPr>
      <w:r>
        <w:rPr>
          <w:lang w:val="en-GB" w:eastAsia="en-GB" w:bidi="en-GB"/>
        </w:rPr>
        <w:t>Excluded activities were production access, real accounts or customer data, destructive testing, unrestricted callbacks, CAG invocation, exploit publication and service-side tenant testing. The assessment covers both VS Code and Visual Studio reporting parts: VS Code is a documented client path; full Visual Studio is unsupported or not observed. A future differently named extension, catalogue alias, community fork or changed digest requires a separate identity-bound assessment.</w:t>
      </w:r>
    </w:p>
    <w:p>
      <w:pPr>
        <w:pStyle w:val="Caption"/>
        <w:keepLines/>
        <w:widowControl/>
      </w:pPr>
      <w:r>
        <w:rPr>
          <w:b/>
          <w:lang w:val="en-GB" w:eastAsia="en-GB" w:bidi="en-GB"/>
        </w:rPr>
        <w:t>Scope, Assumptions &amp; Methodology evidence summary</w:t>
      </w:r>
    </w:p>
    <w:tbl>
      <w:tblPr>
        <w:tblStyle w:val="TableGrid"/>
        <w:tblW w:type="dxa" w:w="9360"/>
        <w:tblLayout w:type="fixed"/>
        <w:tblLook w:firstColumn="1" w:firstRow="1" w:lastColumn="0" w:lastRow="0" w:noHBand="0" w:noVBand="1" w:val="04A0"/>
        <w:tblInd w:w="120" w:type="dxa"/>
      </w:tblPr>
      <w:tblGrid>
        <w:gridCol w:w="1481"/>
        <w:gridCol w:w="3764"/>
        <w:gridCol w:w="4115"/>
      </w:tblGrid>
      <w:tr>
        <w:trPr>
          <w:tblHeader w:val="true"/>
          <w:cantSplit/>
        </w:trPr>
        <w:tc>
          <w:tcPr>
            <w:tcW w:type="dxa" w:w="1481"/>
            <w:shd w:fill="F2F4F7"/>
            <w:vAlign w:val="center"/>
            <w:tcMar>
              <w:top w:w="80" w:type="dxa"/>
              <w:start w:w="120" w:type="dxa"/>
              <w:bottom w:w="80" w:type="dxa"/>
              <w:end w:w="120" w:type="dxa"/>
            </w:tcMar>
          </w:tcPr>
          <w:p>
            <w:r>
              <w:rPr>
                <w:b/>
                <w:sz w:val="16"/>
                <w:lang w:val="en-GB" w:eastAsia="en-GB" w:bidi="en-GB"/>
              </w:rPr>
              <w:t>Evidence area</w:t>
            </w:r>
          </w:p>
        </w:tc>
        <w:tc>
          <w:tcPr>
            <w:tcW w:type="dxa" w:w="3764"/>
            <w:shd w:fill="F2F4F7"/>
            <w:vAlign w:val="center"/>
            <w:tcMar>
              <w:top w:w="80" w:type="dxa"/>
              <w:start w:w="120" w:type="dxa"/>
              <w:bottom w:w="80" w:type="dxa"/>
              <w:end w:w="120" w:type="dxa"/>
            </w:tcMar>
          </w:tcPr>
          <w:p>
            <w:r>
              <w:rPr>
                <w:b/>
                <w:sz w:val="16"/>
                <w:lang w:val="en-GB" w:eastAsia="en-GB" w:bidi="en-GB"/>
              </w:rPr>
              <w:t>Assessment result</w:t>
            </w:r>
          </w:p>
        </w:tc>
        <w:tc>
          <w:tcPr>
            <w:tcW w:type="dxa" w:w="411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481"/>
            <w:vAlign w:val="center"/>
            <w:tcMar>
              <w:top w:w="80" w:type="dxa"/>
              <w:start w:w="120" w:type="dxa"/>
              <w:bottom w:w="80" w:type="dxa"/>
              <w:end w:w="120" w:type="dxa"/>
            </w:tcMar>
          </w:tcPr>
          <w:p>
            <w:r>
              <w:rPr>
                <w:sz w:val="16"/>
                <w:lang w:val="en-GB" w:eastAsia="en-GB" w:bidi="en-GB"/>
              </w:rPr>
              <w:t>In scope</w:t>
            </w:r>
          </w:p>
        </w:tc>
        <w:tc>
          <w:tcPr>
            <w:tcW w:type="dxa" w:w="3764"/>
            <w:vAlign w:val="center"/>
            <w:tcMar>
              <w:top w:w="80" w:type="dxa"/>
              <w:start w:w="120" w:type="dxa"/>
              <w:bottom w:w="80" w:type="dxa"/>
              <w:end w:w="120" w:type="dxa"/>
            </w:tcMar>
          </w:tcPr>
          <w:p>
            <w:r>
              <w:rPr>
                <w:sz w:val="16"/>
                <w:lang w:val="en-GB" w:eastAsia="en-GB" w:bidi="en-GB"/>
              </w:rPr>
              <w:t>Release 1.24.0.3152 and direct SonarSource artifacts</w:t>
            </w:r>
          </w:p>
        </w:tc>
        <w:tc>
          <w:tcPr>
            <w:tcW w:type="dxa" w:w="4115"/>
            <w:vAlign w:val="center"/>
            <w:tcMar>
              <w:top w:w="80" w:type="dxa"/>
              <w:start w:w="120" w:type="dxa"/>
              <w:bottom w:w="80" w:type="dxa"/>
              <w:end w:w="120" w:type="dxa"/>
            </w:tcMar>
          </w:tcPr>
          <w:p>
            <w:r>
              <w:rPr>
                <w:sz w:val="16"/>
                <w:lang w:val="en-GB" w:eastAsia="en-GB" w:bidi="en-GB"/>
              </w:rPr>
              <w:t>Reassess on any digest/version change</w:t>
            </w:r>
          </w:p>
        </w:tc>
      </w:tr>
      <w:tr>
        <w:trPr>
          <w:cantSplit/>
        </w:trPr>
        <w:tc>
          <w:tcPr>
            <w:tcW w:type="dxa" w:w="1481"/>
            <w:vAlign w:val="center"/>
            <w:tcMar>
              <w:top w:w="80" w:type="dxa"/>
              <w:start w:w="120" w:type="dxa"/>
              <w:bottom w:w="80" w:type="dxa"/>
              <w:end w:w="120" w:type="dxa"/>
            </w:tcMar>
          </w:tcPr>
          <w:p>
            <w:r>
              <w:rPr>
                <w:sz w:val="16"/>
                <w:lang w:val="en-GB" w:eastAsia="en-GB" w:bidi="en-GB"/>
              </w:rPr>
              <w:t>Enterprise</w:t>
            </w:r>
          </w:p>
        </w:tc>
        <w:tc>
          <w:tcPr>
            <w:tcW w:type="dxa" w:w="3764"/>
            <w:vAlign w:val="center"/>
            <w:tcMar>
              <w:top w:w="80" w:type="dxa"/>
              <w:start w:w="120" w:type="dxa"/>
              <w:bottom w:w="80" w:type="dxa"/>
              <w:end w:w="120" w:type="dxa"/>
            </w:tcMar>
          </w:tcPr>
          <w:p>
            <w:r>
              <w:rPr>
                <w:sz w:val="16"/>
                <w:lang w:val="en-GB" w:eastAsia="en-GB" w:bidi="en-GB"/>
              </w:rPr>
              <w:t>Large UK Insurance</w:t>
            </w:r>
          </w:p>
        </w:tc>
        <w:tc>
          <w:tcPr>
            <w:tcW w:type="dxa" w:w="4115"/>
            <w:vAlign w:val="center"/>
            <w:tcMar>
              <w:top w:w="80" w:type="dxa"/>
              <w:start w:w="120" w:type="dxa"/>
              <w:bottom w:w="80" w:type="dxa"/>
              <w:end w:w="120" w:type="dxa"/>
            </w:tcMar>
          </w:tcPr>
          <w:p>
            <w:r>
              <w:rPr>
                <w:sz w:val="16"/>
                <w:lang w:val="en-GB" w:eastAsia="en-GB" w:bidi="en-GB"/>
              </w:rPr>
              <w:t>Confirm firm-specific materiality and regulatory perimeter</w:t>
            </w:r>
          </w:p>
        </w:tc>
      </w:tr>
      <w:tr>
        <w:trPr>
          <w:cantSplit/>
        </w:trPr>
        <w:tc>
          <w:tcPr>
            <w:tcW w:type="dxa" w:w="1481"/>
            <w:vAlign w:val="center"/>
            <w:tcMar>
              <w:top w:w="80" w:type="dxa"/>
              <w:start w:w="120" w:type="dxa"/>
              <w:bottom w:w="80" w:type="dxa"/>
              <w:end w:w="120" w:type="dxa"/>
            </w:tcMar>
          </w:tcPr>
          <w:p>
            <w:r>
              <w:rPr>
                <w:sz w:val="16"/>
                <w:lang w:val="en-GB" w:eastAsia="en-GB" w:bidi="en-GB"/>
              </w:rPr>
              <w:t>Excluded</w:t>
            </w:r>
          </w:p>
        </w:tc>
        <w:tc>
          <w:tcPr>
            <w:tcW w:type="dxa" w:w="3764"/>
            <w:vAlign w:val="center"/>
            <w:tcMar>
              <w:top w:w="80" w:type="dxa"/>
              <w:start w:w="120" w:type="dxa"/>
              <w:bottom w:w="80" w:type="dxa"/>
              <w:end w:w="120" w:type="dxa"/>
            </w:tcMar>
          </w:tcPr>
          <w:p>
            <w:r>
              <w:rPr>
                <w:sz w:val="16"/>
                <w:lang w:val="en-GB" w:eastAsia="en-GB" w:bidi="en-GB"/>
              </w:rPr>
              <w:t>Production data, real tokens, CAG execution</w:t>
            </w:r>
          </w:p>
        </w:tc>
        <w:tc>
          <w:tcPr>
            <w:tcW w:type="dxa" w:w="4115"/>
            <w:vAlign w:val="center"/>
            <w:tcMar>
              <w:top w:w="80" w:type="dxa"/>
              <w:start w:w="120" w:type="dxa"/>
              <w:bottom w:w="80" w:type="dxa"/>
              <w:end w:w="120" w:type="dxa"/>
            </w:tcMar>
          </w:tcPr>
          <w:p>
            <w:r>
              <w:rPr>
                <w:sz w:val="16"/>
                <w:lang w:val="en-GB" w:eastAsia="en-GB" w:bidi="en-GB"/>
              </w:rPr>
              <w:t>Use a separately approved synthetic closure plan</w:t>
            </w:r>
          </w:p>
        </w:tc>
      </w:tr>
    </w:tbl>
    <w:p>
      <w:pPr>
        <w:widowControl/>
      </w:pPr>
    </w:p>
    <w:p>
      <w:pPr>
        <w:pStyle w:val="Heading1"/>
        <w:widowControl/>
      </w:pPr>
      <w:r>
        <w:rPr>
          <w:lang w:val="en-GB" w:eastAsia="en-GB" w:bidi="en-GB"/>
        </w:rPr>
        <w:t>Methodology and Evidence States</w:t>
      </w:r>
    </w:p>
    <w:p>
      <w:pPr>
        <w:widowControl/>
      </w:pPr>
      <w:r>
        <w:rPr>
          <w:lang w:val="en-GB" w:eastAsia="en-GB" w:bidi="en-GB"/>
        </w:rPr>
        <w:t>The assessment followed the pinned v1.4.6 fifteen-stage security-assessment workflow. Evidence was acquired before execution, preserved with hashes, inspected using bounded parsers and reconciled through independent static and supply-chain reviews. Findings were promoted only where a source-to-sink scenario, preconditions and counter-controls could be described. Scanner labels were treated as signals until exact versions, classpaths and advisory conditions were checked.</w:t>
      </w:r>
    </w:p>
    <w:p>
      <w:pPr>
        <w:widowControl/>
      </w:pPr>
      <w:r>
        <w:rPr>
          <w:lang w:val="en-GB" w:eastAsia="en-GB" w:bidi="en-GB"/>
        </w:rPr>
        <w:t>Claims use Verified, Inferred, Not observed, Unknown and Blocked states. Runtime evidence is partial: the exact image completed a constrained MCP handshake and negative control tests, but representative VS Code UI, CAG behaviour, multi-user HTTP and a real synthetic SonarQube tenant remain absent. Defer pending evidence preserves the selected runtime branch and makes the missing closure evidence visible rather than converting it to Not applicable.</w:t>
      </w:r>
    </w:p>
    <w:p>
      <w:pPr>
        <w:pStyle w:val="Caption"/>
        <w:keepLines/>
        <w:widowControl/>
      </w:pPr>
      <w:r>
        <w:rPr>
          <w:b/>
          <w:lang w:val="en-GB" w:eastAsia="en-GB" w:bidi="en-GB"/>
        </w:rPr>
        <w:t>Methodology and Evidence States evidence summary</w:t>
      </w:r>
    </w:p>
    <w:tbl>
      <w:tblPr>
        <w:tblStyle w:val="TableGrid"/>
        <w:tblW w:type="dxa" w:w="9360"/>
        <w:tblLayout w:type="fixed"/>
        <w:tblLook w:firstColumn="1" w:firstRow="1" w:lastColumn="0" w:lastRow="0" w:noHBand="0" w:noVBand="1" w:val="04A0"/>
        <w:tblInd w:w="120" w:type="dxa"/>
      </w:tblPr>
      <w:tblGrid>
        <w:gridCol w:w="1796"/>
        <w:gridCol w:w="2872"/>
        <w:gridCol w:w="4692"/>
      </w:tblGrid>
      <w:tr>
        <w:trPr>
          <w:tblHeader w:val="true"/>
          <w:cantSplit/>
        </w:trPr>
        <w:tc>
          <w:tcPr>
            <w:tcW w:type="dxa" w:w="1796"/>
            <w:shd w:fill="F2F4F7"/>
            <w:vAlign w:val="center"/>
            <w:tcMar>
              <w:top w:w="80" w:type="dxa"/>
              <w:start w:w="120" w:type="dxa"/>
              <w:bottom w:w="80" w:type="dxa"/>
              <w:end w:w="120" w:type="dxa"/>
            </w:tcMar>
          </w:tcPr>
          <w:p>
            <w:r>
              <w:rPr>
                <w:b/>
                <w:sz w:val="16"/>
                <w:lang w:val="en-GB" w:eastAsia="en-GB" w:bidi="en-GB"/>
              </w:rPr>
              <w:t>Evidence area</w:t>
            </w:r>
          </w:p>
        </w:tc>
        <w:tc>
          <w:tcPr>
            <w:tcW w:type="dxa" w:w="2872"/>
            <w:shd w:fill="F2F4F7"/>
            <w:vAlign w:val="center"/>
            <w:tcMar>
              <w:top w:w="80" w:type="dxa"/>
              <w:start w:w="120" w:type="dxa"/>
              <w:bottom w:w="80" w:type="dxa"/>
              <w:end w:w="120" w:type="dxa"/>
            </w:tcMar>
          </w:tcPr>
          <w:p>
            <w:r>
              <w:rPr>
                <w:b/>
                <w:sz w:val="16"/>
                <w:lang w:val="en-GB" w:eastAsia="en-GB" w:bidi="en-GB"/>
              </w:rPr>
              <w:t>Assessment result</w:t>
            </w:r>
          </w:p>
        </w:tc>
        <w:tc>
          <w:tcPr>
            <w:tcW w:type="dxa" w:w="469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96"/>
            <w:vAlign w:val="center"/>
            <w:tcMar>
              <w:top w:w="80" w:type="dxa"/>
              <w:start w:w="120" w:type="dxa"/>
              <w:bottom w:w="80" w:type="dxa"/>
              <w:end w:w="120" w:type="dxa"/>
            </w:tcMar>
          </w:tcPr>
          <w:p>
            <w:r>
              <w:rPr>
                <w:sz w:val="16"/>
                <w:lang w:val="en-GB" w:eastAsia="en-GB" w:bidi="en-GB"/>
              </w:rPr>
              <w:t>Workflow</w:t>
            </w:r>
          </w:p>
        </w:tc>
        <w:tc>
          <w:tcPr>
            <w:tcW w:type="dxa" w:w="2872"/>
            <w:vAlign w:val="center"/>
            <w:tcMar>
              <w:top w:w="80" w:type="dxa"/>
              <w:start w:w="120" w:type="dxa"/>
              <w:bottom w:w="80" w:type="dxa"/>
              <w:end w:w="120" w:type="dxa"/>
            </w:tcMar>
          </w:tcPr>
          <w:p>
            <w:r>
              <w:rPr>
                <w:sz w:val="16"/>
                <w:lang w:val="en-GB" w:eastAsia="en-GB" w:bidi="en-GB"/>
              </w:rPr>
              <w:t>Fifteen validated stages</w:t>
            </w:r>
          </w:p>
        </w:tc>
        <w:tc>
          <w:tcPr>
            <w:tcW w:type="dxa" w:w="4692"/>
            <w:vAlign w:val="center"/>
            <w:tcMar>
              <w:top w:w="80" w:type="dxa"/>
              <w:start w:w="120" w:type="dxa"/>
              <w:bottom w:w="80" w:type="dxa"/>
              <w:end w:w="120" w:type="dxa"/>
            </w:tcMar>
          </w:tcPr>
          <w:p>
            <w:r>
              <w:rPr>
                <w:sz w:val="16"/>
                <w:lang w:val="en-GB" w:eastAsia="en-GB" w:bidi="en-GB"/>
              </w:rPr>
              <w:t>Keep stage/model hashes bound to the report</w:t>
            </w:r>
          </w:p>
        </w:tc>
      </w:tr>
      <w:tr>
        <w:trPr>
          <w:cantSplit/>
        </w:trPr>
        <w:tc>
          <w:tcPr>
            <w:tcW w:type="dxa" w:w="1796"/>
            <w:vAlign w:val="center"/>
            <w:tcMar>
              <w:top w:w="80" w:type="dxa"/>
              <w:start w:w="120" w:type="dxa"/>
              <w:bottom w:w="80" w:type="dxa"/>
              <w:end w:w="120" w:type="dxa"/>
            </w:tcMar>
          </w:tcPr>
          <w:p>
            <w:r>
              <w:rPr>
                <w:sz w:val="16"/>
                <w:lang w:val="en-GB" w:eastAsia="en-GB" w:bidi="en-GB"/>
              </w:rPr>
              <w:t>Findings</w:t>
            </w:r>
          </w:p>
        </w:tc>
        <w:tc>
          <w:tcPr>
            <w:tcW w:type="dxa" w:w="2872"/>
            <w:vAlign w:val="center"/>
            <w:tcMar>
              <w:top w:w="80" w:type="dxa"/>
              <w:start w:w="120" w:type="dxa"/>
              <w:bottom w:w="80" w:type="dxa"/>
              <w:end w:w="120" w:type="dxa"/>
            </w:tcMar>
          </w:tcPr>
          <w:p>
            <w:r>
              <w:rPr>
                <w:sz w:val="16"/>
                <w:lang w:val="en-GB" w:eastAsia="en-GB" w:bidi="en-GB"/>
              </w:rPr>
              <w:t>Manual validation required</w:t>
            </w:r>
          </w:p>
        </w:tc>
        <w:tc>
          <w:tcPr>
            <w:tcW w:type="dxa" w:w="4692"/>
            <w:vAlign w:val="center"/>
            <w:tcMar>
              <w:top w:w="80" w:type="dxa"/>
              <w:start w:w="120" w:type="dxa"/>
              <w:bottom w:w="80" w:type="dxa"/>
              <w:end w:w="120" w:type="dxa"/>
            </w:tcMar>
          </w:tcPr>
          <w:p>
            <w:r>
              <w:rPr>
                <w:sz w:val="16"/>
                <w:lang w:val="en-GB" w:eastAsia="en-GB" w:bidi="en-GB"/>
              </w:rPr>
              <w:t>Do not equate scanner counts with exploitability</w:t>
            </w:r>
          </w:p>
        </w:tc>
      </w:tr>
      <w:tr>
        <w:trPr>
          <w:cantSplit/>
        </w:trPr>
        <w:tc>
          <w:tcPr>
            <w:tcW w:type="dxa" w:w="1796"/>
            <w:vAlign w:val="center"/>
            <w:tcMar>
              <w:top w:w="80" w:type="dxa"/>
              <w:start w:w="120" w:type="dxa"/>
              <w:bottom w:w="80" w:type="dxa"/>
              <w:end w:w="120" w:type="dxa"/>
            </w:tcMar>
          </w:tcPr>
          <w:p>
            <w:r>
              <w:rPr>
                <w:sz w:val="16"/>
                <w:lang w:val="en-GB" w:eastAsia="en-GB" w:bidi="en-GB"/>
              </w:rPr>
              <w:t>Runtime</w:t>
            </w:r>
          </w:p>
        </w:tc>
        <w:tc>
          <w:tcPr>
            <w:tcW w:type="dxa" w:w="2872"/>
            <w:vAlign w:val="center"/>
            <w:tcMar>
              <w:top w:w="80" w:type="dxa"/>
              <w:start w:w="120" w:type="dxa"/>
              <w:bottom w:w="80" w:type="dxa"/>
              <w:end w:w="120" w:type="dxa"/>
            </w:tcMar>
          </w:tcPr>
          <w:p>
            <w:r>
              <w:rPr>
                <w:sz w:val="16"/>
                <w:lang w:val="en-GB" w:eastAsia="en-GB" w:bidi="en-GB"/>
              </w:rPr>
              <w:t>Partial and controlled</w:t>
            </w:r>
          </w:p>
        </w:tc>
        <w:tc>
          <w:tcPr>
            <w:tcW w:type="dxa" w:w="4692"/>
            <w:vAlign w:val="center"/>
            <w:tcMar>
              <w:top w:w="80" w:type="dxa"/>
              <w:start w:w="120" w:type="dxa"/>
              <w:bottom w:w="80" w:type="dxa"/>
              <w:end w:w="120" w:type="dxa"/>
            </w:tcMar>
          </w:tcPr>
          <w:p>
            <w:r>
              <w:rPr>
                <w:sz w:val="16"/>
                <w:lang w:val="en-GB" w:eastAsia="en-GB" w:bidi="en-GB"/>
              </w:rPr>
              <w:t>Complete representative closure matrix</w:t>
            </w:r>
          </w:p>
        </w:tc>
      </w:tr>
    </w:tbl>
    <w:p>
      <w:pPr>
        <w:widowControl/>
      </w:pPr>
    </w:p>
    <w:p>
      <w:pPr>
        <w:pStyle w:val="Heading1"/>
        <w:widowControl/>
      </w:pPr>
      <w:r>
        <w:rPr>
          <w:lang w:val="en-GB" w:eastAsia="en-GB" w:bidi="en-GB"/>
        </w:rPr>
        <w:t>Product Identity and Version</w:t>
      </w:r>
    </w:p>
    <w:p>
      <w:pPr>
        <w:widowControl/>
      </w:pPr>
      <w:r>
        <w:rPr>
          <w:lang w:val="en-GB" w:eastAsia="en-GB" w:bidi="en-GB"/>
        </w:rPr>
        <w:t>SonarSource controls the GitHub organisation, repository, documentation, binary distribution and Docker Hub repository used for the assessed target. Release 1.24.0.3152 was published on 2026-08-04 and resolves to commit 3cc4d1f8ffde3c9798ad89fad8a7562c3f119042, which GitHub reports as verified. The project uses Sonar Source-Available License version 1 rather than an OSI-approved open-source licence, so procurement and legal review must confirm permitted enterprise use.</w:t>
      </w:r>
    </w:p>
    <w:p>
      <w:pPr>
        <w:widowControl/>
      </w:pPr>
      <w:r>
        <w:rPr>
          <w:lang w:val="en-GB" w:eastAsia="en-GB" w:bidi="en-GB"/>
        </w:rPr>
        <w:t>First-party identity is necessary but not sufficient. The VS Code quick-install alias mcp/sonarqube is not the same publisher namespace as sonarsource/sonarqube-mcp. This assessment therefore binds approval considerations to the direct SonarSource JAR and OCI digest only. Registry metadata lags the current release, so operators must not infer that a catalogue latest flag identifies the assessed version.</w:t>
      </w:r>
    </w:p>
    <w:p>
      <w:pPr>
        <w:pStyle w:val="Caption"/>
        <w:keepLines/>
        <w:widowControl/>
      </w:pPr>
      <w:r>
        <w:rPr>
          <w:b/>
          <w:lang w:val="en-GB" w:eastAsia="en-GB" w:bidi="en-GB"/>
        </w:rPr>
        <w:t>Product Identity and Version evidence summary</w:t>
      </w:r>
    </w:p>
    <w:tbl>
      <w:tblPr>
        <w:tblStyle w:val="TableGrid"/>
        <w:tblW w:type="dxa" w:w="9360"/>
        <w:tblLayout w:type="fixed"/>
        <w:tblLook w:firstColumn="1" w:firstRow="1" w:lastColumn="0" w:lastRow="0" w:noHBand="0" w:noVBand="1" w:val="04A0"/>
        <w:tblInd w:w="120" w:type="dxa"/>
      </w:tblPr>
      <w:tblGrid>
        <w:gridCol w:w="1656"/>
        <w:gridCol w:w="4248"/>
        <w:gridCol w:w="3456"/>
      </w:tblGrid>
      <w:tr>
        <w:trPr>
          <w:tblHeader w:val="true"/>
          <w:cantSplit/>
        </w:trPr>
        <w:tc>
          <w:tcPr>
            <w:tcW w:type="dxa" w:w="1656"/>
            <w:shd w:fill="F2F4F7"/>
            <w:vAlign w:val="center"/>
            <w:tcMar>
              <w:top w:w="80" w:type="dxa"/>
              <w:start w:w="120" w:type="dxa"/>
              <w:bottom w:w="80" w:type="dxa"/>
              <w:end w:w="120" w:type="dxa"/>
            </w:tcMar>
          </w:tcPr>
          <w:p>
            <w:r>
              <w:rPr>
                <w:b/>
                <w:sz w:val="16"/>
                <w:lang w:val="en-GB" w:eastAsia="en-GB" w:bidi="en-GB"/>
              </w:rPr>
              <w:t>Evidence area</w:t>
            </w:r>
          </w:p>
        </w:tc>
        <w:tc>
          <w:tcPr>
            <w:tcW w:type="dxa" w:w="4248"/>
            <w:shd w:fill="F2F4F7"/>
            <w:vAlign w:val="center"/>
            <w:tcMar>
              <w:top w:w="80" w:type="dxa"/>
              <w:start w:w="120" w:type="dxa"/>
              <w:bottom w:w="80" w:type="dxa"/>
              <w:end w:w="120" w:type="dxa"/>
            </w:tcMar>
          </w:tcPr>
          <w:p>
            <w:r>
              <w:rPr>
                <w:b/>
                <w:sz w:val="16"/>
                <w:lang w:val="en-GB" w:eastAsia="en-GB" w:bidi="en-GB"/>
              </w:rPr>
              <w:t>Assessment result</w:t>
            </w:r>
          </w:p>
        </w:tc>
        <w:tc>
          <w:tcPr>
            <w:tcW w:type="dxa" w:w="3456"/>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56"/>
            <w:vAlign w:val="center"/>
            <w:tcMar>
              <w:top w:w="80" w:type="dxa"/>
              <w:start w:w="120" w:type="dxa"/>
              <w:bottom w:w="80" w:type="dxa"/>
              <w:end w:w="120" w:type="dxa"/>
            </w:tcMar>
          </w:tcPr>
          <w:p>
            <w:r>
              <w:rPr>
                <w:sz w:val="16"/>
                <w:lang w:val="en-GB" w:eastAsia="en-GB" w:bidi="en-GB"/>
              </w:rPr>
              <w:t>Publisher</w:t>
            </w:r>
          </w:p>
        </w:tc>
        <w:tc>
          <w:tcPr>
            <w:tcW w:type="dxa" w:w="4248"/>
            <w:vAlign w:val="center"/>
            <w:tcMar>
              <w:top w:w="80" w:type="dxa"/>
              <w:start w:w="120" w:type="dxa"/>
              <w:bottom w:w="80" w:type="dxa"/>
              <w:end w:w="120" w:type="dxa"/>
            </w:tcMar>
          </w:tcPr>
          <w:p>
            <w:r>
              <w:rPr>
                <w:sz w:val="16"/>
                <w:lang w:val="en-GB" w:eastAsia="en-GB" w:bidi="en-GB"/>
              </w:rPr>
              <w:t>SonarSource verified through first-party channels</w:t>
            </w:r>
          </w:p>
        </w:tc>
        <w:tc>
          <w:tcPr>
            <w:tcW w:type="dxa" w:w="3456"/>
            <w:vAlign w:val="center"/>
            <w:tcMar>
              <w:top w:w="80" w:type="dxa"/>
              <w:start w:w="120" w:type="dxa"/>
              <w:bottom w:w="80" w:type="dxa"/>
              <w:end w:w="120" w:type="dxa"/>
            </w:tcMar>
          </w:tcPr>
          <w:p>
            <w:r>
              <w:rPr>
                <w:sz w:val="16"/>
                <w:lang w:val="en-GB" w:eastAsia="en-GB" w:bidi="en-GB"/>
              </w:rPr>
              <w:t>Retain publisher and digest allowlists</w:t>
            </w:r>
          </w:p>
        </w:tc>
      </w:tr>
      <w:tr>
        <w:trPr>
          <w:cantSplit/>
        </w:trPr>
        <w:tc>
          <w:tcPr>
            <w:tcW w:type="dxa" w:w="1656"/>
            <w:vAlign w:val="center"/>
            <w:tcMar>
              <w:top w:w="80" w:type="dxa"/>
              <w:start w:w="120" w:type="dxa"/>
              <w:bottom w:w="80" w:type="dxa"/>
              <w:end w:w="120" w:type="dxa"/>
            </w:tcMar>
          </w:tcPr>
          <w:p>
            <w:r>
              <w:rPr>
                <w:sz w:val="16"/>
                <w:lang w:val="en-GB" w:eastAsia="en-GB" w:bidi="en-GB"/>
              </w:rPr>
              <w:t>Release</w:t>
            </w:r>
          </w:p>
        </w:tc>
        <w:tc>
          <w:tcPr>
            <w:tcW w:type="dxa" w:w="4248"/>
            <w:vAlign w:val="center"/>
            <w:tcMar>
              <w:top w:w="80" w:type="dxa"/>
              <w:start w:w="120" w:type="dxa"/>
              <w:bottom w:w="80" w:type="dxa"/>
              <w:end w:w="120" w:type="dxa"/>
            </w:tcMar>
          </w:tcPr>
          <w:p>
            <w:r>
              <w:rPr>
                <w:sz w:val="16"/>
                <w:lang w:val="en-GB" w:eastAsia="en-GB" w:bidi="en-GB"/>
              </w:rPr>
              <w:t>1.24.0.3152 / verified commit</w:t>
            </w:r>
          </w:p>
        </w:tc>
        <w:tc>
          <w:tcPr>
            <w:tcW w:type="dxa" w:w="3456"/>
            <w:vAlign w:val="center"/>
            <w:tcMar>
              <w:top w:w="80" w:type="dxa"/>
              <w:start w:w="120" w:type="dxa"/>
              <w:bottom w:w="80" w:type="dxa"/>
              <w:end w:w="120" w:type="dxa"/>
            </w:tcMar>
          </w:tcPr>
          <w:p>
            <w:r>
              <w:rPr>
                <w:sz w:val="16"/>
                <w:lang w:val="en-GB" w:eastAsia="en-GB" w:bidi="en-GB"/>
              </w:rPr>
              <w:t>Pin exact version and digest</w:t>
            </w:r>
          </w:p>
        </w:tc>
      </w:tr>
      <w:tr>
        <w:trPr>
          <w:cantSplit/>
        </w:trPr>
        <w:tc>
          <w:tcPr>
            <w:tcW w:type="dxa" w:w="1656"/>
            <w:vAlign w:val="center"/>
            <w:tcMar>
              <w:top w:w="80" w:type="dxa"/>
              <w:start w:w="120" w:type="dxa"/>
              <w:bottom w:w="80" w:type="dxa"/>
              <w:end w:w="120" w:type="dxa"/>
            </w:tcMar>
          </w:tcPr>
          <w:p>
            <w:r>
              <w:rPr>
                <w:sz w:val="16"/>
                <w:lang w:val="en-GB" w:eastAsia="en-GB" w:bidi="en-GB"/>
              </w:rPr>
              <w:t>Licence</w:t>
            </w:r>
          </w:p>
        </w:tc>
        <w:tc>
          <w:tcPr>
            <w:tcW w:type="dxa" w:w="4248"/>
            <w:vAlign w:val="center"/>
            <w:tcMar>
              <w:top w:w="80" w:type="dxa"/>
              <w:start w:w="120" w:type="dxa"/>
              <w:bottom w:w="80" w:type="dxa"/>
              <w:end w:w="120" w:type="dxa"/>
            </w:tcMar>
          </w:tcPr>
          <w:p>
            <w:r>
              <w:rPr>
                <w:sz w:val="16"/>
                <w:lang w:val="en-GB" w:eastAsia="en-GB" w:bidi="en-GB"/>
              </w:rPr>
              <w:t>SSALv1</w:t>
            </w:r>
          </w:p>
        </w:tc>
        <w:tc>
          <w:tcPr>
            <w:tcW w:type="dxa" w:w="3456"/>
            <w:vAlign w:val="center"/>
            <w:tcMar>
              <w:top w:w="80" w:type="dxa"/>
              <w:start w:w="120" w:type="dxa"/>
              <w:bottom w:w="80" w:type="dxa"/>
              <w:end w:w="120" w:type="dxa"/>
            </w:tcMar>
          </w:tcPr>
          <w:p>
            <w:r>
              <w:rPr>
                <w:sz w:val="16"/>
                <w:lang w:val="en-GB" w:eastAsia="en-GB" w:bidi="en-GB"/>
              </w:rPr>
              <w:t>Complete legal and procurement review</w:t>
            </w:r>
          </w:p>
        </w:tc>
      </w:tr>
    </w:tbl>
    <w:p>
      <w:pPr>
        <w:widowControl/>
      </w:pPr>
    </w:p>
    <w:p>
      <w:pPr>
        <w:pStyle w:val="Heading1"/>
        <w:widowControl/>
      </w:pPr>
      <w:r>
        <w:rPr>
          <w:lang w:val="en-GB" w:eastAsia="en-GB" w:bidi="en-GB"/>
        </w:rPr>
        <w:t>Acquisition, Signatures and Reproducibility</w:t>
      </w:r>
    </w:p>
    <w:p>
      <w:pPr>
        <w:widowControl/>
      </w:pPr>
      <w:r>
        <w:rPr>
          <w:lang w:val="en-GB" w:eastAsia="en-GB" w:bidi="en-GB"/>
        </w:rPr>
        <w:t>The source archive SHA-256, commit, acquisition method and file inventory are recorded in snapshot-manifest.json. The release JAR SHA-256 is dafe2b01889b1360a411759265fd3c8f419d5368a971b62d5737eae6060621b9, matches the publisher checksum and verifies against the SonarSource signing key. The first-party OCI index digest is sha256:edf80a38956d7d8de75166c1ae173b73c8a01a9a62038232ce0b75ead7dc450c; its arm64 image contains the same JAR and the expected arm64 CAG member.</w:t>
      </w:r>
    </w:p>
    <w:p>
      <w:pPr>
        <w:widowControl/>
      </w:pPr>
      <w:r>
        <w:rPr>
          <w:lang w:val="en-GB" w:eastAsia="en-GB" w:bidi="en-GB"/>
        </w:rPr>
        <w:t>The build is not fully reproducible: source properties remain snapshot-oriented, Dockerfile metadata lags the release, base images and repositories are tag-based, the JAR and CAG are fetched without build-time authenticated checksums, and the publish job rebuilds after smoke testing. Attestations are positive evidence, but build-once promotion, signed final subjects and independently authenticated inputs remain required.</w:t>
      </w:r>
    </w:p>
    <w:p>
      <w:pPr>
        <w:pStyle w:val="Caption"/>
        <w:keepLines/>
        <w:widowControl/>
      </w:pPr>
      <w:r>
        <w:rPr>
          <w:b/>
          <w:lang w:val="en-GB" w:eastAsia="en-GB" w:bidi="en-GB"/>
        </w:rPr>
        <w:t>Acquisition, Signatures and Reproducibility evidence summary</w:t>
      </w:r>
    </w:p>
    <w:tbl>
      <w:tblPr>
        <w:tblStyle w:val="TableGrid"/>
        <w:tblW w:type="dxa" w:w="9360"/>
        <w:tblLayout w:type="fixed"/>
        <w:tblLook w:firstColumn="1" w:firstRow="1" w:lastColumn="0" w:lastRow="0" w:noHBand="0" w:noVBand="1" w:val="04A0"/>
        <w:tblInd w:w="120" w:type="dxa"/>
      </w:tblPr>
      <w:tblGrid>
        <w:gridCol w:w="1587"/>
        <w:gridCol w:w="3720"/>
        <w:gridCol w:w="4053"/>
      </w:tblGrid>
      <w:tr>
        <w:trPr>
          <w:tblHeader w:val="true"/>
          <w:cantSplit/>
        </w:trPr>
        <w:tc>
          <w:tcPr>
            <w:tcW w:type="dxa" w:w="1587"/>
            <w:shd w:fill="F2F4F7"/>
            <w:vAlign w:val="center"/>
            <w:tcMar>
              <w:top w:w="80" w:type="dxa"/>
              <w:start w:w="120" w:type="dxa"/>
              <w:bottom w:w="80" w:type="dxa"/>
              <w:end w:w="120" w:type="dxa"/>
            </w:tcMar>
          </w:tcPr>
          <w:p>
            <w:r>
              <w:rPr>
                <w:b/>
                <w:sz w:val="16"/>
                <w:lang w:val="en-GB" w:eastAsia="en-GB" w:bidi="en-GB"/>
              </w:rPr>
              <w:t>Evidence area</w:t>
            </w:r>
          </w:p>
        </w:tc>
        <w:tc>
          <w:tcPr>
            <w:tcW w:type="dxa" w:w="3720"/>
            <w:shd w:fill="F2F4F7"/>
            <w:vAlign w:val="center"/>
            <w:tcMar>
              <w:top w:w="80" w:type="dxa"/>
              <w:start w:w="120" w:type="dxa"/>
              <w:bottom w:w="80" w:type="dxa"/>
              <w:end w:w="120" w:type="dxa"/>
            </w:tcMar>
          </w:tcPr>
          <w:p>
            <w:r>
              <w:rPr>
                <w:b/>
                <w:sz w:val="16"/>
                <w:lang w:val="en-GB" w:eastAsia="en-GB" w:bidi="en-GB"/>
              </w:rPr>
              <w:t>Assessment result</w:t>
            </w:r>
          </w:p>
        </w:tc>
        <w:tc>
          <w:tcPr>
            <w:tcW w:type="dxa" w:w="405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87"/>
            <w:vAlign w:val="center"/>
            <w:tcMar>
              <w:top w:w="80" w:type="dxa"/>
              <w:start w:w="120" w:type="dxa"/>
              <w:bottom w:w="80" w:type="dxa"/>
              <w:end w:w="120" w:type="dxa"/>
            </w:tcMar>
          </w:tcPr>
          <w:p>
            <w:r>
              <w:rPr>
                <w:sz w:val="16"/>
                <w:lang w:val="en-GB" w:eastAsia="en-GB" w:bidi="en-GB"/>
              </w:rPr>
              <w:t>JAR</w:t>
            </w:r>
          </w:p>
        </w:tc>
        <w:tc>
          <w:tcPr>
            <w:tcW w:type="dxa" w:w="3720"/>
            <w:vAlign w:val="center"/>
            <w:tcMar>
              <w:top w:w="80" w:type="dxa"/>
              <w:start w:w="120" w:type="dxa"/>
              <w:bottom w:w="80" w:type="dxa"/>
              <w:end w:w="120" w:type="dxa"/>
            </w:tcMar>
          </w:tcPr>
          <w:p>
            <w:r>
              <w:rPr>
                <w:sz w:val="16"/>
                <w:lang w:val="en-GB" w:eastAsia="en-GB" w:bidi="en-GB"/>
              </w:rPr>
              <w:t>Hash and detached signature verified</w:t>
            </w:r>
          </w:p>
        </w:tc>
        <w:tc>
          <w:tcPr>
            <w:tcW w:type="dxa" w:w="4053"/>
            <w:vAlign w:val="center"/>
            <w:tcMar>
              <w:top w:w="80" w:type="dxa"/>
              <w:start w:w="120" w:type="dxa"/>
              <w:bottom w:w="80" w:type="dxa"/>
              <w:end w:w="120" w:type="dxa"/>
            </w:tcMar>
          </w:tcPr>
          <w:p>
            <w:r>
              <w:rPr>
                <w:sz w:val="16"/>
                <w:lang w:val="en-GB" w:eastAsia="en-GB" w:bidi="en-GB"/>
              </w:rPr>
              <w:t>Preserve authenticated key and checksum evidence</w:t>
            </w:r>
          </w:p>
        </w:tc>
      </w:tr>
      <w:tr>
        <w:trPr>
          <w:cantSplit/>
        </w:trPr>
        <w:tc>
          <w:tcPr>
            <w:tcW w:type="dxa" w:w="1587"/>
            <w:vAlign w:val="center"/>
            <w:tcMar>
              <w:top w:w="80" w:type="dxa"/>
              <w:start w:w="120" w:type="dxa"/>
              <w:bottom w:w="80" w:type="dxa"/>
              <w:end w:w="120" w:type="dxa"/>
            </w:tcMar>
          </w:tcPr>
          <w:p>
            <w:r>
              <w:rPr>
                <w:sz w:val="16"/>
                <w:lang w:val="en-GB" w:eastAsia="en-GB" w:bidi="en-GB"/>
              </w:rPr>
              <w:t>OCI</w:t>
            </w:r>
          </w:p>
        </w:tc>
        <w:tc>
          <w:tcPr>
            <w:tcW w:type="dxa" w:w="3720"/>
            <w:vAlign w:val="center"/>
            <w:tcMar>
              <w:top w:w="80" w:type="dxa"/>
              <w:start w:w="120" w:type="dxa"/>
              <w:bottom w:w="80" w:type="dxa"/>
              <w:end w:w="120" w:type="dxa"/>
            </w:tcMar>
          </w:tcPr>
          <w:p>
            <w:r>
              <w:rPr>
                <w:sz w:val="16"/>
                <w:lang w:val="en-GB" w:eastAsia="en-GB" w:bidi="en-GB"/>
              </w:rPr>
              <w:t>Exact index and embedded artifacts reconciled</w:t>
            </w:r>
          </w:p>
        </w:tc>
        <w:tc>
          <w:tcPr>
            <w:tcW w:type="dxa" w:w="4053"/>
            <w:vAlign w:val="center"/>
            <w:tcMar>
              <w:top w:w="80" w:type="dxa"/>
              <w:start w:w="120" w:type="dxa"/>
              <w:bottom w:w="80" w:type="dxa"/>
              <w:end w:w="120" w:type="dxa"/>
            </w:tcMar>
          </w:tcPr>
          <w:p>
            <w:r>
              <w:rPr>
                <w:sz w:val="16"/>
                <w:lang w:val="en-GB" w:eastAsia="en-GB" w:bidi="en-GB"/>
              </w:rPr>
              <w:t>Sign and promote the tested manifest</w:t>
            </w:r>
          </w:p>
        </w:tc>
      </w:tr>
      <w:tr>
        <w:trPr>
          <w:cantSplit/>
        </w:trPr>
        <w:tc>
          <w:tcPr>
            <w:tcW w:type="dxa" w:w="1587"/>
            <w:vAlign w:val="center"/>
            <w:tcMar>
              <w:top w:w="80" w:type="dxa"/>
              <w:start w:w="120" w:type="dxa"/>
              <w:bottom w:w="80" w:type="dxa"/>
              <w:end w:w="120" w:type="dxa"/>
            </w:tcMar>
          </w:tcPr>
          <w:p>
            <w:r>
              <w:rPr>
                <w:sz w:val="16"/>
                <w:lang w:val="en-GB" w:eastAsia="en-GB" w:bidi="en-GB"/>
              </w:rPr>
              <w:t>Rebuild</w:t>
            </w:r>
          </w:p>
        </w:tc>
        <w:tc>
          <w:tcPr>
            <w:tcW w:type="dxa" w:w="3720"/>
            <w:vAlign w:val="center"/>
            <w:tcMar>
              <w:top w:w="80" w:type="dxa"/>
              <w:start w:w="120" w:type="dxa"/>
              <w:bottom w:w="80" w:type="dxa"/>
              <w:end w:w="120" w:type="dxa"/>
            </w:tcMar>
          </w:tcPr>
          <w:p>
            <w:r>
              <w:rPr>
                <w:sz w:val="16"/>
                <w:lang w:val="en-GB" w:eastAsia="en-GB" w:bidi="en-GB"/>
              </w:rPr>
              <w:t>Not reproduced</w:t>
            </w:r>
          </w:p>
        </w:tc>
        <w:tc>
          <w:tcPr>
            <w:tcW w:type="dxa" w:w="4053"/>
            <w:vAlign w:val="center"/>
            <w:tcMar>
              <w:top w:w="80" w:type="dxa"/>
              <w:start w:w="120" w:type="dxa"/>
              <w:bottom w:w="80" w:type="dxa"/>
              <w:end w:w="120" w:type="dxa"/>
            </w:tcMar>
          </w:tcPr>
          <w:p>
            <w:r>
              <w:rPr>
                <w:sz w:val="16"/>
                <w:lang w:val="en-GB" w:eastAsia="en-GB" w:bidi="en-GB"/>
              </w:rPr>
              <w:t>Perform clean controlled source and image rebuilds</w:t>
            </w:r>
          </w:p>
        </w:tc>
      </w:tr>
    </w:tbl>
    <w:p>
      <w:pPr>
        <w:widowControl/>
      </w:pPr>
    </w:p>
    <w:p>
      <w:pPr>
        <w:pStyle w:val="Heading1"/>
        <w:widowControl/>
      </w:pPr>
      <w:r>
        <w:rPr>
          <w:lang w:val="en-GB" w:eastAsia="en-GB" w:bidi="en-GB"/>
        </w:rPr>
        <w:t>Architecture and Trust Boundaries</w:t>
      </w:r>
    </w:p>
    <w:p>
      <w:pPr>
        <w:widowControl/>
      </w:pPr>
      <w:r>
        <w:rPr>
          <w:lang w:val="en-GB" w:eastAsia="en-GB" w:bidi="en-GB"/>
        </w:rPr>
        <w:t>The core trust boundaries are the MCP host/client, stdio or Streamable HTTP transport, the Java MCP process, SonarQube API endpoints, local storage and workspace roots, downloaded analyzer JARs, the native CAG subprocess, Docker/registry update channels and SonarSource telemetry. The server can convert model-directed tool calls into SonarQube reads and writes, local file analysis and external network activity, so schemas and authentication do not replace least-agency deployment controls.</w:t>
      </w:r>
    </w:p>
    <w:p>
      <w:pPr>
        <w:widowControl/>
      </w:pPr>
      <w:r>
        <w:rPr>
          <w:lang w:val="en-GB" w:eastAsia="en-GB" w:bidi="en-GB"/>
        </w:rPr>
        <w:t>Workspace instructions and repository configuration are attacker-controlled in the enterprise threat model. A project can suggest MCP settings or endpoints, while environment variables can expose tokens to a process. Operators should centrally manage publisher, digest, endpoint, token scope, toolsets, read-only mode, workspace mounts and telemetry. The native subprocess and downloaded analyzers are separate code-execution boundaries even though they originate from the same vendor ecosystem.</w:t>
      </w:r>
    </w:p>
    <w:p>
      <w:pPr>
        <w:pStyle w:val="Caption"/>
        <w:keepLines/>
        <w:widowControl/>
      </w:pPr>
      <w:r>
        <w:rPr>
          <w:b/>
          <w:lang w:val="en-GB" w:eastAsia="en-GB" w:bidi="en-GB"/>
        </w:rPr>
        <w:t>Architecture and Trust Boundaries evidence summary</w:t>
      </w:r>
    </w:p>
    <w:tbl>
      <w:tblPr>
        <w:tblStyle w:val="TableGrid"/>
        <w:tblW w:type="dxa" w:w="9360"/>
        <w:tblLayout w:type="fixed"/>
        <w:tblLook w:firstColumn="1" w:firstRow="1" w:lastColumn="0" w:lastRow="0" w:noHBand="0" w:noVBand="1" w:val="04A0"/>
        <w:tblInd w:w="120" w:type="dxa"/>
      </w:tblPr>
      <w:tblGrid>
        <w:gridCol w:w="1548"/>
        <w:gridCol w:w="3842"/>
        <w:gridCol w:w="3970"/>
      </w:tblGrid>
      <w:tr>
        <w:trPr>
          <w:tblHeader w:val="true"/>
          <w:cantSplit/>
        </w:trPr>
        <w:tc>
          <w:tcPr>
            <w:tcW w:type="dxa" w:w="1548"/>
            <w:shd w:fill="F2F4F7"/>
            <w:vAlign w:val="center"/>
            <w:tcMar>
              <w:top w:w="80" w:type="dxa"/>
              <w:start w:w="120" w:type="dxa"/>
              <w:bottom w:w="80" w:type="dxa"/>
              <w:end w:w="120" w:type="dxa"/>
            </w:tcMar>
          </w:tcPr>
          <w:p>
            <w:r>
              <w:rPr>
                <w:b/>
                <w:sz w:val="16"/>
                <w:lang w:val="en-GB" w:eastAsia="en-GB" w:bidi="en-GB"/>
              </w:rPr>
              <w:t>Evidence area</w:t>
            </w:r>
          </w:p>
        </w:tc>
        <w:tc>
          <w:tcPr>
            <w:tcW w:type="dxa" w:w="3842"/>
            <w:shd w:fill="F2F4F7"/>
            <w:vAlign w:val="center"/>
            <w:tcMar>
              <w:top w:w="80" w:type="dxa"/>
              <w:start w:w="120" w:type="dxa"/>
              <w:bottom w:w="80" w:type="dxa"/>
              <w:end w:w="120" w:type="dxa"/>
            </w:tcMar>
          </w:tcPr>
          <w:p>
            <w:r>
              <w:rPr>
                <w:b/>
                <w:sz w:val="16"/>
                <w:lang w:val="en-GB" w:eastAsia="en-GB" w:bidi="en-GB"/>
              </w:rPr>
              <w:t>Assessment result</w:t>
            </w:r>
          </w:p>
        </w:tc>
        <w:tc>
          <w:tcPr>
            <w:tcW w:type="dxa" w:w="3970"/>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48"/>
            <w:vAlign w:val="center"/>
            <w:tcMar>
              <w:top w:w="80" w:type="dxa"/>
              <w:start w:w="120" w:type="dxa"/>
              <w:bottom w:w="80" w:type="dxa"/>
              <w:end w:w="120" w:type="dxa"/>
            </w:tcMar>
          </w:tcPr>
          <w:p>
            <w:r>
              <w:rPr>
                <w:sz w:val="16"/>
                <w:lang w:val="en-GB" w:eastAsia="en-GB" w:bidi="en-GB"/>
              </w:rPr>
              <w:t>Host/client</w:t>
            </w:r>
          </w:p>
        </w:tc>
        <w:tc>
          <w:tcPr>
            <w:tcW w:type="dxa" w:w="3842"/>
            <w:vAlign w:val="center"/>
            <w:tcMar>
              <w:top w:w="80" w:type="dxa"/>
              <w:start w:w="120" w:type="dxa"/>
              <w:bottom w:w="80" w:type="dxa"/>
              <w:end w:w="120" w:type="dxa"/>
            </w:tcMar>
          </w:tcPr>
          <w:p>
            <w:r>
              <w:rPr>
                <w:sz w:val="16"/>
                <w:lang w:val="en-GB" w:eastAsia="en-GB" w:bidi="en-GB"/>
              </w:rPr>
              <w:t>Model requests cross into privileged tools</w:t>
            </w:r>
          </w:p>
        </w:tc>
        <w:tc>
          <w:tcPr>
            <w:tcW w:type="dxa" w:w="3970"/>
            <w:vAlign w:val="center"/>
            <w:tcMar>
              <w:top w:w="80" w:type="dxa"/>
              <w:start w:w="120" w:type="dxa"/>
              <w:bottom w:w="80" w:type="dxa"/>
              <w:end w:w="120" w:type="dxa"/>
            </w:tcMar>
          </w:tcPr>
          <w:p>
            <w:r>
              <w:rPr>
                <w:sz w:val="16"/>
                <w:lang w:val="en-GB" w:eastAsia="en-GB" w:bidi="en-GB"/>
              </w:rPr>
              <w:t>Require confirmation and accurate annotations</w:t>
            </w:r>
          </w:p>
        </w:tc>
      </w:tr>
      <w:tr>
        <w:trPr>
          <w:cantSplit/>
        </w:trPr>
        <w:tc>
          <w:tcPr>
            <w:tcW w:type="dxa" w:w="1548"/>
            <w:vAlign w:val="center"/>
            <w:tcMar>
              <w:top w:w="80" w:type="dxa"/>
              <w:start w:w="120" w:type="dxa"/>
              <w:bottom w:w="80" w:type="dxa"/>
              <w:end w:w="120" w:type="dxa"/>
            </w:tcMar>
          </w:tcPr>
          <w:p>
            <w:r>
              <w:rPr>
                <w:sz w:val="16"/>
                <w:lang w:val="en-GB" w:eastAsia="en-GB" w:bidi="en-GB"/>
              </w:rPr>
              <w:t>Local code</w:t>
            </w:r>
          </w:p>
        </w:tc>
        <w:tc>
          <w:tcPr>
            <w:tcW w:type="dxa" w:w="3842"/>
            <w:vAlign w:val="center"/>
            <w:tcMar>
              <w:top w:w="80" w:type="dxa"/>
              <w:start w:w="120" w:type="dxa"/>
              <w:bottom w:w="80" w:type="dxa"/>
              <w:end w:w="120" w:type="dxa"/>
            </w:tcMar>
          </w:tcPr>
          <w:p>
            <w:r>
              <w:rPr>
                <w:sz w:val="16"/>
                <w:lang w:val="en-GB" w:eastAsia="en-GB" w:bidi="en-GB"/>
              </w:rPr>
              <w:t>Analyzers and CAG execute with process privileges</w:t>
            </w:r>
          </w:p>
        </w:tc>
        <w:tc>
          <w:tcPr>
            <w:tcW w:type="dxa" w:w="3970"/>
            <w:vAlign w:val="center"/>
            <w:tcMar>
              <w:top w:w="80" w:type="dxa"/>
              <w:start w:w="120" w:type="dxa"/>
              <w:bottom w:w="80" w:type="dxa"/>
              <w:end w:w="120" w:type="dxa"/>
            </w:tcMar>
          </w:tcPr>
          <w:p>
            <w:r>
              <w:rPr>
                <w:sz w:val="16"/>
                <w:lang w:val="en-GB" w:eastAsia="en-GB" w:bidi="en-GB"/>
              </w:rPr>
              <w:t>Authenticate and isolate both</w:t>
            </w:r>
          </w:p>
        </w:tc>
      </w:tr>
      <w:tr>
        <w:trPr>
          <w:cantSplit/>
        </w:trPr>
        <w:tc>
          <w:tcPr>
            <w:tcW w:type="dxa" w:w="1548"/>
            <w:vAlign w:val="center"/>
            <w:tcMar>
              <w:top w:w="80" w:type="dxa"/>
              <w:start w:w="120" w:type="dxa"/>
              <w:bottom w:w="80" w:type="dxa"/>
              <w:end w:w="120" w:type="dxa"/>
            </w:tcMar>
          </w:tcPr>
          <w:p>
            <w:r>
              <w:rPr>
                <w:sz w:val="16"/>
                <w:lang w:val="en-GB" w:eastAsia="en-GB" w:bidi="en-GB"/>
              </w:rPr>
              <w:t>Downstream</w:t>
            </w:r>
          </w:p>
        </w:tc>
        <w:tc>
          <w:tcPr>
            <w:tcW w:type="dxa" w:w="3842"/>
            <w:vAlign w:val="center"/>
            <w:tcMar>
              <w:top w:w="80" w:type="dxa"/>
              <w:start w:w="120" w:type="dxa"/>
              <w:bottom w:w="80" w:type="dxa"/>
              <w:end w:w="120" w:type="dxa"/>
            </w:tcMar>
          </w:tcPr>
          <w:p>
            <w:r>
              <w:rPr>
                <w:sz w:val="16"/>
                <w:lang w:val="en-GB" w:eastAsia="en-GB" w:bidi="en-GB"/>
              </w:rPr>
              <w:t>SonarQube API carries user authority</w:t>
            </w:r>
          </w:p>
        </w:tc>
        <w:tc>
          <w:tcPr>
            <w:tcW w:type="dxa" w:w="3970"/>
            <w:vAlign w:val="center"/>
            <w:tcMar>
              <w:top w:w="80" w:type="dxa"/>
              <w:start w:w="120" w:type="dxa"/>
              <w:bottom w:w="80" w:type="dxa"/>
              <w:end w:w="120" w:type="dxa"/>
            </w:tcMar>
          </w:tcPr>
          <w:p>
            <w:r>
              <w:rPr>
                <w:sz w:val="16"/>
                <w:lang w:val="en-GB" w:eastAsia="en-GB" w:bidi="en-GB"/>
              </w:rPr>
              <w:t>Use least-privilege user tokens and host allowlists</w:t>
            </w:r>
          </w:p>
        </w:tc>
      </w:tr>
    </w:tbl>
    <w:p>
      <w:pPr>
        <w:widowControl/>
      </w:pPr>
    </w:p>
    <w:p>
      <w:pPr>
        <w:pStyle w:val="Heading1"/>
        <w:widowControl/>
      </w:pPr>
      <w:r>
        <w:rPr>
          <w:lang w:val="en-GB" w:eastAsia="en-GB" w:bidi="en-GB"/>
        </w:rPr>
        <w:t>MCP Tool, Transport and Consent Review</w:t>
      </w:r>
    </w:p>
    <w:p>
      <w:pPr>
        <w:widowControl/>
      </w:pPr>
      <w:r>
        <w:rPr>
          <w:lang w:val="en-GB" w:eastAsia="en-GB" w:bidi="en-GB"/>
        </w:rPr>
        <w:t>The release conditionally exposes approximately forty-eight tools across categories. Some mutate security-governance state, webhooks or assessment records. Tool schemas set additionalProperties false, enums receive validation and the isolated run rejected an undeclared property. Server- and request-level read-only/toolset filters are cumulative, and the isolated projects-only run exposed exactly three read-only tools while rejecting a direct hidden write-tool call.</w:t>
      </w:r>
    </w:p>
    <w:p>
      <w:pPr>
        <w:widowControl/>
      </w:pPr>
      <w:r>
        <w:rPr>
          <w:lang w:val="en-GB" w:eastAsia="en-GB" w:bidi="en-GB"/>
        </w:rPr>
        <w:t>Tool annotations are nevertheless unreliable because destructiveHint is false for all tools. Read-only mode defaults to false, and one default toolset is absent from documentation. HTTP transport adds origin, bearer, shared-state and local-file risks not present in the same way for a local stdio client. Enterprise deployment should prefer local stdio or authenticated, network-restricted HTTPS with server-level read-only and explicit categories until the HTTP findings close.</w:t>
      </w:r>
    </w:p>
    <w:p>
      <w:pPr>
        <w:pStyle w:val="Caption"/>
        <w:keepLines/>
        <w:widowControl/>
      </w:pPr>
      <w:r>
        <w:rPr>
          <w:b/>
          <w:lang w:val="en-GB" w:eastAsia="en-GB" w:bidi="en-GB"/>
        </w:rPr>
        <w:t>MCP Tool, Transport and Consent Review evidence summary</w:t>
      </w:r>
    </w:p>
    <w:tbl>
      <w:tblPr>
        <w:tblStyle w:val="TableGrid"/>
        <w:tblW w:type="dxa" w:w="9360"/>
        <w:tblLayout w:type="fixed"/>
        <w:tblLook w:firstColumn="1" w:firstRow="1" w:lastColumn="0" w:lastRow="0" w:noHBand="0" w:noVBand="1" w:val="04A0"/>
        <w:tblInd w:w="120" w:type="dxa"/>
      </w:tblPr>
      <w:tblGrid>
        <w:gridCol w:w="1876"/>
        <w:gridCol w:w="3387"/>
        <w:gridCol w:w="4097"/>
      </w:tblGrid>
      <w:tr>
        <w:trPr>
          <w:tblHeader w:val="true"/>
          <w:cantSplit/>
        </w:trPr>
        <w:tc>
          <w:tcPr>
            <w:tcW w:type="dxa" w:w="1876"/>
            <w:shd w:fill="F2F4F7"/>
            <w:vAlign w:val="center"/>
            <w:tcMar>
              <w:top w:w="80" w:type="dxa"/>
              <w:start w:w="120" w:type="dxa"/>
              <w:bottom w:w="80" w:type="dxa"/>
              <w:end w:w="120" w:type="dxa"/>
            </w:tcMar>
          </w:tcPr>
          <w:p>
            <w:r>
              <w:rPr>
                <w:b/>
                <w:sz w:val="16"/>
                <w:lang w:val="en-GB" w:eastAsia="en-GB" w:bidi="en-GB"/>
              </w:rPr>
              <w:t>Evidence area</w:t>
            </w:r>
          </w:p>
        </w:tc>
        <w:tc>
          <w:tcPr>
            <w:tcW w:type="dxa" w:w="3387"/>
            <w:shd w:fill="F2F4F7"/>
            <w:vAlign w:val="center"/>
            <w:tcMar>
              <w:top w:w="80" w:type="dxa"/>
              <w:start w:w="120" w:type="dxa"/>
              <w:bottom w:w="80" w:type="dxa"/>
              <w:end w:w="120" w:type="dxa"/>
            </w:tcMar>
          </w:tcPr>
          <w:p>
            <w:r>
              <w:rPr>
                <w:b/>
                <w:sz w:val="16"/>
                <w:lang w:val="en-GB" w:eastAsia="en-GB" w:bidi="en-GB"/>
              </w:rPr>
              <w:t>Assessment result</w:t>
            </w:r>
          </w:p>
        </w:tc>
        <w:tc>
          <w:tcPr>
            <w:tcW w:type="dxa" w:w="4097"/>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76"/>
            <w:vAlign w:val="center"/>
            <w:tcMar>
              <w:top w:w="80" w:type="dxa"/>
              <w:start w:w="120" w:type="dxa"/>
              <w:bottom w:w="80" w:type="dxa"/>
              <w:end w:w="120" w:type="dxa"/>
            </w:tcMar>
          </w:tcPr>
          <w:p>
            <w:r>
              <w:rPr>
                <w:sz w:val="16"/>
                <w:lang w:val="en-GB" w:eastAsia="en-GB" w:bidi="en-GB"/>
              </w:rPr>
              <w:t>Schemas</w:t>
            </w:r>
          </w:p>
        </w:tc>
        <w:tc>
          <w:tcPr>
            <w:tcW w:type="dxa" w:w="3387"/>
            <w:vAlign w:val="center"/>
            <w:tcMar>
              <w:top w:w="80" w:type="dxa"/>
              <w:start w:w="120" w:type="dxa"/>
              <w:bottom w:w="80" w:type="dxa"/>
              <w:end w:w="120" w:type="dxa"/>
            </w:tcMar>
          </w:tcPr>
          <w:p>
            <w:r>
              <w:rPr>
                <w:sz w:val="16"/>
                <w:lang w:val="en-GB" w:eastAsia="en-GB" w:bidi="en-GB"/>
              </w:rPr>
              <w:t>Additional properties rejected</w:t>
            </w:r>
          </w:p>
        </w:tc>
        <w:tc>
          <w:tcPr>
            <w:tcW w:type="dxa" w:w="4097"/>
            <w:vAlign w:val="center"/>
            <w:tcMar>
              <w:top w:w="80" w:type="dxa"/>
              <w:start w:w="120" w:type="dxa"/>
              <w:bottom w:w="80" w:type="dxa"/>
              <w:end w:w="120" w:type="dxa"/>
            </w:tcMar>
          </w:tcPr>
          <w:p>
            <w:r>
              <w:rPr>
                <w:sz w:val="16"/>
                <w:lang w:val="en-GB" w:eastAsia="en-GB" w:bidi="en-GB"/>
              </w:rPr>
              <w:t>Retain negative validation tests</w:t>
            </w:r>
          </w:p>
        </w:tc>
      </w:tr>
      <w:tr>
        <w:trPr>
          <w:cantSplit/>
        </w:trPr>
        <w:tc>
          <w:tcPr>
            <w:tcW w:type="dxa" w:w="1876"/>
            <w:vAlign w:val="center"/>
            <w:tcMar>
              <w:top w:w="80" w:type="dxa"/>
              <w:start w:w="120" w:type="dxa"/>
              <w:bottom w:w="80" w:type="dxa"/>
              <w:end w:w="120" w:type="dxa"/>
            </w:tcMar>
          </w:tcPr>
          <w:p>
            <w:r>
              <w:rPr>
                <w:sz w:val="16"/>
                <w:lang w:val="en-GB" w:eastAsia="en-GB" w:bidi="en-GB"/>
              </w:rPr>
              <w:t>Read-only</w:t>
            </w:r>
          </w:p>
        </w:tc>
        <w:tc>
          <w:tcPr>
            <w:tcW w:type="dxa" w:w="3387"/>
            <w:vAlign w:val="center"/>
            <w:tcMar>
              <w:top w:w="80" w:type="dxa"/>
              <w:start w:w="120" w:type="dxa"/>
              <w:bottom w:w="80" w:type="dxa"/>
              <w:end w:w="120" w:type="dxa"/>
            </w:tcMar>
          </w:tcPr>
          <w:p>
            <w:r>
              <w:rPr>
                <w:sz w:val="16"/>
                <w:lang w:val="en-GB" w:eastAsia="en-GB" w:bidi="en-GB"/>
              </w:rPr>
              <w:t>Effective when set server-side</w:t>
            </w:r>
          </w:p>
        </w:tc>
        <w:tc>
          <w:tcPr>
            <w:tcW w:type="dxa" w:w="4097"/>
            <w:vAlign w:val="center"/>
            <w:tcMar>
              <w:top w:w="80" w:type="dxa"/>
              <w:start w:w="120" w:type="dxa"/>
              <w:bottom w:w="80" w:type="dxa"/>
              <w:end w:w="120" w:type="dxa"/>
            </w:tcMar>
          </w:tcPr>
          <w:p>
            <w:r>
              <w:rPr>
                <w:sz w:val="16"/>
                <w:lang w:val="en-GB" w:eastAsia="en-GB" w:bidi="en-GB"/>
              </w:rPr>
              <w:t>Make it the enterprise default</w:t>
            </w:r>
          </w:p>
        </w:tc>
      </w:tr>
      <w:tr>
        <w:trPr>
          <w:cantSplit/>
        </w:trPr>
        <w:tc>
          <w:tcPr>
            <w:tcW w:type="dxa" w:w="1876"/>
            <w:vAlign w:val="center"/>
            <w:tcMar>
              <w:top w:w="80" w:type="dxa"/>
              <w:start w:w="120" w:type="dxa"/>
              <w:bottom w:w="80" w:type="dxa"/>
              <w:end w:w="120" w:type="dxa"/>
            </w:tcMar>
          </w:tcPr>
          <w:p>
            <w:r>
              <w:rPr>
                <w:sz w:val="16"/>
                <w:lang w:val="en-GB" w:eastAsia="en-GB" w:bidi="en-GB"/>
              </w:rPr>
              <w:t>Annotations</w:t>
            </w:r>
          </w:p>
        </w:tc>
        <w:tc>
          <w:tcPr>
            <w:tcW w:type="dxa" w:w="3387"/>
            <w:vAlign w:val="center"/>
            <w:tcMar>
              <w:top w:w="80" w:type="dxa"/>
              <w:start w:w="120" w:type="dxa"/>
              <w:bottom w:w="80" w:type="dxa"/>
              <w:end w:w="120" w:type="dxa"/>
            </w:tcMar>
          </w:tcPr>
          <w:p>
            <w:r>
              <w:rPr>
                <w:sz w:val="16"/>
                <w:lang w:val="en-GB" w:eastAsia="en-GB" w:bidi="en-GB"/>
              </w:rPr>
              <w:t>Mutations understated</w:t>
            </w:r>
          </w:p>
        </w:tc>
        <w:tc>
          <w:tcPr>
            <w:tcW w:type="dxa" w:w="4097"/>
            <w:vAlign w:val="center"/>
            <w:tcMar>
              <w:top w:w="80" w:type="dxa"/>
              <w:start w:w="120" w:type="dxa"/>
              <w:bottom w:w="80" w:type="dxa"/>
              <w:end w:w="120" w:type="dxa"/>
            </w:tcMar>
          </w:tcPr>
          <w:p>
            <w:r>
              <w:rPr>
                <w:sz w:val="16"/>
                <w:lang w:val="en-GB" w:eastAsia="en-GB" w:bidi="en-GB"/>
              </w:rPr>
              <w:t>Correct hints and require confirmation</w:t>
            </w:r>
          </w:p>
        </w:tc>
      </w:tr>
    </w:tbl>
    <w:p>
      <w:pPr>
        <w:widowControl/>
      </w:pPr>
    </w:p>
    <w:p>
      <w:pPr>
        <w:pStyle w:val="Heading1"/>
        <w:widowControl/>
      </w:pPr>
      <w:r>
        <w:rPr>
          <w:lang w:val="en-GB" w:eastAsia="en-GB" w:bidi="en-GB"/>
        </w:rPr>
        <w:t>Part I — VS Code Assessment</w:t>
      </w:r>
    </w:p>
    <w:p>
      <w:pPr>
        <w:widowControl/>
      </w:pPr>
      <w:r>
        <w:rPr>
          <w:lang w:val="en-GB" w:eastAsia="en-GB" w:bidi="en-GB"/>
        </w:rPr>
        <w:t>VS Code is explicitly documented as an MCP client for this server. The install buttons configure Docker rather than install a SonarSource VSIX. Under the user's first-party requirement, the acceptable candidate is the direct sonarsource/sonarqube-mcp image pinned to the assessed digest, not the mcp/sonarqube catalogue alias. Project-scoped configuration must never contain a real token; secret input or centrally managed environment injection is preferable.</w:t>
      </w:r>
    </w:p>
    <w:p>
      <w:pPr>
        <w:widowControl/>
      </w:pPr>
      <w:r>
        <w:rPr>
          <w:lang w:val="en-GB" w:eastAsia="en-GB" w:bidi="en-GB"/>
        </w:rPr>
        <w:t>A representative VS Code UI install was not performed. The isolated protocol test establishes that a compatible MCP client can initialize, list a narrowed toolset and receive schema/read-only enforcement, but it does not verify VS Code prompts, extension-host behaviour, settings sync, workspace trust, secret storage, updates, disable/uninstall or remote-development modes. Those are mandatory closure tests before any enterprise pilot moves beyond synthetic data.</w:t>
      </w:r>
    </w:p>
    <w:p>
      <w:pPr>
        <w:pStyle w:val="Caption"/>
        <w:keepLines/>
        <w:widowControl/>
      </w:pPr>
      <w:r>
        <w:rPr>
          <w:b/>
          <w:lang w:val="en-GB" w:eastAsia="en-GB" w:bidi="en-GB"/>
        </w:rPr>
        <w:t>Part I — VS Code Assessment evidence summary</w:t>
      </w:r>
    </w:p>
    <w:tbl>
      <w:tblPr>
        <w:tblStyle w:val="TableGrid"/>
        <w:tblW w:type="dxa" w:w="9360"/>
        <w:tblLayout w:type="fixed"/>
        <w:tblLook w:firstColumn="1" w:firstRow="1" w:lastColumn="0" w:lastRow="0" w:noHBand="0" w:noVBand="1" w:val="04A0"/>
        <w:tblInd w:w="120" w:type="dxa"/>
      </w:tblPr>
      <w:tblGrid>
        <w:gridCol w:w="1507"/>
        <w:gridCol w:w="3564"/>
        <w:gridCol w:w="4289"/>
      </w:tblGrid>
      <w:tr>
        <w:trPr>
          <w:tblHeader w:val="true"/>
          <w:cantSplit/>
        </w:trPr>
        <w:tc>
          <w:tcPr>
            <w:tcW w:type="dxa" w:w="1507"/>
            <w:shd w:fill="F2F4F7"/>
            <w:vAlign w:val="center"/>
            <w:tcMar>
              <w:top w:w="80" w:type="dxa"/>
              <w:start w:w="120" w:type="dxa"/>
              <w:bottom w:w="80" w:type="dxa"/>
              <w:end w:w="120" w:type="dxa"/>
            </w:tcMar>
          </w:tcPr>
          <w:p>
            <w:r>
              <w:rPr>
                <w:b/>
                <w:sz w:val="16"/>
                <w:lang w:val="en-GB" w:eastAsia="en-GB" w:bidi="en-GB"/>
              </w:rPr>
              <w:t>Evidence area</w:t>
            </w:r>
          </w:p>
        </w:tc>
        <w:tc>
          <w:tcPr>
            <w:tcW w:type="dxa" w:w="3564"/>
            <w:shd w:fill="F2F4F7"/>
            <w:vAlign w:val="center"/>
            <w:tcMar>
              <w:top w:w="80" w:type="dxa"/>
              <w:start w:w="120" w:type="dxa"/>
              <w:bottom w:w="80" w:type="dxa"/>
              <w:end w:w="120" w:type="dxa"/>
            </w:tcMar>
          </w:tcPr>
          <w:p>
            <w:r>
              <w:rPr>
                <w:b/>
                <w:sz w:val="16"/>
                <w:lang w:val="en-GB" w:eastAsia="en-GB" w:bidi="en-GB"/>
              </w:rPr>
              <w:t>Assessment result</w:t>
            </w:r>
          </w:p>
        </w:tc>
        <w:tc>
          <w:tcPr>
            <w:tcW w:type="dxa" w:w="4289"/>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07"/>
            <w:vAlign w:val="center"/>
            <w:tcMar>
              <w:top w:w="80" w:type="dxa"/>
              <w:start w:w="120" w:type="dxa"/>
              <w:bottom w:w="80" w:type="dxa"/>
              <w:end w:w="120" w:type="dxa"/>
            </w:tcMar>
          </w:tcPr>
          <w:p>
            <w:r>
              <w:rPr>
                <w:sz w:val="16"/>
                <w:lang w:val="en-GB" w:eastAsia="en-GB" w:bidi="en-GB"/>
              </w:rPr>
              <w:t>Product form</w:t>
            </w:r>
          </w:p>
        </w:tc>
        <w:tc>
          <w:tcPr>
            <w:tcW w:type="dxa" w:w="3564"/>
            <w:vAlign w:val="center"/>
            <w:tcMar>
              <w:top w:w="80" w:type="dxa"/>
              <w:start w:w="120" w:type="dxa"/>
              <w:bottom w:w="80" w:type="dxa"/>
              <w:end w:w="120" w:type="dxa"/>
            </w:tcMar>
          </w:tcPr>
          <w:p>
            <w:r>
              <w:rPr>
                <w:sz w:val="16"/>
                <w:lang w:val="en-GB" w:eastAsia="en-GB" w:bidi="en-GB"/>
              </w:rPr>
              <w:t>MCP server configuration, not VS Code extension</w:t>
            </w:r>
          </w:p>
        </w:tc>
        <w:tc>
          <w:tcPr>
            <w:tcW w:type="dxa" w:w="4289"/>
            <w:vAlign w:val="center"/>
            <w:tcMar>
              <w:top w:w="80" w:type="dxa"/>
              <w:start w:w="120" w:type="dxa"/>
              <w:bottom w:w="80" w:type="dxa"/>
              <w:end w:w="120" w:type="dxa"/>
            </w:tcMar>
          </w:tcPr>
          <w:p>
            <w:r>
              <w:rPr>
                <w:sz w:val="16"/>
                <w:lang w:val="en-GB" w:eastAsia="en-GB" w:bidi="en-GB"/>
              </w:rPr>
              <w:t>Do not search for or approve a nonexistent SonarSource VSIX</w:t>
            </w:r>
          </w:p>
        </w:tc>
      </w:tr>
      <w:tr>
        <w:trPr>
          <w:cantSplit/>
        </w:trPr>
        <w:tc>
          <w:tcPr>
            <w:tcW w:type="dxa" w:w="1507"/>
            <w:vAlign w:val="center"/>
            <w:tcMar>
              <w:top w:w="80" w:type="dxa"/>
              <w:start w:w="120" w:type="dxa"/>
              <w:bottom w:w="80" w:type="dxa"/>
              <w:end w:w="120" w:type="dxa"/>
            </w:tcMar>
          </w:tcPr>
          <w:p>
            <w:r>
              <w:rPr>
                <w:sz w:val="16"/>
                <w:lang w:val="en-GB" w:eastAsia="en-GB" w:bidi="en-GB"/>
              </w:rPr>
              <w:t>Image</w:t>
            </w:r>
          </w:p>
        </w:tc>
        <w:tc>
          <w:tcPr>
            <w:tcW w:type="dxa" w:w="3564"/>
            <w:vAlign w:val="center"/>
            <w:tcMar>
              <w:top w:w="80" w:type="dxa"/>
              <w:start w:w="120" w:type="dxa"/>
              <w:bottom w:w="80" w:type="dxa"/>
              <w:end w:w="120" w:type="dxa"/>
            </w:tcMar>
          </w:tcPr>
          <w:p>
            <w:r>
              <w:rPr>
                <w:sz w:val="16"/>
                <w:lang w:val="en-GB" w:eastAsia="en-GB" w:bidi="en-GB"/>
              </w:rPr>
              <w:t>Direct SonarSource digest only</w:t>
            </w:r>
          </w:p>
        </w:tc>
        <w:tc>
          <w:tcPr>
            <w:tcW w:type="dxa" w:w="4289"/>
            <w:vAlign w:val="center"/>
            <w:tcMar>
              <w:top w:w="80" w:type="dxa"/>
              <w:start w:w="120" w:type="dxa"/>
              <w:bottom w:w="80" w:type="dxa"/>
              <w:end w:w="120" w:type="dxa"/>
            </w:tcMar>
          </w:tcPr>
          <w:p>
            <w:r>
              <w:rPr>
                <w:sz w:val="16"/>
                <w:lang w:val="en-GB" w:eastAsia="en-GB" w:bidi="en-GB"/>
              </w:rPr>
              <w:t>Reject mutable alias and pull-always policy</w:t>
            </w:r>
          </w:p>
        </w:tc>
      </w:tr>
      <w:tr>
        <w:trPr>
          <w:cantSplit/>
        </w:trPr>
        <w:tc>
          <w:tcPr>
            <w:tcW w:type="dxa" w:w="1507"/>
            <w:vAlign w:val="center"/>
            <w:tcMar>
              <w:top w:w="80" w:type="dxa"/>
              <w:start w:w="120" w:type="dxa"/>
              <w:bottom w:w="80" w:type="dxa"/>
              <w:end w:w="120" w:type="dxa"/>
            </w:tcMar>
          </w:tcPr>
          <w:p>
            <w:r>
              <w:rPr>
                <w:sz w:val="16"/>
                <w:lang w:val="en-GB" w:eastAsia="en-GB" w:bidi="en-GB"/>
              </w:rPr>
              <w:t>Runtime</w:t>
            </w:r>
          </w:p>
        </w:tc>
        <w:tc>
          <w:tcPr>
            <w:tcW w:type="dxa" w:w="3564"/>
            <w:vAlign w:val="center"/>
            <w:tcMar>
              <w:top w:w="80" w:type="dxa"/>
              <w:start w:w="120" w:type="dxa"/>
              <w:bottom w:w="80" w:type="dxa"/>
              <w:end w:w="120" w:type="dxa"/>
            </w:tcMar>
          </w:tcPr>
          <w:p>
            <w:r>
              <w:rPr>
                <w:sz w:val="16"/>
                <w:lang w:val="en-GB" w:eastAsia="en-GB" w:bidi="en-GB"/>
              </w:rPr>
              <w:t>Protocol-level partial evidence</w:t>
            </w:r>
          </w:p>
        </w:tc>
        <w:tc>
          <w:tcPr>
            <w:tcW w:type="dxa" w:w="4289"/>
            <w:vAlign w:val="center"/>
            <w:tcMar>
              <w:top w:w="80" w:type="dxa"/>
              <w:start w:w="120" w:type="dxa"/>
              <w:bottom w:w="80" w:type="dxa"/>
              <w:end w:w="120" w:type="dxa"/>
            </w:tcMar>
          </w:tcPr>
          <w:p>
            <w:r>
              <w:rPr>
                <w:sz w:val="16"/>
                <w:lang w:val="en-GB" w:eastAsia="en-GB" w:bidi="en-GB"/>
              </w:rPr>
              <w:t>Complete VS Code UI and lifecycle tests</w:t>
            </w:r>
          </w:p>
        </w:tc>
      </w:tr>
    </w:tbl>
    <w:p>
      <w:pPr>
        <w:widowControl/>
      </w:pPr>
    </w:p>
    <w:p>
      <w:pPr>
        <w:pStyle w:val="Heading1"/>
        <w:widowControl/>
      </w:pPr>
      <w:r>
        <w:rPr>
          <w:lang w:val="en-GB" w:eastAsia="en-GB" w:bidi="en-GB"/>
        </w:rPr>
        <w:t>VS Code Secure Configuration Baseline</w:t>
      </w:r>
    </w:p>
    <w:p>
      <w:pPr>
        <w:widowControl/>
      </w:pPr>
      <w:r>
        <w:rPr>
          <w:lang w:val="en-GB" w:eastAsia="en-GB" w:bidi="en-GB"/>
        </w:rPr>
        <w:t>The minimum configuration uses the exact OCI digest, SONARQUBE_READ_ONLY=true, the smallest SONARQUBE_TOOLSETS set, TELEMETRY_DISABLED=true until privacy approval, a purpose-limited SonarQube user token and no workspace mount unless local analysis is explicitly approved. Docker should run read-only with dropped capabilities, no-new-privileges, bounded memory/PIDs/CPU and a private outbound policy limited to the approved SonarQube host.</w:t>
      </w:r>
    </w:p>
    <w:p>
      <w:pPr>
        <w:widowControl/>
      </w:pPr>
      <w:r>
        <w:rPr>
          <w:lang w:val="en-GB" w:eastAsia="en-GB" w:bidi="en-GB"/>
        </w:rPr>
        <w:t>Updates must be separated from startup. Remove --pull=always, verify the new manifest, signatures, SBOM, provenance, advisories and changed tool inventory, then approve the digest through change control. Repository settings must not override the centrally approved command, image, endpoints or credentials. A stop switch should revoke the token, remove the MCP configuration and block the digest while preserving privacy-safe audit evidence.</w:t>
      </w:r>
    </w:p>
    <w:p>
      <w:pPr>
        <w:pStyle w:val="Caption"/>
        <w:keepLines/>
        <w:widowControl/>
      </w:pPr>
      <w:r>
        <w:rPr>
          <w:b/>
          <w:lang w:val="en-GB" w:eastAsia="en-GB" w:bidi="en-GB"/>
        </w:rPr>
        <w:t>VS Code Secure Configuration Baseline evidence summary</w:t>
      </w:r>
    </w:p>
    <w:tbl>
      <w:tblPr>
        <w:tblStyle w:val="TableGrid"/>
        <w:tblW w:type="dxa" w:w="9360"/>
        <w:tblLayout w:type="fixed"/>
        <w:tblLook w:firstColumn="1" w:firstRow="1" w:lastColumn="0" w:lastRow="0" w:noHBand="0" w:noVBand="1" w:val="04A0"/>
        <w:tblInd w:w="120" w:type="dxa"/>
      </w:tblPr>
      <w:tblGrid>
        <w:gridCol w:w="1638"/>
        <w:gridCol w:w="4108"/>
        <w:gridCol w:w="3614"/>
      </w:tblGrid>
      <w:tr>
        <w:trPr>
          <w:tblHeader w:val="true"/>
          <w:cantSplit/>
        </w:trPr>
        <w:tc>
          <w:tcPr>
            <w:tcW w:type="dxa" w:w="1638"/>
            <w:shd w:fill="F2F4F7"/>
            <w:vAlign w:val="center"/>
            <w:tcMar>
              <w:top w:w="80" w:type="dxa"/>
              <w:start w:w="120" w:type="dxa"/>
              <w:bottom w:w="80" w:type="dxa"/>
              <w:end w:w="120" w:type="dxa"/>
            </w:tcMar>
          </w:tcPr>
          <w:p>
            <w:r>
              <w:rPr>
                <w:b/>
                <w:sz w:val="16"/>
                <w:lang w:val="en-GB" w:eastAsia="en-GB" w:bidi="en-GB"/>
              </w:rPr>
              <w:t>Evidence area</w:t>
            </w:r>
          </w:p>
        </w:tc>
        <w:tc>
          <w:tcPr>
            <w:tcW w:type="dxa" w:w="4108"/>
            <w:shd w:fill="F2F4F7"/>
            <w:vAlign w:val="center"/>
            <w:tcMar>
              <w:top w:w="80" w:type="dxa"/>
              <w:start w:w="120" w:type="dxa"/>
              <w:bottom w:w="80" w:type="dxa"/>
              <w:end w:w="120" w:type="dxa"/>
            </w:tcMar>
          </w:tcPr>
          <w:p>
            <w:r>
              <w:rPr>
                <w:b/>
                <w:sz w:val="16"/>
                <w:lang w:val="en-GB" w:eastAsia="en-GB" w:bidi="en-GB"/>
              </w:rPr>
              <w:t>Assessment result</w:t>
            </w:r>
          </w:p>
        </w:tc>
        <w:tc>
          <w:tcPr>
            <w:tcW w:type="dxa" w:w="3614"/>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38"/>
            <w:vAlign w:val="center"/>
            <w:tcMar>
              <w:top w:w="80" w:type="dxa"/>
              <w:start w:w="120" w:type="dxa"/>
              <w:bottom w:w="80" w:type="dxa"/>
              <w:end w:w="120" w:type="dxa"/>
            </w:tcMar>
          </w:tcPr>
          <w:p>
            <w:r>
              <w:rPr>
                <w:sz w:val="16"/>
                <w:lang w:val="en-GB" w:eastAsia="en-GB" w:bidi="en-GB"/>
              </w:rPr>
              <w:t>Privileges</w:t>
            </w:r>
          </w:p>
        </w:tc>
        <w:tc>
          <w:tcPr>
            <w:tcW w:type="dxa" w:w="4108"/>
            <w:vAlign w:val="center"/>
            <w:tcMar>
              <w:top w:w="80" w:type="dxa"/>
              <w:start w:w="120" w:type="dxa"/>
              <w:bottom w:w="80" w:type="dxa"/>
              <w:end w:w="120" w:type="dxa"/>
            </w:tcMar>
          </w:tcPr>
          <w:p>
            <w:r>
              <w:rPr>
                <w:sz w:val="16"/>
                <w:lang w:val="en-GB" w:eastAsia="en-GB" w:bidi="en-GB"/>
              </w:rPr>
              <w:t>Read-only, narrow toolsets and bounded container</w:t>
            </w:r>
          </w:p>
        </w:tc>
        <w:tc>
          <w:tcPr>
            <w:tcW w:type="dxa" w:w="3614"/>
            <w:vAlign w:val="center"/>
            <w:tcMar>
              <w:top w:w="80" w:type="dxa"/>
              <w:start w:w="120" w:type="dxa"/>
              <w:bottom w:w="80" w:type="dxa"/>
              <w:end w:w="120" w:type="dxa"/>
            </w:tcMar>
          </w:tcPr>
          <w:p>
            <w:r>
              <w:rPr>
                <w:sz w:val="16"/>
                <w:lang w:val="en-GB" w:eastAsia="en-GB" w:bidi="en-GB"/>
              </w:rPr>
              <w:t>Enforce centrally</w:t>
            </w:r>
          </w:p>
        </w:tc>
      </w:tr>
      <w:tr>
        <w:trPr>
          <w:cantSplit/>
        </w:trPr>
        <w:tc>
          <w:tcPr>
            <w:tcW w:type="dxa" w:w="1638"/>
            <w:vAlign w:val="center"/>
            <w:tcMar>
              <w:top w:w="80" w:type="dxa"/>
              <w:start w:w="120" w:type="dxa"/>
              <w:bottom w:w="80" w:type="dxa"/>
              <w:end w:w="120" w:type="dxa"/>
            </w:tcMar>
          </w:tcPr>
          <w:p>
            <w:r>
              <w:rPr>
                <w:sz w:val="16"/>
                <w:lang w:val="en-GB" w:eastAsia="en-GB" w:bidi="en-GB"/>
              </w:rPr>
              <w:t>Credential</w:t>
            </w:r>
          </w:p>
        </w:tc>
        <w:tc>
          <w:tcPr>
            <w:tcW w:type="dxa" w:w="4108"/>
            <w:vAlign w:val="center"/>
            <w:tcMar>
              <w:top w:w="80" w:type="dxa"/>
              <w:start w:w="120" w:type="dxa"/>
              <w:bottom w:w="80" w:type="dxa"/>
              <w:end w:w="120" w:type="dxa"/>
            </w:tcMar>
          </w:tcPr>
          <w:p>
            <w:r>
              <w:rPr>
                <w:sz w:val="16"/>
                <w:lang w:val="en-GB" w:eastAsia="en-GB" w:bidi="en-GB"/>
              </w:rPr>
              <w:t>Purpose-limited user token</w:t>
            </w:r>
          </w:p>
        </w:tc>
        <w:tc>
          <w:tcPr>
            <w:tcW w:type="dxa" w:w="3614"/>
            <w:vAlign w:val="center"/>
            <w:tcMar>
              <w:top w:w="80" w:type="dxa"/>
              <w:start w:w="120" w:type="dxa"/>
              <w:bottom w:w="80" w:type="dxa"/>
              <w:end w:w="120" w:type="dxa"/>
            </w:tcMar>
          </w:tcPr>
          <w:p>
            <w:r>
              <w:rPr>
                <w:sz w:val="16"/>
                <w:lang w:val="en-GB" w:eastAsia="en-GB" w:bidi="en-GB"/>
              </w:rPr>
              <w:t>Store outside repository files and rotate</w:t>
            </w:r>
          </w:p>
        </w:tc>
      </w:tr>
      <w:tr>
        <w:trPr>
          <w:cantSplit/>
        </w:trPr>
        <w:tc>
          <w:tcPr>
            <w:tcW w:type="dxa" w:w="1638"/>
            <w:vAlign w:val="center"/>
            <w:tcMar>
              <w:top w:w="80" w:type="dxa"/>
              <w:start w:w="120" w:type="dxa"/>
              <w:bottom w:w="80" w:type="dxa"/>
              <w:end w:w="120" w:type="dxa"/>
            </w:tcMar>
          </w:tcPr>
          <w:p>
            <w:r>
              <w:rPr>
                <w:sz w:val="16"/>
                <w:lang w:val="en-GB" w:eastAsia="en-GB" w:bidi="en-GB"/>
              </w:rPr>
              <w:t>Update</w:t>
            </w:r>
          </w:p>
        </w:tc>
        <w:tc>
          <w:tcPr>
            <w:tcW w:type="dxa" w:w="4108"/>
            <w:vAlign w:val="center"/>
            <w:tcMar>
              <w:top w:w="80" w:type="dxa"/>
              <w:start w:w="120" w:type="dxa"/>
              <w:bottom w:w="80" w:type="dxa"/>
              <w:end w:w="120" w:type="dxa"/>
            </w:tcMar>
          </w:tcPr>
          <w:p>
            <w:r>
              <w:rPr>
                <w:sz w:val="16"/>
                <w:lang w:val="en-GB" w:eastAsia="en-GB" w:bidi="en-GB"/>
              </w:rPr>
              <w:t>Digest-gated change control</w:t>
            </w:r>
          </w:p>
        </w:tc>
        <w:tc>
          <w:tcPr>
            <w:tcW w:type="dxa" w:w="3614"/>
            <w:vAlign w:val="center"/>
            <w:tcMar>
              <w:top w:w="80" w:type="dxa"/>
              <w:start w:w="120" w:type="dxa"/>
              <w:bottom w:w="80" w:type="dxa"/>
              <w:end w:w="120" w:type="dxa"/>
            </w:tcMar>
          </w:tcPr>
          <w:p>
            <w:r>
              <w:rPr>
                <w:sz w:val="16"/>
                <w:lang w:val="en-GB" w:eastAsia="en-GB" w:bidi="en-GB"/>
              </w:rPr>
              <w:t>Prohibit automatic mutable pulls</w:t>
            </w:r>
          </w:p>
        </w:tc>
      </w:tr>
    </w:tbl>
    <w:p>
      <w:pPr>
        <w:widowControl/>
      </w:pPr>
    </w:p>
    <w:p>
      <w:pPr>
        <w:pStyle w:val="Heading1"/>
        <w:widowControl/>
      </w:pPr>
      <w:r>
        <w:rPr>
          <w:lang w:val="en-GB" w:eastAsia="en-GB" w:bidi="en-GB"/>
        </w:rPr>
        <w:t>VS Code Self-Contained Assessment Summary</w:t>
      </w:r>
    </w:p>
    <w:p>
      <w:pPr>
        <w:widowControl/>
      </w:pPr>
      <w:r>
        <w:rPr>
          <w:lang w:val="en-GB" w:eastAsia="en-GB" w:bidi="en-GB"/>
        </w:rPr>
        <w:t>Decision and approval: Defer pending evidence with High residual risk. Purpose and function: the MCP server supplies SonarQube tools to VS Code rather than installing a SonarSource extension. Architecture, trust boundaries and data flows include the VS Code MCP client, Docker or Java process, local workspace, SonarQube API, analyzer downloads, CAG and telemetry. The installation manifest is an MCP configuration; uninstall means removing that configuration, revoking the token, stopping/removing the approved container and verifying residue. Runtime and activation evidence is partial.</w:t>
      </w:r>
    </w:p>
    <w:p>
      <w:pPr>
        <w:widowControl/>
      </w:pPr>
      <w:r>
        <w:rPr>
          <w:lang w:val="en-GB" w:eastAsia="en-GB" w:bidi="en-GB"/>
        </w:rPr>
        <w:t>Network and authentication must be restricted to approved HTTPS SonarQube endpoints and a purpose-limited user token. Telemetry and privacy remain conditional and telemetry should stay disabled. MCP and Agent Skills disposition: MCP is directly applicable and no bundled Agent Skill was observed. Supply chain and dependencies include the signed JAR, pinned OCI digest, native CAG and affected Jackson lines. Threats and findings, OWASP framework mapping, controls and detection, residual risk, confidence, limitations, evidence and verification tests are recorded in the corresponding consolidated sections and remain binding on any VS Code pilot.</w:t>
      </w:r>
    </w:p>
    <w:p>
      <w:pPr>
        <w:pStyle w:val="Caption"/>
        <w:keepLines/>
        <w:widowControl/>
      </w:pPr>
      <w:r>
        <w:rPr>
          <w:b/>
          <w:lang w:val="en-GB" w:eastAsia="en-GB" w:bidi="en-GB"/>
        </w:rPr>
        <w:t>VS Code Self-Contained Assessment Summary evidence summary</w:t>
      </w:r>
    </w:p>
    <w:tbl>
      <w:tblPr>
        <w:tblStyle w:val="TableGrid"/>
        <w:tblW w:type="dxa" w:w="9360"/>
        <w:tblLayout w:type="fixed"/>
        <w:tblLook w:firstColumn="1" w:firstRow="1" w:lastColumn="0" w:lastRow="0" w:noHBand="0" w:noVBand="1" w:val="04A0"/>
        <w:tblInd w:w="120" w:type="dxa"/>
      </w:tblPr>
      <w:tblGrid>
        <w:gridCol w:w="1587"/>
        <w:gridCol w:w="4120"/>
        <w:gridCol w:w="3653"/>
      </w:tblGrid>
      <w:tr>
        <w:trPr>
          <w:tblHeader w:val="true"/>
          <w:cantSplit/>
        </w:trPr>
        <w:tc>
          <w:tcPr>
            <w:tcW w:type="dxa" w:w="1587"/>
            <w:shd w:fill="F2F4F7"/>
            <w:vAlign w:val="center"/>
            <w:tcMar>
              <w:top w:w="80" w:type="dxa"/>
              <w:start w:w="120" w:type="dxa"/>
              <w:bottom w:w="80" w:type="dxa"/>
              <w:end w:w="120" w:type="dxa"/>
            </w:tcMar>
          </w:tcPr>
          <w:p>
            <w:r>
              <w:rPr>
                <w:b/>
                <w:sz w:val="16"/>
                <w:lang w:val="en-GB" w:eastAsia="en-GB" w:bidi="en-GB"/>
              </w:rPr>
              <w:t>Evidence area</w:t>
            </w:r>
          </w:p>
        </w:tc>
        <w:tc>
          <w:tcPr>
            <w:tcW w:type="dxa" w:w="4120"/>
            <w:shd w:fill="F2F4F7"/>
            <w:vAlign w:val="center"/>
            <w:tcMar>
              <w:top w:w="80" w:type="dxa"/>
              <w:start w:w="120" w:type="dxa"/>
              <w:bottom w:w="80" w:type="dxa"/>
              <w:end w:w="120" w:type="dxa"/>
            </w:tcMar>
          </w:tcPr>
          <w:p>
            <w:r>
              <w:rPr>
                <w:b/>
                <w:sz w:val="16"/>
                <w:lang w:val="en-GB" w:eastAsia="en-GB" w:bidi="en-GB"/>
              </w:rPr>
              <w:t>Assessment result</w:t>
            </w:r>
          </w:p>
        </w:tc>
        <w:tc>
          <w:tcPr>
            <w:tcW w:type="dxa" w:w="365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87"/>
            <w:vAlign w:val="center"/>
            <w:tcMar>
              <w:top w:w="80" w:type="dxa"/>
              <w:start w:w="120" w:type="dxa"/>
              <w:bottom w:w="80" w:type="dxa"/>
              <w:end w:w="120" w:type="dxa"/>
            </w:tcMar>
          </w:tcPr>
          <w:p>
            <w:r>
              <w:rPr>
                <w:sz w:val="16"/>
                <w:lang w:val="en-GB" w:eastAsia="en-GB" w:bidi="en-GB"/>
              </w:rPr>
              <w:t>Approval</w:t>
            </w:r>
          </w:p>
        </w:tc>
        <w:tc>
          <w:tcPr>
            <w:tcW w:type="dxa" w:w="4120"/>
            <w:vAlign w:val="center"/>
            <w:tcMar>
              <w:top w:w="80" w:type="dxa"/>
              <w:start w:w="120" w:type="dxa"/>
              <w:bottom w:w="80" w:type="dxa"/>
              <w:end w:w="120" w:type="dxa"/>
            </w:tcMar>
          </w:tcPr>
          <w:p>
            <w:r>
              <w:rPr>
                <w:sz w:val="16"/>
                <w:lang w:val="en-GB" w:eastAsia="en-GB" w:bidi="en-GB"/>
              </w:rPr>
              <w:t>Defer; High residual risk</w:t>
            </w:r>
          </w:p>
        </w:tc>
        <w:tc>
          <w:tcPr>
            <w:tcW w:type="dxa" w:w="3653"/>
            <w:vAlign w:val="center"/>
            <w:tcMar>
              <w:top w:w="80" w:type="dxa"/>
              <w:start w:w="120" w:type="dxa"/>
              <w:bottom w:w="80" w:type="dxa"/>
              <w:end w:w="120" w:type="dxa"/>
            </w:tcMar>
          </w:tcPr>
          <w:p>
            <w:r>
              <w:rPr>
                <w:sz w:val="16"/>
                <w:lang w:val="en-GB" w:eastAsia="en-GB" w:bidi="en-GB"/>
              </w:rPr>
              <w:t>Close P1 findings</w:t>
            </w:r>
          </w:p>
        </w:tc>
      </w:tr>
      <w:tr>
        <w:trPr>
          <w:cantSplit/>
        </w:trPr>
        <w:tc>
          <w:tcPr>
            <w:tcW w:type="dxa" w:w="1587"/>
            <w:vAlign w:val="center"/>
            <w:tcMar>
              <w:top w:w="80" w:type="dxa"/>
              <w:start w:w="120" w:type="dxa"/>
              <w:bottom w:w="80" w:type="dxa"/>
              <w:end w:w="120" w:type="dxa"/>
            </w:tcMar>
          </w:tcPr>
          <w:p>
            <w:r>
              <w:rPr>
                <w:sz w:val="16"/>
                <w:lang w:val="en-GB" w:eastAsia="en-GB" w:bidi="en-GB"/>
              </w:rPr>
              <w:t>Lifecycle</w:t>
            </w:r>
          </w:p>
        </w:tc>
        <w:tc>
          <w:tcPr>
            <w:tcW w:type="dxa" w:w="4120"/>
            <w:vAlign w:val="center"/>
            <w:tcMar>
              <w:top w:w="80" w:type="dxa"/>
              <w:start w:w="120" w:type="dxa"/>
              <w:bottom w:w="80" w:type="dxa"/>
              <w:end w:w="120" w:type="dxa"/>
            </w:tcMar>
          </w:tcPr>
          <w:p>
            <w:r>
              <w:rPr>
                <w:sz w:val="16"/>
                <w:lang w:val="en-GB" w:eastAsia="en-GB" w:bidi="en-GB"/>
              </w:rPr>
              <w:t>Config/install, activation and uninstall incomplete</w:t>
            </w:r>
          </w:p>
        </w:tc>
        <w:tc>
          <w:tcPr>
            <w:tcW w:type="dxa" w:w="3653"/>
            <w:vAlign w:val="center"/>
            <w:tcMar>
              <w:top w:w="80" w:type="dxa"/>
              <w:start w:w="120" w:type="dxa"/>
              <w:bottom w:w="80" w:type="dxa"/>
              <w:end w:w="120" w:type="dxa"/>
            </w:tcMar>
          </w:tcPr>
          <w:p>
            <w:r>
              <w:rPr>
                <w:sz w:val="16"/>
                <w:lang w:val="en-GB" w:eastAsia="en-GB" w:bidi="en-GB"/>
              </w:rPr>
              <w:t>Run representative UI/lifecycle verification</w:t>
            </w:r>
          </w:p>
        </w:tc>
      </w:tr>
      <w:tr>
        <w:trPr>
          <w:cantSplit/>
        </w:trPr>
        <w:tc>
          <w:tcPr>
            <w:tcW w:type="dxa" w:w="1587"/>
            <w:vAlign w:val="center"/>
            <w:tcMar>
              <w:top w:w="80" w:type="dxa"/>
              <w:start w:w="120" w:type="dxa"/>
              <w:bottom w:w="80" w:type="dxa"/>
              <w:end w:w="120" w:type="dxa"/>
            </w:tcMar>
          </w:tcPr>
          <w:p>
            <w:r>
              <w:rPr>
                <w:sz w:val="16"/>
                <w:lang w:val="en-GB" w:eastAsia="en-GB" w:bidi="en-GB"/>
              </w:rPr>
              <w:t>Evidence</w:t>
            </w:r>
          </w:p>
        </w:tc>
        <w:tc>
          <w:tcPr>
            <w:tcW w:type="dxa" w:w="4120"/>
            <w:vAlign w:val="center"/>
            <w:tcMar>
              <w:top w:w="80" w:type="dxa"/>
              <w:start w:w="120" w:type="dxa"/>
              <w:bottom w:w="80" w:type="dxa"/>
              <w:end w:w="120" w:type="dxa"/>
            </w:tcMar>
          </w:tcPr>
          <w:p>
            <w:r>
              <w:rPr>
                <w:sz w:val="16"/>
                <w:lang w:val="en-GB" w:eastAsia="en-GB" w:bidi="en-GB"/>
              </w:rPr>
              <w:t>Protocol controls pass; important branches deferred</w:t>
            </w:r>
          </w:p>
        </w:tc>
        <w:tc>
          <w:tcPr>
            <w:tcW w:type="dxa" w:w="3653"/>
            <w:vAlign w:val="center"/>
            <w:tcMar>
              <w:top w:w="80" w:type="dxa"/>
              <w:start w:w="120" w:type="dxa"/>
              <w:bottom w:w="80" w:type="dxa"/>
              <w:end w:w="120" w:type="dxa"/>
            </w:tcMar>
          </w:tcPr>
          <w:p>
            <w:r>
              <w:rPr>
                <w:sz w:val="16"/>
                <w:lang w:val="en-GB" w:eastAsia="en-GB" w:bidi="en-GB"/>
              </w:rPr>
              <w:t>Retain synthetic closure evidence</w:t>
            </w:r>
          </w:p>
        </w:tc>
      </w:tr>
    </w:tbl>
    <w:p>
      <w:pPr>
        <w:widowControl/>
      </w:pPr>
    </w:p>
    <w:p>
      <w:pPr>
        <w:pStyle w:val="Heading1"/>
        <w:widowControl/>
      </w:pPr>
      <w:r>
        <w:rPr>
          <w:lang w:val="en-GB" w:eastAsia="en-GB" w:bidi="en-GB"/>
        </w:rPr>
        <w:t>Part II — Microsoft Visual Studio Assessment</w:t>
      </w:r>
    </w:p>
    <w:p>
      <w:pPr>
        <w:widowControl/>
      </w:pPr>
      <w:r>
        <w:rPr>
          <w:lang w:val="en-GB" w:eastAsia="en-GB" w:bidi="en-GB"/>
        </w:rPr>
        <w:t>No first-party SonarQube MCP extension or documented full Microsoft Visual Studio integration was established for this target. The repository and install documentation describe MCP hosts including VS Code, Claude Code, Codex and related clients, but not a Visual Studio VSIX or Visual Studio-specific MCP host configuration. The correct status is Not observed and unsupported for this assessment, not equivalent support inferred from the word Visual Studio Code.</w:t>
      </w:r>
    </w:p>
    <w:p>
      <w:pPr>
        <w:widowControl/>
      </w:pPr>
      <w:r>
        <w:rPr>
          <w:lang w:val="en-GB" w:eastAsia="en-GB" w:bidi="en-GB"/>
        </w:rPr>
        <w:t>No Visual Studio installer, MEF component, command surface, credential store, webview, update channel or Windows runtime was tested. If SonarSource later publishes a separate Visual Studio product, it must be assessed under its exact Marketplace name, publisher, identifier, version, package, privileges and update mechanism. A third-party bridge cannot inherit this report's first-party provenance or approval consideration.</w:t>
      </w:r>
    </w:p>
    <w:p>
      <w:pPr>
        <w:pStyle w:val="Caption"/>
        <w:keepLines/>
        <w:widowControl/>
      </w:pPr>
      <w:r>
        <w:rPr>
          <w:b/>
          <w:lang w:val="en-GB" w:eastAsia="en-GB" w:bidi="en-GB"/>
        </w:rPr>
        <w:t>Part II — Microsoft Visual Studio Assessment evidence summary</w:t>
      </w:r>
    </w:p>
    <w:tbl>
      <w:tblPr>
        <w:tblStyle w:val="TableGrid"/>
        <w:tblW w:type="dxa" w:w="9360"/>
        <w:tblLayout w:type="fixed"/>
        <w:tblLook w:firstColumn="1" w:firstRow="1" w:lastColumn="0" w:lastRow="0" w:noHBand="0" w:noVBand="1" w:val="04A0"/>
        <w:tblInd w:w="120" w:type="dxa"/>
      </w:tblPr>
      <w:tblGrid>
        <w:gridCol w:w="2329"/>
        <w:gridCol w:w="3401"/>
        <w:gridCol w:w="3630"/>
      </w:tblGrid>
      <w:tr>
        <w:trPr>
          <w:tblHeader w:val="true"/>
          <w:cantSplit/>
        </w:trPr>
        <w:tc>
          <w:tcPr>
            <w:tcW w:type="dxa" w:w="2329"/>
            <w:shd w:fill="F2F4F7"/>
            <w:vAlign w:val="center"/>
            <w:tcMar>
              <w:top w:w="80" w:type="dxa"/>
              <w:start w:w="120" w:type="dxa"/>
              <w:bottom w:w="80" w:type="dxa"/>
              <w:end w:w="120" w:type="dxa"/>
            </w:tcMar>
          </w:tcPr>
          <w:p>
            <w:r>
              <w:rPr>
                <w:b/>
                <w:sz w:val="16"/>
                <w:lang w:val="en-GB" w:eastAsia="en-GB" w:bidi="en-GB"/>
              </w:rPr>
              <w:t>Evidence area</w:t>
            </w:r>
          </w:p>
        </w:tc>
        <w:tc>
          <w:tcPr>
            <w:tcW w:type="dxa" w:w="3401"/>
            <w:shd w:fill="F2F4F7"/>
            <w:vAlign w:val="center"/>
            <w:tcMar>
              <w:top w:w="80" w:type="dxa"/>
              <w:start w:w="120" w:type="dxa"/>
              <w:bottom w:w="80" w:type="dxa"/>
              <w:end w:w="120" w:type="dxa"/>
            </w:tcMar>
          </w:tcPr>
          <w:p>
            <w:r>
              <w:rPr>
                <w:b/>
                <w:sz w:val="16"/>
                <w:lang w:val="en-GB" w:eastAsia="en-GB" w:bidi="en-GB"/>
              </w:rPr>
              <w:t>Assessment result</w:t>
            </w:r>
          </w:p>
        </w:tc>
        <w:tc>
          <w:tcPr>
            <w:tcW w:type="dxa" w:w="3630"/>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329"/>
            <w:vAlign w:val="center"/>
            <w:tcMar>
              <w:top w:w="80" w:type="dxa"/>
              <w:start w:w="120" w:type="dxa"/>
              <w:bottom w:w="80" w:type="dxa"/>
              <w:end w:w="120" w:type="dxa"/>
            </w:tcMar>
          </w:tcPr>
          <w:p>
            <w:r>
              <w:rPr>
                <w:sz w:val="16"/>
                <w:lang w:val="en-GB" w:eastAsia="en-GB" w:bidi="en-GB"/>
              </w:rPr>
              <w:t>First-party extension</w:t>
            </w:r>
          </w:p>
        </w:tc>
        <w:tc>
          <w:tcPr>
            <w:tcW w:type="dxa" w:w="3401"/>
            <w:vAlign w:val="center"/>
            <w:tcMar>
              <w:top w:w="80" w:type="dxa"/>
              <w:start w:w="120" w:type="dxa"/>
              <w:bottom w:w="80" w:type="dxa"/>
              <w:end w:w="120" w:type="dxa"/>
            </w:tcMar>
          </w:tcPr>
          <w:p>
            <w:r>
              <w:rPr>
                <w:sz w:val="16"/>
                <w:lang w:val="en-GB" w:eastAsia="en-GB" w:bidi="en-GB"/>
              </w:rPr>
              <w:t>Not observed</w:t>
            </w:r>
          </w:p>
        </w:tc>
        <w:tc>
          <w:tcPr>
            <w:tcW w:type="dxa" w:w="3630"/>
            <w:vAlign w:val="center"/>
            <w:tcMar>
              <w:top w:w="80" w:type="dxa"/>
              <w:start w:w="120" w:type="dxa"/>
              <w:bottom w:w="80" w:type="dxa"/>
              <w:end w:w="120" w:type="dxa"/>
            </w:tcMar>
          </w:tcPr>
          <w:p>
            <w:r>
              <w:rPr>
                <w:sz w:val="16"/>
                <w:lang w:val="en-GB" w:eastAsia="en-GB" w:bidi="en-GB"/>
              </w:rPr>
              <w:t>Do not approve by name similarity</w:t>
            </w:r>
          </w:p>
        </w:tc>
      </w:tr>
      <w:tr>
        <w:trPr>
          <w:cantSplit/>
        </w:trPr>
        <w:tc>
          <w:tcPr>
            <w:tcW w:type="dxa" w:w="2329"/>
            <w:vAlign w:val="center"/>
            <w:tcMar>
              <w:top w:w="80" w:type="dxa"/>
              <w:start w:w="120" w:type="dxa"/>
              <w:bottom w:w="80" w:type="dxa"/>
              <w:end w:w="120" w:type="dxa"/>
            </w:tcMar>
          </w:tcPr>
          <w:p>
            <w:r>
              <w:rPr>
                <w:sz w:val="16"/>
                <w:lang w:val="en-GB" w:eastAsia="en-GB" w:bidi="en-GB"/>
              </w:rPr>
              <w:t>Runtime</w:t>
            </w:r>
          </w:p>
        </w:tc>
        <w:tc>
          <w:tcPr>
            <w:tcW w:type="dxa" w:w="3401"/>
            <w:vAlign w:val="center"/>
            <w:tcMar>
              <w:top w:w="80" w:type="dxa"/>
              <w:start w:w="120" w:type="dxa"/>
              <w:bottom w:w="80" w:type="dxa"/>
              <w:end w:w="120" w:type="dxa"/>
            </w:tcMar>
          </w:tcPr>
          <w:p>
            <w:r>
              <w:rPr>
                <w:sz w:val="16"/>
                <w:lang w:val="en-GB" w:eastAsia="en-GB" w:bidi="en-GB"/>
              </w:rPr>
              <w:t>Not tested on Windows/Visual Studio</w:t>
            </w:r>
          </w:p>
        </w:tc>
        <w:tc>
          <w:tcPr>
            <w:tcW w:type="dxa" w:w="3630"/>
            <w:vAlign w:val="center"/>
            <w:tcMar>
              <w:top w:w="80" w:type="dxa"/>
              <w:start w:w="120" w:type="dxa"/>
              <w:bottom w:w="80" w:type="dxa"/>
              <w:end w:w="120" w:type="dxa"/>
            </w:tcMar>
          </w:tcPr>
          <w:p>
            <w:r>
              <w:rPr>
                <w:sz w:val="16"/>
                <w:lang w:val="en-GB" w:eastAsia="en-GB" w:bidi="en-GB"/>
              </w:rPr>
              <w:t>Require independent product assessment</w:t>
            </w:r>
          </w:p>
        </w:tc>
      </w:tr>
      <w:tr>
        <w:trPr>
          <w:cantSplit/>
        </w:trPr>
        <w:tc>
          <w:tcPr>
            <w:tcW w:type="dxa" w:w="2329"/>
            <w:vAlign w:val="center"/>
            <w:tcMar>
              <w:top w:w="80" w:type="dxa"/>
              <w:start w:w="120" w:type="dxa"/>
              <w:bottom w:w="80" w:type="dxa"/>
              <w:end w:w="120" w:type="dxa"/>
            </w:tcMar>
          </w:tcPr>
          <w:p>
            <w:r>
              <w:rPr>
                <w:sz w:val="16"/>
                <w:lang w:val="en-GB" w:eastAsia="en-GB" w:bidi="en-GB"/>
              </w:rPr>
              <w:t>Third-party bridge</w:t>
            </w:r>
          </w:p>
        </w:tc>
        <w:tc>
          <w:tcPr>
            <w:tcW w:type="dxa" w:w="3401"/>
            <w:vAlign w:val="center"/>
            <w:tcMar>
              <w:top w:w="80" w:type="dxa"/>
              <w:start w:w="120" w:type="dxa"/>
              <w:bottom w:w="80" w:type="dxa"/>
              <w:end w:w="120" w:type="dxa"/>
            </w:tcMar>
          </w:tcPr>
          <w:p>
            <w:r>
              <w:rPr>
                <w:sz w:val="16"/>
                <w:lang w:val="en-GB" w:eastAsia="en-GB" w:bidi="en-GB"/>
              </w:rPr>
              <w:t>Outside scope</w:t>
            </w:r>
          </w:p>
        </w:tc>
        <w:tc>
          <w:tcPr>
            <w:tcW w:type="dxa" w:w="3630"/>
            <w:vAlign w:val="center"/>
            <w:tcMar>
              <w:top w:w="80" w:type="dxa"/>
              <w:start w:w="120" w:type="dxa"/>
              <w:bottom w:w="80" w:type="dxa"/>
              <w:end w:w="120" w:type="dxa"/>
            </w:tcMar>
          </w:tcPr>
          <w:p>
            <w:r>
              <w:rPr>
                <w:sz w:val="16"/>
                <w:lang w:val="en-GB" w:eastAsia="en-GB" w:bidi="en-GB"/>
              </w:rPr>
              <w:t>Resolve publisher identity separately</w:t>
            </w:r>
          </w:p>
        </w:tc>
      </w:tr>
    </w:tbl>
    <w:p>
      <w:pPr>
        <w:widowControl/>
      </w:pPr>
    </w:p>
    <w:p>
      <w:pPr>
        <w:pStyle w:val="Heading1"/>
        <w:widowControl/>
      </w:pPr>
      <w:r>
        <w:rPr>
          <w:lang w:val="en-GB" w:eastAsia="en-GB" w:bidi="en-GB"/>
        </w:rPr>
        <w:t>Visual Studio Self-Contained Assessment Summary</w:t>
      </w:r>
    </w:p>
    <w:p>
      <w:pPr>
        <w:widowControl/>
      </w:pPr>
      <w:r>
        <w:rPr>
          <w:lang w:val="en-GB" w:eastAsia="en-GB" w:bidi="en-GB"/>
        </w:rPr>
        <w:t>Decision and approval: unsupported/not observed for this first-party target. Purpose and function: no SonarSource Visual Studio extension or documented Visual Studio MCP integration was established. Architecture, trust boundaries and data flows for Visual Studio are therefore Unknown. No installation manifest, uninstall, runtime or activation evidence exists. Network, authentication, telemetry and privacy behaviour cannot be inherited from VS Code because a separate product or host may use different packages, credential stores and execution boundaries.</w:t>
      </w:r>
    </w:p>
    <w:p>
      <w:pPr>
        <w:widowControl/>
      </w:pPr>
      <w:r>
        <w:rPr>
          <w:lang w:val="en-GB" w:eastAsia="en-GB" w:bidi="en-GB"/>
        </w:rPr>
        <w:t>MCP and Agent Skills disposition: the server is an MCP implementation, but no validated full Visual Studio client path or bundled Agent Skill was found. Supply chain and dependencies, threats and findings, framework disposition, controls and detection, residual risk, confidence, limitations, evidence and verification must be assessed anew for any future Visual Studio package. Current verification procedure: resolve the exact first-party Marketplace identity and package before installation; until that evidence exists, do not deploy a similarly named third-party bridge.</w:t>
      </w:r>
    </w:p>
    <w:p>
      <w:pPr>
        <w:pStyle w:val="Caption"/>
        <w:keepLines/>
        <w:widowControl/>
      </w:pPr>
      <w:r>
        <w:rPr>
          <w:b/>
          <w:lang w:val="en-GB" w:eastAsia="en-GB" w:bidi="en-GB"/>
        </w:rPr>
        <w:t>Visual Studio Self-Contained Assessment Summary evidence summary</w:t>
      </w:r>
    </w:p>
    <w:tbl>
      <w:tblPr>
        <w:tblStyle w:val="TableGrid"/>
        <w:tblW w:type="dxa" w:w="9360"/>
        <w:tblLayout w:type="fixed"/>
        <w:tblLook w:firstColumn="1" w:firstRow="1" w:lastColumn="0" w:lastRow="0" w:noHBand="0" w:noVBand="1" w:val="04A0"/>
        <w:tblInd w:w="120" w:type="dxa"/>
      </w:tblPr>
      <w:tblGrid>
        <w:gridCol w:w="1647"/>
        <w:gridCol w:w="4427"/>
        <w:gridCol w:w="3286"/>
      </w:tblGrid>
      <w:tr>
        <w:trPr>
          <w:tblHeader w:val="true"/>
          <w:cantSplit/>
        </w:trPr>
        <w:tc>
          <w:tcPr>
            <w:tcW w:type="dxa" w:w="1647"/>
            <w:shd w:fill="F2F4F7"/>
            <w:vAlign w:val="center"/>
            <w:tcMar>
              <w:top w:w="80" w:type="dxa"/>
              <w:start w:w="120" w:type="dxa"/>
              <w:bottom w:w="80" w:type="dxa"/>
              <w:end w:w="120" w:type="dxa"/>
            </w:tcMar>
          </w:tcPr>
          <w:p>
            <w:r>
              <w:rPr>
                <w:b/>
                <w:sz w:val="16"/>
                <w:lang w:val="en-GB" w:eastAsia="en-GB" w:bidi="en-GB"/>
              </w:rPr>
              <w:t>Evidence area</w:t>
            </w:r>
          </w:p>
        </w:tc>
        <w:tc>
          <w:tcPr>
            <w:tcW w:type="dxa" w:w="4427"/>
            <w:shd w:fill="F2F4F7"/>
            <w:vAlign w:val="center"/>
            <w:tcMar>
              <w:top w:w="80" w:type="dxa"/>
              <w:start w:w="120" w:type="dxa"/>
              <w:bottom w:w="80" w:type="dxa"/>
              <w:end w:w="120" w:type="dxa"/>
            </w:tcMar>
          </w:tcPr>
          <w:p>
            <w:r>
              <w:rPr>
                <w:b/>
                <w:sz w:val="16"/>
                <w:lang w:val="en-GB" w:eastAsia="en-GB" w:bidi="en-GB"/>
              </w:rPr>
              <w:t>Assessment result</w:t>
            </w:r>
          </w:p>
        </w:tc>
        <w:tc>
          <w:tcPr>
            <w:tcW w:type="dxa" w:w="3286"/>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47"/>
            <w:vAlign w:val="center"/>
            <w:tcMar>
              <w:top w:w="80" w:type="dxa"/>
              <w:start w:w="120" w:type="dxa"/>
              <w:bottom w:w="80" w:type="dxa"/>
              <w:end w:w="120" w:type="dxa"/>
            </w:tcMar>
          </w:tcPr>
          <w:p>
            <w:r>
              <w:rPr>
                <w:sz w:val="16"/>
                <w:lang w:val="en-GB" w:eastAsia="en-GB" w:bidi="en-GB"/>
              </w:rPr>
              <w:t>Product</w:t>
            </w:r>
          </w:p>
        </w:tc>
        <w:tc>
          <w:tcPr>
            <w:tcW w:type="dxa" w:w="4427"/>
            <w:vAlign w:val="center"/>
            <w:tcMar>
              <w:top w:w="80" w:type="dxa"/>
              <w:start w:w="120" w:type="dxa"/>
              <w:bottom w:w="80" w:type="dxa"/>
              <w:end w:w="120" w:type="dxa"/>
            </w:tcMar>
          </w:tcPr>
          <w:p>
            <w:r>
              <w:rPr>
                <w:sz w:val="16"/>
                <w:lang w:val="en-GB" w:eastAsia="en-GB" w:bidi="en-GB"/>
              </w:rPr>
              <w:t>No first-party Visual Studio integration established</w:t>
            </w:r>
          </w:p>
        </w:tc>
        <w:tc>
          <w:tcPr>
            <w:tcW w:type="dxa" w:w="3286"/>
            <w:vAlign w:val="center"/>
            <w:tcMar>
              <w:top w:w="80" w:type="dxa"/>
              <w:start w:w="120" w:type="dxa"/>
              <w:bottom w:w="80" w:type="dxa"/>
              <w:end w:w="120" w:type="dxa"/>
            </w:tcMar>
          </w:tcPr>
          <w:p>
            <w:r>
              <w:rPr>
                <w:sz w:val="16"/>
                <w:lang w:val="en-GB" w:eastAsia="en-GB" w:bidi="en-GB"/>
              </w:rPr>
              <w:t>Resolve exact package before testing</w:t>
            </w:r>
          </w:p>
        </w:tc>
      </w:tr>
      <w:tr>
        <w:trPr>
          <w:cantSplit/>
        </w:trPr>
        <w:tc>
          <w:tcPr>
            <w:tcW w:type="dxa" w:w="1647"/>
            <w:vAlign w:val="center"/>
            <w:tcMar>
              <w:top w:w="80" w:type="dxa"/>
              <w:start w:w="120" w:type="dxa"/>
              <w:bottom w:w="80" w:type="dxa"/>
              <w:end w:w="120" w:type="dxa"/>
            </w:tcMar>
          </w:tcPr>
          <w:p>
            <w:r>
              <w:rPr>
                <w:sz w:val="16"/>
                <w:lang w:val="en-GB" w:eastAsia="en-GB" w:bidi="en-GB"/>
              </w:rPr>
              <w:t>Evidence</w:t>
            </w:r>
          </w:p>
        </w:tc>
        <w:tc>
          <w:tcPr>
            <w:tcW w:type="dxa" w:w="4427"/>
            <w:vAlign w:val="center"/>
            <w:tcMar>
              <w:top w:w="80" w:type="dxa"/>
              <w:start w:w="120" w:type="dxa"/>
              <w:bottom w:w="80" w:type="dxa"/>
              <w:end w:w="120" w:type="dxa"/>
            </w:tcMar>
          </w:tcPr>
          <w:p>
            <w:r>
              <w:rPr>
                <w:sz w:val="16"/>
                <w:lang w:val="en-GB" w:eastAsia="en-GB" w:bidi="en-GB"/>
              </w:rPr>
              <w:t>No install/runtime/privacy evidence</w:t>
            </w:r>
          </w:p>
        </w:tc>
        <w:tc>
          <w:tcPr>
            <w:tcW w:type="dxa" w:w="3286"/>
            <w:vAlign w:val="center"/>
            <w:tcMar>
              <w:top w:w="80" w:type="dxa"/>
              <w:start w:w="120" w:type="dxa"/>
              <w:bottom w:w="80" w:type="dxa"/>
              <w:end w:w="120" w:type="dxa"/>
            </w:tcMar>
          </w:tcPr>
          <w:p>
            <w:r>
              <w:rPr>
                <w:sz w:val="16"/>
                <w:lang w:val="en-GB" w:eastAsia="en-GB" w:bidi="en-GB"/>
              </w:rPr>
              <w:t>Do not transfer VS Code conclusions</w:t>
            </w:r>
          </w:p>
        </w:tc>
      </w:tr>
      <w:tr>
        <w:trPr>
          <w:cantSplit/>
        </w:trPr>
        <w:tc>
          <w:tcPr>
            <w:tcW w:type="dxa" w:w="1647"/>
            <w:vAlign w:val="center"/>
            <w:tcMar>
              <w:top w:w="80" w:type="dxa"/>
              <w:start w:w="120" w:type="dxa"/>
              <w:bottom w:w="80" w:type="dxa"/>
              <w:end w:w="120" w:type="dxa"/>
            </w:tcMar>
          </w:tcPr>
          <w:p>
            <w:r>
              <w:rPr>
                <w:sz w:val="16"/>
                <w:lang w:val="en-GB" w:eastAsia="en-GB" w:bidi="en-GB"/>
              </w:rPr>
              <w:t>Decision</w:t>
            </w:r>
          </w:p>
        </w:tc>
        <w:tc>
          <w:tcPr>
            <w:tcW w:type="dxa" w:w="4427"/>
            <w:vAlign w:val="center"/>
            <w:tcMar>
              <w:top w:w="80" w:type="dxa"/>
              <w:start w:w="120" w:type="dxa"/>
              <w:bottom w:w="80" w:type="dxa"/>
              <w:end w:w="120" w:type="dxa"/>
            </w:tcMar>
          </w:tcPr>
          <w:p>
            <w:r>
              <w:rPr>
                <w:sz w:val="16"/>
                <w:lang w:val="en-GB" w:eastAsia="en-GB" w:bidi="en-GB"/>
              </w:rPr>
              <w:t>Unsupported/not observed</w:t>
            </w:r>
          </w:p>
        </w:tc>
        <w:tc>
          <w:tcPr>
            <w:tcW w:type="dxa" w:w="3286"/>
            <w:vAlign w:val="center"/>
            <w:tcMar>
              <w:top w:w="80" w:type="dxa"/>
              <w:start w:w="120" w:type="dxa"/>
              <w:bottom w:w="80" w:type="dxa"/>
              <w:end w:w="120" w:type="dxa"/>
            </w:tcMar>
          </w:tcPr>
          <w:p>
            <w:r>
              <w:rPr>
                <w:sz w:val="16"/>
                <w:lang w:val="en-GB" w:eastAsia="en-GB" w:bidi="en-GB"/>
              </w:rPr>
              <w:t>Require independent assessment</w:t>
            </w:r>
          </w:p>
        </w:tc>
      </w:tr>
    </w:tbl>
    <w:p>
      <w:pPr>
        <w:widowControl/>
      </w:pPr>
    </w:p>
    <w:p>
      <w:pPr>
        <w:pStyle w:val="Heading1"/>
        <w:widowControl/>
      </w:pPr>
      <w:r>
        <w:rPr>
          <w:lang w:val="en-GB" w:eastAsia="en-GB" w:bidi="en-GB"/>
        </w:rPr>
        <w:t>Part III — Installed Agent Skills</w:t>
      </w:r>
    </w:p>
    <w:p>
      <w:pPr>
        <w:widowControl/>
      </w:pPr>
      <w:r>
        <w:rPr>
          <w:lang w:val="en-GB" w:eastAsia="en-GB" w:bidi="en-GB"/>
        </w:rPr>
        <w:t>The assessed source, JAR and image do not ship an installed Agent Skill package or SKILL.md workflow for the IDE host. MCP tools and server instructions are protocol capabilities, not Codex or IDE Agent Skills. This part is therefore Not applicable to the exact artifact while the MCP-specific review remains fully applicable.</w:t>
      </w:r>
    </w:p>
    <w:p>
      <w:pPr>
        <w:widowControl/>
      </w:pPr>
      <w:r>
        <w:rPr>
          <w:lang w:val="en-GB" w:eastAsia="en-GB" w:bidi="en-GB"/>
        </w:rPr>
        <w:t>Separately installed community skills, catalogue integrations or generated configuration can materially change tool authority and prompt-injection exposure. They require their own publisher, version, content, instruction, script and runtime review and must not inherit SonarSource first-party status. Any future bundled skill or prompt resource triggers reassessment of instruction precedence, untrusted workspace content, tool selection, data disclosure and confirmation boundaries.</w:t>
      </w:r>
    </w:p>
    <w:p>
      <w:pPr>
        <w:pStyle w:val="Caption"/>
        <w:keepLines/>
        <w:widowControl/>
      </w:pPr>
      <w:r>
        <w:rPr>
          <w:b/>
          <w:lang w:val="en-GB" w:eastAsia="en-GB" w:bidi="en-GB"/>
        </w:rPr>
        <w:t>Part III — Installed Agent Skills evidence summary</w:t>
      </w:r>
    </w:p>
    <w:tbl>
      <w:tblPr>
        <w:tblStyle w:val="TableGrid"/>
        <w:tblW w:type="dxa" w:w="9360"/>
        <w:tblLayout w:type="fixed"/>
        <w:tblLook w:firstColumn="1" w:firstRow="1" w:lastColumn="0" w:lastRow="0" w:noHBand="0" w:noVBand="1" w:val="04A0"/>
        <w:tblInd w:w="120" w:type="dxa"/>
      </w:tblPr>
      <w:tblGrid>
        <w:gridCol w:w="2277"/>
        <w:gridCol w:w="2666"/>
        <w:gridCol w:w="4417"/>
      </w:tblGrid>
      <w:tr>
        <w:trPr>
          <w:tblHeader w:val="true"/>
          <w:cantSplit/>
        </w:trPr>
        <w:tc>
          <w:tcPr>
            <w:tcW w:type="dxa" w:w="2277"/>
            <w:shd w:fill="F2F4F7"/>
            <w:vAlign w:val="center"/>
            <w:tcMar>
              <w:top w:w="80" w:type="dxa"/>
              <w:start w:w="120" w:type="dxa"/>
              <w:bottom w:w="80" w:type="dxa"/>
              <w:end w:w="120" w:type="dxa"/>
            </w:tcMar>
          </w:tcPr>
          <w:p>
            <w:r>
              <w:rPr>
                <w:b/>
                <w:sz w:val="16"/>
                <w:lang w:val="en-GB" w:eastAsia="en-GB" w:bidi="en-GB"/>
              </w:rPr>
              <w:t>Evidence area</w:t>
            </w:r>
          </w:p>
        </w:tc>
        <w:tc>
          <w:tcPr>
            <w:tcW w:type="dxa" w:w="2666"/>
            <w:shd w:fill="F2F4F7"/>
            <w:vAlign w:val="center"/>
            <w:tcMar>
              <w:top w:w="80" w:type="dxa"/>
              <w:start w:w="120" w:type="dxa"/>
              <w:bottom w:w="80" w:type="dxa"/>
              <w:end w:w="120" w:type="dxa"/>
            </w:tcMar>
          </w:tcPr>
          <w:p>
            <w:r>
              <w:rPr>
                <w:b/>
                <w:sz w:val="16"/>
                <w:lang w:val="en-GB" w:eastAsia="en-GB" w:bidi="en-GB"/>
              </w:rPr>
              <w:t>Assessment result</w:t>
            </w:r>
          </w:p>
        </w:tc>
        <w:tc>
          <w:tcPr>
            <w:tcW w:type="dxa" w:w="4417"/>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277"/>
            <w:vAlign w:val="center"/>
            <w:tcMar>
              <w:top w:w="80" w:type="dxa"/>
              <w:start w:w="120" w:type="dxa"/>
              <w:bottom w:w="80" w:type="dxa"/>
              <w:end w:w="120" w:type="dxa"/>
            </w:tcMar>
          </w:tcPr>
          <w:p>
            <w:r>
              <w:rPr>
                <w:sz w:val="16"/>
                <w:lang w:val="en-GB" w:eastAsia="en-GB" w:bidi="en-GB"/>
              </w:rPr>
              <w:t>Bundled skill</w:t>
            </w:r>
          </w:p>
        </w:tc>
        <w:tc>
          <w:tcPr>
            <w:tcW w:type="dxa" w:w="2666"/>
            <w:vAlign w:val="center"/>
            <w:tcMar>
              <w:top w:w="80" w:type="dxa"/>
              <w:start w:w="120" w:type="dxa"/>
              <w:bottom w:w="80" w:type="dxa"/>
              <w:end w:w="120" w:type="dxa"/>
            </w:tcMar>
          </w:tcPr>
          <w:p>
            <w:r>
              <w:rPr>
                <w:sz w:val="16"/>
                <w:lang w:val="en-GB" w:eastAsia="en-GB" w:bidi="en-GB"/>
              </w:rPr>
              <w:t>None observed</w:t>
            </w:r>
          </w:p>
        </w:tc>
        <w:tc>
          <w:tcPr>
            <w:tcW w:type="dxa" w:w="4417"/>
            <w:vAlign w:val="center"/>
            <w:tcMar>
              <w:top w:w="80" w:type="dxa"/>
              <w:start w:w="120" w:type="dxa"/>
              <w:bottom w:w="80" w:type="dxa"/>
              <w:end w:w="120" w:type="dxa"/>
            </w:tcMar>
          </w:tcPr>
          <w:p>
            <w:r>
              <w:rPr>
                <w:sz w:val="16"/>
                <w:lang w:val="en-GB" w:eastAsia="en-GB" w:bidi="en-GB"/>
              </w:rPr>
              <w:t>Keep separate from MCP tool assessment</w:t>
            </w:r>
          </w:p>
        </w:tc>
      </w:tr>
      <w:tr>
        <w:trPr>
          <w:cantSplit/>
        </w:trPr>
        <w:tc>
          <w:tcPr>
            <w:tcW w:type="dxa" w:w="2277"/>
            <w:vAlign w:val="center"/>
            <w:tcMar>
              <w:top w:w="80" w:type="dxa"/>
              <w:start w:w="120" w:type="dxa"/>
              <w:bottom w:w="80" w:type="dxa"/>
              <w:end w:w="120" w:type="dxa"/>
            </w:tcMar>
          </w:tcPr>
          <w:p>
            <w:r>
              <w:rPr>
                <w:sz w:val="16"/>
                <w:lang w:val="en-GB" w:eastAsia="en-GB" w:bidi="en-GB"/>
              </w:rPr>
              <w:t>Community skills</w:t>
            </w:r>
          </w:p>
        </w:tc>
        <w:tc>
          <w:tcPr>
            <w:tcW w:type="dxa" w:w="2666"/>
            <w:vAlign w:val="center"/>
            <w:tcMar>
              <w:top w:w="80" w:type="dxa"/>
              <w:start w:w="120" w:type="dxa"/>
              <w:bottom w:w="80" w:type="dxa"/>
              <w:end w:w="120" w:type="dxa"/>
            </w:tcMar>
          </w:tcPr>
          <w:p>
            <w:r>
              <w:rPr>
                <w:sz w:val="16"/>
                <w:lang w:val="en-GB" w:eastAsia="en-GB" w:bidi="en-GB"/>
              </w:rPr>
              <w:t>Out of scope</w:t>
            </w:r>
          </w:p>
        </w:tc>
        <w:tc>
          <w:tcPr>
            <w:tcW w:type="dxa" w:w="4417"/>
            <w:vAlign w:val="center"/>
            <w:tcMar>
              <w:top w:w="80" w:type="dxa"/>
              <w:start w:w="120" w:type="dxa"/>
              <w:bottom w:w="80" w:type="dxa"/>
              <w:end w:w="120" w:type="dxa"/>
            </w:tcMar>
          </w:tcPr>
          <w:p>
            <w:r>
              <w:rPr>
                <w:sz w:val="16"/>
                <w:lang w:val="en-GB" w:eastAsia="en-GB" w:bidi="en-GB"/>
              </w:rPr>
              <w:t>Assess independently</w:t>
            </w:r>
          </w:p>
        </w:tc>
      </w:tr>
      <w:tr>
        <w:trPr>
          <w:cantSplit/>
        </w:trPr>
        <w:tc>
          <w:tcPr>
            <w:tcW w:type="dxa" w:w="2277"/>
            <w:vAlign w:val="center"/>
            <w:tcMar>
              <w:top w:w="80" w:type="dxa"/>
              <w:start w:w="120" w:type="dxa"/>
              <w:bottom w:w="80" w:type="dxa"/>
              <w:end w:w="120" w:type="dxa"/>
            </w:tcMar>
          </w:tcPr>
          <w:p>
            <w:r>
              <w:rPr>
                <w:sz w:val="16"/>
                <w:lang w:val="en-GB" w:eastAsia="en-GB" w:bidi="en-GB"/>
              </w:rPr>
              <w:t>Future change</w:t>
            </w:r>
          </w:p>
        </w:tc>
        <w:tc>
          <w:tcPr>
            <w:tcW w:type="dxa" w:w="2666"/>
            <w:vAlign w:val="center"/>
            <w:tcMar>
              <w:top w:w="80" w:type="dxa"/>
              <w:start w:w="120" w:type="dxa"/>
              <w:bottom w:w="80" w:type="dxa"/>
              <w:end w:w="120" w:type="dxa"/>
            </w:tcMar>
          </w:tcPr>
          <w:p>
            <w:r>
              <w:rPr>
                <w:sz w:val="16"/>
                <w:lang w:val="en-GB" w:eastAsia="en-GB" w:bidi="en-GB"/>
              </w:rPr>
              <w:t>Reassessment trigger</w:t>
            </w:r>
          </w:p>
        </w:tc>
        <w:tc>
          <w:tcPr>
            <w:tcW w:type="dxa" w:w="4417"/>
            <w:vAlign w:val="center"/>
            <w:tcMar>
              <w:top w:w="80" w:type="dxa"/>
              <w:start w:w="120" w:type="dxa"/>
              <w:bottom w:w="80" w:type="dxa"/>
              <w:end w:w="120" w:type="dxa"/>
            </w:tcMar>
          </w:tcPr>
          <w:p>
            <w:r>
              <w:rPr>
                <w:sz w:val="16"/>
                <w:lang w:val="en-GB" w:eastAsia="en-GB" w:bidi="en-GB"/>
              </w:rPr>
              <w:t>Review prompts, scripts and authority</w:t>
            </w:r>
          </w:p>
        </w:tc>
      </w:tr>
    </w:tbl>
    <w:p>
      <w:pPr>
        <w:widowControl/>
      </w:pPr>
    </w:p>
    <w:p>
      <w:pPr>
        <w:pStyle w:val="Heading1"/>
        <w:widowControl/>
      </w:pPr>
      <w:r>
        <w:rPr>
          <w:lang w:val="en-GB" w:eastAsia="en-GB" w:bidi="en-GB"/>
        </w:rPr>
        <w:t>Cross-IDE Comparison</w:t>
      </w:r>
    </w:p>
    <w:p>
      <w:pPr>
        <w:widowControl/>
      </w:pPr>
      <w:r>
        <w:rPr>
          <w:lang w:val="en-GB" w:eastAsia="en-GB" w:bidi="en-GB"/>
        </w:rPr>
        <w:t>VS Code has a first-party documented MCP configuration path, while full Microsoft Visual Studio support was not established. The same server artifact may be callable from multiple MCP clients, but client-side confirmation, secret storage, workspace selection, update behaviour and remote-development boundaries differ. Approval for the isolated protocol test or one VS Code configuration cannot be transferred to another host without evidence that its command, environment, token, prompts and lifecycle controls are equivalent.</w:t>
      </w:r>
    </w:p>
    <w:p>
      <w:pPr>
        <w:widowControl/>
      </w:pPr>
      <w:r>
        <w:rPr>
          <w:lang w:val="en-GB" w:eastAsia="en-GB" w:bidi="en-GB"/>
        </w:rPr>
        <w:t>Enterprise policy should identify allowed MCP clients, host versions, operating systems, repository classes, SonarQube tenants and network zones. A future Visual Studio implementation may use a VSIX, built-in host or third-party bridge and therefore creates a new supply chain and trust boundary. Each host class needs an installation manifest, tool inventory, authentication and telemetry record, runtime observation, update/uninstall evidence and a digest-bound risk decision.</w:t>
      </w:r>
    </w:p>
    <w:p>
      <w:pPr>
        <w:pStyle w:val="Caption"/>
        <w:keepLines/>
        <w:widowControl/>
      </w:pPr>
      <w:r>
        <w:rPr>
          <w:b/>
          <w:lang w:val="en-GB" w:eastAsia="en-GB" w:bidi="en-GB"/>
        </w:rPr>
        <w:t>Cross-IDE Comparison evidence summary</w:t>
      </w:r>
    </w:p>
    <w:tbl>
      <w:tblPr>
        <w:tblStyle w:val="TableGrid"/>
        <w:tblW w:type="dxa" w:w="9360"/>
        <w:tblLayout w:type="fixed"/>
        <w:tblLook w:firstColumn="1" w:firstRow="1" w:lastColumn="0" w:lastRow="0" w:noHBand="0" w:noVBand="1" w:val="04A0"/>
        <w:tblInd w:w="120" w:type="dxa"/>
      </w:tblPr>
      <w:tblGrid>
        <w:gridCol w:w="1784"/>
        <w:gridCol w:w="4238"/>
        <w:gridCol w:w="3338"/>
      </w:tblGrid>
      <w:tr>
        <w:trPr>
          <w:tblHeader w:val="true"/>
          <w:cantSplit/>
        </w:trPr>
        <w:tc>
          <w:tcPr>
            <w:tcW w:type="dxa" w:w="1784"/>
            <w:shd w:fill="F2F4F7"/>
            <w:vAlign w:val="center"/>
            <w:tcMar>
              <w:top w:w="80" w:type="dxa"/>
              <w:start w:w="120" w:type="dxa"/>
              <w:bottom w:w="80" w:type="dxa"/>
              <w:end w:w="120" w:type="dxa"/>
            </w:tcMar>
          </w:tcPr>
          <w:p>
            <w:r>
              <w:rPr>
                <w:b/>
                <w:sz w:val="16"/>
                <w:lang w:val="en-GB" w:eastAsia="en-GB" w:bidi="en-GB"/>
              </w:rPr>
              <w:t>Evidence area</w:t>
            </w:r>
          </w:p>
        </w:tc>
        <w:tc>
          <w:tcPr>
            <w:tcW w:type="dxa" w:w="4238"/>
            <w:shd w:fill="F2F4F7"/>
            <w:vAlign w:val="center"/>
            <w:tcMar>
              <w:top w:w="80" w:type="dxa"/>
              <w:start w:w="120" w:type="dxa"/>
              <w:bottom w:w="80" w:type="dxa"/>
              <w:end w:w="120" w:type="dxa"/>
            </w:tcMar>
          </w:tcPr>
          <w:p>
            <w:r>
              <w:rPr>
                <w:b/>
                <w:sz w:val="16"/>
                <w:lang w:val="en-GB" w:eastAsia="en-GB" w:bidi="en-GB"/>
              </w:rPr>
              <w:t>Assessment result</w:t>
            </w:r>
          </w:p>
        </w:tc>
        <w:tc>
          <w:tcPr>
            <w:tcW w:type="dxa" w:w="333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84"/>
            <w:vAlign w:val="center"/>
            <w:tcMar>
              <w:top w:w="80" w:type="dxa"/>
              <w:start w:w="120" w:type="dxa"/>
              <w:bottom w:w="80" w:type="dxa"/>
              <w:end w:w="120" w:type="dxa"/>
            </w:tcMar>
          </w:tcPr>
          <w:p>
            <w:r>
              <w:rPr>
                <w:sz w:val="16"/>
                <w:lang w:val="en-GB" w:eastAsia="en-GB" w:bidi="en-GB"/>
              </w:rPr>
              <w:t>VS Code</w:t>
            </w:r>
          </w:p>
        </w:tc>
        <w:tc>
          <w:tcPr>
            <w:tcW w:type="dxa" w:w="4238"/>
            <w:vAlign w:val="center"/>
            <w:tcMar>
              <w:top w:w="80" w:type="dxa"/>
              <w:start w:w="120" w:type="dxa"/>
              <w:bottom w:w="80" w:type="dxa"/>
              <w:end w:w="120" w:type="dxa"/>
            </w:tcMar>
          </w:tcPr>
          <w:p>
            <w:r>
              <w:rPr>
                <w:sz w:val="16"/>
                <w:lang w:val="en-GB" w:eastAsia="en-GB" w:bidi="en-GB"/>
              </w:rPr>
              <w:t>Documented first-party server configuration</w:t>
            </w:r>
          </w:p>
        </w:tc>
        <w:tc>
          <w:tcPr>
            <w:tcW w:type="dxa" w:w="3338"/>
            <w:vAlign w:val="center"/>
            <w:tcMar>
              <w:top w:w="80" w:type="dxa"/>
              <w:start w:w="120" w:type="dxa"/>
              <w:bottom w:w="80" w:type="dxa"/>
              <w:end w:w="120" w:type="dxa"/>
            </w:tcMar>
          </w:tcPr>
          <w:p>
            <w:r>
              <w:rPr>
                <w:sz w:val="16"/>
                <w:lang w:val="en-GB" w:eastAsia="en-GB" w:bidi="en-GB"/>
              </w:rPr>
              <w:t>Complete representative UI tests</w:t>
            </w:r>
          </w:p>
        </w:tc>
      </w:tr>
      <w:tr>
        <w:trPr>
          <w:cantSplit/>
        </w:trPr>
        <w:tc>
          <w:tcPr>
            <w:tcW w:type="dxa" w:w="1784"/>
            <w:vAlign w:val="center"/>
            <w:tcMar>
              <w:top w:w="80" w:type="dxa"/>
              <w:start w:w="120" w:type="dxa"/>
              <w:bottom w:w="80" w:type="dxa"/>
              <w:end w:w="120" w:type="dxa"/>
            </w:tcMar>
          </w:tcPr>
          <w:p>
            <w:r>
              <w:rPr>
                <w:sz w:val="16"/>
                <w:lang w:val="en-GB" w:eastAsia="en-GB" w:bidi="en-GB"/>
              </w:rPr>
              <w:t>Visual Studio</w:t>
            </w:r>
          </w:p>
        </w:tc>
        <w:tc>
          <w:tcPr>
            <w:tcW w:type="dxa" w:w="4238"/>
            <w:vAlign w:val="center"/>
            <w:tcMar>
              <w:top w:w="80" w:type="dxa"/>
              <w:start w:w="120" w:type="dxa"/>
              <w:bottom w:w="80" w:type="dxa"/>
              <w:end w:w="120" w:type="dxa"/>
            </w:tcMar>
          </w:tcPr>
          <w:p>
            <w:r>
              <w:rPr>
                <w:sz w:val="16"/>
                <w:lang w:val="en-GB" w:eastAsia="en-GB" w:bidi="en-GB"/>
              </w:rPr>
              <w:t>Not observed</w:t>
            </w:r>
          </w:p>
        </w:tc>
        <w:tc>
          <w:tcPr>
            <w:tcW w:type="dxa" w:w="3338"/>
            <w:vAlign w:val="center"/>
            <w:tcMar>
              <w:top w:w="80" w:type="dxa"/>
              <w:start w:w="120" w:type="dxa"/>
              <w:bottom w:w="80" w:type="dxa"/>
              <w:end w:w="120" w:type="dxa"/>
            </w:tcMar>
          </w:tcPr>
          <w:p>
            <w:r>
              <w:rPr>
                <w:sz w:val="16"/>
                <w:lang w:val="en-GB" w:eastAsia="en-GB" w:bidi="en-GB"/>
              </w:rPr>
              <w:t>Resolve and assess independently</w:t>
            </w:r>
          </w:p>
        </w:tc>
      </w:tr>
      <w:tr>
        <w:trPr>
          <w:cantSplit/>
        </w:trPr>
        <w:tc>
          <w:tcPr>
            <w:tcW w:type="dxa" w:w="1784"/>
            <w:vAlign w:val="center"/>
            <w:tcMar>
              <w:top w:w="80" w:type="dxa"/>
              <w:start w:w="120" w:type="dxa"/>
              <w:bottom w:w="80" w:type="dxa"/>
              <w:end w:w="120" w:type="dxa"/>
            </w:tcMar>
          </w:tcPr>
          <w:p>
            <w:r>
              <w:rPr>
                <w:sz w:val="16"/>
                <w:lang w:val="en-GB" w:eastAsia="en-GB" w:bidi="en-GB"/>
              </w:rPr>
              <w:t>Other clients</w:t>
            </w:r>
          </w:p>
        </w:tc>
        <w:tc>
          <w:tcPr>
            <w:tcW w:type="dxa" w:w="4238"/>
            <w:vAlign w:val="center"/>
            <w:tcMar>
              <w:top w:w="80" w:type="dxa"/>
              <w:start w:w="120" w:type="dxa"/>
              <w:bottom w:w="80" w:type="dxa"/>
              <w:end w:w="120" w:type="dxa"/>
            </w:tcMar>
          </w:tcPr>
          <w:p>
            <w:r>
              <w:rPr>
                <w:sz w:val="16"/>
                <w:lang w:val="en-GB" w:eastAsia="en-GB" w:bidi="en-GB"/>
              </w:rPr>
              <w:t>Potentially compatible but out of scope</w:t>
            </w:r>
          </w:p>
        </w:tc>
        <w:tc>
          <w:tcPr>
            <w:tcW w:type="dxa" w:w="3338"/>
            <w:vAlign w:val="center"/>
            <w:tcMar>
              <w:top w:w="80" w:type="dxa"/>
              <w:start w:w="120" w:type="dxa"/>
              <w:bottom w:w="80" w:type="dxa"/>
              <w:end w:w="120" w:type="dxa"/>
            </w:tcMar>
          </w:tcPr>
          <w:p>
            <w:r>
              <w:rPr>
                <w:sz w:val="16"/>
                <w:lang w:val="en-GB" w:eastAsia="en-GB" w:bidi="en-GB"/>
              </w:rPr>
              <w:t>Do not inherit approval</w:t>
            </w:r>
          </w:p>
        </w:tc>
      </w:tr>
    </w:tbl>
    <w:p>
      <w:pPr>
        <w:widowControl/>
      </w:pPr>
    </w:p>
    <w:p>
      <w:pPr>
        <w:pStyle w:val="Heading1"/>
        <w:widowControl/>
      </w:pPr>
      <w:r>
        <w:rPr>
          <w:lang w:val="en-GB" w:eastAsia="en-GB" w:bidi="en-GB"/>
        </w:rPr>
        <w:t>Static Security Review</w:t>
      </w:r>
    </w:p>
    <w:p>
      <w:pPr>
        <w:widowControl/>
      </w:pPr>
      <w:r>
        <w:rPr>
          <w:lang w:val="en-GB" w:eastAsia="en-GB" w:bidi="en-GB"/>
        </w:rPr>
        <w:t>Manual review confirmed the analyzer-loading weakness, ineffective CAG environment filtering, shared HTTP backend state, unbounded telemetry queue, origin/authentication ordering, unbounded local reads and inaccurate destructive annotations. Semgrep reproduced ten code signals across the relevant Java sources. No direct MCP-argument-to-shell injection, read-only bypass, workspace symlink escape or deliberate token logging was observed.</w:t>
      </w:r>
    </w:p>
    <w:p>
      <w:pPr>
        <w:widowControl/>
      </w:pPr>
      <w:r>
        <w:rPr>
          <w:lang w:val="en-GB" w:eastAsia="en-GB" w:bidi="en-GB"/>
        </w:rPr>
        <w:t>Positive controls include argument-array subprocess construction, path normalization for analyzer filenames, cumulative tool filtering, per-request HTTP API clients, request-context cleanup, URL encoding and schema validation. These controls reduce specific attack paths but do not compensate for authenticity, isolation or resource-bound failures. Findings state exact preconditions so deployment owners can distinguish local constrained stdio from exposed multi-user HTTP and CAG-enabled configurations.</w:t>
      </w:r>
    </w:p>
    <w:p>
      <w:pPr>
        <w:pStyle w:val="Caption"/>
        <w:keepLines/>
        <w:widowControl/>
      </w:pPr>
      <w:r>
        <w:rPr>
          <w:b/>
          <w:lang w:val="en-GB" w:eastAsia="en-GB" w:bidi="en-GB"/>
        </w:rPr>
        <w:t>Static Security Review evidence summary</w:t>
      </w:r>
    </w:p>
    <w:tbl>
      <w:tblPr>
        <w:tblStyle w:val="TableGrid"/>
        <w:tblW w:type="dxa" w:w="9360"/>
        <w:tblLayout w:type="fixed"/>
        <w:tblLook w:firstColumn="1" w:firstRow="1" w:lastColumn="0" w:lastRow="0" w:noHBand="0" w:noVBand="1" w:val="04A0"/>
        <w:tblInd w:w="120" w:type="dxa"/>
      </w:tblPr>
      <w:tblGrid>
        <w:gridCol w:w="1808"/>
        <w:gridCol w:w="4739"/>
        <w:gridCol w:w="2813"/>
      </w:tblGrid>
      <w:tr>
        <w:trPr>
          <w:tblHeader w:val="true"/>
          <w:cantSplit/>
        </w:trPr>
        <w:tc>
          <w:tcPr>
            <w:tcW w:type="dxa" w:w="1808"/>
            <w:shd w:fill="F2F4F7"/>
            <w:vAlign w:val="center"/>
            <w:tcMar>
              <w:top w:w="80" w:type="dxa"/>
              <w:start w:w="120" w:type="dxa"/>
              <w:bottom w:w="80" w:type="dxa"/>
              <w:end w:w="120" w:type="dxa"/>
            </w:tcMar>
          </w:tcPr>
          <w:p>
            <w:r>
              <w:rPr>
                <w:b/>
                <w:sz w:val="16"/>
                <w:lang w:val="en-GB" w:eastAsia="en-GB" w:bidi="en-GB"/>
              </w:rPr>
              <w:t>Evidence area</w:t>
            </w:r>
          </w:p>
        </w:tc>
        <w:tc>
          <w:tcPr>
            <w:tcW w:type="dxa" w:w="4739"/>
            <w:shd w:fill="F2F4F7"/>
            <w:vAlign w:val="center"/>
            <w:tcMar>
              <w:top w:w="80" w:type="dxa"/>
              <w:start w:w="120" w:type="dxa"/>
              <w:bottom w:w="80" w:type="dxa"/>
              <w:end w:w="120" w:type="dxa"/>
            </w:tcMar>
          </w:tcPr>
          <w:p>
            <w:r>
              <w:rPr>
                <w:b/>
                <w:sz w:val="16"/>
                <w:lang w:val="en-GB" w:eastAsia="en-GB" w:bidi="en-GB"/>
              </w:rPr>
              <w:t>Assessment result</w:t>
            </w:r>
          </w:p>
        </w:tc>
        <w:tc>
          <w:tcPr>
            <w:tcW w:type="dxa" w:w="281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08"/>
            <w:vAlign w:val="center"/>
            <w:tcMar>
              <w:top w:w="80" w:type="dxa"/>
              <w:start w:w="120" w:type="dxa"/>
              <w:bottom w:w="80" w:type="dxa"/>
              <w:end w:w="120" w:type="dxa"/>
            </w:tcMar>
          </w:tcPr>
          <w:p>
            <w:r>
              <w:rPr>
                <w:sz w:val="16"/>
                <w:lang w:val="en-GB" w:eastAsia="en-GB" w:bidi="en-GB"/>
              </w:rPr>
              <w:t>Confirmed</w:t>
            </w:r>
          </w:p>
        </w:tc>
        <w:tc>
          <w:tcPr>
            <w:tcW w:type="dxa" w:w="4739"/>
            <w:vAlign w:val="center"/>
            <w:tcMar>
              <w:top w:w="80" w:type="dxa"/>
              <w:start w:w="120" w:type="dxa"/>
              <w:bottom w:w="80" w:type="dxa"/>
              <w:end w:w="120" w:type="dxa"/>
            </w:tcMar>
          </w:tcPr>
          <w:p>
            <w:r>
              <w:rPr>
                <w:sz w:val="16"/>
                <w:lang w:val="en-GB" w:eastAsia="en-GB" w:bidi="en-GB"/>
              </w:rPr>
              <w:t>Ten report findings with source paths</w:t>
            </w:r>
          </w:p>
        </w:tc>
        <w:tc>
          <w:tcPr>
            <w:tcW w:type="dxa" w:w="2813"/>
            <w:vAlign w:val="center"/>
            <w:tcMar>
              <w:top w:w="80" w:type="dxa"/>
              <w:start w:w="120" w:type="dxa"/>
              <w:bottom w:w="80" w:type="dxa"/>
              <w:end w:w="120" w:type="dxa"/>
            </w:tcMar>
          </w:tcPr>
          <w:p>
            <w:r>
              <w:rPr>
                <w:sz w:val="16"/>
                <w:lang w:val="en-GB" w:eastAsia="en-GB" w:bidi="en-GB"/>
              </w:rPr>
              <w:t>Remediate P1 items</w:t>
            </w:r>
          </w:p>
        </w:tc>
      </w:tr>
      <w:tr>
        <w:trPr>
          <w:cantSplit/>
        </w:trPr>
        <w:tc>
          <w:tcPr>
            <w:tcW w:type="dxa" w:w="1808"/>
            <w:vAlign w:val="center"/>
            <w:tcMar>
              <w:top w:w="80" w:type="dxa"/>
              <w:start w:w="120" w:type="dxa"/>
              <w:bottom w:w="80" w:type="dxa"/>
              <w:end w:w="120" w:type="dxa"/>
            </w:tcMar>
          </w:tcPr>
          <w:p>
            <w:r>
              <w:rPr>
                <w:sz w:val="16"/>
                <w:lang w:val="en-GB" w:eastAsia="en-GB" w:bidi="en-GB"/>
              </w:rPr>
              <w:t>Not observed</w:t>
            </w:r>
          </w:p>
        </w:tc>
        <w:tc>
          <w:tcPr>
            <w:tcW w:type="dxa" w:w="4739"/>
            <w:vAlign w:val="center"/>
            <w:tcMar>
              <w:top w:w="80" w:type="dxa"/>
              <w:start w:w="120" w:type="dxa"/>
              <w:bottom w:w="80" w:type="dxa"/>
              <w:end w:w="120" w:type="dxa"/>
            </w:tcMar>
          </w:tcPr>
          <w:p>
            <w:r>
              <w:rPr>
                <w:sz w:val="16"/>
                <w:lang w:val="en-GB" w:eastAsia="en-GB" w:bidi="en-GB"/>
              </w:rPr>
              <w:t>Shell injection, read-only bypass, token logging</w:t>
            </w:r>
          </w:p>
        </w:tc>
        <w:tc>
          <w:tcPr>
            <w:tcW w:type="dxa" w:w="2813"/>
            <w:vAlign w:val="center"/>
            <w:tcMar>
              <w:top w:w="80" w:type="dxa"/>
              <w:start w:w="120" w:type="dxa"/>
              <w:bottom w:w="80" w:type="dxa"/>
              <w:end w:w="120" w:type="dxa"/>
            </w:tcMar>
          </w:tcPr>
          <w:p>
            <w:r>
              <w:rPr>
                <w:sz w:val="16"/>
                <w:lang w:val="en-GB" w:eastAsia="en-GB" w:bidi="en-GB"/>
              </w:rPr>
              <w:t>Retain regression tests</w:t>
            </w:r>
          </w:p>
        </w:tc>
      </w:tr>
      <w:tr>
        <w:trPr>
          <w:cantSplit/>
        </w:trPr>
        <w:tc>
          <w:tcPr>
            <w:tcW w:type="dxa" w:w="1808"/>
            <w:vAlign w:val="center"/>
            <w:tcMar>
              <w:top w:w="80" w:type="dxa"/>
              <w:start w:w="120" w:type="dxa"/>
              <w:bottom w:w="80" w:type="dxa"/>
              <w:end w:w="120" w:type="dxa"/>
            </w:tcMar>
          </w:tcPr>
          <w:p>
            <w:r>
              <w:rPr>
                <w:sz w:val="16"/>
                <w:lang w:val="en-GB" w:eastAsia="en-GB" w:bidi="en-GB"/>
              </w:rPr>
              <w:t>Automation</w:t>
            </w:r>
          </w:p>
        </w:tc>
        <w:tc>
          <w:tcPr>
            <w:tcW w:type="dxa" w:w="4739"/>
            <w:vAlign w:val="center"/>
            <w:tcMar>
              <w:top w:w="80" w:type="dxa"/>
              <w:start w:w="120" w:type="dxa"/>
              <w:bottom w:w="80" w:type="dxa"/>
              <w:end w:w="120" w:type="dxa"/>
            </w:tcMar>
          </w:tcPr>
          <w:p>
            <w:r>
              <w:rPr>
                <w:sz w:val="16"/>
                <w:lang w:val="en-GB" w:eastAsia="en-GB" w:bidi="en-GB"/>
              </w:rPr>
              <w:t>Ten Semgrep signals manually triaged</w:t>
            </w:r>
          </w:p>
        </w:tc>
        <w:tc>
          <w:tcPr>
            <w:tcW w:type="dxa" w:w="2813"/>
            <w:vAlign w:val="center"/>
            <w:tcMar>
              <w:top w:w="80" w:type="dxa"/>
              <w:start w:w="120" w:type="dxa"/>
              <w:bottom w:w="80" w:type="dxa"/>
              <w:end w:w="120" w:type="dxa"/>
            </w:tcMar>
          </w:tcPr>
          <w:p>
            <w:r>
              <w:rPr>
                <w:sz w:val="16"/>
                <w:lang w:val="en-GB" w:eastAsia="en-GB" w:bidi="en-GB"/>
              </w:rPr>
              <w:t>Keep rules as review aids</w:t>
            </w:r>
          </w:p>
        </w:tc>
      </w:tr>
    </w:tbl>
    <w:p>
      <w:pPr>
        <w:widowControl/>
      </w:pPr>
    </w:p>
    <w:p>
      <w:pPr>
        <w:pStyle w:val="Heading1"/>
        <w:widowControl/>
      </w:pPr>
      <w:r>
        <w:rPr>
          <w:lang w:val="en-GB" w:eastAsia="en-GB" w:bidi="en-GB"/>
        </w:rPr>
        <w:t>Static Malware and Secret Review</w:t>
      </w:r>
    </w:p>
    <w:p>
      <w:pPr>
        <w:widowControl/>
      </w:pPr>
      <w:r>
        <w:rPr>
          <w:lang w:val="en-GB" w:eastAsia="en-GB" w:bidi="en-GB"/>
        </w:rPr>
        <w:t>FreshClam updated the task-local database to daily version 28083 built on the assessment date. Source scanning covered 445 files with zero infections. The signed JAR expanded to 212.92 MiB under ClamAV and produced zero infections. Both official CAG architecture archives were also clean. All downloaded CVD components passed ClamAV tests and independent sigtool signature verification despite updater X509-store warnings.</w:t>
      </w:r>
    </w:p>
    <w:p>
      <w:pPr>
        <w:widowControl/>
      </w:pPr>
      <w:r>
        <w:rPr>
          <w:lang w:val="en-GB" w:eastAsia="en-GB" w:bidi="en-GB"/>
        </w:rPr>
        <w:t>YARA produced one expected source review signal and no compressed-JAR target-rule match. Gitleaks reported a documented public telemetry ingestion key, synthetic test identifiers and a test PKCS#12 file; manual review found no production secret. Trivy reported zero secrets. These results are evidence against known signatures and accidental credentials, not a guarantee against novel malware, malicious logic or vulnerable dependencies.</w:t>
      </w:r>
    </w:p>
    <w:p>
      <w:pPr>
        <w:pStyle w:val="Caption"/>
        <w:keepLines/>
        <w:widowControl/>
      </w:pPr>
      <w:r>
        <w:rPr>
          <w:b/>
          <w:lang w:val="en-GB" w:eastAsia="en-GB" w:bidi="en-GB"/>
        </w:rPr>
        <w:t>Static Malware and Secret Review evidence summary</w:t>
      </w:r>
    </w:p>
    <w:tbl>
      <w:tblPr>
        <w:tblStyle w:val="TableGrid"/>
        <w:tblW w:type="dxa" w:w="9360"/>
        <w:tblLayout w:type="fixed"/>
        <w:tblLook w:firstColumn="1" w:firstRow="1" w:lastColumn="0" w:lastRow="0" w:noHBand="0" w:noVBand="1" w:val="04A0"/>
        <w:tblInd w:w="120" w:type="dxa"/>
      </w:tblPr>
      <w:tblGrid>
        <w:gridCol w:w="1656"/>
        <w:gridCol w:w="4032"/>
        <w:gridCol w:w="3672"/>
      </w:tblGrid>
      <w:tr>
        <w:trPr>
          <w:tblHeader w:val="true"/>
          <w:cantSplit/>
        </w:trPr>
        <w:tc>
          <w:tcPr>
            <w:tcW w:type="dxa" w:w="1656"/>
            <w:shd w:fill="F2F4F7"/>
            <w:vAlign w:val="center"/>
            <w:tcMar>
              <w:top w:w="80" w:type="dxa"/>
              <w:start w:w="120" w:type="dxa"/>
              <w:bottom w:w="80" w:type="dxa"/>
              <w:end w:w="120" w:type="dxa"/>
            </w:tcMar>
          </w:tcPr>
          <w:p>
            <w:r>
              <w:rPr>
                <w:b/>
                <w:sz w:val="16"/>
                <w:lang w:val="en-GB" w:eastAsia="en-GB" w:bidi="en-GB"/>
              </w:rPr>
              <w:t>Evidence area</w:t>
            </w:r>
          </w:p>
        </w:tc>
        <w:tc>
          <w:tcPr>
            <w:tcW w:type="dxa" w:w="4032"/>
            <w:shd w:fill="F2F4F7"/>
            <w:vAlign w:val="center"/>
            <w:tcMar>
              <w:top w:w="80" w:type="dxa"/>
              <w:start w:w="120" w:type="dxa"/>
              <w:bottom w:w="80" w:type="dxa"/>
              <w:end w:w="120" w:type="dxa"/>
            </w:tcMar>
          </w:tcPr>
          <w:p>
            <w:r>
              <w:rPr>
                <w:b/>
                <w:sz w:val="16"/>
                <w:lang w:val="en-GB" w:eastAsia="en-GB" w:bidi="en-GB"/>
              </w:rPr>
              <w:t>Assessment result</w:t>
            </w:r>
          </w:p>
        </w:tc>
        <w:tc>
          <w:tcPr>
            <w:tcW w:type="dxa" w:w="367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56"/>
            <w:vAlign w:val="center"/>
            <w:tcMar>
              <w:top w:w="80" w:type="dxa"/>
              <w:start w:w="120" w:type="dxa"/>
              <w:bottom w:w="80" w:type="dxa"/>
              <w:end w:w="120" w:type="dxa"/>
            </w:tcMar>
          </w:tcPr>
          <w:p>
            <w:r>
              <w:rPr>
                <w:sz w:val="16"/>
                <w:lang w:val="en-GB" w:eastAsia="en-GB" w:bidi="en-GB"/>
              </w:rPr>
              <w:t>ClamAV</w:t>
            </w:r>
          </w:p>
        </w:tc>
        <w:tc>
          <w:tcPr>
            <w:tcW w:type="dxa" w:w="4032"/>
            <w:vAlign w:val="center"/>
            <w:tcMar>
              <w:top w:w="80" w:type="dxa"/>
              <w:start w:w="120" w:type="dxa"/>
              <w:bottom w:w="80" w:type="dxa"/>
              <w:end w:w="120" w:type="dxa"/>
            </w:tcMar>
          </w:tcPr>
          <w:p>
            <w:r>
              <w:rPr>
                <w:sz w:val="16"/>
                <w:lang w:val="en-GB" w:eastAsia="en-GB" w:bidi="en-GB"/>
              </w:rPr>
              <w:t>0 infected across source, JAR and CAG archives</w:t>
            </w:r>
          </w:p>
        </w:tc>
        <w:tc>
          <w:tcPr>
            <w:tcW w:type="dxa" w:w="3672"/>
            <w:vAlign w:val="center"/>
            <w:tcMar>
              <w:top w:w="80" w:type="dxa"/>
              <w:start w:w="120" w:type="dxa"/>
              <w:bottom w:w="80" w:type="dxa"/>
              <w:end w:w="120" w:type="dxa"/>
            </w:tcMar>
          </w:tcPr>
          <w:p>
            <w:r>
              <w:rPr>
                <w:sz w:val="16"/>
                <w:lang w:val="en-GB" w:eastAsia="en-GB" w:bidi="en-GB"/>
              </w:rPr>
              <w:t>Preserve database version and logs</w:t>
            </w:r>
          </w:p>
        </w:tc>
      </w:tr>
      <w:tr>
        <w:trPr>
          <w:cantSplit/>
        </w:trPr>
        <w:tc>
          <w:tcPr>
            <w:tcW w:type="dxa" w:w="1656"/>
            <w:vAlign w:val="center"/>
            <w:tcMar>
              <w:top w:w="80" w:type="dxa"/>
              <w:start w:w="120" w:type="dxa"/>
              <w:bottom w:w="80" w:type="dxa"/>
              <w:end w:w="120" w:type="dxa"/>
            </w:tcMar>
          </w:tcPr>
          <w:p>
            <w:r>
              <w:rPr>
                <w:sz w:val="16"/>
                <w:lang w:val="en-GB" w:eastAsia="en-GB" w:bidi="en-GB"/>
              </w:rPr>
              <w:t>Secrets</w:t>
            </w:r>
          </w:p>
        </w:tc>
        <w:tc>
          <w:tcPr>
            <w:tcW w:type="dxa" w:w="4032"/>
            <w:vAlign w:val="center"/>
            <w:tcMar>
              <w:top w:w="80" w:type="dxa"/>
              <w:start w:w="120" w:type="dxa"/>
              <w:bottom w:w="80" w:type="dxa"/>
              <w:end w:w="120" w:type="dxa"/>
            </w:tcMar>
          </w:tcPr>
          <w:p>
            <w:r>
              <w:rPr>
                <w:sz w:val="16"/>
                <w:lang w:val="en-GB" w:eastAsia="en-GB" w:bidi="en-GB"/>
              </w:rPr>
              <w:t>No production credential validated</w:t>
            </w:r>
          </w:p>
        </w:tc>
        <w:tc>
          <w:tcPr>
            <w:tcW w:type="dxa" w:w="3672"/>
            <w:vAlign w:val="center"/>
            <w:tcMar>
              <w:top w:w="80" w:type="dxa"/>
              <w:start w:w="120" w:type="dxa"/>
              <w:bottom w:w="80" w:type="dxa"/>
              <w:end w:w="120" w:type="dxa"/>
            </w:tcMar>
          </w:tcPr>
          <w:p>
            <w:r>
              <w:rPr>
                <w:sz w:val="16"/>
                <w:lang w:val="en-GB" w:eastAsia="en-GB" w:bidi="en-GB"/>
              </w:rPr>
              <w:t>Keep public key/test fixture dispositions</w:t>
            </w:r>
          </w:p>
        </w:tc>
      </w:tr>
      <w:tr>
        <w:trPr>
          <w:cantSplit/>
        </w:trPr>
        <w:tc>
          <w:tcPr>
            <w:tcW w:type="dxa" w:w="1656"/>
            <w:vAlign w:val="center"/>
            <w:tcMar>
              <w:top w:w="80" w:type="dxa"/>
              <w:start w:w="120" w:type="dxa"/>
              <w:bottom w:w="80" w:type="dxa"/>
              <w:end w:w="120" w:type="dxa"/>
            </w:tcMar>
          </w:tcPr>
          <w:p>
            <w:r>
              <w:rPr>
                <w:sz w:val="16"/>
                <w:lang w:val="en-GB" w:eastAsia="en-GB" w:bidi="en-GB"/>
              </w:rPr>
              <w:t>Conclusion</w:t>
            </w:r>
          </w:p>
        </w:tc>
        <w:tc>
          <w:tcPr>
            <w:tcW w:type="dxa" w:w="4032"/>
            <w:vAlign w:val="center"/>
            <w:tcMar>
              <w:top w:w="80" w:type="dxa"/>
              <w:start w:w="120" w:type="dxa"/>
              <w:bottom w:w="80" w:type="dxa"/>
              <w:end w:w="120" w:type="dxa"/>
            </w:tcMar>
          </w:tcPr>
          <w:p>
            <w:r>
              <w:rPr>
                <w:sz w:val="16"/>
                <w:lang w:val="en-GB" w:eastAsia="en-GB" w:bidi="en-GB"/>
              </w:rPr>
              <w:t>No malicious classification</w:t>
            </w:r>
          </w:p>
        </w:tc>
        <w:tc>
          <w:tcPr>
            <w:tcW w:type="dxa" w:w="3672"/>
            <w:vAlign w:val="center"/>
            <w:tcMar>
              <w:top w:w="80" w:type="dxa"/>
              <w:start w:w="120" w:type="dxa"/>
              <w:bottom w:w="80" w:type="dxa"/>
              <w:end w:w="120" w:type="dxa"/>
            </w:tcMar>
          </w:tcPr>
          <w:p>
            <w:r>
              <w:rPr>
                <w:sz w:val="16"/>
                <w:lang w:val="en-GB" w:eastAsia="en-GB" w:bidi="en-GB"/>
              </w:rPr>
              <w:t>Continue code and supply-chain controls</w:t>
            </w:r>
          </w:p>
        </w:tc>
      </w:tr>
    </w:tbl>
    <w:p>
      <w:pPr>
        <w:widowControl/>
      </w:pPr>
    </w:p>
    <w:p>
      <w:pPr>
        <w:pStyle w:val="Heading1"/>
        <w:widowControl/>
      </w:pPr>
      <w:r>
        <w:rPr>
          <w:lang w:val="en-GB" w:eastAsia="en-GB" w:bidi="en-GB"/>
        </w:rPr>
        <w:t>Consolidated Supply Chain</w:t>
      </w:r>
    </w:p>
    <w:p>
      <w:pPr>
        <w:widowControl/>
      </w:pPr>
      <w:r>
        <w:rPr>
          <w:lang w:val="en-GB" w:eastAsia="en-GB" w:bidi="en-GB"/>
        </w:rPr>
        <w:t>Most reviewed GitHub Actions are pinned to full commit SHAs and the OCI workflow requests SBOM and maximum provenance. Four secret-consuming Jira/GitHub workflow actions still use mutable v2 references. Gradle locking is enabled, but dependency verification metadata and a wrapper distribution checksum are absent. The fat-JAR task removes signatures and Maven metadata and excludes duplicates, weakening independent attribution after assembly.</w:t>
      </w:r>
    </w:p>
    <w:p>
      <w:pPr>
        <w:widowControl/>
      </w:pPr>
      <w:r>
        <w:rPr>
          <w:lang w:val="en-GB" w:eastAsia="en-GB" w:bidi="en-GB"/>
        </w:rPr>
        <w:t>Enterprise acceptance requires authenticated build inputs, full action pinning, strict Gradle verification, a signed package-specific SBOM, preserved notices and build-once promotion. Direct-JAR documentation should include checksum and signature verification. Container and registry guidance must distinguish version tags from immutable digests and must not silently update on process start. The SSAL licence and native CAG third-party notices also require procurement review.</w:t>
      </w:r>
    </w:p>
    <w:p>
      <w:pPr>
        <w:pStyle w:val="Caption"/>
        <w:keepLines/>
        <w:widowControl/>
      </w:pPr>
      <w:r>
        <w:rPr>
          <w:b/>
          <w:lang w:val="en-GB" w:eastAsia="en-GB" w:bidi="en-GB"/>
        </w:rPr>
        <w:t>Consolidated Supply Chain evidence summary</w:t>
      </w:r>
    </w:p>
    <w:tbl>
      <w:tblPr>
        <w:tblStyle w:val="TableGrid"/>
        <w:tblW w:type="dxa" w:w="9360"/>
        <w:tblLayout w:type="fixed"/>
        <w:tblLook w:firstColumn="1" w:firstRow="1" w:lastColumn="0" w:lastRow="0" w:noHBand="0" w:noVBand="1" w:val="04A0"/>
        <w:tblInd w:w="120" w:type="dxa"/>
      </w:tblPr>
      <w:tblGrid>
        <w:gridCol w:w="1726"/>
        <w:gridCol w:w="4049"/>
        <w:gridCol w:w="3585"/>
      </w:tblGrid>
      <w:tr>
        <w:trPr>
          <w:tblHeader w:val="true"/>
          <w:cantSplit/>
        </w:trPr>
        <w:tc>
          <w:tcPr>
            <w:tcW w:type="dxa" w:w="1726"/>
            <w:shd w:fill="F2F4F7"/>
            <w:vAlign w:val="center"/>
            <w:tcMar>
              <w:top w:w="80" w:type="dxa"/>
              <w:start w:w="120" w:type="dxa"/>
              <w:bottom w:w="80" w:type="dxa"/>
              <w:end w:w="120" w:type="dxa"/>
            </w:tcMar>
          </w:tcPr>
          <w:p>
            <w:r>
              <w:rPr>
                <w:b/>
                <w:sz w:val="16"/>
                <w:lang w:val="en-GB" w:eastAsia="en-GB" w:bidi="en-GB"/>
              </w:rPr>
              <w:t>Evidence area</w:t>
            </w:r>
          </w:p>
        </w:tc>
        <w:tc>
          <w:tcPr>
            <w:tcW w:type="dxa" w:w="4049"/>
            <w:shd w:fill="F2F4F7"/>
            <w:vAlign w:val="center"/>
            <w:tcMar>
              <w:top w:w="80" w:type="dxa"/>
              <w:start w:w="120" w:type="dxa"/>
              <w:bottom w:w="80" w:type="dxa"/>
              <w:end w:w="120" w:type="dxa"/>
            </w:tcMar>
          </w:tcPr>
          <w:p>
            <w:r>
              <w:rPr>
                <w:b/>
                <w:sz w:val="16"/>
                <w:lang w:val="en-GB" w:eastAsia="en-GB" w:bidi="en-GB"/>
              </w:rPr>
              <w:t>Assessment result</w:t>
            </w:r>
          </w:p>
        </w:tc>
        <w:tc>
          <w:tcPr>
            <w:tcW w:type="dxa" w:w="358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26"/>
            <w:vAlign w:val="center"/>
            <w:tcMar>
              <w:top w:w="80" w:type="dxa"/>
              <w:start w:w="120" w:type="dxa"/>
              <w:bottom w:w="80" w:type="dxa"/>
              <w:end w:w="120" w:type="dxa"/>
            </w:tcMar>
          </w:tcPr>
          <w:p>
            <w:r>
              <w:rPr>
                <w:sz w:val="16"/>
                <w:lang w:val="en-GB" w:eastAsia="en-GB" w:bidi="en-GB"/>
              </w:rPr>
              <w:t>Actions</w:t>
            </w:r>
          </w:p>
        </w:tc>
        <w:tc>
          <w:tcPr>
            <w:tcW w:type="dxa" w:w="4049"/>
            <w:vAlign w:val="center"/>
            <w:tcMar>
              <w:top w:w="80" w:type="dxa"/>
              <w:start w:w="120" w:type="dxa"/>
              <w:bottom w:w="80" w:type="dxa"/>
              <w:end w:w="120" w:type="dxa"/>
            </w:tcMar>
          </w:tcPr>
          <w:p>
            <w:r>
              <w:rPr>
                <w:sz w:val="16"/>
                <w:lang w:val="en-GB" w:eastAsia="en-GB" w:bidi="en-GB"/>
              </w:rPr>
              <w:t>Four mutable privileged references</w:t>
            </w:r>
          </w:p>
        </w:tc>
        <w:tc>
          <w:tcPr>
            <w:tcW w:type="dxa" w:w="3585"/>
            <w:vAlign w:val="center"/>
            <w:tcMar>
              <w:top w:w="80" w:type="dxa"/>
              <w:start w:w="120" w:type="dxa"/>
              <w:bottom w:w="80" w:type="dxa"/>
              <w:end w:w="120" w:type="dxa"/>
            </w:tcMar>
          </w:tcPr>
          <w:p>
            <w:r>
              <w:rPr>
                <w:sz w:val="16"/>
                <w:lang w:val="en-GB" w:eastAsia="en-GB" w:bidi="en-GB"/>
              </w:rPr>
              <w:t>Pin reviewed full SHAs</w:t>
            </w:r>
          </w:p>
        </w:tc>
      </w:tr>
      <w:tr>
        <w:trPr>
          <w:cantSplit/>
        </w:trPr>
        <w:tc>
          <w:tcPr>
            <w:tcW w:type="dxa" w:w="1726"/>
            <w:vAlign w:val="center"/>
            <w:tcMar>
              <w:top w:w="80" w:type="dxa"/>
              <w:start w:w="120" w:type="dxa"/>
              <w:bottom w:w="80" w:type="dxa"/>
              <w:end w:w="120" w:type="dxa"/>
            </w:tcMar>
          </w:tcPr>
          <w:p>
            <w:r>
              <w:rPr>
                <w:sz w:val="16"/>
                <w:lang w:val="en-GB" w:eastAsia="en-GB" w:bidi="en-GB"/>
              </w:rPr>
              <w:t>Gradle</w:t>
            </w:r>
          </w:p>
        </w:tc>
        <w:tc>
          <w:tcPr>
            <w:tcW w:type="dxa" w:w="4049"/>
            <w:vAlign w:val="center"/>
            <w:tcMar>
              <w:top w:w="80" w:type="dxa"/>
              <w:start w:w="120" w:type="dxa"/>
              <w:bottom w:w="80" w:type="dxa"/>
              <w:end w:w="120" w:type="dxa"/>
            </w:tcMar>
          </w:tcPr>
          <w:p>
            <w:r>
              <w:rPr>
                <w:sz w:val="16"/>
                <w:lang w:val="en-GB" w:eastAsia="en-GB" w:bidi="en-GB"/>
              </w:rPr>
              <w:t>Locks present; verification metadata absent</w:t>
            </w:r>
          </w:p>
        </w:tc>
        <w:tc>
          <w:tcPr>
            <w:tcW w:type="dxa" w:w="3585"/>
            <w:vAlign w:val="center"/>
            <w:tcMar>
              <w:top w:w="80" w:type="dxa"/>
              <w:start w:w="120" w:type="dxa"/>
              <w:bottom w:w="80" w:type="dxa"/>
              <w:end w:w="120" w:type="dxa"/>
            </w:tcMar>
          </w:tcPr>
          <w:p>
            <w:r>
              <w:rPr>
                <w:sz w:val="16"/>
                <w:lang w:val="en-GB" w:eastAsia="en-GB" w:bidi="en-GB"/>
              </w:rPr>
              <w:t>Enable strict dependency verification</w:t>
            </w:r>
          </w:p>
        </w:tc>
      </w:tr>
      <w:tr>
        <w:trPr>
          <w:cantSplit/>
        </w:trPr>
        <w:tc>
          <w:tcPr>
            <w:tcW w:type="dxa" w:w="1726"/>
            <w:vAlign w:val="center"/>
            <w:tcMar>
              <w:top w:w="80" w:type="dxa"/>
              <w:start w:w="120" w:type="dxa"/>
              <w:bottom w:w="80" w:type="dxa"/>
              <w:end w:w="120" w:type="dxa"/>
            </w:tcMar>
          </w:tcPr>
          <w:p>
            <w:r>
              <w:rPr>
                <w:sz w:val="16"/>
                <w:lang w:val="en-GB" w:eastAsia="en-GB" w:bidi="en-GB"/>
              </w:rPr>
              <w:t>Packaging</w:t>
            </w:r>
          </w:p>
        </w:tc>
        <w:tc>
          <w:tcPr>
            <w:tcW w:type="dxa" w:w="4049"/>
            <w:vAlign w:val="center"/>
            <w:tcMar>
              <w:top w:w="80" w:type="dxa"/>
              <w:start w:w="120" w:type="dxa"/>
              <w:bottom w:w="80" w:type="dxa"/>
              <w:end w:w="120" w:type="dxa"/>
            </w:tcMar>
          </w:tcPr>
          <w:p>
            <w:r>
              <w:rPr>
                <w:sz w:val="16"/>
                <w:lang w:val="en-GB" w:eastAsia="en-GB" w:bidi="en-GB"/>
              </w:rPr>
              <w:t>Shaded metadata removed</w:t>
            </w:r>
          </w:p>
        </w:tc>
        <w:tc>
          <w:tcPr>
            <w:tcW w:type="dxa" w:w="3585"/>
            <w:vAlign w:val="center"/>
            <w:tcMar>
              <w:top w:w="80" w:type="dxa"/>
              <w:start w:w="120" w:type="dxa"/>
              <w:bottom w:w="80" w:type="dxa"/>
              <w:end w:w="120" w:type="dxa"/>
            </w:tcMar>
          </w:tcPr>
          <w:p>
            <w:r>
              <w:rPr>
                <w:sz w:val="16"/>
                <w:lang w:val="en-GB" w:eastAsia="en-GB" w:bidi="en-GB"/>
              </w:rPr>
              <w:t>Publish signed SBOM and provenance</w:t>
            </w:r>
          </w:p>
        </w:tc>
      </w:tr>
    </w:tbl>
    <w:p>
      <w:pPr>
        <w:widowControl/>
      </w:pPr>
    </w:p>
    <w:p>
      <w:pPr>
        <w:pStyle w:val="Heading1"/>
        <w:widowControl/>
      </w:pPr>
      <w:r>
        <w:rPr>
          <w:lang w:val="en-GB" w:eastAsia="en-GB" w:bidi="en-GB"/>
        </w:rPr>
        <w:t>SBOM and Vulnerability Triage</w:t>
      </w:r>
    </w:p>
    <w:p>
      <w:pPr>
        <w:widowControl/>
      </w:pPr>
      <w:r>
        <w:rPr>
          <w:lang w:val="en-GB" w:eastAsia="en-GB" w:bidi="en-GB"/>
        </w:rPr>
        <w:t>Syft identified 328 purl-bearing source components, while the shaded JAR exposed only one library identity and the OCI images exposed thirty-four purl-bearing packages plus hundreds of file records. This demonstrates a material attribution gap: zero JAR findings cannot be interpreted as a vulnerability-free artifact. Grype matched forty-five source-lock entries across fourteen advisories and five medium OS-package matches per OCI architecture.</w:t>
      </w:r>
    </w:p>
    <w:p>
      <w:pPr>
        <w:widowControl/>
      </w:pPr>
      <w:r>
        <w:rPr>
          <w:lang w:val="en-GB" w:eastAsia="en-GB" w:bidi="en-GB"/>
        </w:rPr>
        <w:t>High scanner matches were separated by classpath. Handlebars 4.3.1 is test-only and is not treated as shipped exposure. Jackson 2.21.1 and 3.1.2 are runtime dependencies and remain a P1 remediation even though specific polymorphic exploit configuration was not found. OCI findings require vendor/package disposition and reachability review. All advisories should be rechecked at approval time because the databases and fixed versions can change.</w:t>
      </w:r>
    </w:p>
    <w:p>
      <w:pPr>
        <w:pStyle w:val="Caption"/>
        <w:keepLines/>
        <w:widowControl/>
      </w:pPr>
      <w:r>
        <w:rPr>
          <w:b/>
          <w:lang w:val="en-GB" w:eastAsia="en-GB" w:bidi="en-GB"/>
        </w:rPr>
        <w:t>SBOM and Vulnerability Triage evidence summary</w:t>
      </w:r>
    </w:p>
    <w:tbl>
      <w:tblPr>
        <w:tblStyle w:val="TableGrid"/>
        <w:tblW w:type="dxa" w:w="9360"/>
        <w:tblLayout w:type="fixed"/>
        <w:tblLook w:firstColumn="1" w:firstRow="1" w:lastColumn="0" w:lastRow="0" w:noHBand="0" w:noVBand="1" w:val="04A0"/>
        <w:tblInd w:w="120" w:type="dxa"/>
      </w:tblPr>
      <w:tblGrid>
        <w:gridCol w:w="2227"/>
        <w:gridCol w:w="3399"/>
        <w:gridCol w:w="3734"/>
      </w:tblGrid>
      <w:tr>
        <w:trPr>
          <w:tblHeader w:val="true"/>
          <w:cantSplit/>
        </w:trPr>
        <w:tc>
          <w:tcPr>
            <w:tcW w:type="dxa" w:w="2227"/>
            <w:shd w:fill="F2F4F7"/>
            <w:vAlign w:val="center"/>
            <w:tcMar>
              <w:top w:w="80" w:type="dxa"/>
              <w:start w:w="120" w:type="dxa"/>
              <w:bottom w:w="80" w:type="dxa"/>
              <w:end w:w="120" w:type="dxa"/>
            </w:tcMar>
          </w:tcPr>
          <w:p>
            <w:r>
              <w:rPr>
                <w:b/>
                <w:sz w:val="16"/>
                <w:lang w:val="en-GB" w:eastAsia="en-GB" w:bidi="en-GB"/>
              </w:rPr>
              <w:t>Evidence area</w:t>
            </w:r>
          </w:p>
        </w:tc>
        <w:tc>
          <w:tcPr>
            <w:tcW w:type="dxa" w:w="3399"/>
            <w:shd w:fill="F2F4F7"/>
            <w:vAlign w:val="center"/>
            <w:tcMar>
              <w:top w:w="80" w:type="dxa"/>
              <w:start w:w="120" w:type="dxa"/>
              <w:bottom w:w="80" w:type="dxa"/>
              <w:end w:w="120" w:type="dxa"/>
            </w:tcMar>
          </w:tcPr>
          <w:p>
            <w:r>
              <w:rPr>
                <w:b/>
                <w:sz w:val="16"/>
                <w:lang w:val="en-GB" w:eastAsia="en-GB" w:bidi="en-GB"/>
              </w:rPr>
              <w:t>Assessment result</w:t>
            </w:r>
          </w:p>
        </w:tc>
        <w:tc>
          <w:tcPr>
            <w:tcW w:type="dxa" w:w="3734"/>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227"/>
            <w:vAlign w:val="center"/>
            <w:tcMar>
              <w:top w:w="80" w:type="dxa"/>
              <w:start w:w="120" w:type="dxa"/>
              <w:bottom w:w="80" w:type="dxa"/>
              <w:end w:w="120" w:type="dxa"/>
            </w:tcMar>
          </w:tcPr>
          <w:p>
            <w:r>
              <w:rPr>
                <w:sz w:val="16"/>
                <w:lang w:val="en-GB" w:eastAsia="en-GB" w:bidi="en-GB"/>
              </w:rPr>
              <w:t>Source SBOM</w:t>
            </w:r>
          </w:p>
        </w:tc>
        <w:tc>
          <w:tcPr>
            <w:tcW w:type="dxa" w:w="3399"/>
            <w:vAlign w:val="center"/>
            <w:tcMar>
              <w:top w:w="80" w:type="dxa"/>
              <w:start w:w="120" w:type="dxa"/>
              <w:bottom w:w="80" w:type="dxa"/>
              <w:end w:w="120" w:type="dxa"/>
            </w:tcMar>
          </w:tcPr>
          <w:p>
            <w:r>
              <w:rPr>
                <w:sz w:val="16"/>
                <w:lang w:val="en-GB" w:eastAsia="en-GB" w:bidi="en-GB"/>
              </w:rPr>
              <w:t>328 identified libraries</w:t>
            </w:r>
          </w:p>
        </w:tc>
        <w:tc>
          <w:tcPr>
            <w:tcW w:type="dxa" w:w="3734"/>
            <w:vAlign w:val="center"/>
            <w:tcMar>
              <w:top w:w="80" w:type="dxa"/>
              <w:start w:w="120" w:type="dxa"/>
              <w:bottom w:w="80" w:type="dxa"/>
              <w:end w:w="120" w:type="dxa"/>
            </w:tcMar>
          </w:tcPr>
          <w:p>
            <w:r>
              <w:rPr>
                <w:sz w:val="16"/>
                <w:lang w:val="en-GB" w:eastAsia="en-GB" w:bidi="en-GB"/>
              </w:rPr>
              <w:t>Publish and reconcile official SBOM</w:t>
            </w:r>
          </w:p>
        </w:tc>
      </w:tr>
      <w:tr>
        <w:trPr>
          <w:cantSplit/>
        </w:trPr>
        <w:tc>
          <w:tcPr>
            <w:tcW w:type="dxa" w:w="2227"/>
            <w:vAlign w:val="center"/>
            <w:tcMar>
              <w:top w:w="80" w:type="dxa"/>
              <w:start w:w="120" w:type="dxa"/>
              <w:bottom w:w="80" w:type="dxa"/>
              <w:end w:w="120" w:type="dxa"/>
            </w:tcMar>
          </w:tcPr>
          <w:p>
            <w:r>
              <w:rPr>
                <w:sz w:val="16"/>
                <w:lang w:val="en-GB" w:eastAsia="en-GB" w:bidi="en-GB"/>
              </w:rPr>
              <w:t>Shaded JAR</w:t>
            </w:r>
          </w:p>
        </w:tc>
        <w:tc>
          <w:tcPr>
            <w:tcW w:type="dxa" w:w="3399"/>
            <w:vAlign w:val="center"/>
            <w:tcMar>
              <w:top w:w="80" w:type="dxa"/>
              <w:start w:w="120" w:type="dxa"/>
              <w:bottom w:w="80" w:type="dxa"/>
              <w:end w:w="120" w:type="dxa"/>
            </w:tcMar>
          </w:tcPr>
          <w:p>
            <w:r>
              <w:rPr>
                <w:sz w:val="16"/>
                <w:lang w:val="en-GB" w:eastAsia="en-GB" w:bidi="en-GB"/>
              </w:rPr>
              <w:t>Component attribution incomplete</w:t>
            </w:r>
          </w:p>
        </w:tc>
        <w:tc>
          <w:tcPr>
            <w:tcW w:type="dxa" w:w="3734"/>
            <w:vAlign w:val="center"/>
            <w:tcMar>
              <w:top w:w="80" w:type="dxa"/>
              <w:start w:w="120" w:type="dxa"/>
              <w:bottom w:w="80" w:type="dxa"/>
              <w:end w:w="120" w:type="dxa"/>
            </w:tcMar>
          </w:tcPr>
          <w:p>
            <w:r>
              <w:rPr>
                <w:sz w:val="16"/>
                <w:lang w:val="en-GB" w:eastAsia="en-GB" w:bidi="en-GB"/>
              </w:rPr>
              <w:t>Do not rely on zero JAR matches</w:t>
            </w:r>
          </w:p>
        </w:tc>
      </w:tr>
      <w:tr>
        <w:trPr>
          <w:cantSplit/>
        </w:trPr>
        <w:tc>
          <w:tcPr>
            <w:tcW w:type="dxa" w:w="2227"/>
            <w:vAlign w:val="center"/>
            <w:tcMar>
              <w:top w:w="80" w:type="dxa"/>
              <w:start w:w="120" w:type="dxa"/>
              <w:bottom w:w="80" w:type="dxa"/>
              <w:end w:w="120" w:type="dxa"/>
            </w:tcMar>
          </w:tcPr>
          <w:p>
            <w:r>
              <w:rPr>
                <w:sz w:val="16"/>
                <w:lang w:val="en-GB" w:eastAsia="en-GB" w:bidi="en-GB"/>
              </w:rPr>
              <w:t>Runtime advisories</w:t>
            </w:r>
          </w:p>
        </w:tc>
        <w:tc>
          <w:tcPr>
            <w:tcW w:type="dxa" w:w="3399"/>
            <w:vAlign w:val="center"/>
            <w:tcMar>
              <w:top w:w="80" w:type="dxa"/>
              <w:start w:w="120" w:type="dxa"/>
              <w:bottom w:w="80" w:type="dxa"/>
              <w:end w:w="120" w:type="dxa"/>
            </w:tcMar>
          </w:tcPr>
          <w:p>
            <w:r>
              <w:rPr>
                <w:sz w:val="16"/>
                <w:lang w:val="en-GB" w:eastAsia="en-GB" w:bidi="en-GB"/>
              </w:rPr>
              <w:t>Jackson fixes available</w:t>
            </w:r>
          </w:p>
        </w:tc>
        <w:tc>
          <w:tcPr>
            <w:tcW w:type="dxa" w:w="3734"/>
            <w:vAlign w:val="center"/>
            <w:tcMar>
              <w:top w:w="80" w:type="dxa"/>
              <w:start w:w="120" w:type="dxa"/>
              <w:bottom w:w="80" w:type="dxa"/>
              <w:end w:w="120" w:type="dxa"/>
            </w:tcMar>
          </w:tcPr>
          <w:p>
            <w:r>
              <w:rPr>
                <w:sz w:val="16"/>
                <w:lang w:val="en-GB" w:eastAsia="en-GB" w:bidi="en-GB"/>
              </w:rPr>
              <w:t>Upgrade and provide VEX/reachability</w:t>
            </w:r>
          </w:p>
        </w:tc>
      </w:tr>
    </w:tbl>
    <w:p>
      <w:pPr>
        <w:widowControl/>
      </w:pPr>
    </w:p>
    <w:p>
      <w:pPr>
        <w:pStyle w:val="Heading1"/>
        <w:widowControl/>
      </w:pPr>
      <w:r>
        <w:rPr>
          <w:lang w:val="en-GB" w:eastAsia="en-GB" w:bidi="en-GB"/>
        </w:rPr>
        <w:t>Runtime Observations</w:t>
      </w:r>
    </w:p>
    <w:p>
      <w:pPr>
        <w:widowControl/>
      </w:pPr>
      <w:r>
        <w:rPr>
          <w:lang w:val="en-GB" w:eastAsia="en-GB" w:bidi="en-GB"/>
        </w:rPr>
        <w:t>The exact arm64 image ran inside an internal-only Docker network with a synthetic backend and token, read-only root, bounded tmpfs, dropped capabilities, no-new-privileges, telemetry disabled, server read-only and projects-only tools. MCP initialize succeeded, negotiated protocol 2024-11-05 and reported version 1.24.0.3152. tools/list returned exactly three read-only project tools.</w:t>
      </w:r>
    </w:p>
    <w:p>
      <w:pPr>
        <w:widowControl/>
      </w:pPr>
      <w:r>
        <w:rPr>
          <w:lang w:val="en-GB" w:eastAsia="en-GB" w:bidi="en-GB"/>
        </w:rPr>
        <w:t>Negative checks passed: an undeclared argument produced a schema error and a direct call to the hidden change_sonar_issue_status tool returned Tool not found. The local analysis backend logged an internal initialization error but the server still reported ready, and EOF produced a shutdown cancellation error. These observations support filtering and schema claims while leaving readiness, CAG, real-backend permissions, VS Code UI and multi-user HTTP deferred.</w:t>
      </w:r>
    </w:p>
    <w:p>
      <w:pPr>
        <w:pStyle w:val="Caption"/>
        <w:keepLines/>
        <w:widowControl/>
      </w:pPr>
      <w:r>
        <w:rPr>
          <w:b/>
          <w:lang w:val="en-GB" w:eastAsia="en-GB" w:bidi="en-GB"/>
        </w:rPr>
        <w:t>Runtime Observations evidence summary</w:t>
      </w:r>
    </w:p>
    <w:tbl>
      <w:tblPr>
        <w:tblStyle w:val="TableGrid"/>
        <w:tblW w:type="dxa" w:w="9360"/>
        <w:tblLayout w:type="fixed"/>
        <w:tblLook w:firstColumn="1" w:firstRow="1" w:lastColumn="0" w:lastRow="0" w:noHBand="0" w:noVBand="1" w:val="04A0"/>
        <w:tblInd w:w="120" w:type="dxa"/>
      </w:tblPr>
      <w:tblGrid>
        <w:gridCol w:w="2022"/>
        <w:gridCol w:w="4014"/>
        <w:gridCol w:w="3324"/>
      </w:tblGrid>
      <w:tr>
        <w:trPr>
          <w:tblHeader w:val="true"/>
          <w:cantSplit/>
        </w:trPr>
        <w:tc>
          <w:tcPr>
            <w:tcW w:type="dxa" w:w="2022"/>
            <w:shd w:fill="F2F4F7"/>
            <w:vAlign w:val="center"/>
            <w:tcMar>
              <w:top w:w="80" w:type="dxa"/>
              <w:start w:w="120" w:type="dxa"/>
              <w:bottom w:w="80" w:type="dxa"/>
              <w:end w:w="120" w:type="dxa"/>
            </w:tcMar>
          </w:tcPr>
          <w:p>
            <w:r>
              <w:rPr>
                <w:b/>
                <w:sz w:val="16"/>
                <w:lang w:val="en-GB" w:eastAsia="en-GB" w:bidi="en-GB"/>
              </w:rPr>
              <w:t>Evidence area</w:t>
            </w:r>
          </w:p>
        </w:tc>
        <w:tc>
          <w:tcPr>
            <w:tcW w:type="dxa" w:w="4014"/>
            <w:shd w:fill="F2F4F7"/>
            <w:vAlign w:val="center"/>
            <w:tcMar>
              <w:top w:w="80" w:type="dxa"/>
              <w:start w:w="120" w:type="dxa"/>
              <w:bottom w:w="80" w:type="dxa"/>
              <w:end w:w="120" w:type="dxa"/>
            </w:tcMar>
          </w:tcPr>
          <w:p>
            <w:r>
              <w:rPr>
                <w:b/>
                <w:sz w:val="16"/>
                <w:lang w:val="en-GB" w:eastAsia="en-GB" w:bidi="en-GB"/>
              </w:rPr>
              <w:t>Assessment result</w:t>
            </w:r>
          </w:p>
        </w:tc>
        <w:tc>
          <w:tcPr>
            <w:tcW w:type="dxa" w:w="3324"/>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022"/>
            <w:vAlign w:val="center"/>
            <w:tcMar>
              <w:top w:w="80" w:type="dxa"/>
              <w:start w:w="120" w:type="dxa"/>
              <w:bottom w:w="80" w:type="dxa"/>
              <w:end w:w="120" w:type="dxa"/>
            </w:tcMar>
          </w:tcPr>
          <w:p>
            <w:r>
              <w:rPr>
                <w:sz w:val="16"/>
                <w:lang w:val="en-GB" w:eastAsia="en-GB" w:bidi="en-GB"/>
              </w:rPr>
              <w:t>Initialize</w:t>
            </w:r>
          </w:p>
        </w:tc>
        <w:tc>
          <w:tcPr>
            <w:tcW w:type="dxa" w:w="4014"/>
            <w:vAlign w:val="center"/>
            <w:tcMar>
              <w:top w:w="80" w:type="dxa"/>
              <w:start w:w="120" w:type="dxa"/>
              <w:bottom w:w="80" w:type="dxa"/>
              <w:end w:w="120" w:type="dxa"/>
            </w:tcMar>
          </w:tcPr>
          <w:p>
            <w:r>
              <w:rPr>
                <w:sz w:val="16"/>
                <w:lang w:val="en-GB" w:eastAsia="en-GB" w:bidi="en-GB"/>
              </w:rPr>
              <w:t>Pass</w:t>
            </w:r>
          </w:p>
        </w:tc>
        <w:tc>
          <w:tcPr>
            <w:tcW w:type="dxa" w:w="3324"/>
            <w:vAlign w:val="center"/>
            <w:tcMar>
              <w:top w:w="80" w:type="dxa"/>
              <w:start w:w="120" w:type="dxa"/>
              <w:bottom w:w="80" w:type="dxa"/>
              <w:end w:w="120" w:type="dxa"/>
            </w:tcMar>
          </w:tcPr>
          <w:p>
            <w:r>
              <w:rPr>
                <w:sz w:val="16"/>
                <w:lang w:val="en-GB" w:eastAsia="en-GB" w:bidi="en-GB"/>
              </w:rPr>
              <w:t>Retain version/protocol evidence</w:t>
            </w:r>
          </w:p>
        </w:tc>
      </w:tr>
      <w:tr>
        <w:trPr>
          <w:cantSplit/>
        </w:trPr>
        <w:tc>
          <w:tcPr>
            <w:tcW w:type="dxa" w:w="2022"/>
            <w:vAlign w:val="center"/>
            <w:tcMar>
              <w:top w:w="80" w:type="dxa"/>
              <w:start w:w="120" w:type="dxa"/>
              <w:bottom w:w="80" w:type="dxa"/>
              <w:end w:w="120" w:type="dxa"/>
            </w:tcMar>
          </w:tcPr>
          <w:p>
            <w:r>
              <w:rPr>
                <w:sz w:val="16"/>
                <w:lang w:val="en-GB" w:eastAsia="en-GB" w:bidi="en-GB"/>
              </w:rPr>
              <w:t>Negative controls</w:t>
            </w:r>
          </w:p>
        </w:tc>
        <w:tc>
          <w:tcPr>
            <w:tcW w:type="dxa" w:w="4014"/>
            <w:vAlign w:val="center"/>
            <w:tcMar>
              <w:top w:w="80" w:type="dxa"/>
              <w:start w:w="120" w:type="dxa"/>
              <w:bottom w:w="80" w:type="dxa"/>
              <w:end w:w="120" w:type="dxa"/>
            </w:tcMar>
          </w:tcPr>
          <w:p>
            <w:r>
              <w:rPr>
                <w:sz w:val="16"/>
                <w:lang w:val="en-GB" w:eastAsia="en-GB" w:bidi="en-GB"/>
              </w:rPr>
              <w:t>Schema and hidden write-tool rejection pass</w:t>
            </w:r>
          </w:p>
        </w:tc>
        <w:tc>
          <w:tcPr>
            <w:tcW w:type="dxa" w:w="3324"/>
            <w:vAlign w:val="center"/>
            <w:tcMar>
              <w:top w:w="80" w:type="dxa"/>
              <w:start w:w="120" w:type="dxa"/>
              <w:bottom w:w="80" w:type="dxa"/>
              <w:end w:w="120" w:type="dxa"/>
            </w:tcMar>
          </w:tcPr>
          <w:p>
            <w:r>
              <w:rPr>
                <w:sz w:val="16"/>
                <w:lang w:val="en-GB" w:eastAsia="en-GB" w:bidi="en-GB"/>
              </w:rPr>
              <w:t>Repeat in representative VS Code</w:t>
            </w:r>
          </w:p>
        </w:tc>
      </w:tr>
      <w:tr>
        <w:trPr>
          <w:cantSplit/>
        </w:trPr>
        <w:tc>
          <w:tcPr>
            <w:tcW w:type="dxa" w:w="2022"/>
            <w:vAlign w:val="center"/>
            <w:tcMar>
              <w:top w:w="80" w:type="dxa"/>
              <w:start w:w="120" w:type="dxa"/>
              <w:bottom w:w="80" w:type="dxa"/>
              <w:end w:w="120" w:type="dxa"/>
            </w:tcMar>
          </w:tcPr>
          <w:p>
            <w:r>
              <w:rPr>
                <w:sz w:val="16"/>
                <w:lang w:val="en-GB" w:eastAsia="en-GB" w:bidi="en-GB"/>
              </w:rPr>
              <w:t>Readiness</w:t>
            </w:r>
          </w:p>
        </w:tc>
        <w:tc>
          <w:tcPr>
            <w:tcW w:type="dxa" w:w="4014"/>
            <w:vAlign w:val="center"/>
            <w:tcMar>
              <w:top w:w="80" w:type="dxa"/>
              <w:start w:w="120" w:type="dxa"/>
              <w:bottom w:w="80" w:type="dxa"/>
              <w:end w:w="120" w:type="dxa"/>
            </w:tcMar>
          </w:tcPr>
          <w:p>
            <w:r>
              <w:rPr>
                <w:sz w:val="16"/>
                <w:lang w:val="en-GB" w:eastAsia="en-GB" w:bidi="en-GB"/>
              </w:rPr>
              <w:t>Degraded backend still reports ready</w:t>
            </w:r>
          </w:p>
        </w:tc>
        <w:tc>
          <w:tcPr>
            <w:tcW w:type="dxa" w:w="3324"/>
            <w:vAlign w:val="center"/>
            <w:tcMar>
              <w:top w:w="80" w:type="dxa"/>
              <w:start w:w="120" w:type="dxa"/>
              <w:bottom w:w="80" w:type="dxa"/>
              <w:end w:w="120" w:type="dxa"/>
            </w:tcMar>
          </w:tcPr>
          <w:p>
            <w:r>
              <w:rPr>
                <w:sz w:val="16"/>
                <w:lang w:val="en-GB" w:eastAsia="en-GB" w:bidi="en-GB"/>
              </w:rPr>
              <w:t>Fix and retest lifecycle semantics</w:t>
            </w:r>
          </w:p>
        </w:tc>
      </w:tr>
    </w:tbl>
    <w:p>
      <w:pPr>
        <w:widowControl/>
      </w:pPr>
    </w:p>
    <w:p>
      <w:pPr>
        <w:pStyle w:val="Heading1"/>
        <w:widowControl/>
      </w:pPr>
      <w:r>
        <w:rPr>
          <w:lang w:val="en-GB" w:eastAsia="en-GB" w:bidi="en-GB"/>
        </w:rPr>
        <w:t>Privacy &amp; Data Protection Assessment</w:t>
      </w:r>
    </w:p>
    <w:p>
      <w:pPr>
        <w:widowControl/>
      </w:pPr>
      <w:r>
        <w:rPr>
          <w:lang w:val="en-GB" w:eastAsia="en-GB" w:bidi="en-GB"/>
        </w:rPr>
        <w:t>Telemetry is enabled by default unless TELEMETRY_DISABLED=true. The sample and implementation include installation, organisation and user UUIDs, invocation UUID, timestamp, tool name, client/version, transport, duration, success, errors and response size. SonarSource states that source code and IP address are not collected. Stable identifiers remain pseudonymous personal data where they can be linked to a person or organisation.</w:t>
      </w:r>
    </w:p>
    <w:p>
      <w:pPr>
        <w:widowControl/>
      </w:pPr>
      <w:r>
        <w:rPr>
          <w:lang w:val="en-GB" w:eastAsia="en-GB" w:bidi="en-GB"/>
        </w:rPr>
        <w:t>A Large UK Insurance deployment requires a documented purpose and lawful basis, data minimisation, transparency, retention, deletion, access, international-transfer, subprocessor and incident controls. A default-on unbounded analytics pipeline also creates security and privacy risk because token-bearing client objects can be retained in queued work even if token values are not transmitted. Keep telemetry disabled until the enterprise DPA/DPIA and packet-level verification are complete.</w:t>
      </w:r>
    </w:p>
    <w:p>
      <w:pPr>
        <w:pStyle w:val="Caption"/>
        <w:keepLines/>
        <w:widowControl/>
      </w:pPr>
      <w:r>
        <w:rPr>
          <w:b/>
          <w:lang w:val="en-GB" w:eastAsia="en-GB" w:bidi="en-GB"/>
        </w:rPr>
        <w:t>Privacy &amp; Data Protection Assessment evidence summary</w:t>
      </w:r>
    </w:p>
    <w:tbl>
      <w:tblPr>
        <w:tblStyle w:val="TableGrid"/>
        <w:tblW w:type="dxa" w:w="9360"/>
        <w:tblLayout w:type="fixed"/>
        <w:tblLook w:firstColumn="1" w:firstRow="1" w:lastColumn="0" w:lastRow="0" w:noHBand="0" w:noVBand="1" w:val="04A0"/>
        <w:tblInd w:w="120" w:type="dxa"/>
      </w:tblPr>
      <w:tblGrid>
        <w:gridCol w:w="1800"/>
        <w:gridCol w:w="4032"/>
        <w:gridCol w:w="3528"/>
      </w:tblGrid>
      <w:tr>
        <w:trPr>
          <w:tblHeader w:val="true"/>
          <w:cantSplit/>
        </w:trPr>
        <w:tc>
          <w:tcPr>
            <w:tcW w:type="dxa" w:w="1800"/>
            <w:shd w:fill="F2F4F7"/>
            <w:vAlign w:val="center"/>
            <w:tcMar>
              <w:top w:w="80" w:type="dxa"/>
              <w:start w:w="120" w:type="dxa"/>
              <w:bottom w:w="80" w:type="dxa"/>
              <w:end w:w="120" w:type="dxa"/>
            </w:tcMar>
          </w:tcPr>
          <w:p>
            <w:r>
              <w:rPr>
                <w:b/>
                <w:sz w:val="16"/>
                <w:lang w:val="en-GB" w:eastAsia="en-GB" w:bidi="en-GB"/>
              </w:rPr>
              <w:t>Evidence area</w:t>
            </w:r>
          </w:p>
        </w:tc>
        <w:tc>
          <w:tcPr>
            <w:tcW w:type="dxa" w:w="4032"/>
            <w:shd w:fill="F2F4F7"/>
            <w:vAlign w:val="center"/>
            <w:tcMar>
              <w:top w:w="80" w:type="dxa"/>
              <w:start w:w="120" w:type="dxa"/>
              <w:bottom w:w="80" w:type="dxa"/>
              <w:end w:w="120" w:type="dxa"/>
            </w:tcMar>
          </w:tcPr>
          <w:p>
            <w:r>
              <w:rPr>
                <w:b/>
                <w:sz w:val="16"/>
                <w:lang w:val="en-GB" w:eastAsia="en-GB" w:bidi="en-GB"/>
              </w:rPr>
              <w:t>Assessment result</w:t>
            </w:r>
          </w:p>
        </w:tc>
        <w:tc>
          <w:tcPr>
            <w:tcW w:type="dxa" w:w="352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00"/>
            <w:vAlign w:val="center"/>
            <w:tcMar>
              <w:top w:w="80" w:type="dxa"/>
              <w:start w:w="120" w:type="dxa"/>
              <w:bottom w:w="80" w:type="dxa"/>
              <w:end w:w="120" w:type="dxa"/>
            </w:tcMar>
          </w:tcPr>
          <w:p>
            <w:r>
              <w:rPr>
                <w:sz w:val="16"/>
                <w:lang w:val="en-GB" w:eastAsia="en-GB" w:bidi="en-GB"/>
              </w:rPr>
              <w:t>Fields</w:t>
            </w:r>
          </w:p>
        </w:tc>
        <w:tc>
          <w:tcPr>
            <w:tcW w:type="dxa" w:w="4032"/>
            <w:vAlign w:val="center"/>
            <w:tcMar>
              <w:top w:w="80" w:type="dxa"/>
              <w:start w:w="120" w:type="dxa"/>
              <w:bottom w:w="80" w:type="dxa"/>
              <w:end w:w="120" w:type="dxa"/>
            </w:tcMar>
          </w:tcPr>
          <w:p>
            <w:r>
              <w:rPr>
                <w:sz w:val="16"/>
                <w:lang w:val="en-GB" w:eastAsia="en-GB" w:bidi="en-GB"/>
              </w:rPr>
              <w:t>Stable identifiers and tool-operation metadata</w:t>
            </w:r>
          </w:p>
        </w:tc>
        <w:tc>
          <w:tcPr>
            <w:tcW w:type="dxa" w:w="3528"/>
            <w:vAlign w:val="center"/>
            <w:tcMar>
              <w:top w:w="80" w:type="dxa"/>
              <w:start w:w="120" w:type="dxa"/>
              <w:bottom w:w="80" w:type="dxa"/>
              <w:end w:w="120" w:type="dxa"/>
            </w:tcMar>
          </w:tcPr>
          <w:p>
            <w:r>
              <w:rPr>
                <w:sz w:val="16"/>
                <w:lang w:val="en-GB" w:eastAsia="en-GB" w:bidi="en-GB"/>
              </w:rPr>
              <w:t>Approve field/purpose schedule</w:t>
            </w:r>
          </w:p>
        </w:tc>
      </w:tr>
      <w:tr>
        <w:trPr>
          <w:cantSplit/>
        </w:trPr>
        <w:tc>
          <w:tcPr>
            <w:tcW w:type="dxa" w:w="1800"/>
            <w:vAlign w:val="center"/>
            <w:tcMar>
              <w:top w:w="80" w:type="dxa"/>
              <w:start w:w="120" w:type="dxa"/>
              <w:bottom w:w="80" w:type="dxa"/>
              <w:end w:w="120" w:type="dxa"/>
            </w:tcMar>
          </w:tcPr>
          <w:p>
            <w:r>
              <w:rPr>
                <w:sz w:val="16"/>
                <w:lang w:val="en-GB" w:eastAsia="en-GB" w:bidi="en-GB"/>
              </w:rPr>
              <w:t>Source/IP claim</w:t>
            </w:r>
          </w:p>
        </w:tc>
        <w:tc>
          <w:tcPr>
            <w:tcW w:type="dxa" w:w="4032"/>
            <w:vAlign w:val="center"/>
            <w:tcMar>
              <w:top w:w="80" w:type="dxa"/>
              <w:start w:w="120" w:type="dxa"/>
              <w:bottom w:w="80" w:type="dxa"/>
              <w:end w:w="120" w:type="dxa"/>
            </w:tcMar>
          </w:tcPr>
          <w:p>
            <w:r>
              <w:rPr>
                <w:sz w:val="16"/>
                <w:lang w:val="en-GB" w:eastAsia="en-GB" w:bidi="en-GB"/>
              </w:rPr>
              <w:t>Vendor says not collected</w:t>
            </w:r>
          </w:p>
        </w:tc>
        <w:tc>
          <w:tcPr>
            <w:tcW w:type="dxa" w:w="3528"/>
            <w:vAlign w:val="center"/>
            <w:tcMar>
              <w:top w:w="80" w:type="dxa"/>
              <w:start w:w="120" w:type="dxa"/>
              <w:bottom w:w="80" w:type="dxa"/>
              <w:end w:w="120" w:type="dxa"/>
            </w:tcMar>
          </w:tcPr>
          <w:p>
            <w:r>
              <w:rPr>
                <w:sz w:val="16"/>
                <w:lang w:val="en-GB" w:eastAsia="en-GB" w:bidi="en-GB"/>
              </w:rPr>
              <w:t>Verify with packet capture and contract</w:t>
            </w:r>
          </w:p>
        </w:tc>
      </w:tr>
      <w:tr>
        <w:trPr>
          <w:cantSplit/>
        </w:trPr>
        <w:tc>
          <w:tcPr>
            <w:tcW w:type="dxa" w:w="1800"/>
            <w:vAlign w:val="center"/>
            <w:tcMar>
              <w:top w:w="80" w:type="dxa"/>
              <w:start w:w="120" w:type="dxa"/>
              <w:bottom w:w="80" w:type="dxa"/>
              <w:end w:w="120" w:type="dxa"/>
            </w:tcMar>
          </w:tcPr>
          <w:p>
            <w:r>
              <w:rPr>
                <w:sz w:val="16"/>
                <w:lang w:val="en-GB" w:eastAsia="en-GB" w:bidi="en-GB"/>
              </w:rPr>
              <w:t>Default</w:t>
            </w:r>
          </w:p>
        </w:tc>
        <w:tc>
          <w:tcPr>
            <w:tcW w:type="dxa" w:w="4032"/>
            <w:vAlign w:val="center"/>
            <w:tcMar>
              <w:top w:w="80" w:type="dxa"/>
              <w:start w:w="120" w:type="dxa"/>
              <w:bottom w:w="80" w:type="dxa"/>
              <w:end w:w="120" w:type="dxa"/>
            </w:tcMar>
          </w:tcPr>
          <w:p>
            <w:r>
              <w:rPr>
                <w:sz w:val="16"/>
                <w:lang w:val="en-GB" w:eastAsia="en-GB" w:bidi="en-GB"/>
              </w:rPr>
              <w:t>Telemetry on</w:t>
            </w:r>
          </w:p>
        </w:tc>
        <w:tc>
          <w:tcPr>
            <w:tcW w:type="dxa" w:w="3528"/>
            <w:vAlign w:val="center"/>
            <w:tcMar>
              <w:top w:w="80" w:type="dxa"/>
              <w:start w:w="120" w:type="dxa"/>
              <w:bottom w:w="80" w:type="dxa"/>
              <w:end w:w="120" w:type="dxa"/>
            </w:tcMar>
          </w:tcPr>
          <w:p>
            <w:r>
              <w:rPr>
                <w:sz w:val="16"/>
                <w:lang w:val="en-GB" w:eastAsia="en-GB" w:bidi="en-GB"/>
              </w:rPr>
              <w:t>Disable pending privacy approval</w:t>
            </w:r>
          </w:p>
        </w:tc>
      </w:tr>
    </w:tbl>
    <w:p>
      <w:pPr>
        <w:widowControl/>
      </w:pPr>
    </w:p>
    <w:p>
      <w:pPr>
        <w:pStyle w:val="Heading1"/>
        <w:widowControl/>
      </w:pPr>
      <w:r>
        <w:rPr>
          <w:lang w:val="en-GB" w:eastAsia="en-GB" w:bidi="en-GB"/>
        </w:rPr>
        <w:t>UK Insurance Regulatory and Third-Party Context</w:t>
      </w:r>
    </w:p>
    <w:p>
      <w:pPr>
        <w:widowControl/>
      </w:pPr>
      <w:r>
        <w:rPr>
          <w:lang w:val="en-GB" w:eastAsia="en-GB" w:bidi="en-GB"/>
        </w:rPr>
        <w:t>UK GDPR and the Data Protection Act apply where telemetry, user identifiers, organisation data, source or issue content constitutes personal data. The insurer must determine controller/processor roles and complete DPIA, transfer and supplier assessments. The product is not automatically a material outsourcing arrangement or critical third party; FCA/PRA application depends on the firm's status, important business services and materiality decision.</w:t>
      </w:r>
    </w:p>
    <w:p>
      <w:pPr>
        <w:widowControl/>
      </w:pPr>
      <w:r>
        <w:rPr>
          <w:lang w:val="en-GB" w:eastAsia="en-GB" w:bidi="en-GB"/>
        </w:rPr>
        <w:t>Operational-resilience controls should map development and security-analysis dependencies to important services, define impact tolerances, monitor provider and token incidents, retain manual alternatives and test exit. Supplier outage, compromised update, erroneous governance mutation and token exposure are credible scenarios. Security, privacy, procurement, legal, technology-risk and business-service owners must jointly accept any residual risk; developer convenience alone is insufficient.</w:t>
      </w:r>
    </w:p>
    <w:p>
      <w:pPr>
        <w:pStyle w:val="Caption"/>
        <w:keepLines/>
        <w:widowControl/>
      </w:pPr>
      <w:r>
        <w:rPr>
          <w:b/>
          <w:lang w:val="en-GB" w:eastAsia="en-GB" w:bidi="en-GB"/>
        </w:rPr>
        <w:t>UK Insurance Regulatory and Third-Party Context evidence summary</w:t>
      </w:r>
    </w:p>
    <w:tbl>
      <w:tblPr>
        <w:tblStyle w:val="TableGrid"/>
        <w:tblW w:type="dxa" w:w="9360"/>
        <w:tblLayout w:type="fixed"/>
        <w:tblLook w:firstColumn="1" w:firstRow="1" w:lastColumn="0" w:lastRow="0" w:noHBand="0" w:noVBand="1" w:val="04A0"/>
        <w:tblInd w:w="120" w:type="dxa"/>
      </w:tblPr>
      <w:tblGrid>
        <w:gridCol w:w="2021"/>
        <w:gridCol w:w="4277"/>
        <w:gridCol w:w="3062"/>
      </w:tblGrid>
      <w:tr>
        <w:trPr>
          <w:tblHeader w:val="true"/>
          <w:cantSplit/>
        </w:trPr>
        <w:tc>
          <w:tcPr>
            <w:tcW w:type="dxa" w:w="2021"/>
            <w:shd w:fill="F2F4F7"/>
            <w:vAlign w:val="center"/>
            <w:tcMar>
              <w:top w:w="80" w:type="dxa"/>
              <w:start w:w="120" w:type="dxa"/>
              <w:bottom w:w="80" w:type="dxa"/>
              <w:end w:w="120" w:type="dxa"/>
            </w:tcMar>
          </w:tcPr>
          <w:p>
            <w:r>
              <w:rPr>
                <w:b/>
                <w:sz w:val="16"/>
                <w:lang w:val="en-GB" w:eastAsia="en-GB" w:bidi="en-GB"/>
              </w:rPr>
              <w:t>Evidence area</w:t>
            </w:r>
          </w:p>
        </w:tc>
        <w:tc>
          <w:tcPr>
            <w:tcW w:type="dxa" w:w="4277"/>
            <w:shd w:fill="F2F4F7"/>
            <w:vAlign w:val="center"/>
            <w:tcMar>
              <w:top w:w="80" w:type="dxa"/>
              <w:start w:w="120" w:type="dxa"/>
              <w:bottom w:w="80" w:type="dxa"/>
              <w:end w:w="120" w:type="dxa"/>
            </w:tcMar>
          </w:tcPr>
          <w:p>
            <w:r>
              <w:rPr>
                <w:b/>
                <w:sz w:val="16"/>
                <w:lang w:val="en-GB" w:eastAsia="en-GB" w:bidi="en-GB"/>
              </w:rPr>
              <w:t>Assessment result</w:t>
            </w:r>
          </w:p>
        </w:tc>
        <w:tc>
          <w:tcPr>
            <w:tcW w:type="dxa" w:w="306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021"/>
            <w:vAlign w:val="center"/>
            <w:tcMar>
              <w:top w:w="80" w:type="dxa"/>
              <w:start w:w="120" w:type="dxa"/>
              <w:bottom w:w="80" w:type="dxa"/>
              <w:end w:w="120" w:type="dxa"/>
            </w:tcMar>
          </w:tcPr>
          <w:p>
            <w:r>
              <w:rPr>
                <w:sz w:val="16"/>
                <w:lang w:val="en-GB" w:eastAsia="en-GB" w:bidi="en-GB"/>
              </w:rPr>
              <w:t>Data protection</w:t>
            </w:r>
          </w:p>
        </w:tc>
        <w:tc>
          <w:tcPr>
            <w:tcW w:type="dxa" w:w="4277"/>
            <w:vAlign w:val="center"/>
            <w:tcMar>
              <w:top w:w="80" w:type="dxa"/>
              <w:start w:w="120" w:type="dxa"/>
              <w:bottom w:w="80" w:type="dxa"/>
              <w:end w:w="120" w:type="dxa"/>
            </w:tcMar>
          </w:tcPr>
          <w:p>
            <w:r>
              <w:rPr>
                <w:sz w:val="16"/>
                <w:lang w:val="en-GB" w:eastAsia="en-GB" w:bidi="en-GB"/>
              </w:rPr>
              <w:t>Conditional personal-data processing</w:t>
            </w:r>
          </w:p>
        </w:tc>
        <w:tc>
          <w:tcPr>
            <w:tcW w:type="dxa" w:w="3062"/>
            <w:vAlign w:val="center"/>
            <w:tcMar>
              <w:top w:w="80" w:type="dxa"/>
              <w:start w:w="120" w:type="dxa"/>
              <w:bottom w:w="80" w:type="dxa"/>
              <w:end w:w="120" w:type="dxa"/>
            </w:tcMar>
          </w:tcPr>
          <w:p>
            <w:r>
              <w:rPr>
                <w:sz w:val="16"/>
                <w:lang w:val="en-GB" w:eastAsia="en-GB" w:bidi="en-GB"/>
              </w:rPr>
              <w:t>Complete DPA/DPIA/transfers</w:t>
            </w:r>
          </w:p>
        </w:tc>
      </w:tr>
      <w:tr>
        <w:trPr>
          <w:cantSplit/>
        </w:trPr>
        <w:tc>
          <w:tcPr>
            <w:tcW w:type="dxa" w:w="2021"/>
            <w:vAlign w:val="center"/>
            <w:tcMar>
              <w:top w:w="80" w:type="dxa"/>
              <w:start w:w="120" w:type="dxa"/>
              <w:bottom w:w="80" w:type="dxa"/>
              <w:end w:w="120" w:type="dxa"/>
            </w:tcMar>
          </w:tcPr>
          <w:p>
            <w:r>
              <w:rPr>
                <w:sz w:val="16"/>
                <w:lang w:val="en-GB" w:eastAsia="en-GB" w:bidi="en-GB"/>
              </w:rPr>
              <w:t>Outsourcing</w:t>
            </w:r>
          </w:p>
        </w:tc>
        <w:tc>
          <w:tcPr>
            <w:tcW w:type="dxa" w:w="4277"/>
            <w:vAlign w:val="center"/>
            <w:tcMar>
              <w:top w:w="80" w:type="dxa"/>
              <w:start w:w="120" w:type="dxa"/>
              <w:bottom w:w="80" w:type="dxa"/>
              <w:end w:w="120" w:type="dxa"/>
            </w:tcMar>
          </w:tcPr>
          <w:p>
            <w:r>
              <w:rPr>
                <w:sz w:val="16"/>
                <w:lang w:val="en-GB" w:eastAsia="en-GB" w:bidi="en-GB"/>
              </w:rPr>
              <w:t>Firm-specific materiality</w:t>
            </w:r>
          </w:p>
        </w:tc>
        <w:tc>
          <w:tcPr>
            <w:tcW w:type="dxa" w:w="3062"/>
            <w:vAlign w:val="center"/>
            <w:tcMar>
              <w:top w:w="80" w:type="dxa"/>
              <w:start w:w="120" w:type="dxa"/>
              <w:bottom w:w="80" w:type="dxa"/>
              <w:end w:w="120" w:type="dxa"/>
            </w:tcMar>
          </w:tcPr>
          <w:p>
            <w:r>
              <w:rPr>
                <w:sz w:val="16"/>
                <w:lang w:val="en-GB" w:eastAsia="en-GB" w:bidi="en-GB"/>
              </w:rPr>
              <w:t>Document FCA/PRA decision</w:t>
            </w:r>
          </w:p>
        </w:tc>
      </w:tr>
      <w:tr>
        <w:trPr>
          <w:cantSplit/>
        </w:trPr>
        <w:tc>
          <w:tcPr>
            <w:tcW w:type="dxa" w:w="2021"/>
            <w:vAlign w:val="center"/>
            <w:tcMar>
              <w:top w:w="80" w:type="dxa"/>
              <w:start w:w="120" w:type="dxa"/>
              <w:bottom w:w="80" w:type="dxa"/>
              <w:end w:w="120" w:type="dxa"/>
            </w:tcMar>
          </w:tcPr>
          <w:p>
            <w:r>
              <w:rPr>
                <w:sz w:val="16"/>
                <w:lang w:val="en-GB" w:eastAsia="en-GB" w:bidi="en-GB"/>
              </w:rPr>
              <w:t>Resilience</w:t>
            </w:r>
          </w:p>
        </w:tc>
        <w:tc>
          <w:tcPr>
            <w:tcW w:type="dxa" w:w="4277"/>
            <w:vAlign w:val="center"/>
            <w:tcMar>
              <w:top w:w="80" w:type="dxa"/>
              <w:start w:w="120" w:type="dxa"/>
              <w:bottom w:w="80" w:type="dxa"/>
              <w:end w:w="120" w:type="dxa"/>
            </w:tcMar>
          </w:tcPr>
          <w:p>
            <w:r>
              <w:rPr>
                <w:sz w:val="16"/>
                <w:lang w:val="en-GB" w:eastAsia="en-GB" w:bidi="en-GB"/>
              </w:rPr>
              <w:t>Potential development/security dependency</w:t>
            </w:r>
          </w:p>
        </w:tc>
        <w:tc>
          <w:tcPr>
            <w:tcW w:type="dxa" w:w="3062"/>
            <w:vAlign w:val="center"/>
            <w:tcMar>
              <w:top w:w="80" w:type="dxa"/>
              <w:start w:w="120" w:type="dxa"/>
              <w:bottom w:w="80" w:type="dxa"/>
              <w:end w:w="120" w:type="dxa"/>
            </w:tcMar>
          </w:tcPr>
          <w:p>
            <w:r>
              <w:rPr>
                <w:sz w:val="16"/>
                <w:lang w:val="en-GB" w:eastAsia="en-GB" w:bidi="en-GB"/>
              </w:rPr>
              <w:t>Map, test and maintain exit</w:t>
            </w:r>
          </w:p>
        </w:tc>
      </w:tr>
    </w:tbl>
    <w:p>
      <w:pPr>
        <w:widowControl/>
      </w:pPr>
    </w:p>
    <w:p>
      <w:pPr>
        <w:pStyle w:val="Heading1"/>
        <w:widowControl/>
      </w:pPr>
      <w:r>
        <w:rPr>
          <w:lang w:val="en-GB" w:eastAsia="en-GB" w:bidi="en-GB"/>
        </w:rPr>
        <w:t>Framework Mappings</w:t>
      </w:r>
    </w:p>
    <w:p>
      <w:pPr>
        <w:widowControl/>
      </w:pPr>
      <w:r>
        <w:rPr>
          <w:lang w:val="en-GB" w:eastAsia="en-GB" w:bidi="en-GB"/>
        </w:rPr>
        <w:t>OWASP MCP security guidance directly applies to tool authority, consent, credentials, transport, local resources and multi-server boundaries. OWASP ASVS supports authentication, input, file, process, resource, logging and communication controls. CWE identifiers classify concrete implementation patterns. ISO/IEC 27001 supports supplier, vulnerability, access, change, logging and incident governance.</w:t>
      </w:r>
    </w:p>
    <w:p>
      <w:pPr>
        <w:widowControl/>
      </w:pPr>
      <w:r>
        <w:rPr>
          <w:lang w:val="en-GB" w:eastAsia="en-GB" w:bidi="en-GB"/>
        </w:rPr>
        <w:t>NIST AI RMF and NCSC secure-AI guidance are contextually relevant because AI hosts can direct MCP calls, but findings are not inflated into model vulnerabilities without evidence. MITRE ATLAS is not a primary finding map because no model implementation was assessed. UK GDPR, FCA and PRA mappings remain conditional on real data flows, regulated status and service materiality. Framework labels support verification and accountability; they do not prove compliance.</w:t>
      </w:r>
    </w:p>
    <w:p>
      <w:pPr>
        <w:pStyle w:val="Caption"/>
        <w:keepLines/>
        <w:widowControl/>
      </w:pPr>
      <w:r>
        <w:rPr>
          <w:b/>
          <w:lang w:val="en-GB" w:eastAsia="en-GB" w:bidi="en-GB"/>
        </w:rPr>
        <w:t>Framework Mappings evidence summary</w:t>
      </w:r>
    </w:p>
    <w:tbl>
      <w:tblPr>
        <w:tblStyle w:val="TableGrid"/>
        <w:tblW w:type="dxa" w:w="9360"/>
        <w:tblLayout w:type="fixed"/>
        <w:tblLook w:firstColumn="1" w:firstRow="1" w:lastColumn="0" w:lastRow="0" w:noHBand="0" w:noVBand="1" w:val="04A0"/>
        <w:tblInd w:w="120" w:type="dxa"/>
      </w:tblPr>
      <w:tblGrid>
        <w:gridCol w:w="1920"/>
        <w:gridCol w:w="2751"/>
        <w:gridCol w:w="4689"/>
      </w:tblGrid>
      <w:tr>
        <w:trPr>
          <w:tblHeader w:val="true"/>
          <w:cantSplit/>
        </w:trPr>
        <w:tc>
          <w:tcPr>
            <w:tcW w:type="dxa" w:w="1920"/>
            <w:shd w:fill="F2F4F7"/>
            <w:vAlign w:val="center"/>
            <w:tcMar>
              <w:top w:w="80" w:type="dxa"/>
              <w:start w:w="120" w:type="dxa"/>
              <w:bottom w:w="80" w:type="dxa"/>
              <w:end w:w="120" w:type="dxa"/>
            </w:tcMar>
          </w:tcPr>
          <w:p>
            <w:r>
              <w:rPr>
                <w:b/>
                <w:sz w:val="16"/>
                <w:lang w:val="en-GB" w:eastAsia="en-GB" w:bidi="en-GB"/>
              </w:rPr>
              <w:t>Evidence area</w:t>
            </w:r>
          </w:p>
        </w:tc>
        <w:tc>
          <w:tcPr>
            <w:tcW w:type="dxa" w:w="2751"/>
            <w:shd w:fill="F2F4F7"/>
            <w:vAlign w:val="center"/>
            <w:tcMar>
              <w:top w:w="80" w:type="dxa"/>
              <w:start w:w="120" w:type="dxa"/>
              <w:bottom w:w="80" w:type="dxa"/>
              <w:end w:w="120" w:type="dxa"/>
            </w:tcMar>
          </w:tcPr>
          <w:p>
            <w:r>
              <w:rPr>
                <w:b/>
                <w:sz w:val="16"/>
                <w:lang w:val="en-GB" w:eastAsia="en-GB" w:bidi="en-GB"/>
              </w:rPr>
              <w:t>Assessment result</w:t>
            </w:r>
          </w:p>
        </w:tc>
        <w:tc>
          <w:tcPr>
            <w:tcW w:type="dxa" w:w="4689"/>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20"/>
            <w:vAlign w:val="center"/>
            <w:tcMar>
              <w:top w:w="80" w:type="dxa"/>
              <w:start w:w="120" w:type="dxa"/>
              <w:bottom w:w="80" w:type="dxa"/>
              <w:end w:w="120" w:type="dxa"/>
            </w:tcMar>
          </w:tcPr>
          <w:p>
            <w:r>
              <w:rPr>
                <w:sz w:val="16"/>
                <w:lang w:val="en-GB" w:eastAsia="en-GB" w:bidi="en-GB"/>
              </w:rPr>
              <w:t>OWASP MCP</w:t>
            </w:r>
          </w:p>
        </w:tc>
        <w:tc>
          <w:tcPr>
            <w:tcW w:type="dxa" w:w="2751"/>
            <w:vAlign w:val="center"/>
            <w:tcMar>
              <w:top w:w="80" w:type="dxa"/>
              <w:start w:w="120" w:type="dxa"/>
              <w:bottom w:w="80" w:type="dxa"/>
              <w:end w:w="120" w:type="dxa"/>
            </w:tcMar>
          </w:tcPr>
          <w:p>
            <w:r>
              <w:rPr>
                <w:sz w:val="16"/>
                <w:lang w:val="en-GB" w:eastAsia="en-GB" w:bidi="en-GB"/>
              </w:rPr>
              <w:t>Directly applicable</w:t>
            </w:r>
          </w:p>
        </w:tc>
        <w:tc>
          <w:tcPr>
            <w:tcW w:type="dxa" w:w="4689"/>
            <w:vAlign w:val="center"/>
            <w:tcMar>
              <w:top w:w="80" w:type="dxa"/>
              <w:start w:w="120" w:type="dxa"/>
              <w:bottom w:w="80" w:type="dxa"/>
              <w:end w:w="120" w:type="dxa"/>
            </w:tcMar>
          </w:tcPr>
          <w:p>
            <w:r>
              <w:rPr>
                <w:sz w:val="16"/>
                <w:lang w:val="en-GB" w:eastAsia="en-GB" w:bidi="en-GB"/>
              </w:rPr>
              <w:t>Use for tool/credential/transport controls</w:t>
            </w:r>
          </w:p>
        </w:tc>
      </w:tr>
      <w:tr>
        <w:trPr>
          <w:cantSplit/>
        </w:trPr>
        <w:tc>
          <w:tcPr>
            <w:tcW w:type="dxa" w:w="1920"/>
            <w:vAlign w:val="center"/>
            <w:tcMar>
              <w:top w:w="80" w:type="dxa"/>
              <w:start w:w="120" w:type="dxa"/>
              <w:bottom w:w="80" w:type="dxa"/>
              <w:end w:w="120" w:type="dxa"/>
            </w:tcMar>
          </w:tcPr>
          <w:p>
            <w:r>
              <w:rPr>
                <w:sz w:val="16"/>
                <w:lang w:val="en-GB" w:eastAsia="en-GB" w:bidi="en-GB"/>
              </w:rPr>
              <w:t>ASVS/CWE</w:t>
            </w:r>
          </w:p>
        </w:tc>
        <w:tc>
          <w:tcPr>
            <w:tcW w:type="dxa" w:w="2751"/>
            <w:vAlign w:val="center"/>
            <w:tcMar>
              <w:top w:w="80" w:type="dxa"/>
              <w:start w:w="120" w:type="dxa"/>
              <w:bottom w:w="80" w:type="dxa"/>
              <w:end w:w="120" w:type="dxa"/>
            </w:tcMar>
          </w:tcPr>
          <w:p>
            <w:r>
              <w:rPr>
                <w:sz w:val="16"/>
                <w:lang w:val="en-GB" w:eastAsia="en-GB" w:bidi="en-GB"/>
              </w:rPr>
              <w:t>Directly applicable</w:t>
            </w:r>
          </w:p>
        </w:tc>
        <w:tc>
          <w:tcPr>
            <w:tcW w:type="dxa" w:w="4689"/>
            <w:vAlign w:val="center"/>
            <w:tcMar>
              <w:top w:w="80" w:type="dxa"/>
              <w:start w:w="120" w:type="dxa"/>
              <w:bottom w:w="80" w:type="dxa"/>
              <w:end w:w="120" w:type="dxa"/>
            </w:tcMar>
          </w:tcPr>
          <w:p>
            <w:r>
              <w:rPr>
                <w:sz w:val="16"/>
                <w:lang w:val="en-GB" w:eastAsia="en-GB" w:bidi="en-GB"/>
              </w:rPr>
              <w:t>Map to verified code paths</w:t>
            </w:r>
          </w:p>
        </w:tc>
      </w:tr>
      <w:tr>
        <w:trPr>
          <w:cantSplit/>
        </w:trPr>
        <w:tc>
          <w:tcPr>
            <w:tcW w:type="dxa" w:w="1920"/>
            <w:vAlign w:val="center"/>
            <w:tcMar>
              <w:top w:w="80" w:type="dxa"/>
              <w:start w:w="120" w:type="dxa"/>
              <w:bottom w:w="80" w:type="dxa"/>
              <w:end w:w="120" w:type="dxa"/>
            </w:tcMar>
          </w:tcPr>
          <w:p>
            <w:r>
              <w:rPr>
                <w:sz w:val="16"/>
                <w:lang w:val="en-GB" w:eastAsia="en-GB" w:bidi="en-GB"/>
              </w:rPr>
              <w:t>Regulatory</w:t>
            </w:r>
          </w:p>
        </w:tc>
        <w:tc>
          <w:tcPr>
            <w:tcW w:type="dxa" w:w="2751"/>
            <w:vAlign w:val="center"/>
            <w:tcMar>
              <w:top w:w="80" w:type="dxa"/>
              <w:start w:w="120" w:type="dxa"/>
              <w:bottom w:w="80" w:type="dxa"/>
              <w:end w:w="120" w:type="dxa"/>
            </w:tcMar>
          </w:tcPr>
          <w:p>
            <w:r>
              <w:rPr>
                <w:sz w:val="16"/>
                <w:lang w:val="en-GB" w:eastAsia="en-GB" w:bidi="en-GB"/>
              </w:rPr>
              <w:t>Firm and data specific</w:t>
            </w:r>
          </w:p>
        </w:tc>
        <w:tc>
          <w:tcPr>
            <w:tcW w:type="dxa" w:w="4689"/>
            <w:vAlign w:val="center"/>
            <w:tcMar>
              <w:top w:w="80" w:type="dxa"/>
              <w:start w:w="120" w:type="dxa"/>
              <w:bottom w:w="80" w:type="dxa"/>
              <w:end w:w="120" w:type="dxa"/>
            </w:tcMar>
          </w:tcPr>
          <w:p>
            <w:r>
              <w:rPr>
                <w:sz w:val="16"/>
                <w:lang w:val="en-GB" w:eastAsia="en-GB" w:bidi="en-GB"/>
              </w:rPr>
              <w:t>Complete accountable applicability decision</w:t>
            </w:r>
          </w:p>
        </w:tc>
      </w:tr>
    </w:tbl>
    <w:p>
      <w:pPr>
        <w:widowControl/>
      </w:pPr>
    </w:p>
    <w:p>
      <w:pPr>
        <w:pStyle w:val="Heading1"/>
        <w:widowControl/>
      </w:pPr>
      <w:r>
        <w:rPr>
          <w:lang w:val="en-GB" w:eastAsia="en-GB" w:bidi="en-GB"/>
        </w:rPr>
        <w:t>Threat Model and Abuse Cases</w:t>
      </w:r>
    </w:p>
    <w:p>
      <w:pPr>
        <w:widowControl/>
      </w:pPr>
      <w:r>
        <w:rPr>
          <w:lang w:val="en-GB" w:eastAsia="en-GB" w:bidi="en-GB"/>
        </w:rPr>
        <w:t>Principal actors are a compromised or malicious configured SonarQube endpoint, an attacker reaching local HTTP transport, a hostile repository supplying MCP configuration or large files, a compromised build dependency or registry input, a vulnerable or compromised native CAG process and an AI host that over-trusts tool annotations. Assets include SonarQube tokens, source code, issue and hotspot governance state, project metadata, webhook destinations, telemetry identifiers and developer-host credentials.</w:t>
      </w:r>
    </w:p>
    <w:p>
      <w:pPr>
        <w:widowControl/>
      </w:pPr>
      <w:r>
        <w:rPr>
          <w:lang w:val="en-GB" w:eastAsia="en-GB" w:bidi="en-GB"/>
        </w:rPr>
        <w:t>High-value abuse cases are loading an unauthenticated analyzer, leaking ambient environment variables to CAG, exhausting memory through async parser or telemetry queues, corrupting analysis through shared backend races, triggering pre-authentication local reads, silently mutating governance state and receiving an unreviewed image update. Existing path checks, schemas, permissions and read-only filtering reduce but do not eliminate these scenarios. No successful credential theft, arbitrary code execution or cross-tenant source disclosure was demonstrated.</w:t>
      </w:r>
    </w:p>
    <w:p>
      <w:pPr>
        <w:pStyle w:val="Caption"/>
        <w:keepLines/>
        <w:widowControl/>
      </w:pPr>
      <w:r>
        <w:rPr>
          <w:b/>
          <w:lang w:val="en-GB" w:eastAsia="en-GB" w:bidi="en-GB"/>
        </w:rPr>
        <w:t>Threat Model and Abuse Cases evidence summary</w:t>
      </w:r>
    </w:p>
    <w:tbl>
      <w:tblPr>
        <w:tblStyle w:val="TableGrid"/>
        <w:tblW w:type="dxa" w:w="9360"/>
        <w:tblLayout w:type="fixed"/>
        <w:tblLook w:firstColumn="1" w:firstRow="1" w:lastColumn="0" w:lastRow="0" w:noHBand="0" w:noVBand="1" w:val="04A0"/>
        <w:tblInd w:w="120" w:type="dxa"/>
      </w:tblPr>
      <w:tblGrid>
        <w:gridCol w:w="1796"/>
        <w:gridCol w:w="3865"/>
        <w:gridCol w:w="3699"/>
      </w:tblGrid>
      <w:tr>
        <w:trPr>
          <w:tblHeader w:val="true"/>
          <w:cantSplit/>
        </w:trPr>
        <w:tc>
          <w:tcPr>
            <w:tcW w:type="dxa" w:w="1796"/>
            <w:shd w:fill="F2F4F7"/>
            <w:vAlign w:val="center"/>
            <w:tcMar>
              <w:top w:w="80" w:type="dxa"/>
              <w:start w:w="120" w:type="dxa"/>
              <w:bottom w:w="80" w:type="dxa"/>
              <w:end w:w="120" w:type="dxa"/>
            </w:tcMar>
          </w:tcPr>
          <w:p>
            <w:r>
              <w:rPr>
                <w:b/>
                <w:sz w:val="16"/>
                <w:lang w:val="en-GB" w:eastAsia="en-GB" w:bidi="en-GB"/>
              </w:rPr>
              <w:t>Evidence area</w:t>
            </w:r>
          </w:p>
        </w:tc>
        <w:tc>
          <w:tcPr>
            <w:tcW w:type="dxa" w:w="3865"/>
            <w:shd w:fill="F2F4F7"/>
            <w:vAlign w:val="center"/>
            <w:tcMar>
              <w:top w:w="80" w:type="dxa"/>
              <w:start w:w="120" w:type="dxa"/>
              <w:bottom w:w="80" w:type="dxa"/>
              <w:end w:w="120" w:type="dxa"/>
            </w:tcMar>
          </w:tcPr>
          <w:p>
            <w:r>
              <w:rPr>
                <w:b/>
                <w:sz w:val="16"/>
                <w:lang w:val="en-GB" w:eastAsia="en-GB" w:bidi="en-GB"/>
              </w:rPr>
              <w:t>Assessment result</w:t>
            </w:r>
          </w:p>
        </w:tc>
        <w:tc>
          <w:tcPr>
            <w:tcW w:type="dxa" w:w="3699"/>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96"/>
            <w:vAlign w:val="center"/>
            <w:tcMar>
              <w:top w:w="80" w:type="dxa"/>
              <w:start w:w="120" w:type="dxa"/>
              <w:bottom w:w="80" w:type="dxa"/>
              <w:end w:w="120" w:type="dxa"/>
            </w:tcMar>
          </w:tcPr>
          <w:p>
            <w:r>
              <w:rPr>
                <w:sz w:val="16"/>
                <w:lang w:val="en-GB" w:eastAsia="en-GB" w:bidi="en-GB"/>
              </w:rPr>
              <w:t>Supply chain</w:t>
            </w:r>
          </w:p>
        </w:tc>
        <w:tc>
          <w:tcPr>
            <w:tcW w:type="dxa" w:w="3865"/>
            <w:vAlign w:val="center"/>
            <w:tcMar>
              <w:top w:w="80" w:type="dxa"/>
              <w:start w:w="120" w:type="dxa"/>
              <w:bottom w:w="80" w:type="dxa"/>
              <w:end w:w="120" w:type="dxa"/>
            </w:tcMar>
          </w:tcPr>
          <w:p>
            <w:r>
              <w:rPr>
                <w:sz w:val="16"/>
                <w:lang w:val="en-GB" w:eastAsia="en-GB" w:bidi="en-GB"/>
              </w:rPr>
              <w:t>Analyzer/CAG/update inputs</w:t>
            </w:r>
          </w:p>
        </w:tc>
        <w:tc>
          <w:tcPr>
            <w:tcW w:type="dxa" w:w="3699"/>
            <w:vAlign w:val="center"/>
            <w:tcMar>
              <w:top w:w="80" w:type="dxa"/>
              <w:start w:w="120" w:type="dxa"/>
              <w:bottom w:w="80" w:type="dxa"/>
              <w:end w:w="120" w:type="dxa"/>
            </w:tcMar>
          </w:tcPr>
          <w:p>
            <w:r>
              <w:rPr>
                <w:sz w:val="16"/>
                <w:lang w:val="en-GB" w:eastAsia="en-GB" w:bidi="en-GB"/>
              </w:rPr>
              <w:t>Authenticate and pin</w:t>
            </w:r>
          </w:p>
        </w:tc>
      </w:tr>
      <w:tr>
        <w:trPr>
          <w:cantSplit/>
        </w:trPr>
        <w:tc>
          <w:tcPr>
            <w:tcW w:type="dxa" w:w="1796"/>
            <w:vAlign w:val="center"/>
            <w:tcMar>
              <w:top w:w="80" w:type="dxa"/>
              <w:start w:w="120" w:type="dxa"/>
              <w:bottom w:w="80" w:type="dxa"/>
              <w:end w:w="120" w:type="dxa"/>
            </w:tcMar>
          </w:tcPr>
          <w:p>
            <w:r>
              <w:rPr>
                <w:sz w:val="16"/>
                <w:lang w:val="en-GB" w:eastAsia="en-GB" w:bidi="en-GB"/>
              </w:rPr>
              <w:t>HTTP</w:t>
            </w:r>
          </w:p>
        </w:tc>
        <w:tc>
          <w:tcPr>
            <w:tcW w:type="dxa" w:w="3865"/>
            <w:vAlign w:val="center"/>
            <w:tcMar>
              <w:top w:w="80" w:type="dxa"/>
              <w:start w:w="120" w:type="dxa"/>
              <w:bottom w:w="80" w:type="dxa"/>
              <w:end w:w="120" w:type="dxa"/>
            </w:tcMar>
          </w:tcPr>
          <w:p>
            <w:r>
              <w:rPr>
                <w:sz w:val="16"/>
                <w:lang w:val="en-GB" w:eastAsia="en-GB" w:bidi="en-GB"/>
              </w:rPr>
              <w:t>Origin, auth, state and resource risks</w:t>
            </w:r>
          </w:p>
        </w:tc>
        <w:tc>
          <w:tcPr>
            <w:tcW w:type="dxa" w:w="3699"/>
            <w:vAlign w:val="center"/>
            <w:tcMar>
              <w:top w:w="80" w:type="dxa"/>
              <w:start w:w="120" w:type="dxa"/>
              <w:bottom w:w="80" w:type="dxa"/>
              <w:end w:w="120" w:type="dxa"/>
            </w:tcMar>
          </w:tcPr>
          <w:p>
            <w:r>
              <w:rPr>
                <w:sz w:val="16"/>
                <w:lang w:val="en-GB" w:eastAsia="en-GB" w:bidi="en-GB"/>
              </w:rPr>
              <w:t>Restrict and isolate</w:t>
            </w:r>
          </w:p>
        </w:tc>
      </w:tr>
      <w:tr>
        <w:trPr>
          <w:cantSplit/>
        </w:trPr>
        <w:tc>
          <w:tcPr>
            <w:tcW w:type="dxa" w:w="1796"/>
            <w:vAlign w:val="center"/>
            <w:tcMar>
              <w:top w:w="80" w:type="dxa"/>
              <w:start w:w="120" w:type="dxa"/>
              <w:bottom w:w="80" w:type="dxa"/>
              <w:end w:w="120" w:type="dxa"/>
            </w:tcMar>
          </w:tcPr>
          <w:p>
            <w:r>
              <w:rPr>
                <w:sz w:val="16"/>
                <w:lang w:val="en-GB" w:eastAsia="en-GB" w:bidi="en-GB"/>
              </w:rPr>
              <w:t>Agency</w:t>
            </w:r>
          </w:p>
        </w:tc>
        <w:tc>
          <w:tcPr>
            <w:tcW w:type="dxa" w:w="3865"/>
            <w:vAlign w:val="center"/>
            <w:tcMar>
              <w:top w:w="80" w:type="dxa"/>
              <w:start w:w="120" w:type="dxa"/>
              <w:bottom w:w="80" w:type="dxa"/>
              <w:end w:w="120" w:type="dxa"/>
            </w:tcMar>
          </w:tcPr>
          <w:p>
            <w:r>
              <w:rPr>
                <w:sz w:val="16"/>
                <w:lang w:val="en-GB" w:eastAsia="en-GB" w:bidi="en-GB"/>
              </w:rPr>
              <w:t>Misleading mutation hints</w:t>
            </w:r>
          </w:p>
        </w:tc>
        <w:tc>
          <w:tcPr>
            <w:tcW w:type="dxa" w:w="3699"/>
            <w:vAlign w:val="center"/>
            <w:tcMar>
              <w:top w:w="80" w:type="dxa"/>
              <w:start w:w="120" w:type="dxa"/>
              <w:bottom w:w="80" w:type="dxa"/>
              <w:end w:w="120" w:type="dxa"/>
            </w:tcMar>
          </w:tcPr>
          <w:p>
            <w:r>
              <w:rPr>
                <w:sz w:val="16"/>
                <w:lang w:val="en-GB" w:eastAsia="en-GB" w:bidi="en-GB"/>
              </w:rPr>
              <w:t>Correct metadata and require consent</w:t>
            </w:r>
          </w:p>
        </w:tc>
      </w:tr>
    </w:tbl>
    <w:p>
      <w:pPr>
        <w:widowControl/>
      </w:pPr>
    </w:p>
    <w:p>
      <w:pPr>
        <w:pStyle w:val="Heading1"/>
        <w:widowControl/>
      </w:pPr>
      <w:r>
        <w:rPr>
          <w:lang w:val="en-GB" w:eastAsia="en-GB" w:bidi="en-GB"/>
        </w:rPr>
        <w:t>Threats, Findings and Risk Summary</w:t>
      </w:r>
    </w:p>
    <w:p>
      <w:pPr>
        <w:widowControl/>
      </w:pPr>
      <w:r>
        <w:rPr>
          <w:lang w:val="en-GB" w:eastAsia="en-GB" w:bidi="en-GB"/>
        </w:rPr>
        <w:t>Ten findings were validated. F-001 and F-002 are the principal High residual risks: current Jackson runtime advisories at the MCP JSON boundary and a fail-open analyzer verification/load path. F-003 through F-009 address CAG isolation/authenticity, HTTP state, telemetry, pre-authentication work, tool annotations and distribution provenance. F-010 records degraded readiness and shutdown behaviour.</w:t>
      </w:r>
    </w:p>
    <w:p>
      <w:pPr>
        <w:widowControl/>
      </w:pPr>
      <w:r>
        <w:rPr>
          <w:lang w:val="en-GB" w:eastAsia="en-GB" w:bidi="en-GB"/>
        </w:rPr>
        <w:t>Risk uses an enterprise 5x5 likelihood-impact matrix and recognises preconditions and existing controls. Scanner base severity was not copied into target severity without analysis. The report avoids claiming Jackson RCE because required polymorphic configuration was not found, avoids claiming analyzer exploitation because no hostile endpoint was exercised, and avoids calling clean malware scans proof of safety. Residual risk remains High because multiple P1 conditions and representative runtime branches remain open.</w:t>
      </w:r>
    </w:p>
    <w:p>
      <w:pPr>
        <w:pStyle w:val="Caption"/>
        <w:keepLines/>
        <w:widowControl/>
      </w:pPr>
      <w:r>
        <w:rPr>
          <w:b/>
          <w:lang w:val="en-GB" w:eastAsia="en-GB" w:bidi="en-GB"/>
        </w:rPr>
        <w:t>Threats, Findings and Risk Summary evidence summary</w:t>
      </w:r>
    </w:p>
    <w:tbl>
      <w:tblPr>
        <w:tblStyle w:val="TableGrid"/>
        <w:tblW w:type="dxa" w:w="9360"/>
        <w:tblLayout w:type="fixed"/>
        <w:tblLook w:firstColumn="1" w:firstRow="1" w:lastColumn="0" w:lastRow="0" w:noHBand="0" w:noVBand="1" w:val="04A0"/>
        <w:tblInd w:w="120" w:type="dxa"/>
      </w:tblPr>
      <w:tblGrid>
        <w:gridCol w:w="2250"/>
        <w:gridCol w:w="2430"/>
        <w:gridCol w:w="4680"/>
      </w:tblGrid>
      <w:tr>
        <w:trPr>
          <w:tblHeader w:val="true"/>
          <w:cantSplit/>
        </w:trPr>
        <w:tc>
          <w:tcPr>
            <w:tcW w:type="dxa" w:w="2250"/>
            <w:shd w:fill="F2F4F7"/>
            <w:vAlign w:val="center"/>
            <w:tcMar>
              <w:top w:w="80" w:type="dxa"/>
              <w:start w:w="120" w:type="dxa"/>
              <w:bottom w:w="80" w:type="dxa"/>
              <w:end w:w="120" w:type="dxa"/>
            </w:tcMar>
          </w:tcPr>
          <w:p>
            <w:r>
              <w:rPr>
                <w:b/>
                <w:sz w:val="16"/>
                <w:lang w:val="en-GB" w:eastAsia="en-GB" w:bidi="en-GB"/>
              </w:rPr>
              <w:t>Evidence area</w:t>
            </w:r>
          </w:p>
        </w:tc>
        <w:tc>
          <w:tcPr>
            <w:tcW w:type="dxa" w:w="2430"/>
            <w:shd w:fill="F2F4F7"/>
            <w:vAlign w:val="center"/>
            <w:tcMar>
              <w:top w:w="80" w:type="dxa"/>
              <w:start w:w="120" w:type="dxa"/>
              <w:bottom w:w="80" w:type="dxa"/>
              <w:end w:w="120" w:type="dxa"/>
            </w:tcMar>
          </w:tcPr>
          <w:p>
            <w:r>
              <w:rPr>
                <w:b/>
                <w:sz w:val="16"/>
                <w:lang w:val="en-GB" w:eastAsia="en-GB" w:bidi="en-GB"/>
              </w:rPr>
              <w:t>Assessment result</w:t>
            </w:r>
          </w:p>
        </w:tc>
        <w:tc>
          <w:tcPr>
            <w:tcW w:type="dxa" w:w="4680"/>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250"/>
            <w:vAlign w:val="center"/>
            <w:tcMar>
              <w:top w:w="80" w:type="dxa"/>
              <w:start w:w="120" w:type="dxa"/>
              <w:bottom w:w="80" w:type="dxa"/>
              <w:end w:w="120" w:type="dxa"/>
            </w:tcMar>
          </w:tcPr>
          <w:p>
            <w:r>
              <w:rPr>
                <w:sz w:val="16"/>
                <w:lang w:val="en-GB" w:eastAsia="en-GB" w:bidi="en-GB"/>
              </w:rPr>
              <w:t>High residual</w:t>
            </w:r>
          </w:p>
        </w:tc>
        <w:tc>
          <w:tcPr>
            <w:tcW w:type="dxa" w:w="2430"/>
            <w:vAlign w:val="center"/>
            <w:tcMar>
              <w:top w:w="80" w:type="dxa"/>
              <w:start w:w="120" w:type="dxa"/>
              <w:bottom w:w="80" w:type="dxa"/>
              <w:end w:w="120" w:type="dxa"/>
            </w:tcMar>
          </w:tcPr>
          <w:p>
            <w:r>
              <w:rPr>
                <w:sz w:val="16"/>
                <w:lang w:val="en-GB" w:eastAsia="en-GB" w:bidi="en-GB"/>
              </w:rPr>
              <w:t>F-001 and F-002</w:t>
            </w:r>
          </w:p>
        </w:tc>
        <w:tc>
          <w:tcPr>
            <w:tcW w:type="dxa" w:w="4680"/>
            <w:vAlign w:val="center"/>
            <w:tcMar>
              <w:top w:w="80" w:type="dxa"/>
              <w:start w:w="120" w:type="dxa"/>
              <w:bottom w:w="80" w:type="dxa"/>
              <w:end w:w="120" w:type="dxa"/>
            </w:tcMar>
          </w:tcPr>
          <w:p>
            <w:r>
              <w:rPr>
                <w:sz w:val="16"/>
                <w:lang w:val="en-GB" w:eastAsia="en-GB" w:bidi="en-GB"/>
              </w:rPr>
              <w:t>Patch dependencies and analyzer verification</w:t>
            </w:r>
          </w:p>
        </w:tc>
      </w:tr>
      <w:tr>
        <w:trPr>
          <w:cantSplit/>
        </w:trPr>
        <w:tc>
          <w:tcPr>
            <w:tcW w:type="dxa" w:w="2250"/>
            <w:vAlign w:val="center"/>
            <w:tcMar>
              <w:top w:w="80" w:type="dxa"/>
              <w:start w:w="120" w:type="dxa"/>
              <w:bottom w:w="80" w:type="dxa"/>
              <w:end w:w="120" w:type="dxa"/>
            </w:tcMar>
          </w:tcPr>
          <w:p>
            <w:r>
              <w:rPr>
                <w:sz w:val="16"/>
                <w:lang w:val="en-GB" w:eastAsia="en-GB" w:bidi="en-GB"/>
              </w:rPr>
              <w:t>Moderate residual</w:t>
            </w:r>
          </w:p>
        </w:tc>
        <w:tc>
          <w:tcPr>
            <w:tcW w:type="dxa" w:w="2430"/>
            <w:vAlign w:val="center"/>
            <w:tcMar>
              <w:top w:w="80" w:type="dxa"/>
              <w:start w:w="120" w:type="dxa"/>
              <w:bottom w:w="80" w:type="dxa"/>
              <w:end w:w="120" w:type="dxa"/>
            </w:tcMar>
          </w:tcPr>
          <w:p>
            <w:r>
              <w:rPr>
                <w:sz w:val="16"/>
                <w:lang w:val="en-GB" w:eastAsia="en-GB" w:bidi="en-GB"/>
              </w:rPr>
              <w:t>F-003 through F-010</w:t>
            </w:r>
          </w:p>
        </w:tc>
        <w:tc>
          <w:tcPr>
            <w:tcW w:type="dxa" w:w="4680"/>
            <w:vAlign w:val="center"/>
            <w:tcMar>
              <w:top w:w="80" w:type="dxa"/>
              <w:start w:w="120" w:type="dxa"/>
              <w:bottom w:w="80" w:type="dxa"/>
              <w:end w:w="120" w:type="dxa"/>
            </w:tcMar>
          </w:tcPr>
          <w:p>
            <w:r>
              <w:rPr>
                <w:sz w:val="16"/>
                <w:lang w:val="en-GB" w:eastAsia="en-GB" w:bidi="en-GB"/>
              </w:rPr>
              <w:t>Close before broad deployment</w:t>
            </w:r>
          </w:p>
        </w:tc>
      </w:tr>
      <w:tr>
        <w:trPr>
          <w:cantSplit/>
        </w:trPr>
        <w:tc>
          <w:tcPr>
            <w:tcW w:type="dxa" w:w="2250"/>
            <w:vAlign w:val="center"/>
            <w:tcMar>
              <w:top w:w="80" w:type="dxa"/>
              <w:start w:w="120" w:type="dxa"/>
              <w:bottom w:w="80" w:type="dxa"/>
              <w:end w:w="120" w:type="dxa"/>
            </w:tcMar>
          </w:tcPr>
          <w:p>
            <w:r>
              <w:rPr>
                <w:sz w:val="16"/>
                <w:lang w:val="en-GB" w:eastAsia="en-GB" w:bidi="en-GB"/>
              </w:rPr>
              <w:t>Overall</w:t>
            </w:r>
          </w:p>
        </w:tc>
        <w:tc>
          <w:tcPr>
            <w:tcW w:type="dxa" w:w="2430"/>
            <w:vAlign w:val="center"/>
            <w:tcMar>
              <w:top w:w="80" w:type="dxa"/>
              <w:start w:w="120" w:type="dxa"/>
              <w:bottom w:w="80" w:type="dxa"/>
              <w:end w:w="120" w:type="dxa"/>
            </w:tcMar>
          </w:tcPr>
          <w:p>
            <w:r>
              <w:rPr>
                <w:sz w:val="16"/>
                <w:lang w:val="en-GB" w:eastAsia="en-GB" w:bidi="en-GB"/>
              </w:rPr>
              <w:t>High</w:t>
            </w:r>
          </w:p>
        </w:tc>
        <w:tc>
          <w:tcPr>
            <w:tcW w:type="dxa" w:w="4680"/>
            <w:vAlign w:val="center"/>
            <w:tcMar>
              <w:top w:w="80" w:type="dxa"/>
              <w:start w:w="120" w:type="dxa"/>
              <w:bottom w:w="80" w:type="dxa"/>
              <w:end w:w="120" w:type="dxa"/>
            </w:tcMar>
          </w:tcPr>
          <w:p>
            <w:r>
              <w:rPr>
                <w:sz w:val="16"/>
                <w:lang w:val="en-GB" w:eastAsia="en-GB" w:bidi="en-GB"/>
              </w:rPr>
              <w:t>Defer production approval</w:t>
            </w:r>
          </w:p>
        </w:tc>
      </w:tr>
    </w:tbl>
    <w:p>
      <w:pPr>
        <w:widowControl/>
      </w:pPr>
    </w:p>
    <w:p>
      <w:pPr>
        <w:pStyle w:val="Heading1"/>
        <w:widowControl/>
      </w:pPr>
      <w:r>
        <w:rPr>
          <w:lang w:val="en-GB" w:eastAsia="en-GB" w:bidi="en-GB"/>
        </w:rPr>
        <w:t>Enterprise Controls Roadmap</w:t>
      </w:r>
    </w:p>
    <w:p>
      <w:pPr>
        <w:widowControl/>
      </w:pPr>
      <w:r>
        <w:rPr>
          <w:lang w:val="en-GB" w:eastAsia="en-GB" w:bidi="en-GB"/>
        </w:rPr>
        <w:t>Phase one is vendor remediation: update Jackson, fail closed on analyzer verification, clear and isolate CAG environment, authenticate build inputs, isolate HTTP backend state, bound analytics and local reads, correct tool annotations and synchronise first-party distribution metadata. Phase two is enterprise configuration: exact digest, server read-only, minimal toolsets, purpose-limited token, approved endpoints, telemetry disabled, restricted container and controlled updates.</w:t>
      </w:r>
    </w:p>
    <w:p>
      <w:pPr>
        <w:widowControl/>
      </w:pPr>
      <w:r>
        <w:rPr>
          <w:lang w:val="en-GB" w:eastAsia="en-GB" w:bidi="en-GB"/>
        </w:rPr>
        <w:t>Phase three is a synthetic pilot with a dedicated SonarQube test tenant, non-sensitive repositories, recorded network and process behaviour, canaries, concurrent HTTP tests, CAG isolation tests, VS Code prompts and lifecycle evidence. Only after closure should owners consider limited use. Production expansion requires monitoring, incident stop/recovery, data export, revocation and tested exit. Failure of a P1 condition keeps the deployment denied.</w:t>
      </w:r>
    </w:p>
    <w:p>
      <w:pPr>
        <w:pStyle w:val="Caption"/>
        <w:keepLines/>
        <w:widowControl/>
      </w:pPr>
      <w:r>
        <w:rPr>
          <w:b/>
          <w:lang w:val="en-GB" w:eastAsia="en-GB" w:bidi="en-GB"/>
        </w:rPr>
        <w:t>Enterprise Controls Roadmap evidence summary</w:t>
      </w:r>
    </w:p>
    <w:tbl>
      <w:tblPr>
        <w:tblStyle w:val="TableGrid"/>
        <w:tblW w:type="dxa" w:w="9360"/>
        <w:tblLayout w:type="fixed"/>
        <w:tblLook w:firstColumn="1" w:firstRow="1" w:lastColumn="0" w:lastRow="0" w:noHBand="0" w:noVBand="1" w:val="04A0"/>
        <w:tblInd w:w="120" w:type="dxa"/>
      </w:tblPr>
      <w:tblGrid>
        <w:gridCol w:w="1920"/>
        <w:gridCol w:w="3397"/>
        <w:gridCol w:w="4043"/>
      </w:tblGrid>
      <w:tr>
        <w:trPr>
          <w:tblHeader w:val="true"/>
          <w:cantSplit/>
        </w:trPr>
        <w:tc>
          <w:tcPr>
            <w:tcW w:type="dxa" w:w="1920"/>
            <w:shd w:fill="F2F4F7"/>
            <w:vAlign w:val="center"/>
            <w:tcMar>
              <w:top w:w="80" w:type="dxa"/>
              <w:start w:w="120" w:type="dxa"/>
              <w:bottom w:w="80" w:type="dxa"/>
              <w:end w:w="120" w:type="dxa"/>
            </w:tcMar>
          </w:tcPr>
          <w:p>
            <w:r>
              <w:rPr>
                <w:b/>
                <w:sz w:val="16"/>
                <w:lang w:val="en-GB" w:eastAsia="en-GB" w:bidi="en-GB"/>
              </w:rPr>
              <w:t>Evidence area</w:t>
            </w:r>
          </w:p>
        </w:tc>
        <w:tc>
          <w:tcPr>
            <w:tcW w:type="dxa" w:w="3397"/>
            <w:shd w:fill="F2F4F7"/>
            <w:vAlign w:val="center"/>
            <w:tcMar>
              <w:top w:w="80" w:type="dxa"/>
              <w:start w:w="120" w:type="dxa"/>
              <w:bottom w:w="80" w:type="dxa"/>
              <w:end w:w="120" w:type="dxa"/>
            </w:tcMar>
          </w:tcPr>
          <w:p>
            <w:r>
              <w:rPr>
                <w:b/>
                <w:sz w:val="16"/>
                <w:lang w:val="en-GB" w:eastAsia="en-GB" w:bidi="en-GB"/>
              </w:rPr>
              <w:t>Assessment result</w:t>
            </w:r>
          </w:p>
        </w:tc>
        <w:tc>
          <w:tcPr>
            <w:tcW w:type="dxa" w:w="404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20"/>
            <w:vAlign w:val="center"/>
            <w:tcMar>
              <w:top w:w="80" w:type="dxa"/>
              <w:start w:w="120" w:type="dxa"/>
              <w:bottom w:w="80" w:type="dxa"/>
              <w:end w:w="120" w:type="dxa"/>
            </w:tcMar>
          </w:tcPr>
          <w:p>
            <w:r>
              <w:rPr>
                <w:sz w:val="16"/>
                <w:lang w:val="en-GB" w:eastAsia="en-GB" w:bidi="en-GB"/>
              </w:rPr>
              <w:t>Vendor</w:t>
            </w:r>
          </w:p>
        </w:tc>
        <w:tc>
          <w:tcPr>
            <w:tcW w:type="dxa" w:w="3397"/>
            <w:vAlign w:val="center"/>
            <w:tcMar>
              <w:top w:w="80" w:type="dxa"/>
              <w:start w:w="120" w:type="dxa"/>
              <w:bottom w:w="80" w:type="dxa"/>
              <w:end w:w="120" w:type="dxa"/>
            </w:tcMar>
          </w:tcPr>
          <w:p>
            <w:r>
              <w:rPr>
                <w:sz w:val="16"/>
                <w:lang w:val="en-GB" w:eastAsia="en-GB" w:bidi="en-GB"/>
              </w:rPr>
              <w:t>Code and release fixes</w:t>
            </w:r>
          </w:p>
        </w:tc>
        <w:tc>
          <w:tcPr>
            <w:tcW w:type="dxa" w:w="4043"/>
            <w:vAlign w:val="center"/>
            <w:tcMar>
              <w:top w:w="80" w:type="dxa"/>
              <w:start w:w="120" w:type="dxa"/>
              <w:bottom w:w="80" w:type="dxa"/>
              <w:end w:w="120" w:type="dxa"/>
            </w:tcMar>
          </w:tcPr>
          <w:p>
            <w:r>
              <w:rPr>
                <w:sz w:val="16"/>
                <w:lang w:val="en-GB" w:eastAsia="en-GB" w:bidi="en-GB"/>
              </w:rPr>
              <w:t>Obtain fixed artifact and evidence</w:t>
            </w:r>
          </w:p>
        </w:tc>
      </w:tr>
      <w:tr>
        <w:trPr>
          <w:cantSplit/>
        </w:trPr>
        <w:tc>
          <w:tcPr>
            <w:tcW w:type="dxa" w:w="1920"/>
            <w:vAlign w:val="center"/>
            <w:tcMar>
              <w:top w:w="80" w:type="dxa"/>
              <w:start w:w="120" w:type="dxa"/>
              <w:bottom w:w="80" w:type="dxa"/>
              <w:end w:w="120" w:type="dxa"/>
            </w:tcMar>
          </w:tcPr>
          <w:p>
            <w:r>
              <w:rPr>
                <w:sz w:val="16"/>
                <w:lang w:val="en-GB" w:eastAsia="en-GB" w:bidi="en-GB"/>
              </w:rPr>
              <w:t>Enterprise</w:t>
            </w:r>
          </w:p>
        </w:tc>
        <w:tc>
          <w:tcPr>
            <w:tcW w:type="dxa" w:w="3397"/>
            <w:vAlign w:val="center"/>
            <w:tcMar>
              <w:top w:w="80" w:type="dxa"/>
              <w:start w:w="120" w:type="dxa"/>
              <w:bottom w:w="80" w:type="dxa"/>
              <w:end w:w="120" w:type="dxa"/>
            </w:tcMar>
          </w:tcPr>
          <w:p>
            <w:r>
              <w:rPr>
                <w:sz w:val="16"/>
                <w:lang w:val="en-GB" w:eastAsia="en-GB" w:bidi="en-GB"/>
              </w:rPr>
              <w:t>Least-privilege configuration</w:t>
            </w:r>
          </w:p>
        </w:tc>
        <w:tc>
          <w:tcPr>
            <w:tcW w:type="dxa" w:w="4043"/>
            <w:vAlign w:val="center"/>
            <w:tcMar>
              <w:top w:w="80" w:type="dxa"/>
              <w:start w:w="120" w:type="dxa"/>
              <w:bottom w:w="80" w:type="dxa"/>
              <w:end w:w="120" w:type="dxa"/>
            </w:tcMar>
          </w:tcPr>
          <w:p>
            <w:r>
              <w:rPr>
                <w:sz w:val="16"/>
                <w:lang w:val="en-GB" w:eastAsia="en-GB" w:bidi="en-GB"/>
              </w:rPr>
              <w:t>Enforce centrally</w:t>
            </w:r>
          </w:p>
        </w:tc>
      </w:tr>
      <w:tr>
        <w:trPr>
          <w:cantSplit/>
        </w:trPr>
        <w:tc>
          <w:tcPr>
            <w:tcW w:type="dxa" w:w="1920"/>
            <w:vAlign w:val="center"/>
            <w:tcMar>
              <w:top w:w="80" w:type="dxa"/>
              <w:start w:w="120" w:type="dxa"/>
              <w:bottom w:w="80" w:type="dxa"/>
              <w:end w:w="120" w:type="dxa"/>
            </w:tcMar>
          </w:tcPr>
          <w:p>
            <w:r>
              <w:rPr>
                <w:sz w:val="16"/>
                <w:lang w:val="en-GB" w:eastAsia="en-GB" w:bidi="en-GB"/>
              </w:rPr>
              <w:t>Pilot</w:t>
            </w:r>
          </w:p>
        </w:tc>
        <w:tc>
          <w:tcPr>
            <w:tcW w:type="dxa" w:w="3397"/>
            <w:vAlign w:val="center"/>
            <w:tcMar>
              <w:top w:w="80" w:type="dxa"/>
              <w:start w:w="120" w:type="dxa"/>
              <w:bottom w:w="80" w:type="dxa"/>
              <w:end w:w="120" w:type="dxa"/>
            </w:tcMar>
          </w:tcPr>
          <w:p>
            <w:r>
              <w:rPr>
                <w:sz w:val="16"/>
                <w:lang w:val="en-GB" w:eastAsia="en-GB" w:bidi="en-GB"/>
              </w:rPr>
              <w:t>Synthetic and observable</w:t>
            </w:r>
          </w:p>
        </w:tc>
        <w:tc>
          <w:tcPr>
            <w:tcW w:type="dxa" w:w="4043"/>
            <w:vAlign w:val="center"/>
            <w:tcMar>
              <w:top w:w="80" w:type="dxa"/>
              <w:start w:w="120" w:type="dxa"/>
              <w:bottom w:w="80" w:type="dxa"/>
              <w:end w:w="120" w:type="dxa"/>
            </w:tcMar>
          </w:tcPr>
          <w:p>
            <w:r>
              <w:rPr>
                <w:sz w:val="16"/>
                <w:lang w:val="en-GB" w:eastAsia="en-GB" w:bidi="en-GB"/>
              </w:rPr>
              <w:t>Retain negative and positive results</w:t>
            </w:r>
          </w:p>
        </w:tc>
      </w:tr>
    </w:tbl>
    <w:p>
      <w:pPr>
        <w:widowControl/>
      </w:pPr>
    </w:p>
    <w:p>
      <w:pPr>
        <w:pStyle w:val="Heading1"/>
        <w:widowControl/>
      </w:pPr>
      <w:r>
        <w:rPr>
          <w:lang w:val="en-GB" w:eastAsia="en-GB" w:bidi="en-GB"/>
        </w:rPr>
        <w:t>Detection Opportunities and Monitoring Plan</w:t>
      </w:r>
    </w:p>
    <w:p>
      <w:pPr>
        <w:widowControl/>
      </w:pPr>
      <w:r>
        <w:rPr>
          <w:lang w:val="en-GB" w:eastAsia="en-GB" w:bidi="en-GB"/>
        </w:rPr>
        <w:t>Inventory approved image digest, embedded JAR hash, CAG hash, configuration, toolsets, read-only state, endpoint and token owner. Alert on tag or registry drift, unexpected tool-list change, write-tool visibility, non-approved endpoints, plaintext transport, CAG activation, analyzer download/hash failure, telemetry while disabled, abnormal queue growth and repeated schema or origin failures. Logs must exclude token and source content.</w:t>
      </w:r>
    </w:p>
    <w:p>
      <w:pPr>
        <w:widowControl/>
      </w:pPr>
      <w:r>
        <w:rPr>
          <w:lang w:val="en-GB" w:eastAsia="en-GB" w:bidi="en-GB"/>
        </w:rPr>
        <w:t>Operational monitoring should distinguish liveness from readiness and measure backend initialization, downstream latency, analyzer state and graceful shutdown. Privacy-preserving network metadata can validate approved destinations and zero telemetry policy. Stop conditions include an unapproved digest, failed artifact verification, canary disclosure, cross-tenant analysis result, hidden write-tool acceptance, external workspace read, token exposure or inability to revoke access. Each alert requires an accountable owner, retention period and tested response playbook.</w:t>
      </w:r>
    </w:p>
    <w:p>
      <w:pPr>
        <w:pStyle w:val="Caption"/>
        <w:keepLines/>
        <w:widowControl/>
      </w:pPr>
      <w:r>
        <w:rPr>
          <w:b/>
          <w:lang w:val="en-GB" w:eastAsia="en-GB" w:bidi="en-GB"/>
        </w:rPr>
        <w:t>Detection Opportunities and Monitoring Plan evidence summary</w:t>
      </w:r>
    </w:p>
    <w:tbl>
      <w:tblPr>
        <w:tblStyle w:val="TableGrid"/>
        <w:tblW w:type="dxa" w:w="9360"/>
        <w:tblLayout w:type="fixed"/>
        <w:tblLook w:firstColumn="1" w:firstRow="1" w:lastColumn="0" w:lastRow="0" w:noHBand="0" w:noVBand="1" w:val="04A0"/>
        <w:tblInd w:w="120" w:type="dxa"/>
      </w:tblPr>
      <w:tblGrid>
        <w:gridCol w:w="1861"/>
        <w:gridCol w:w="3793"/>
        <w:gridCol w:w="3706"/>
      </w:tblGrid>
      <w:tr>
        <w:trPr>
          <w:tblHeader w:val="true"/>
          <w:cantSplit/>
        </w:trPr>
        <w:tc>
          <w:tcPr>
            <w:tcW w:type="dxa" w:w="1861"/>
            <w:shd w:fill="F2F4F7"/>
            <w:vAlign w:val="center"/>
            <w:tcMar>
              <w:top w:w="80" w:type="dxa"/>
              <w:start w:w="120" w:type="dxa"/>
              <w:bottom w:w="80" w:type="dxa"/>
              <w:end w:w="120" w:type="dxa"/>
            </w:tcMar>
          </w:tcPr>
          <w:p>
            <w:r>
              <w:rPr>
                <w:b/>
                <w:sz w:val="16"/>
                <w:lang w:val="en-GB" w:eastAsia="en-GB" w:bidi="en-GB"/>
              </w:rPr>
              <w:t>Evidence area</w:t>
            </w:r>
          </w:p>
        </w:tc>
        <w:tc>
          <w:tcPr>
            <w:tcW w:type="dxa" w:w="3793"/>
            <w:shd w:fill="F2F4F7"/>
            <w:vAlign w:val="center"/>
            <w:tcMar>
              <w:top w:w="80" w:type="dxa"/>
              <w:start w:w="120" w:type="dxa"/>
              <w:bottom w:w="80" w:type="dxa"/>
              <w:end w:w="120" w:type="dxa"/>
            </w:tcMar>
          </w:tcPr>
          <w:p>
            <w:r>
              <w:rPr>
                <w:b/>
                <w:sz w:val="16"/>
                <w:lang w:val="en-GB" w:eastAsia="en-GB" w:bidi="en-GB"/>
              </w:rPr>
              <w:t>Assessment result</w:t>
            </w:r>
          </w:p>
        </w:tc>
        <w:tc>
          <w:tcPr>
            <w:tcW w:type="dxa" w:w="3706"/>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61"/>
            <w:vAlign w:val="center"/>
            <w:tcMar>
              <w:top w:w="80" w:type="dxa"/>
              <w:start w:w="120" w:type="dxa"/>
              <w:bottom w:w="80" w:type="dxa"/>
              <w:end w:w="120" w:type="dxa"/>
            </w:tcMar>
          </w:tcPr>
          <w:p>
            <w:r>
              <w:rPr>
                <w:sz w:val="16"/>
                <w:lang w:val="en-GB" w:eastAsia="en-GB" w:bidi="en-GB"/>
              </w:rPr>
              <w:t>Integrity</w:t>
            </w:r>
          </w:p>
        </w:tc>
        <w:tc>
          <w:tcPr>
            <w:tcW w:type="dxa" w:w="3793"/>
            <w:vAlign w:val="center"/>
            <w:tcMar>
              <w:top w:w="80" w:type="dxa"/>
              <w:start w:w="120" w:type="dxa"/>
              <w:bottom w:w="80" w:type="dxa"/>
              <w:end w:w="120" w:type="dxa"/>
            </w:tcMar>
          </w:tcPr>
          <w:p>
            <w:r>
              <w:rPr>
                <w:sz w:val="16"/>
                <w:lang w:val="en-GB" w:eastAsia="en-GB" w:bidi="en-GB"/>
              </w:rPr>
              <w:t>Digest and tool inventory drift</w:t>
            </w:r>
          </w:p>
        </w:tc>
        <w:tc>
          <w:tcPr>
            <w:tcW w:type="dxa" w:w="3706"/>
            <w:vAlign w:val="center"/>
            <w:tcMar>
              <w:top w:w="80" w:type="dxa"/>
              <w:start w:w="120" w:type="dxa"/>
              <w:bottom w:w="80" w:type="dxa"/>
              <w:end w:w="120" w:type="dxa"/>
            </w:tcMar>
          </w:tcPr>
          <w:p>
            <w:r>
              <w:rPr>
                <w:sz w:val="16"/>
                <w:lang w:val="en-GB" w:eastAsia="en-GB" w:bidi="en-GB"/>
              </w:rPr>
              <w:t>Block and investigate</w:t>
            </w:r>
          </w:p>
        </w:tc>
      </w:tr>
      <w:tr>
        <w:trPr>
          <w:cantSplit/>
        </w:trPr>
        <w:tc>
          <w:tcPr>
            <w:tcW w:type="dxa" w:w="1861"/>
            <w:vAlign w:val="center"/>
            <w:tcMar>
              <w:top w:w="80" w:type="dxa"/>
              <w:start w:w="120" w:type="dxa"/>
              <w:bottom w:w="80" w:type="dxa"/>
              <w:end w:w="120" w:type="dxa"/>
            </w:tcMar>
          </w:tcPr>
          <w:p>
            <w:r>
              <w:rPr>
                <w:sz w:val="16"/>
                <w:lang w:val="en-GB" w:eastAsia="en-GB" w:bidi="en-GB"/>
              </w:rPr>
              <w:t>Runtime</w:t>
            </w:r>
          </w:p>
        </w:tc>
        <w:tc>
          <w:tcPr>
            <w:tcW w:type="dxa" w:w="3793"/>
            <w:vAlign w:val="center"/>
            <w:tcMar>
              <w:top w:w="80" w:type="dxa"/>
              <w:start w:w="120" w:type="dxa"/>
              <w:bottom w:w="80" w:type="dxa"/>
              <w:end w:w="120" w:type="dxa"/>
            </w:tcMar>
          </w:tcPr>
          <w:p>
            <w:r>
              <w:rPr>
                <w:sz w:val="16"/>
                <w:lang w:val="en-GB" w:eastAsia="en-GB" w:bidi="en-GB"/>
              </w:rPr>
              <w:t>Readiness, queue and auth anomalies</w:t>
            </w:r>
          </w:p>
        </w:tc>
        <w:tc>
          <w:tcPr>
            <w:tcW w:type="dxa" w:w="3706"/>
            <w:vAlign w:val="center"/>
            <w:tcMar>
              <w:top w:w="80" w:type="dxa"/>
              <w:start w:w="120" w:type="dxa"/>
              <w:bottom w:w="80" w:type="dxa"/>
              <w:end w:w="120" w:type="dxa"/>
            </w:tcMar>
          </w:tcPr>
          <w:p>
            <w:r>
              <w:rPr>
                <w:sz w:val="16"/>
                <w:lang w:val="en-GB" w:eastAsia="en-GB" w:bidi="en-GB"/>
              </w:rPr>
              <w:t>Rate-limit and stop safely</w:t>
            </w:r>
          </w:p>
        </w:tc>
      </w:tr>
      <w:tr>
        <w:trPr>
          <w:cantSplit/>
        </w:trPr>
        <w:tc>
          <w:tcPr>
            <w:tcW w:type="dxa" w:w="1861"/>
            <w:vAlign w:val="center"/>
            <w:tcMar>
              <w:top w:w="80" w:type="dxa"/>
              <w:start w:w="120" w:type="dxa"/>
              <w:bottom w:w="80" w:type="dxa"/>
              <w:end w:w="120" w:type="dxa"/>
            </w:tcMar>
          </w:tcPr>
          <w:p>
            <w:r>
              <w:rPr>
                <w:sz w:val="16"/>
                <w:lang w:val="en-GB" w:eastAsia="en-GB" w:bidi="en-GB"/>
              </w:rPr>
              <w:t>Privacy</w:t>
            </w:r>
          </w:p>
        </w:tc>
        <w:tc>
          <w:tcPr>
            <w:tcW w:type="dxa" w:w="3793"/>
            <w:vAlign w:val="center"/>
            <w:tcMar>
              <w:top w:w="80" w:type="dxa"/>
              <w:start w:w="120" w:type="dxa"/>
              <w:bottom w:w="80" w:type="dxa"/>
              <w:end w:w="120" w:type="dxa"/>
            </w:tcMar>
          </w:tcPr>
          <w:p>
            <w:r>
              <w:rPr>
                <w:sz w:val="16"/>
                <w:lang w:val="en-GB" w:eastAsia="en-GB" w:bidi="en-GB"/>
              </w:rPr>
              <w:t>Unexpected telemetry/destination</w:t>
            </w:r>
          </w:p>
        </w:tc>
        <w:tc>
          <w:tcPr>
            <w:tcW w:type="dxa" w:w="3706"/>
            <w:vAlign w:val="center"/>
            <w:tcMar>
              <w:top w:w="80" w:type="dxa"/>
              <w:start w:w="120" w:type="dxa"/>
              <w:bottom w:w="80" w:type="dxa"/>
              <w:end w:w="120" w:type="dxa"/>
            </w:tcMar>
          </w:tcPr>
          <w:p>
            <w:r>
              <w:rPr>
                <w:sz w:val="16"/>
                <w:lang w:val="en-GB" w:eastAsia="en-GB" w:bidi="en-GB"/>
              </w:rPr>
              <w:t>Disable, contain and assess impact</w:t>
            </w:r>
          </w:p>
        </w:tc>
      </w:tr>
    </w:tbl>
    <w:p>
      <w:pPr>
        <w:widowControl/>
      </w:pPr>
    </w:p>
    <w:p>
      <w:pPr>
        <w:pStyle w:val="Heading1"/>
        <w:widowControl/>
      </w:pPr>
      <w:r>
        <w:rPr>
          <w:lang w:val="en-GB" w:eastAsia="en-GB" w:bidi="en-GB"/>
        </w:rPr>
        <w:t>Limitations and Confidence</w:t>
      </w:r>
    </w:p>
    <w:p>
      <w:pPr>
        <w:widowControl/>
      </w:pPr>
      <w:r>
        <w:rPr>
          <w:lang w:val="en-GB" w:eastAsia="en-GB" w:bidi="en-GB"/>
        </w:rPr>
        <w:t>The assessment did not reproduce the source build, invoke CAG, inspect CAG source, use a real synthetic SonarQube tenant, execute representative VS Code UI flows, test multi-user HTTP concurrency, perform Windows Visual Studio analysis or validate service-side retention/deletion. The shaded JAR prevented complete dependency attribution. Repository settings, release-environment controls and private publisher infrastructure were outside scope.</w:t>
      </w:r>
    </w:p>
    <w:p>
      <w:pPr>
        <w:widowControl/>
      </w:pPr>
      <w:r>
        <w:rPr>
          <w:lang w:val="en-GB" w:eastAsia="en-GB" w:bidi="en-GB"/>
        </w:rPr>
        <w:t>Confidence is High for identity, release hashes, signatures, source implementation, lockfile versions, malware results, image/JAR/CAG binding and isolated schema/read-only behaviour. Confidence is Medium for analyzer exploitability, Jackson reachability beyond the parser boundary, HTTP cross-tenant impact and telemetry denial-of-service because safe exploit tests were not run. Unknown or Blocked evidence is carried into the decision and review trigger; it is not silently treated as a pass.</w:t>
      </w:r>
    </w:p>
    <w:p>
      <w:pPr>
        <w:pStyle w:val="Caption"/>
        <w:keepLines/>
        <w:widowControl/>
      </w:pPr>
      <w:r>
        <w:rPr>
          <w:b/>
          <w:lang w:val="en-GB" w:eastAsia="en-GB" w:bidi="en-GB"/>
        </w:rPr>
        <w:t>Limitations and Confidence evidence summary</w:t>
      </w:r>
    </w:p>
    <w:tbl>
      <w:tblPr>
        <w:tblStyle w:val="TableGrid"/>
        <w:tblW w:type="dxa" w:w="9360"/>
        <w:tblLayout w:type="fixed"/>
        <w:tblLook w:firstColumn="1" w:firstRow="1" w:lastColumn="0" w:lastRow="0" w:noHBand="0" w:noVBand="1" w:val="04A0"/>
        <w:tblInd w:w="120" w:type="dxa"/>
      </w:tblPr>
      <w:tblGrid>
        <w:gridCol w:w="1944"/>
        <w:gridCol w:w="4464"/>
        <w:gridCol w:w="2952"/>
      </w:tblGrid>
      <w:tr>
        <w:trPr>
          <w:tblHeader w:val="true"/>
          <w:cantSplit/>
        </w:trPr>
        <w:tc>
          <w:tcPr>
            <w:tcW w:type="dxa" w:w="1944"/>
            <w:shd w:fill="F2F4F7"/>
            <w:vAlign w:val="center"/>
            <w:tcMar>
              <w:top w:w="80" w:type="dxa"/>
              <w:start w:w="120" w:type="dxa"/>
              <w:bottom w:w="80" w:type="dxa"/>
              <w:end w:w="120" w:type="dxa"/>
            </w:tcMar>
          </w:tcPr>
          <w:p>
            <w:r>
              <w:rPr>
                <w:b/>
                <w:sz w:val="16"/>
                <w:lang w:val="en-GB" w:eastAsia="en-GB" w:bidi="en-GB"/>
              </w:rPr>
              <w:t>Evidence area</w:t>
            </w:r>
          </w:p>
        </w:tc>
        <w:tc>
          <w:tcPr>
            <w:tcW w:type="dxa" w:w="4464"/>
            <w:shd w:fill="F2F4F7"/>
            <w:vAlign w:val="center"/>
            <w:tcMar>
              <w:top w:w="80" w:type="dxa"/>
              <w:start w:w="120" w:type="dxa"/>
              <w:bottom w:w="80" w:type="dxa"/>
              <w:end w:w="120" w:type="dxa"/>
            </w:tcMar>
          </w:tcPr>
          <w:p>
            <w:r>
              <w:rPr>
                <w:b/>
                <w:sz w:val="16"/>
                <w:lang w:val="en-GB" w:eastAsia="en-GB" w:bidi="en-GB"/>
              </w:rPr>
              <w:t>Assessment result</w:t>
            </w:r>
          </w:p>
        </w:tc>
        <w:tc>
          <w:tcPr>
            <w:tcW w:type="dxa" w:w="295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44"/>
            <w:vAlign w:val="center"/>
            <w:tcMar>
              <w:top w:w="80" w:type="dxa"/>
              <w:start w:w="120" w:type="dxa"/>
              <w:bottom w:w="80" w:type="dxa"/>
              <w:end w:w="120" w:type="dxa"/>
            </w:tcMar>
          </w:tcPr>
          <w:p>
            <w:r>
              <w:rPr>
                <w:sz w:val="16"/>
                <w:lang w:val="en-GB" w:eastAsia="en-GB" w:bidi="en-GB"/>
              </w:rPr>
              <w:t>High confidence</w:t>
            </w:r>
          </w:p>
        </w:tc>
        <w:tc>
          <w:tcPr>
            <w:tcW w:type="dxa" w:w="4464"/>
            <w:vAlign w:val="center"/>
            <w:tcMar>
              <w:top w:w="80" w:type="dxa"/>
              <w:start w:w="120" w:type="dxa"/>
              <w:bottom w:w="80" w:type="dxa"/>
              <w:end w:w="120" w:type="dxa"/>
            </w:tcMar>
          </w:tcPr>
          <w:p>
            <w:r>
              <w:rPr>
                <w:sz w:val="16"/>
                <w:lang w:val="en-GB" w:eastAsia="en-GB" w:bidi="en-GB"/>
              </w:rPr>
              <w:t>Identity, hashes, source paths and negative controls</w:t>
            </w:r>
          </w:p>
        </w:tc>
        <w:tc>
          <w:tcPr>
            <w:tcW w:type="dxa" w:w="2952"/>
            <w:vAlign w:val="center"/>
            <w:tcMar>
              <w:top w:w="80" w:type="dxa"/>
              <w:start w:w="120" w:type="dxa"/>
              <w:bottom w:w="80" w:type="dxa"/>
              <w:end w:w="120" w:type="dxa"/>
            </w:tcMar>
          </w:tcPr>
          <w:p>
            <w:r>
              <w:rPr>
                <w:sz w:val="16"/>
                <w:lang w:val="en-GB" w:eastAsia="en-GB" w:bidi="en-GB"/>
              </w:rPr>
              <w:t>Retain evidence</w:t>
            </w:r>
          </w:p>
        </w:tc>
      </w:tr>
      <w:tr>
        <w:trPr>
          <w:cantSplit/>
        </w:trPr>
        <w:tc>
          <w:tcPr>
            <w:tcW w:type="dxa" w:w="1944"/>
            <w:vAlign w:val="center"/>
            <w:tcMar>
              <w:top w:w="80" w:type="dxa"/>
              <w:start w:w="120" w:type="dxa"/>
              <w:bottom w:w="80" w:type="dxa"/>
              <w:end w:w="120" w:type="dxa"/>
            </w:tcMar>
          </w:tcPr>
          <w:p>
            <w:r>
              <w:rPr>
                <w:sz w:val="16"/>
                <w:lang w:val="en-GB" w:eastAsia="en-GB" w:bidi="en-GB"/>
              </w:rPr>
              <w:t>Medium confidence</w:t>
            </w:r>
          </w:p>
        </w:tc>
        <w:tc>
          <w:tcPr>
            <w:tcW w:type="dxa" w:w="4464"/>
            <w:vAlign w:val="center"/>
            <w:tcMar>
              <w:top w:w="80" w:type="dxa"/>
              <w:start w:w="120" w:type="dxa"/>
              <w:bottom w:w="80" w:type="dxa"/>
              <w:end w:w="120" w:type="dxa"/>
            </w:tcMar>
          </w:tcPr>
          <w:p>
            <w:r>
              <w:rPr>
                <w:sz w:val="16"/>
                <w:lang w:val="en-GB" w:eastAsia="en-GB" w:bidi="en-GB"/>
              </w:rPr>
              <w:t>Exploitability and service behaviour</w:t>
            </w:r>
          </w:p>
        </w:tc>
        <w:tc>
          <w:tcPr>
            <w:tcW w:type="dxa" w:w="2952"/>
            <w:vAlign w:val="center"/>
            <w:tcMar>
              <w:top w:w="80" w:type="dxa"/>
              <w:start w:w="120" w:type="dxa"/>
              <w:bottom w:w="80" w:type="dxa"/>
              <w:end w:w="120" w:type="dxa"/>
            </w:tcMar>
          </w:tcPr>
          <w:p>
            <w:r>
              <w:rPr>
                <w:sz w:val="16"/>
                <w:lang w:val="en-GB" w:eastAsia="en-GB" w:bidi="en-GB"/>
              </w:rPr>
              <w:t>Complete targeted runtime tests</w:t>
            </w:r>
          </w:p>
        </w:tc>
      </w:tr>
      <w:tr>
        <w:trPr>
          <w:cantSplit/>
        </w:trPr>
        <w:tc>
          <w:tcPr>
            <w:tcW w:type="dxa" w:w="1944"/>
            <w:vAlign w:val="center"/>
            <w:tcMar>
              <w:top w:w="80" w:type="dxa"/>
              <w:start w:w="120" w:type="dxa"/>
              <w:bottom w:w="80" w:type="dxa"/>
              <w:end w:w="120" w:type="dxa"/>
            </w:tcMar>
          </w:tcPr>
          <w:p>
            <w:r>
              <w:rPr>
                <w:sz w:val="16"/>
                <w:lang w:val="en-GB" w:eastAsia="en-GB" w:bidi="en-GB"/>
              </w:rPr>
              <w:t>Blocked</w:t>
            </w:r>
          </w:p>
        </w:tc>
        <w:tc>
          <w:tcPr>
            <w:tcW w:type="dxa" w:w="4464"/>
            <w:vAlign w:val="center"/>
            <w:tcMar>
              <w:top w:w="80" w:type="dxa"/>
              <w:start w:w="120" w:type="dxa"/>
              <w:bottom w:w="80" w:type="dxa"/>
              <w:end w:w="120" w:type="dxa"/>
            </w:tcMar>
          </w:tcPr>
          <w:p>
            <w:r>
              <w:rPr>
                <w:sz w:val="16"/>
                <w:lang w:val="en-GB" w:eastAsia="en-GB" w:bidi="en-GB"/>
              </w:rPr>
              <w:t>VS Code UI, CAG, Visual Studio and real tenant</w:t>
            </w:r>
          </w:p>
        </w:tc>
        <w:tc>
          <w:tcPr>
            <w:tcW w:type="dxa" w:w="2952"/>
            <w:vAlign w:val="center"/>
            <w:tcMar>
              <w:top w:w="80" w:type="dxa"/>
              <w:start w:w="120" w:type="dxa"/>
              <w:bottom w:w="80" w:type="dxa"/>
              <w:end w:w="120" w:type="dxa"/>
            </w:tcMar>
          </w:tcPr>
          <w:p>
            <w:r>
              <w:rPr>
                <w:sz w:val="16"/>
                <w:lang w:val="en-GB" w:eastAsia="en-GB" w:bidi="en-GB"/>
              </w:rPr>
              <w:t>Defer affected approval scope</w:t>
            </w:r>
          </w:p>
        </w:tc>
      </w:tr>
    </w:tbl>
    <w:p>
      <w:pPr>
        <w:widowControl/>
      </w:pPr>
    </w:p>
    <w:p>
      <w:pPr>
        <w:pStyle w:val="Heading1"/>
        <w:widowControl/>
      </w:pPr>
      <w:r>
        <w:rPr>
          <w:lang w:val="en-GB" w:eastAsia="en-GB" w:bidi="en-GB"/>
        </w:rPr>
        <w:t>Residual Risk and Approval Recommendation</w:t>
      </w:r>
    </w:p>
    <w:p>
      <w:pPr>
        <w:widowControl/>
      </w:pPr>
      <w:r>
        <w:rPr>
          <w:lang w:val="en-GB" w:eastAsia="en-GB" w:bidi="en-GB"/>
        </w:rPr>
        <w:t>Decision: Defer pending evidence. Overall residual risk: High. Do not approve production, customer, claims, underwriting, regulated, confidential or operationally critical use of version 1.24.0.3152. The product is first-party and was not classified as malware, but first-party provenance does not compensate for the analyzer-loading weakness, vulnerable runtime dependencies, native isolation gaps and incomplete representative evidence.</w:t>
      </w:r>
    </w:p>
    <w:p>
      <w:pPr>
        <w:widowControl/>
      </w:pPr>
      <w:r>
        <w:rPr>
          <w:lang w:val="en-GB" w:eastAsia="en-GB" w:bidi="en-GB"/>
        </w:rPr>
        <w:t>A tightly bounded synthetic VS Code pilot may be reconsidered only after F-001 and F-002 are fixed and all mandatory configuration/privacy controls are in place. CAG and HTTP multi-user use require their specific findings to close before inclusion. Visual Studio remains unsupported/not observed and requires a new product assessment. PUBLIC document classification means the report is safe for potential external sharing; it does not authorise publication, disclosure or deployment.</w:t>
      </w:r>
    </w:p>
    <w:p>
      <w:pPr>
        <w:pStyle w:val="Caption"/>
        <w:keepLines/>
        <w:widowControl/>
      </w:pPr>
      <w:r>
        <w:rPr>
          <w:b/>
          <w:lang w:val="en-GB" w:eastAsia="en-GB" w:bidi="en-GB"/>
        </w:rPr>
        <w:t>Residual Risk and Approval Recommendation evidence summary</w:t>
      </w:r>
    </w:p>
    <w:tbl>
      <w:tblPr>
        <w:tblStyle w:val="TableGrid"/>
        <w:tblW w:type="dxa" w:w="9360"/>
        <w:tblLayout w:type="fixed"/>
        <w:tblLook w:firstColumn="1" w:firstRow="1" w:lastColumn="0" w:lastRow="0" w:noHBand="0" w:noVBand="1" w:val="04A0"/>
        <w:tblInd w:w="120" w:type="dxa"/>
      </w:tblPr>
      <w:tblGrid>
        <w:gridCol w:w="2445"/>
        <w:gridCol w:w="3120"/>
        <w:gridCol w:w="3795"/>
      </w:tblGrid>
      <w:tr>
        <w:trPr>
          <w:tblHeader w:val="true"/>
          <w:cantSplit/>
        </w:trPr>
        <w:tc>
          <w:tcPr>
            <w:tcW w:type="dxa" w:w="2445"/>
            <w:shd w:fill="F2F4F7"/>
            <w:vAlign w:val="center"/>
            <w:tcMar>
              <w:top w:w="80" w:type="dxa"/>
              <w:start w:w="120" w:type="dxa"/>
              <w:bottom w:w="80" w:type="dxa"/>
              <w:end w:w="120" w:type="dxa"/>
            </w:tcMar>
          </w:tcPr>
          <w:p>
            <w:r>
              <w:rPr>
                <w:b/>
                <w:sz w:val="16"/>
                <w:lang w:val="en-GB" w:eastAsia="en-GB" w:bidi="en-GB"/>
              </w:rPr>
              <w:t>Evidence area</w:t>
            </w:r>
          </w:p>
        </w:tc>
        <w:tc>
          <w:tcPr>
            <w:tcW w:type="dxa" w:w="3120"/>
            <w:shd w:fill="F2F4F7"/>
            <w:vAlign w:val="center"/>
            <w:tcMar>
              <w:top w:w="80" w:type="dxa"/>
              <w:start w:w="120" w:type="dxa"/>
              <w:bottom w:w="80" w:type="dxa"/>
              <w:end w:w="120" w:type="dxa"/>
            </w:tcMar>
          </w:tcPr>
          <w:p>
            <w:r>
              <w:rPr>
                <w:b/>
                <w:sz w:val="16"/>
                <w:lang w:val="en-GB" w:eastAsia="en-GB" w:bidi="en-GB"/>
              </w:rPr>
              <w:t>Assessment result</w:t>
            </w:r>
          </w:p>
        </w:tc>
        <w:tc>
          <w:tcPr>
            <w:tcW w:type="dxa" w:w="379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445"/>
            <w:vAlign w:val="center"/>
            <w:tcMar>
              <w:top w:w="80" w:type="dxa"/>
              <w:start w:w="120" w:type="dxa"/>
              <w:bottom w:w="80" w:type="dxa"/>
              <w:end w:w="120" w:type="dxa"/>
            </w:tcMar>
          </w:tcPr>
          <w:p>
            <w:r>
              <w:rPr>
                <w:sz w:val="16"/>
                <w:lang w:val="en-GB" w:eastAsia="en-GB" w:bidi="en-GB"/>
              </w:rPr>
              <w:t>Production</w:t>
            </w:r>
          </w:p>
        </w:tc>
        <w:tc>
          <w:tcPr>
            <w:tcW w:type="dxa" w:w="3120"/>
            <w:vAlign w:val="center"/>
            <w:tcMar>
              <w:top w:w="80" w:type="dxa"/>
              <w:start w:w="120" w:type="dxa"/>
              <w:bottom w:w="80" w:type="dxa"/>
              <w:end w:w="120" w:type="dxa"/>
            </w:tcMar>
          </w:tcPr>
          <w:p>
            <w:r>
              <w:rPr>
                <w:sz w:val="16"/>
                <w:lang w:val="en-GB" w:eastAsia="en-GB" w:bidi="en-GB"/>
              </w:rPr>
              <w:t>Not approved</w:t>
            </w:r>
          </w:p>
        </w:tc>
        <w:tc>
          <w:tcPr>
            <w:tcW w:type="dxa" w:w="3795"/>
            <w:vAlign w:val="center"/>
            <w:tcMar>
              <w:top w:w="80" w:type="dxa"/>
              <w:start w:w="120" w:type="dxa"/>
              <w:bottom w:w="80" w:type="dxa"/>
              <w:end w:w="120" w:type="dxa"/>
            </w:tcMar>
          </w:tcPr>
          <w:p>
            <w:r>
              <w:rPr>
                <w:sz w:val="16"/>
                <w:lang w:val="en-GB" w:eastAsia="en-GB" w:bidi="en-GB"/>
              </w:rPr>
              <w:t>Close P1 findings and evidence</w:t>
            </w:r>
          </w:p>
        </w:tc>
      </w:tr>
      <w:tr>
        <w:trPr>
          <w:cantSplit/>
        </w:trPr>
        <w:tc>
          <w:tcPr>
            <w:tcW w:type="dxa" w:w="2445"/>
            <w:vAlign w:val="center"/>
            <w:tcMar>
              <w:top w:w="80" w:type="dxa"/>
              <w:start w:w="120" w:type="dxa"/>
              <w:bottom w:w="80" w:type="dxa"/>
              <w:end w:w="120" w:type="dxa"/>
            </w:tcMar>
          </w:tcPr>
          <w:p>
            <w:r>
              <w:rPr>
                <w:sz w:val="16"/>
                <w:lang w:val="en-GB" w:eastAsia="en-GB" w:bidi="en-GB"/>
              </w:rPr>
              <w:t>Synthetic VS Code pilot</w:t>
            </w:r>
          </w:p>
        </w:tc>
        <w:tc>
          <w:tcPr>
            <w:tcW w:type="dxa" w:w="3120"/>
            <w:vAlign w:val="center"/>
            <w:tcMar>
              <w:top w:w="80" w:type="dxa"/>
              <w:start w:w="120" w:type="dxa"/>
              <w:bottom w:w="80" w:type="dxa"/>
              <w:end w:w="120" w:type="dxa"/>
            </w:tcMar>
          </w:tcPr>
          <w:p>
            <w:r>
              <w:rPr>
                <w:sz w:val="16"/>
                <w:lang w:val="en-GB" w:eastAsia="en-GB" w:bidi="en-GB"/>
              </w:rPr>
              <w:t>Conditional future consideration</w:t>
            </w:r>
          </w:p>
        </w:tc>
        <w:tc>
          <w:tcPr>
            <w:tcW w:type="dxa" w:w="3795"/>
            <w:vAlign w:val="center"/>
            <w:tcMar>
              <w:top w:w="80" w:type="dxa"/>
              <w:start w:w="120" w:type="dxa"/>
              <w:bottom w:w="80" w:type="dxa"/>
              <w:end w:w="120" w:type="dxa"/>
            </w:tcMar>
          </w:tcPr>
          <w:p>
            <w:r>
              <w:rPr>
                <w:sz w:val="16"/>
                <w:lang w:val="en-GB" w:eastAsia="en-GB" w:bidi="en-GB"/>
              </w:rPr>
              <w:t>Meet all approval conditions</w:t>
            </w:r>
          </w:p>
        </w:tc>
      </w:tr>
      <w:tr>
        <w:trPr>
          <w:cantSplit/>
        </w:trPr>
        <w:tc>
          <w:tcPr>
            <w:tcW w:type="dxa" w:w="2445"/>
            <w:vAlign w:val="center"/>
            <w:tcMar>
              <w:top w:w="80" w:type="dxa"/>
              <w:start w:w="120" w:type="dxa"/>
              <w:bottom w:w="80" w:type="dxa"/>
              <w:end w:w="120" w:type="dxa"/>
            </w:tcMar>
          </w:tcPr>
          <w:p>
            <w:r>
              <w:rPr>
                <w:sz w:val="16"/>
                <w:lang w:val="en-GB" w:eastAsia="en-GB" w:bidi="en-GB"/>
              </w:rPr>
              <w:t>Visual Studio</w:t>
            </w:r>
          </w:p>
        </w:tc>
        <w:tc>
          <w:tcPr>
            <w:tcW w:type="dxa" w:w="3120"/>
            <w:vAlign w:val="center"/>
            <w:tcMar>
              <w:top w:w="80" w:type="dxa"/>
              <w:start w:w="120" w:type="dxa"/>
              <w:bottom w:w="80" w:type="dxa"/>
              <w:end w:w="120" w:type="dxa"/>
            </w:tcMar>
          </w:tcPr>
          <w:p>
            <w:r>
              <w:rPr>
                <w:sz w:val="16"/>
                <w:lang w:val="en-GB" w:eastAsia="en-GB" w:bidi="en-GB"/>
              </w:rPr>
              <w:t>Unsupported/not observed</w:t>
            </w:r>
          </w:p>
        </w:tc>
        <w:tc>
          <w:tcPr>
            <w:tcW w:type="dxa" w:w="3795"/>
            <w:vAlign w:val="center"/>
            <w:tcMar>
              <w:top w:w="80" w:type="dxa"/>
              <w:start w:w="120" w:type="dxa"/>
              <w:bottom w:w="80" w:type="dxa"/>
              <w:end w:w="120" w:type="dxa"/>
            </w:tcMar>
          </w:tcPr>
          <w:p>
            <w:r>
              <w:rPr>
                <w:sz w:val="16"/>
                <w:lang w:val="en-GB" w:eastAsia="en-GB" w:bidi="en-GB"/>
              </w:rPr>
              <w:t>Independent assessment if product appears</w:t>
            </w:r>
          </w:p>
        </w:tc>
      </w:tr>
    </w:tbl>
    <w:p>
      <w:pPr>
        <w:widowControl/>
      </w:pPr>
    </w:p>
    <w:p>
      <w:pPr>
        <w:pStyle w:val="Heading1"/>
        <w:widowControl/>
      </w:pPr>
      <w:r>
        <w:rPr>
          <w:lang w:val="en-GB" w:eastAsia="en-GB" w:bidi="en-GB"/>
        </w:rPr>
        <w:t>Verification Tests and Closure Plan</w:t>
      </w:r>
    </w:p>
    <w:p>
      <w:pPr>
        <w:widowControl/>
      </w:pPr>
      <w:r>
        <w:rPr>
          <w:lang w:val="en-GB" w:eastAsia="en-GB" w:bidi="en-GB"/>
        </w:rPr>
        <w:t>Vendor closure tests must cover null/blank/malformed analyzer hashes, interrupted downloads, atomic installation, independent signatures, Jackson malformed/chunked inputs, CAG environment canaries, verified executable path, bounded telemetry/backpressure, HTTP concurrent tenant profiles, origin/authentication ordering, regular-file and size limits, accurate tool annotations and readiness/shutdown faults. Each verification test must bind to the fixed release digest.</w:t>
      </w:r>
    </w:p>
    <w:p>
      <w:pPr>
        <w:widowControl/>
      </w:pPr>
      <w:r>
        <w:rPr>
          <w:lang w:val="en-GB" w:eastAsia="en-GB" w:bidi="en-GB"/>
        </w:rPr>
        <w:t>Enterprise closure evidence must include a dedicated synthetic tenant, purpose-limited token, VS Code client configuration and prompts, tool inventory, egress record, filesystem and process diff, update/disable/uninstall residue, telemetry enabled/disabled capture, revocation, incident stop and cleanup readback. Reassess on any release, digest, dependency, registry, CAG, MCP protocol, client, transport, privacy term, advisory or incident change. Unavailable evidence remains Defer pending evidence.</w:t>
      </w:r>
    </w:p>
    <w:p>
      <w:pPr>
        <w:pStyle w:val="Caption"/>
        <w:keepLines/>
        <w:widowControl/>
      </w:pPr>
      <w:r>
        <w:rPr>
          <w:b/>
          <w:lang w:val="en-GB" w:eastAsia="en-GB" w:bidi="en-GB"/>
        </w:rPr>
        <w:t>Verification Tests and Closure Plan evidence summary</w:t>
      </w:r>
    </w:p>
    <w:tbl>
      <w:tblPr>
        <w:tblStyle w:val="TableGrid"/>
        <w:tblW w:type="dxa" w:w="9360"/>
        <w:tblLayout w:type="fixed"/>
        <w:tblLook w:firstColumn="1" w:firstRow="1" w:lastColumn="0" w:lastRow="0" w:noHBand="0" w:noVBand="1" w:val="04A0"/>
        <w:tblInd w:w="120" w:type="dxa"/>
      </w:tblPr>
      <w:tblGrid>
        <w:gridCol w:w="1985"/>
        <w:gridCol w:w="4417"/>
        <w:gridCol w:w="2958"/>
      </w:tblGrid>
      <w:tr>
        <w:trPr>
          <w:tblHeader w:val="true"/>
          <w:cantSplit/>
        </w:trPr>
        <w:tc>
          <w:tcPr>
            <w:tcW w:type="dxa" w:w="1985"/>
            <w:shd w:fill="F2F4F7"/>
            <w:vAlign w:val="center"/>
            <w:tcMar>
              <w:top w:w="80" w:type="dxa"/>
              <w:start w:w="120" w:type="dxa"/>
              <w:bottom w:w="80" w:type="dxa"/>
              <w:end w:w="120" w:type="dxa"/>
            </w:tcMar>
          </w:tcPr>
          <w:p>
            <w:r>
              <w:rPr>
                <w:b/>
                <w:sz w:val="16"/>
                <w:lang w:val="en-GB" w:eastAsia="en-GB" w:bidi="en-GB"/>
              </w:rPr>
              <w:t>Evidence area</w:t>
            </w:r>
          </w:p>
        </w:tc>
        <w:tc>
          <w:tcPr>
            <w:tcW w:type="dxa" w:w="4417"/>
            <w:shd w:fill="F2F4F7"/>
            <w:vAlign w:val="center"/>
            <w:tcMar>
              <w:top w:w="80" w:type="dxa"/>
              <w:start w:w="120" w:type="dxa"/>
              <w:bottom w:w="80" w:type="dxa"/>
              <w:end w:w="120" w:type="dxa"/>
            </w:tcMar>
          </w:tcPr>
          <w:p>
            <w:r>
              <w:rPr>
                <w:b/>
                <w:sz w:val="16"/>
                <w:lang w:val="en-GB" w:eastAsia="en-GB" w:bidi="en-GB"/>
              </w:rPr>
              <w:t>Assessment result</w:t>
            </w:r>
          </w:p>
        </w:tc>
        <w:tc>
          <w:tcPr>
            <w:tcW w:type="dxa" w:w="295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85"/>
            <w:vAlign w:val="center"/>
            <w:tcMar>
              <w:top w:w="80" w:type="dxa"/>
              <w:start w:w="120" w:type="dxa"/>
              <w:bottom w:w="80" w:type="dxa"/>
              <w:end w:w="120" w:type="dxa"/>
            </w:tcMar>
          </w:tcPr>
          <w:p>
            <w:r>
              <w:rPr>
                <w:sz w:val="16"/>
                <w:lang w:val="en-GB" w:eastAsia="en-GB" w:bidi="en-GB"/>
              </w:rPr>
              <w:t>Vendor tests</w:t>
            </w:r>
          </w:p>
        </w:tc>
        <w:tc>
          <w:tcPr>
            <w:tcW w:type="dxa" w:w="4417"/>
            <w:vAlign w:val="center"/>
            <w:tcMar>
              <w:top w:w="80" w:type="dxa"/>
              <w:start w:w="120" w:type="dxa"/>
              <w:bottom w:w="80" w:type="dxa"/>
              <w:end w:w="120" w:type="dxa"/>
            </w:tcMar>
          </w:tcPr>
          <w:p>
            <w:r>
              <w:rPr>
                <w:sz w:val="16"/>
                <w:lang w:val="en-GB" w:eastAsia="en-GB" w:bidi="en-GB"/>
              </w:rPr>
              <w:t>Code-path and release evidence</w:t>
            </w:r>
          </w:p>
        </w:tc>
        <w:tc>
          <w:tcPr>
            <w:tcW w:type="dxa" w:w="2958"/>
            <w:vAlign w:val="center"/>
            <w:tcMar>
              <w:top w:w="80" w:type="dxa"/>
              <w:start w:w="120" w:type="dxa"/>
              <w:bottom w:w="80" w:type="dxa"/>
              <w:end w:w="120" w:type="dxa"/>
            </w:tcMar>
          </w:tcPr>
          <w:p>
            <w:r>
              <w:rPr>
                <w:sz w:val="16"/>
                <w:lang w:val="en-GB" w:eastAsia="en-GB" w:bidi="en-GB"/>
              </w:rPr>
              <w:t>Bind to fixed digest</w:t>
            </w:r>
          </w:p>
        </w:tc>
      </w:tr>
      <w:tr>
        <w:trPr>
          <w:cantSplit/>
        </w:trPr>
        <w:tc>
          <w:tcPr>
            <w:tcW w:type="dxa" w:w="1985"/>
            <w:vAlign w:val="center"/>
            <w:tcMar>
              <w:top w:w="80" w:type="dxa"/>
              <w:start w:w="120" w:type="dxa"/>
              <w:bottom w:w="80" w:type="dxa"/>
              <w:end w:w="120" w:type="dxa"/>
            </w:tcMar>
          </w:tcPr>
          <w:p>
            <w:r>
              <w:rPr>
                <w:sz w:val="16"/>
                <w:lang w:val="en-GB" w:eastAsia="en-GB" w:bidi="en-GB"/>
              </w:rPr>
              <w:t>Pilot tests</w:t>
            </w:r>
          </w:p>
        </w:tc>
        <w:tc>
          <w:tcPr>
            <w:tcW w:type="dxa" w:w="4417"/>
            <w:vAlign w:val="center"/>
            <w:tcMar>
              <w:top w:w="80" w:type="dxa"/>
              <w:start w:w="120" w:type="dxa"/>
              <w:bottom w:w="80" w:type="dxa"/>
              <w:end w:w="120" w:type="dxa"/>
            </w:tcMar>
          </w:tcPr>
          <w:p>
            <w:r>
              <w:rPr>
                <w:sz w:val="16"/>
                <w:lang w:val="en-GB" w:eastAsia="en-GB" w:bidi="en-GB"/>
              </w:rPr>
              <w:t>VS Code, tenant, network and lifecycle</w:t>
            </w:r>
          </w:p>
        </w:tc>
        <w:tc>
          <w:tcPr>
            <w:tcW w:type="dxa" w:w="2958"/>
            <w:vAlign w:val="center"/>
            <w:tcMar>
              <w:top w:w="80" w:type="dxa"/>
              <w:start w:w="120" w:type="dxa"/>
              <w:bottom w:w="80" w:type="dxa"/>
              <w:end w:w="120" w:type="dxa"/>
            </w:tcMar>
          </w:tcPr>
          <w:p>
            <w:r>
              <w:rPr>
                <w:sz w:val="16"/>
                <w:lang w:val="en-GB" w:eastAsia="en-GB" w:bidi="en-GB"/>
              </w:rPr>
              <w:t>Use synthetic data only</w:t>
            </w:r>
          </w:p>
        </w:tc>
      </w:tr>
      <w:tr>
        <w:trPr>
          <w:cantSplit/>
        </w:trPr>
        <w:tc>
          <w:tcPr>
            <w:tcW w:type="dxa" w:w="1985"/>
            <w:vAlign w:val="center"/>
            <w:tcMar>
              <w:top w:w="80" w:type="dxa"/>
              <w:start w:w="120" w:type="dxa"/>
              <w:bottom w:w="80" w:type="dxa"/>
              <w:end w:w="120" w:type="dxa"/>
            </w:tcMar>
          </w:tcPr>
          <w:p>
            <w:r>
              <w:rPr>
                <w:sz w:val="16"/>
                <w:lang w:val="en-GB" w:eastAsia="en-GB" w:bidi="en-GB"/>
              </w:rPr>
              <w:t>Trigger</w:t>
            </w:r>
          </w:p>
        </w:tc>
        <w:tc>
          <w:tcPr>
            <w:tcW w:type="dxa" w:w="4417"/>
            <w:vAlign w:val="center"/>
            <w:tcMar>
              <w:top w:w="80" w:type="dxa"/>
              <w:start w:w="120" w:type="dxa"/>
              <w:bottom w:w="80" w:type="dxa"/>
              <w:end w:w="120" w:type="dxa"/>
            </w:tcMar>
          </w:tcPr>
          <w:p>
            <w:r>
              <w:rPr>
                <w:sz w:val="16"/>
                <w:lang w:val="en-GB" w:eastAsia="en-GB" w:bidi="en-GB"/>
              </w:rPr>
              <w:t>Any material version/boundary change</w:t>
            </w:r>
          </w:p>
        </w:tc>
        <w:tc>
          <w:tcPr>
            <w:tcW w:type="dxa" w:w="2958"/>
            <w:vAlign w:val="center"/>
            <w:tcMar>
              <w:top w:w="80" w:type="dxa"/>
              <w:start w:w="120" w:type="dxa"/>
              <w:bottom w:w="80" w:type="dxa"/>
              <w:end w:w="120" w:type="dxa"/>
            </w:tcMar>
          </w:tcPr>
          <w:p>
            <w:r>
              <w:rPr>
                <w:sz w:val="16"/>
                <w:lang w:val="en-GB" w:eastAsia="en-GB" w:bidi="en-GB"/>
              </w:rPr>
              <w:t>Re-run affected stages</w:t>
            </w:r>
          </w:p>
        </w:tc>
      </w:tr>
    </w:tbl>
    <w:p>
      <w:pPr>
        <w:widowControl/>
      </w:pPr>
    </w:p>
    <w:p>
      <w:pPr>
        <w:pStyle w:val="Heading1"/>
        <w:keepNext/>
        <w:pageBreakBefore/>
        <w:widowControl/>
      </w:pPr>
      <w:r>
        <w:rPr>
          <w:lang w:val="en-GB" w:eastAsia="en-GB" w:bidi="en-GB"/>
        </w:rPr>
        <w:t>Individual Finding Records</w:t>
      </w:r>
    </w:p>
    <w:p>
      <w:pPr>
        <w:pStyle w:val="Heading2"/>
        <w:widowControl/>
      </w:pPr>
      <w:r>
        <w:rPr>
          <w:lang w:val="en-GB" w:eastAsia="en-GB" w:bidi="en-GB"/>
        </w:rPr>
        <w:t>F-001 — Current Jackson runtime dependencies carry multiple fixed advisories</w:t>
      </w:r>
    </w:p>
    <w:p>
      <w:pPr>
        <w:pStyle w:val="Caption"/>
        <w:keepLines/>
        <w:widowControl/>
      </w:pPr>
      <w:r>
        <w:rPr>
          <w:b/>
          <w:lang w:val="en-GB" w:eastAsia="en-GB" w:bidi="en-GB"/>
        </w:rPr>
        <w:t>Finding record — F-001</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MCP JSON parsing and shaded runtime dependency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main runtime lock includes jackson-core and jackson-databind 2.21.1 plus the Jackson 3 equivalents 3.1.2. Current databases reported fourteen unique advisories, including high-severity polymorphic validation bypasses and an async parser numeric-length bypass. Jackson 3 is directly used by the MCP JSON mapper. The polymorphic-typing configuration required for arbitrary-instantiation impact was not found, so remote code execution is not claimed; however, attacker-controlled MCP JSON reaches the parser boundary and the released versions are below available fixes. </w:t>
            </w:r>
            <w:hyperlink w:anchor="REF_008">
              <w:r>
                <w:rPr>
                  <w:rStyle w:val="Hyperlink"/>
                  <w:lang w:val="en-GB" w:eastAsia="en-GB" w:bidi="en-GB"/>
                </w:rPr>
                <w:t>REF-008</w:t>
              </w:r>
            </w:hyperlink>
            <w:r>
              <w:rPr>
                <w:sz w:val="16"/>
                <w:lang w:val="en-GB" w:eastAsia="en-GB" w:bidi="en-GB"/>
              </w:rPr>
              <w:t xml:space="preserve"> </w:t>
            </w:r>
            <w:hyperlink w:anchor="REF_009">
              <w:r>
                <w:rPr>
                  <w:rStyle w:val="Hyperlink"/>
                  <w:lang w:val="en-GB" w:eastAsia="en-GB" w:bidi="en-GB"/>
                </w:rPr>
                <w:t>REF-009</w:t>
              </w:r>
            </w:hyperlink>
            <w:r>
              <w:rPr>
                <w:sz w:val="16"/>
                <w:lang w:val="en-GB" w:eastAsia="en-GB" w:bidi="en-GB"/>
              </w:rPr>
              <w:t xml:space="preserve"> </w:t>
            </w:r>
            <w:hyperlink w:anchor="REF_010">
              <w:r>
                <w:rPr>
                  <w:rStyle w:val="Hyperlink"/>
                  <w:lang w:val="en-GB" w:eastAsia="en-GB" w:bidi="en-GB"/>
                </w:rPr>
                <w:t>REF-010</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EVD-VULN-001; EVD-SBOM-001; EVD-STATIC-001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5</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15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JSON Schema rejects undeclared tool properties and no target configuration enabling Jackson polymorphic default typing was observed. The shaded JAR nevertheless prevents complete component and reachability attribution.</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Upgrade Jackson 2 to at least 2.21.4 or the newest compatible fixed line and Jackson 3 to at least 3.1.4 or the newest compatible fixed line. Rebuild, regenerate a signed SBOM, produce VEX/reachability evidence and retest malformed, chunked and oversized MCP input.</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dependency and MCP transport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Exact released SBOM and lockfiles contain fixed versions; Grype, Trivy and OSV are reconciled; bounded parser tests pass without excessive memory or unexpected type construction.</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CWE-502; CWE-400; OWASP ASVS input and resource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affected versions; Medium for target-specific exploit reachability</w:t>
            </w:r>
          </w:p>
        </w:tc>
      </w:tr>
    </w:tbl>
    <w:p>
      <w:pPr>
        <w:widowControl/>
      </w:pPr>
    </w:p>
    <w:p>
      <w:pPr>
        <w:pStyle w:val="Heading2"/>
        <w:widowControl/>
      </w:pPr>
      <w:r>
        <w:rPr>
          <w:lang w:val="en-GB" w:eastAsia="en-GB" w:bidi="en-GB"/>
        </w:rPr>
        <w:t>F-002 — Analyzer download failure can leave unverified code eligible for in-process loading</w:t>
      </w:r>
    </w:p>
    <w:p>
      <w:pPr>
        <w:pStyle w:val="Caption"/>
        <w:keepLines/>
        <w:widowControl/>
      </w:pPr>
      <w:r>
        <w:rPr>
          <w:b/>
          <w:lang w:val="en-GB" w:eastAsia="en-GB" w:bidi="en-GB"/>
        </w:rPr>
        <w:t>Finding record — F-002</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SonarQube endpoint to analyzer JAR to MCP process</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Analyzer bytes and their expected MD5 value are supplied by the configured SonarQube endpoint. Bytes are written to the final plugin path before verification. A null expected hash throws at equalsIgnoreCase before deletion; the outer synchronisation loop catches the runtime exception and continues. Cleanup retains a filename still listed as supported, and the later local-plugin list admits existing files for use as SonarLint analyzer paths. A compromised, malicious or plaintext-configured endpoint could therefore plausibly place analyzer code into the MCP process. </w:t>
            </w:r>
            <w:hyperlink w:anchor="REF_012">
              <w:r>
                <w:rPr>
                  <w:rStyle w:val="Hyperlink"/>
                  <w:lang w:val="en-GB" w:eastAsia="en-GB" w:bidi="en-GB"/>
                </w:rPr>
                <w:t>REF-012</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5</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15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Filename normalization blocks traversal and ordinary non-null hash mismatches are deleted. The digest and bytes still share one trust source, and MD5 is unsuitable for adversarial authenticity.</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Validate a non-empty strong digest before download, write to a securely created temporary file, verify an independently authenticated SHA-256 or vendor signature, then atomically move. Delete and exclude every failed artifact and require HTTPS plus approved endpoint allowlists.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analyzer and platform security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Null, blank, malformed, interrupted, mismatched and same-origin-compromise tests prove that no failed or unauthenticated JAR remains or reaches BackendService analyzer paths.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CWE-494; CWE-347; CWE-755; OWASP ASVS file integrity and supply-chain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the code path; Medium for practical endpoint-compromise likelihood</w:t>
            </w:r>
          </w:p>
        </w:tc>
      </w:tr>
    </w:tbl>
    <w:p>
      <w:pPr>
        <w:widowControl/>
      </w:pPr>
    </w:p>
    <w:p>
      <w:pPr>
        <w:pStyle w:val="Heading2"/>
        <w:widowControl/>
      </w:pPr>
      <w:r>
        <w:rPr>
          <w:lang w:val="en-GB" w:eastAsia="en-GB" w:bidi="en-GB"/>
        </w:rPr>
        <w:t>F-003 — CAG subprocess inherits the full parent environment despite an allowlist</w:t>
      </w:r>
    </w:p>
    <w:p>
      <w:pPr>
        <w:pStyle w:val="Caption"/>
        <w:keepLines/>
        <w:widowControl/>
      </w:pPr>
      <w:r>
        <w:rPr>
          <w:b/>
          <w:lang w:val="en-GB" w:eastAsia="en-GB" w:bidi="en-GB"/>
        </w:rPr>
        <w:t>Finding record — F-003</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MCP server to native CAG child-process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proxied-server configuration lists selected inherited variables, and McpClientManager constructs a filtered map. ManagedStdioClientTransport creates a normal ProcessBuilder and only applies environment().putAll without clearing the environment copied from the parent. The native CAG process therefore receives unrelated environment variables, which may include cloud, GitHub, proxy, signing or other credentials when the direct JAR is launched from a developer shell. </w:t>
            </w:r>
            <w:hyperlink w:anchor="REF_012">
              <w:r>
                <w:rPr>
                  <w:rStyle w:val="Hyperlink"/>
                  <w:lang w:val="en-GB" w:eastAsia="en-GB" w:bidi="en-GB"/>
                </w:rPr>
                <w:t>REF-012</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 EVD-CAG-001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CAG is limited to stdio mode and entitlement, and a narrowly configured container can reduce ambient variables. The default direct-JAR path may run in a credential-rich environment.</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Clear ProcessBuilder.environment before adding an explicit minimum set, restore only necessary PATH/locale/runtime values, use an absolute verified executable and provide a purpose-limited token. Run CAG in a separate constrained process or container with read-only source where feasible.</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CAG and MCP runtime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A canary matrix proves unallowlisted variables are absent from the child on direct-JAR and container paths; required variables remain functional and token scope is independently limited.</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CWE-526; CWE-200; OWASP MCP credential and least-privilege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w:t>
            </w:r>
          </w:p>
        </w:tc>
      </w:tr>
    </w:tbl>
    <w:p>
      <w:pPr>
        <w:widowControl/>
      </w:pPr>
    </w:p>
    <w:p>
      <w:pPr>
        <w:pStyle w:val="Heading2"/>
        <w:widowControl/>
      </w:pPr>
      <w:r>
        <w:rPr>
          <w:lang w:val="en-GB" w:eastAsia="en-GB" w:bidi="en-GB"/>
        </w:rPr>
        <w:t>F-004 — Native CAG and container build inputs are not independently authenticated</w:t>
      </w:r>
    </w:p>
    <w:p>
      <w:pPr>
        <w:pStyle w:val="Caption"/>
        <w:keepLines/>
        <w:widowControl/>
      </w:pPr>
      <w:r>
        <w:rPr>
          <w:b/>
          <w:lang w:val="en-GB" w:eastAsia="en-GB" w:bidi="en-GB"/>
        </w:rPr>
        <w:t>Finding record — F-004</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Release build, OCI provenance and native executable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Dockerfile streams a versioned CAG tarball through tar without a checksum or signature and fetches the server JAR without a build-time checksum. Base images and Alpine repositories are mutable, and publication rebuilds after smoke testing instead of promoting the exact tested digest. The first-party archives were clean under refreshed ClamAV and the image CAG/JAR hashes matched acquired artifacts, but those observations do not replace publisher-enforced authenticity at build time. </w:t>
            </w:r>
            <w:hyperlink w:anchor="REF_005">
              <w:r>
                <w:rPr>
                  <w:rStyle w:val="Hyperlink"/>
                  <w:lang w:val="en-GB" w:eastAsia="en-GB" w:bidi="en-GB"/>
                </w:rPr>
                <w:t>REF-005</w:t>
              </w:r>
            </w:hyperlink>
            <w:r>
              <w:rPr>
                <w:sz w:val="16"/>
                <w:lang w:val="en-GB" w:eastAsia="en-GB" w:bidi="en-GB"/>
              </w:rPr>
              <w:t xml:space="preserve"> </w:t>
            </w:r>
            <w:hyperlink w:anchor="REF_012">
              <w:r>
                <w:rPr>
                  <w:rStyle w:val="Hyperlink"/>
                  <w:lang w:val="en-GB" w:eastAsia="en-GB" w:bidi="en-GB"/>
                </w:rPr>
                <w:t>REF-012</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EVD-CAG-001; EVD-OCI-001; EVD-WORKFLOW-001; EVD-MALWARE-001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The official OCI index contains SPDX and SLSA attestation entries, the JAR has a valid detached signature, and exact image-member hashes were reconciled. No separate CAG checksum/signature or Cosign image signature was established.</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Publish and verify per-architecture SHA-256 plus signatures, pin every base image by digest, use checksum-verified acquisition, build once, test by manifest digest, promote that digest and publish verifiable signed provenance and SBOM attestations.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release engineering and product security</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A clean-room verification confirms every build input, final multi-architecture digest, provenance subject and SBOM; the tested and published digests are identical and signatures validate against an authenticated key or identity.</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CWE-494; SLSA provenance; OWASP ASVS supply-chain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missing controls; Medium for compromise likelihood</w:t>
            </w:r>
          </w:p>
        </w:tc>
      </w:tr>
    </w:tbl>
    <w:p>
      <w:pPr>
        <w:widowControl/>
      </w:pPr>
    </w:p>
    <w:p>
      <w:pPr>
        <w:pStyle w:val="Heading2"/>
        <w:widowControl/>
      </w:pPr>
      <w:r>
        <w:rPr>
          <w:lang w:val="en-GB" w:eastAsia="en-GB" w:bidi="en-GB"/>
        </w:rPr>
        <w:t>F-005 — HTTP local analysis shares mutable backend state across request tokens</w:t>
      </w:r>
    </w:p>
    <w:p>
      <w:pPr>
        <w:pStyle w:val="Caption"/>
        <w:keepLines/>
        <w:widowControl/>
      </w:pPr>
      <w:r>
        <w:rPr>
          <w:b/>
          <w:lang w:val="en-GB" w:eastAsia="en-GB" w:bidi="en-GB"/>
        </w:rPr>
        <w:t>Finding record — F-005</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Streamable HTTP multi-user and tenant-isolation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server owns one global BackendService. Each HTTP request can obtain a token-scoped API, but analyze_code_snippet applies that caller's rules to the shared backend and adds/analyzes files using asynchronous operations that are not fully awaited. Concurrent callers can overwrite active rules or race file registration, so result integrity and tenant policy isolation are not assured. Direct cross-tenant source disclosure was not demonstrated. </w:t>
            </w:r>
            <w:hyperlink w:anchor="REF_011">
              <w:r>
                <w:rPr>
                  <w:rStyle w:val="Hyperlink"/>
                  <w:lang w:val="en-GB" w:eastAsia="en-GB" w:bidi="en-GB"/>
                </w:rPr>
                <w:t>REF-011</w:t>
              </w:r>
            </w:hyperlink>
            <w:r>
              <w:rPr>
                <w:sz w:val="16"/>
                <w:lang w:val="en-GB" w:eastAsia="en-GB" w:bidi="en-GB"/>
              </w:rPr>
              <w:t xml:space="preserve"> </w:t>
            </w:r>
            <w:hyperlink w:anchor="REF_012">
              <w:r>
                <w:rPr>
                  <w:rStyle w:val="Hyperlink"/>
                  <w:lang w:val="en-GB" w:eastAsia="en-GB" w:bidi="en-GB"/>
                </w:rPr>
                <w:t>REF-012</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HTTP local analysis requires a startup token and selected tools; client headers can only narrow toolsets and read-only scope. Those controls do not isolate shared analyzer state.</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Use per-tenant or per-request backend instances, or serialize the complete configure-add-analyze-remove transaction. Await every configuration and file operation, bind temporary identifiers to a request, add concurrency tests and prohibit multi-tenant exposure until isolation is proven.</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MCP HTTP and analyzer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Two synthetic tenants with different tokens, profiles and files run concurrent stress tests without rule crossover, file collision, result contamination or retained state.</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CWE-362; CWE-668; OWASP ASVS isolation and concurrency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the shared-state design; Medium for end-to-end data impact</w:t>
            </w:r>
          </w:p>
        </w:tc>
      </w:tr>
    </w:tbl>
    <w:p>
      <w:pPr>
        <w:widowControl/>
      </w:pPr>
    </w:p>
    <w:p>
      <w:pPr>
        <w:pStyle w:val="Heading2"/>
        <w:widowControl/>
      </w:pPr>
      <w:r>
        <w:rPr>
          <w:lang w:val="en-GB" w:eastAsia="en-GB" w:bidi="en-GB"/>
        </w:rPr>
        <w:t>F-006 — Default telemetry uses unbounded queued work that can retain token-bearing clients</w:t>
      </w:r>
    </w:p>
    <w:p>
      <w:pPr>
        <w:pStyle w:val="Caption"/>
        <w:keepLines/>
        <w:widowControl/>
      </w:pPr>
      <w:r>
        <w:rPr>
          <w:b/>
          <w:lang w:val="en-GB" w:eastAsia="en-GB" w:bidi="en-GB"/>
        </w:rPr>
        <w:t>Finding record — F-006</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HTTP request, analytics and privacy/resource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Telemetry is enabled by default and every tool call reaches analytics dispatch, including malformed calls. In HTTP mode a request-scoped ServerApi containing the bearer token can be captured by asynchronous analytics work. AnalyticsService uses newSingleThreadExecutor, whose queue is unbounded, and blocking API joins lack a complete hard-deadline chain. Repeated requests with nonblank bearer values can plausibly accumulate queued token-bearing objects and consume heap when downstream identity or telemetry calls slow. </w:t>
            </w:r>
            <w:hyperlink w:anchor="REF_004">
              <w:r>
                <w:rPr>
                  <w:rStyle w:val="Hyperlink"/>
                  <w:lang w:val="en-GB" w:eastAsia="en-GB" w:bidi="en-GB"/>
                </w:rPr>
                <w:t>REF-004</w:t>
              </w:r>
            </w:hyperlink>
            <w:r>
              <w:rPr>
                <w:sz w:val="16"/>
                <w:lang w:val="en-GB" w:eastAsia="en-GB" w:bidi="en-GB"/>
              </w:rPr>
              <w:t xml:space="preserve"> </w:t>
            </w:r>
            <w:hyperlink w:anchor="REF_012">
              <w:r>
                <w:rPr>
                  <w:rStyle w:val="Hyperlink"/>
                  <w:lang w:val="en-GB" w:eastAsia="en-GB" w:bidi="en-GB"/>
                </w:rPr>
                <w:t>REF-012</w:t>
              </w:r>
            </w:hyperlink>
            <w:r>
              <w:rPr>
                <w:sz w:val="16"/>
                <w:lang w:val="en-GB" w:eastAsia="en-GB" w:bidi="en-GB"/>
              </w:rPr>
              <w:t xml:space="preserve"> </w:t>
            </w:r>
            <w:hyperlink w:anchor="REF_016">
              <w:r>
                <w:rPr>
                  <w:rStyle w:val="Hyperlink"/>
                  <w:lang w:val="en-GB" w:eastAsia="en-GB" w:bidi="en-GB"/>
                </w:rPr>
                <w:t>REF-016</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 EVD-PRIVACY-001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Tokens are not deliberately included in the telemetry payload and TELEMETRY_DISABLED=true is available. Loopback binding and upstream access controls can reduce exposure.</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Use a bounded/coalescing executor, hard connection and response deadlines, request and analytics rate limits, backpressure and token-free immutable analytics context. Make telemetry opt-in for regulated deployments and document fields, purposes, retention and deletion.</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telemetry, HTTP and privacy owners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Load tests with delayed/unavailable downstreams demonstrate bounded memory, rejected/coalesced analytics, fixed deadlines and no token object retained in queued tasks or heap evidence.</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CWE-400; CWE-770; CWE-359; UK GDPR minimisation and security</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Medium-High</w:t>
            </w:r>
          </w:p>
        </w:tc>
      </w:tr>
    </w:tbl>
    <w:p>
      <w:pPr>
        <w:widowControl/>
      </w:pPr>
    </w:p>
    <w:p>
      <w:pPr>
        <w:pStyle w:val="Heading2"/>
        <w:widowControl/>
      </w:pPr>
      <w:r>
        <w:rPr>
          <w:lang w:val="en-GB" w:eastAsia="en-GB" w:bidi="en-GB"/>
        </w:rPr>
        <w:t>F-007 — Local HTTP origin protection can be bypassed before token validity is established</w:t>
      </w:r>
    </w:p>
    <w:p>
      <w:pPr>
        <w:pStyle w:val="Caption"/>
        <w:keepLines/>
        <w:widowControl/>
      </w:pPr>
      <w:r>
        <w:rPr>
          <w:b/>
          <w:lang w:val="en-GB" w:eastAsia="en-GB" w:bidi="en-GB"/>
        </w:rPr>
        <w:t>Finding record — F-007</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Browser-origin, authentication and local-work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For local bindings, a nonblank bearer or legacy token is sufficient to relax origin protection before the token is validated against SonarQube. AuthenticationFilter checks presence rather than validity. Local analysis can read a requested workspace file before its first downstream API call, and Files.readString has no regular-file or byte bound. A hostile web origin with a dummy token and guessed path could therefore trigger local memory or blocking work. Browser Private Network Access may reduce reachability, and response confidentiality was not proven. </w:t>
            </w:r>
            <w:hyperlink w:anchor="REF_012">
              <w:r>
                <w:rPr>
                  <w:rStyle w:val="Hyperlink"/>
                  <w:lang w:val="en-GB" w:eastAsia="en-GB" w:bidi="en-GB"/>
                </w:rPr>
                <w:t>REF-012</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Workspace real-path containment blocks symlink escape and supported browsers may restrict private-network requests. Origin, authentication and resource bounds are still independent requirements.</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2</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8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Enforce exact Origin and Host regardless of token presence, restrict OAuth bootstrap paths, validate or introspect authentication before local effects, require regular files, enforce byte/time bounds and rate limits, and keep HTTP bound to an approved interface behind authenticated ingress.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MCP HTTP security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Cross-origin requests with blank, dummy, expired and wrong-tenant tokens cannot trigger file reads or expensive work; oversized and non-regular files fail before allocation under browser and direct-client tests.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CWE-346; CWE-287; CWE-400; OWASP ASVS origin, authentication and resource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Medium-High</w:t>
            </w:r>
          </w:p>
        </w:tc>
      </w:tr>
    </w:tbl>
    <w:p>
      <w:pPr>
        <w:widowControl/>
      </w:pPr>
    </w:p>
    <w:p>
      <w:pPr>
        <w:pStyle w:val="Heading2"/>
        <w:widowControl/>
      </w:pPr>
      <w:r>
        <w:rPr>
          <w:lang w:val="en-GB" w:eastAsia="en-GB" w:bidi="en-GB"/>
        </w:rPr>
        <w:t>F-008 — Mutating tools are marked non-destructive and read-write mode is the default</w:t>
      </w:r>
    </w:p>
    <w:p>
      <w:pPr>
        <w:pStyle w:val="Caption"/>
        <w:keepLines/>
        <w:widowControl/>
      </w:pPr>
      <w:r>
        <w:rPr>
          <w:b/>
          <w:lang w:val="en-GB" w:eastAsia="en-GB" w:bidi="en-GB"/>
        </w:rPr>
        <w:t>Finding record — F-008</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MCP tool metadata, consent and SonarQube governance state</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SchemaToolBuilder sets destructiveHint false for every tool, including issue acceptance/false-positive transitions, security-hotspot decisions, webhook creation and agentic-readiness assessment creation. Read-only mode defaults to false, and the code default toolsets include an agentic-readiness category not listed in the documented default set. Clients using annotations to decide whether to prompt can therefore understate meaningful external mutation. </w:t>
            </w:r>
            <w:hyperlink w:anchor="REF_004">
              <w:r>
                <w:rPr>
                  <w:rStyle w:val="Hyperlink"/>
                  <w:lang w:val="en-GB" w:eastAsia="en-GB" w:bidi="en-GB"/>
                </w:rPr>
                <w:t>REF-004</w:t>
              </w:r>
            </w:hyperlink>
            <w:r>
              <w:rPr>
                <w:sz w:val="16"/>
                <w:lang w:val="en-GB" w:eastAsia="en-GB" w:bidi="en-GB"/>
              </w:rPr>
              <w:t xml:space="preserve"> </w:t>
            </w:r>
            <w:hyperlink w:anchor="REF_011">
              <w:r>
                <w:rPr>
                  <w:rStyle w:val="Hyperlink"/>
                  <w:lang w:val="en-GB" w:eastAsia="en-GB" w:bidi="en-GB"/>
                </w:rPr>
                <w:t>REF-011</w:t>
              </w:r>
            </w:hyperlink>
            <w:r>
              <w:rPr>
                <w:sz w:val="16"/>
                <w:lang w:val="en-GB" w:eastAsia="en-GB" w:bidi="en-GB"/>
              </w:rPr>
              <w:t xml:space="preserve"> </w:t>
            </w:r>
            <w:hyperlink w:anchor="REF_012">
              <w:r>
                <w:rPr>
                  <w:rStyle w:val="Hyperlink"/>
                  <w:lang w:val="en-GB" w:eastAsia="en-GB" w:bidi="en-GB"/>
                </w:rPr>
                <w:t>REF-012</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 EVD-RUNTIME-001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SonarQube permissions remain authoritative, write-tool visibility is removed when server-level read-only is enabled, and the isolated runtime verified that a hidden write tool could not be called.</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Mark each mutation destructive and accurately idempotent, add per-tool confirmation guidance, align documentation and code defaults, default enterprise examples to server-level read-only, and require explicit approved profiles for security-governance writes.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MCP product and tool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Tool metadata tests assert correct hints; compatible clients show just-in-time confirmation; server-level read-only continues to reject direct hidden-tool calls; documentation and default categories match.</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CWE-451; OWASP MCP tool safety, consent and least agency</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w:t>
            </w:r>
          </w:p>
        </w:tc>
      </w:tr>
    </w:tbl>
    <w:p>
      <w:pPr>
        <w:widowControl/>
      </w:pPr>
    </w:p>
    <w:p>
      <w:pPr>
        <w:pStyle w:val="Heading2"/>
        <w:widowControl/>
      </w:pPr>
      <w:r>
        <w:rPr>
          <w:lang w:val="en-GB" w:eastAsia="en-GB" w:bidi="en-GB"/>
        </w:rPr>
        <w:t>F-009 — First-party distribution guidance permits mutable and version-skewed acquisition</w:t>
      </w:r>
    </w:p>
    <w:p>
      <w:pPr>
        <w:pStyle w:val="Caption"/>
        <w:keepLines/>
        <w:widowControl/>
      </w:pPr>
      <w:r>
        <w:rPr>
          <w:b/>
          <w:lang w:val="en-GB" w:eastAsia="en-GB" w:bidi="en-GB"/>
        </w:rPr>
        <w:t>Finding record — F-009</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VS Code installation, MCP Registry and update provenance</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VS Code quick-install buttons use mcp/sonarqube with --pull=always, while manual configuration uses the first-party sonarsource/sonarqube-mcp image. The assessed source server.json and the live MCP Registry lag the 1.24.0.3152 release, and general guidance favours mutable tags. Under a strict first-party requirement, the catalogue alias is not an adequate provenance identity without a documented ownership/build relationship. Automatic pulls also allow code changes at startup without controlled approval. </w:t>
            </w:r>
            <w:hyperlink w:anchor="REF_001">
              <w:r>
                <w:rPr>
                  <w:rStyle w:val="Hyperlink"/>
                  <w:lang w:val="en-GB" w:eastAsia="en-GB" w:bidi="en-GB"/>
                </w:rPr>
                <w:t>REF-001</w:t>
              </w:r>
            </w:hyperlink>
            <w:r>
              <w:rPr>
                <w:sz w:val="16"/>
                <w:lang w:val="en-GB" w:eastAsia="en-GB" w:bidi="en-GB"/>
              </w:rPr>
              <w:t xml:space="preserve"> </w:t>
            </w:r>
            <w:hyperlink w:anchor="REF_005">
              <w:r>
                <w:rPr>
                  <w:rStyle w:val="Hyperlink"/>
                  <w:lang w:val="en-GB" w:eastAsia="en-GB" w:bidi="en-GB"/>
                </w:rPr>
                <w:t>REF-005</w:t>
              </w:r>
            </w:hyperlink>
            <w:r>
              <w:rPr>
                <w:sz w:val="16"/>
                <w:lang w:val="en-GB" w:eastAsia="en-GB" w:bidi="en-GB"/>
              </w:rPr>
              <w:t xml:space="preserve"> </w:t>
            </w:r>
            <w:hyperlink w:anchor="REF_006">
              <w:r>
                <w:rPr>
                  <w:rStyle w:val="Hyperlink"/>
                  <w:lang w:val="en-GB" w:eastAsia="en-GB" w:bidi="en-GB"/>
                </w:rPr>
                <w:t>REF-006</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EVD-REGISTRY-001; EVD-IDE-001; EVD-OCI-001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The direct SonarSource image is available by immutable digest and the exact release image was acquired and reconciled. Version tags improve repeatability but remain mutable registry references.</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Use the direct SonarSource repository pinned by manifest digest, document the mcp/sonarqube relationship or remove it from first-party guidance, separate update approval from startup, verify provenance before digest changes and synchronise release, server.json and registry metadata.</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product, documentation and release owners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Every official install path resolves to a publisher-controlled image and approved digest; registry/release versions agree; update tests show no silent digest change and enterprise policy blocks mutable aliases.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CWE-494; supplier and configuration management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w:t>
            </w:r>
          </w:p>
        </w:tc>
      </w:tr>
    </w:tbl>
    <w:p>
      <w:pPr>
        <w:widowControl/>
      </w:pPr>
    </w:p>
    <w:p>
      <w:pPr>
        <w:pStyle w:val="Heading2"/>
        <w:widowControl/>
      </w:pPr>
      <w:r>
        <w:rPr>
          <w:lang w:val="en-GB" w:eastAsia="en-GB" w:bidi="en-GB"/>
        </w:rPr>
        <w:t>F-010 — The server reports ready despite local backend initialization failure and shuts down noisily</w:t>
      </w:r>
    </w:p>
    <w:p>
      <w:pPr>
        <w:pStyle w:val="Caption"/>
        <w:keepLines/>
        <w:widowControl/>
      </w:pPr>
      <w:r>
        <w:rPr>
          <w:b/>
          <w:lang w:val="en-GB" w:eastAsia="en-GB" w:bidi="en-GB"/>
        </w:rPr>
        <w:t>Finding record — F-010</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Runtime health, readiness and graceful termination</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In the isolated exact-image run, the local analysis backend returned an internal initialization error. The MCP server continued, logged that all tools were loaded and reported ready, then completed initialize and tools/list. EOF later produced an Unable to shutdown backend CancellationException and required a bounded container stop. The public health endpoint is liveness-only and does not establish backend, token, analyzer or downstream readiness. This can mask partial failure and complicate safe orchestration. </w:t>
            </w:r>
            <w:hyperlink w:anchor="REF_003">
              <w:r>
                <w:rPr>
                  <w:rStyle w:val="Hyperlink"/>
                  <w:lang w:val="en-GB" w:eastAsia="en-GB" w:bidi="en-GB"/>
                </w:rPr>
                <w:t>REF-003</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EVD-RUNTIME-001; EVD-STATIC-001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Projects-only read-only tools remained usable and no sensitive action occurred. Container supervisors can restart the process, but readiness semantics remain ambiguous.</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2</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6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Expose dependency-aware readiness separately from liveness, fail or explicitly degrade capabilities when backend initialization fails, prevent affected tools from listing, make shutdown idempotent and test signals, EOF, cancellation and partial initialization.</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runtime and operations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P2</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broad deployment</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Fault-injection tests prove readiness reflects usable dependencies, degraded tools are absent or labelled, shutdown exits within the deadline without stack traces, and orchestrators receive stable status.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CWE-755; availability and operational resilience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the observed behaviour; Low-Medium security impact</w:t>
            </w:r>
          </w:p>
        </w:tc>
      </w:tr>
    </w:tbl>
    <w:p>
      <w:pPr>
        <w:widowControl/>
      </w:pPr>
    </w:p>
    <w:p>
      <w:pPr>
        <w:pStyle w:val="Heading1"/>
        <w:keepNext/>
        <w:pageBreakBefore/>
        <w:widowControl/>
      </w:pPr>
      <w:r>
        <w:rPr>
          <w:lang w:val="en-GB" w:eastAsia="en-GB" w:bidi="en-GB"/>
        </w:rPr>
        <w:t>Consolidated Risk Register</w:t>
      </w:r>
    </w:p>
    <w:p>
      <w:pPr>
        <w:widowControl/>
      </w:pPr>
      <w:r>
        <w:rPr>
          <w:lang w:val="en-GB" w:eastAsia="en-GB" w:bidi="en-GB"/>
        </w:rP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keepLines/>
        <w:widowControl/>
      </w:pPr>
      <w:r>
        <w:rPr>
          <w:b/>
          <w:lang w:val="en-GB" w:eastAsia="en-GB" w:bidi="en-GB"/>
        </w:rPr>
        <w:t>Consolidated risk register</w:t>
      </w:r>
    </w:p>
    <w:tbl>
      <w:tblPr>
        <w:tblStyle w:val="TableGrid"/>
        <w:tblW w:type="dxa" w:w="9360"/>
        <w:tblLayout w:type="fixed"/>
        <w:tblLook w:firstColumn="1" w:firstRow="1" w:lastColumn="0" w:lastRow="0" w:noHBand="0" w:noVBand="1" w:val="04A0"/>
        <w:tblInd w:w="120" w:type="dxa"/>
      </w:tblPr>
      <w:tblGrid>
        <w:gridCol w:w="792"/>
        <w:gridCol w:w="1445"/>
        <w:gridCol w:w="1263"/>
        <w:gridCol w:w="792"/>
        <w:gridCol w:w="811"/>
        <w:gridCol w:w="792"/>
        <w:gridCol w:w="811"/>
        <w:gridCol w:w="1445"/>
        <w:gridCol w:w="1209"/>
      </w:tblGrid>
      <w:tr>
        <w:trPr>
          <w:tblHeader w:val="true"/>
          <w:cantSplit/>
        </w:trPr>
        <w:tc>
          <w:tcPr>
            <w:tcW w:type="dxa" w:w="792"/>
            <w:shd w:fill="F2F4F7"/>
            <w:vAlign w:val="center"/>
            <w:tcMar>
              <w:top w:w="80" w:type="dxa"/>
              <w:start w:w="120" w:type="dxa"/>
              <w:bottom w:w="80" w:type="dxa"/>
              <w:end w:w="120" w:type="dxa"/>
            </w:tcMar>
          </w:tcPr>
          <w:p>
            <w:r>
              <w:rPr>
                <w:b/>
                <w:sz w:val="16"/>
                <w:lang w:val="en-GB" w:eastAsia="en-GB" w:bidi="en-GB"/>
              </w:rPr>
              <w:t>ID</w:t>
            </w:r>
          </w:p>
        </w:tc>
        <w:tc>
          <w:tcPr>
            <w:tcW w:type="dxa" w:w="1445"/>
            <w:shd w:fill="F2F4F7"/>
            <w:vAlign w:val="center"/>
            <w:tcMar>
              <w:top w:w="80" w:type="dxa"/>
              <w:start w:w="120" w:type="dxa"/>
              <w:bottom w:w="80" w:type="dxa"/>
              <w:end w:w="120" w:type="dxa"/>
            </w:tcMar>
          </w:tcPr>
          <w:p>
            <w:r>
              <w:rPr>
                <w:b/>
                <w:sz w:val="16"/>
                <w:lang w:val="en-GB" w:eastAsia="en-GB" w:bidi="en-GB"/>
              </w:rPr>
              <w:t>Risk</w:t>
            </w:r>
          </w:p>
        </w:tc>
        <w:tc>
          <w:tcPr>
            <w:tcW w:type="dxa" w:w="1263"/>
            <w:shd w:fill="F2F4F7"/>
            <w:vAlign w:val="center"/>
            <w:tcMar>
              <w:top w:w="80" w:type="dxa"/>
              <w:start w:w="120" w:type="dxa"/>
              <w:bottom w:w="80" w:type="dxa"/>
              <w:end w:w="120" w:type="dxa"/>
            </w:tcMar>
          </w:tcPr>
          <w:p>
            <w:r>
              <w:rPr>
                <w:b/>
                <w:sz w:val="16"/>
                <w:lang w:val="en-GB" w:eastAsia="en-GB" w:bidi="en-GB"/>
              </w:rPr>
              <w:t>Scope</w:t>
            </w:r>
          </w:p>
        </w:tc>
        <w:tc>
          <w:tcPr>
            <w:tcW w:type="dxa" w:w="792"/>
            <w:shd w:fill="F2F4F7"/>
            <w:vAlign w:val="center"/>
            <w:tcMar>
              <w:top w:w="80" w:type="dxa"/>
              <w:start w:w="120" w:type="dxa"/>
              <w:bottom w:w="80" w:type="dxa"/>
              <w:end w:w="120" w:type="dxa"/>
            </w:tcMar>
          </w:tcPr>
          <w:p>
            <w:r>
              <w:rPr>
                <w:b/>
                <w:sz w:val="16"/>
                <w:lang w:val="en-GB" w:eastAsia="en-GB" w:bidi="en-GB"/>
              </w:rPr>
              <w:t>L/I</w:t>
            </w:r>
          </w:p>
        </w:tc>
        <w:tc>
          <w:tcPr>
            <w:tcW w:type="dxa" w:w="811"/>
            <w:shd w:fill="F2F4F7"/>
            <w:vAlign w:val="center"/>
            <w:tcMar>
              <w:top w:w="80" w:type="dxa"/>
              <w:start w:w="120" w:type="dxa"/>
              <w:bottom w:w="80" w:type="dxa"/>
              <w:end w:w="120" w:type="dxa"/>
            </w:tcMar>
          </w:tcPr>
          <w:p>
            <w:r>
              <w:rPr>
                <w:b/>
                <w:sz w:val="16"/>
                <w:lang w:val="en-GB" w:eastAsia="en-GB" w:bidi="en-GB"/>
              </w:rPr>
              <w:t>Inherent</w:t>
            </w:r>
          </w:p>
        </w:tc>
        <w:tc>
          <w:tcPr>
            <w:tcW w:type="dxa" w:w="792"/>
            <w:shd w:fill="F2F4F7"/>
            <w:vAlign w:val="center"/>
            <w:tcMar>
              <w:top w:w="80" w:type="dxa"/>
              <w:start w:w="120" w:type="dxa"/>
              <w:bottom w:w="80" w:type="dxa"/>
              <w:end w:w="120" w:type="dxa"/>
            </w:tcMar>
          </w:tcPr>
          <w:p>
            <w:r>
              <w:rPr>
                <w:b/>
                <w:sz w:val="16"/>
                <w:lang w:val="en-GB" w:eastAsia="en-GB" w:bidi="en-GB"/>
              </w:rPr>
              <w:t>rL/rI</w:t>
            </w:r>
          </w:p>
        </w:tc>
        <w:tc>
          <w:tcPr>
            <w:tcW w:type="dxa" w:w="811"/>
            <w:shd w:fill="F2F4F7"/>
            <w:vAlign w:val="center"/>
            <w:tcMar>
              <w:top w:w="80" w:type="dxa"/>
              <w:start w:w="120" w:type="dxa"/>
              <w:bottom w:w="80" w:type="dxa"/>
              <w:end w:w="120" w:type="dxa"/>
            </w:tcMar>
          </w:tcPr>
          <w:p>
            <w:r>
              <w:rPr>
                <w:b/>
                <w:sz w:val="16"/>
                <w:lang w:val="en-GB" w:eastAsia="en-GB" w:bidi="en-GB"/>
              </w:rPr>
              <w:t>Residual</w:t>
            </w:r>
          </w:p>
        </w:tc>
        <w:tc>
          <w:tcPr>
            <w:tcW w:type="dxa" w:w="1445"/>
            <w:shd w:fill="F2F4F7"/>
            <w:vAlign w:val="center"/>
            <w:tcMar>
              <w:top w:w="80" w:type="dxa"/>
              <w:start w:w="120" w:type="dxa"/>
              <w:bottom w:w="80" w:type="dxa"/>
              <w:end w:w="120" w:type="dxa"/>
            </w:tcMar>
          </w:tcPr>
          <w:p>
            <w:r>
              <w:rPr>
                <w:b/>
                <w:sz w:val="16"/>
                <w:lang w:val="en-GB" w:eastAsia="en-GB" w:bidi="en-GB"/>
              </w:rPr>
              <w:t>Treatment</w:t>
            </w:r>
          </w:p>
        </w:tc>
        <w:tc>
          <w:tcPr>
            <w:tcW w:type="dxa" w:w="1209"/>
            <w:shd w:fill="F2F4F7"/>
            <w:vAlign w:val="center"/>
            <w:tcMar>
              <w:top w:w="80" w:type="dxa"/>
              <w:start w:w="120" w:type="dxa"/>
              <w:bottom w:w="80" w:type="dxa"/>
              <w:end w:w="120" w:type="dxa"/>
            </w:tcMar>
          </w:tcPr>
          <w:p>
            <w:r>
              <w:rPr>
                <w:b/>
                <w:sz w:val="16"/>
                <w:lang w:val="en-GB" w:eastAsia="en-GB" w:bidi="en-GB"/>
              </w:rPr>
              <w:t>Owner</w:t>
            </w:r>
          </w:p>
        </w:tc>
      </w:tr>
      <w:tr>
        <w:trPr>
          <w:cantSplit/>
        </w:trPr>
        <w:tc>
          <w:tcPr>
            <w:tcW w:type="dxa" w:w="792"/>
            <w:vAlign w:val="center"/>
            <w:tcMar>
              <w:top w:w="80" w:type="dxa"/>
              <w:start w:w="120" w:type="dxa"/>
              <w:bottom w:w="80" w:type="dxa"/>
              <w:end w:w="120" w:type="dxa"/>
            </w:tcMar>
          </w:tcPr>
          <w:p>
            <w:r>
              <w:rPr>
                <w:sz w:val="16"/>
                <w:lang w:val="en-GB" w:eastAsia="en-GB" w:bidi="en-GB"/>
              </w:rPr>
              <w:t>F-001</w:t>
            </w:r>
          </w:p>
        </w:tc>
        <w:tc>
          <w:tcPr>
            <w:tcW w:type="dxa" w:w="1445"/>
            <w:vAlign w:val="center"/>
            <w:tcMar>
              <w:top w:w="80" w:type="dxa"/>
              <w:start w:w="120" w:type="dxa"/>
              <w:bottom w:w="80" w:type="dxa"/>
              <w:end w:w="120" w:type="dxa"/>
            </w:tcMar>
          </w:tcPr>
          <w:p>
            <w:r>
              <w:rPr>
                <w:sz w:val="16"/>
                <w:lang w:val="en-GB" w:eastAsia="en-GB" w:bidi="en-GB"/>
              </w:rPr>
              <w:t>Current Jackson runtime dependencies carry multiple fixed advisories</w:t>
            </w:r>
          </w:p>
        </w:tc>
        <w:tc>
          <w:tcPr>
            <w:tcW w:type="dxa" w:w="1263"/>
            <w:vAlign w:val="center"/>
            <w:tcMar>
              <w:top w:w="80" w:type="dxa"/>
              <w:start w:w="120" w:type="dxa"/>
              <w:bottom w:w="80" w:type="dxa"/>
              <w:end w:w="120" w:type="dxa"/>
            </w:tcMar>
          </w:tcPr>
          <w:p>
            <w:r>
              <w:rPr>
                <w:sz w:val="16"/>
                <w:lang w:val="en-GB" w:eastAsia="en-GB" w:bidi="en-GB"/>
              </w:rPr>
              <w:t>MCP JSON parsing and shaded runtime dependency boundary</w:t>
            </w:r>
          </w:p>
        </w:tc>
        <w:tc>
          <w:tcPr>
            <w:tcW w:type="dxa" w:w="792"/>
            <w:vAlign w:val="center"/>
            <w:tcMar>
              <w:top w:w="80" w:type="dxa"/>
              <w:start w:w="120" w:type="dxa"/>
              <w:bottom w:w="80" w:type="dxa"/>
              <w:end w:w="120" w:type="dxa"/>
            </w:tcMar>
          </w:tcPr>
          <w:p>
            <w:r>
              <w:rPr>
                <w:sz w:val="16"/>
                <w:lang w:val="en-GB" w:eastAsia="en-GB" w:bidi="en-GB"/>
              </w:rPr>
              <w:t>3/5</w:t>
            </w:r>
          </w:p>
        </w:tc>
        <w:tc>
          <w:tcPr>
            <w:tcW w:type="dxa" w:w="811"/>
            <w:vAlign w:val="center"/>
            <w:tcMar>
              <w:top w:w="80" w:type="dxa"/>
              <w:start w:w="120" w:type="dxa"/>
              <w:bottom w:w="80" w:type="dxa"/>
              <w:end w:w="120" w:type="dxa"/>
            </w:tcMar>
          </w:tcPr>
          <w:p>
            <w:r>
              <w:rPr>
                <w:sz w:val="16"/>
                <w:lang w:val="en-GB" w:eastAsia="en-GB" w:bidi="en-GB"/>
              </w:rPr>
              <w:t>15 High</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1445"/>
            <w:vAlign w:val="center"/>
            <w:tcMar>
              <w:top w:w="80" w:type="dxa"/>
              <w:start w:w="120" w:type="dxa"/>
              <w:bottom w:w="80" w:type="dxa"/>
              <w:end w:w="120" w:type="dxa"/>
            </w:tcMar>
          </w:tcPr>
          <w:p>
            <w:r>
              <w:rPr>
                <w:sz w:val="16"/>
                <w:lang w:val="en-GB" w:eastAsia="en-GB" w:bidi="en-GB"/>
              </w:rPr>
              <w:t>Upgrade Jackson 2 to at least 2.21.4 or the newest compatible fixed line and Jackson 3 to at least 3.1.4 or the newest compatible fixed line. Rebuild, regenerate a signed SBOM, produce VEX/reachability evidence and retest malformed, chunked and oversized MCP input.</w:t>
            </w:r>
          </w:p>
        </w:tc>
        <w:tc>
          <w:tcPr>
            <w:tcW w:type="dxa" w:w="1209"/>
            <w:vAlign w:val="center"/>
            <w:tcMar>
              <w:top w:w="80" w:type="dxa"/>
              <w:start w:w="120" w:type="dxa"/>
              <w:bottom w:w="80" w:type="dxa"/>
              <w:end w:w="120" w:type="dxa"/>
            </w:tcMar>
          </w:tcPr>
          <w:p>
            <w:r>
              <w:rPr>
                <w:sz w:val="16"/>
                <w:lang w:val="en-GB" w:eastAsia="en-GB" w:bidi="en-GB"/>
              </w:rPr>
              <w:t>SonarSource dependency and MCP transport maintainers</w:t>
            </w:r>
          </w:p>
        </w:tc>
      </w:tr>
      <w:tr>
        <w:trPr>
          <w:cantSplit/>
        </w:trPr>
        <w:tc>
          <w:tcPr>
            <w:tcW w:type="dxa" w:w="792"/>
            <w:vAlign w:val="center"/>
            <w:tcMar>
              <w:top w:w="80" w:type="dxa"/>
              <w:start w:w="120" w:type="dxa"/>
              <w:bottom w:w="80" w:type="dxa"/>
              <w:end w:w="120" w:type="dxa"/>
            </w:tcMar>
          </w:tcPr>
          <w:p>
            <w:r>
              <w:rPr>
                <w:sz w:val="16"/>
                <w:lang w:val="en-GB" w:eastAsia="en-GB" w:bidi="en-GB"/>
              </w:rPr>
              <w:t>F-002</w:t>
            </w:r>
          </w:p>
        </w:tc>
        <w:tc>
          <w:tcPr>
            <w:tcW w:type="dxa" w:w="1445"/>
            <w:vAlign w:val="center"/>
            <w:tcMar>
              <w:top w:w="80" w:type="dxa"/>
              <w:start w:w="120" w:type="dxa"/>
              <w:bottom w:w="80" w:type="dxa"/>
              <w:end w:w="120" w:type="dxa"/>
            </w:tcMar>
          </w:tcPr>
          <w:p>
            <w:r>
              <w:rPr>
                <w:sz w:val="16"/>
                <w:lang w:val="en-GB" w:eastAsia="en-GB" w:bidi="en-GB"/>
              </w:rPr>
              <w:t>Analyzer download failure can leave unverified code eligible for in-process loading</w:t>
            </w:r>
          </w:p>
        </w:tc>
        <w:tc>
          <w:tcPr>
            <w:tcW w:type="dxa" w:w="1263"/>
            <w:vAlign w:val="center"/>
            <w:tcMar>
              <w:top w:w="80" w:type="dxa"/>
              <w:start w:w="120" w:type="dxa"/>
              <w:bottom w:w="80" w:type="dxa"/>
              <w:end w:w="120" w:type="dxa"/>
            </w:tcMar>
          </w:tcPr>
          <w:p>
            <w:r>
              <w:rPr>
                <w:sz w:val="16"/>
                <w:lang w:val="en-GB" w:eastAsia="en-GB" w:bidi="en-GB"/>
              </w:rPr>
              <w:t>SonarQube endpoint to analyzer JAR to MCP process</w:t>
            </w:r>
          </w:p>
        </w:tc>
        <w:tc>
          <w:tcPr>
            <w:tcW w:type="dxa" w:w="792"/>
            <w:vAlign w:val="center"/>
            <w:tcMar>
              <w:top w:w="80" w:type="dxa"/>
              <w:start w:w="120" w:type="dxa"/>
              <w:bottom w:w="80" w:type="dxa"/>
              <w:end w:w="120" w:type="dxa"/>
            </w:tcMar>
          </w:tcPr>
          <w:p>
            <w:r>
              <w:rPr>
                <w:sz w:val="16"/>
                <w:lang w:val="en-GB" w:eastAsia="en-GB" w:bidi="en-GB"/>
              </w:rPr>
              <w:t>3/5</w:t>
            </w:r>
          </w:p>
        </w:tc>
        <w:tc>
          <w:tcPr>
            <w:tcW w:type="dxa" w:w="811"/>
            <w:vAlign w:val="center"/>
            <w:tcMar>
              <w:top w:w="80" w:type="dxa"/>
              <w:start w:w="120" w:type="dxa"/>
              <w:bottom w:w="80" w:type="dxa"/>
              <w:end w:w="120" w:type="dxa"/>
            </w:tcMar>
          </w:tcPr>
          <w:p>
            <w:r>
              <w:rPr>
                <w:sz w:val="16"/>
                <w:lang w:val="en-GB" w:eastAsia="en-GB" w:bidi="en-GB"/>
              </w:rPr>
              <w:t>15 High</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1445"/>
            <w:vAlign w:val="center"/>
            <w:tcMar>
              <w:top w:w="80" w:type="dxa"/>
              <w:start w:w="120" w:type="dxa"/>
              <w:bottom w:w="80" w:type="dxa"/>
              <w:end w:w="120" w:type="dxa"/>
            </w:tcMar>
          </w:tcPr>
          <w:p>
            <w:r>
              <w:rPr>
                <w:sz w:val="16"/>
                <w:lang w:val="en-GB" w:eastAsia="en-GB" w:bidi="en-GB"/>
              </w:rPr>
              <w:t>Validate a non-empty strong digest before download, write to a securely created temporary file, verify an independently authenticated SHA-256 or vendor signature, then atomically move. Delete and exclude every failed artifact and require HTTPS plus approved endpoint allowlists.</w:t>
            </w:r>
          </w:p>
        </w:tc>
        <w:tc>
          <w:tcPr>
            <w:tcW w:type="dxa" w:w="1209"/>
            <w:vAlign w:val="center"/>
            <w:tcMar>
              <w:top w:w="80" w:type="dxa"/>
              <w:start w:w="120" w:type="dxa"/>
              <w:bottom w:w="80" w:type="dxa"/>
              <w:end w:w="120" w:type="dxa"/>
            </w:tcMar>
          </w:tcPr>
          <w:p>
            <w:r>
              <w:rPr>
                <w:sz w:val="16"/>
                <w:lang w:val="en-GB" w:eastAsia="en-GB" w:bidi="en-GB"/>
              </w:rPr>
              <w:t>SonarSource analyzer and platform security maintainers</w:t>
            </w:r>
          </w:p>
        </w:tc>
      </w:tr>
      <w:tr>
        <w:trPr>
          <w:cantSplit/>
        </w:trPr>
        <w:tc>
          <w:tcPr>
            <w:tcW w:type="dxa" w:w="792"/>
            <w:vAlign w:val="center"/>
            <w:tcMar>
              <w:top w:w="80" w:type="dxa"/>
              <w:start w:w="120" w:type="dxa"/>
              <w:bottom w:w="80" w:type="dxa"/>
              <w:end w:w="120" w:type="dxa"/>
            </w:tcMar>
          </w:tcPr>
          <w:p>
            <w:r>
              <w:rPr>
                <w:sz w:val="16"/>
                <w:lang w:val="en-GB" w:eastAsia="en-GB" w:bidi="en-GB"/>
              </w:rPr>
              <w:t>F-003</w:t>
            </w:r>
          </w:p>
        </w:tc>
        <w:tc>
          <w:tcPr>
            <w:tcW w:type="dxa" w:w="1445"/>
            <w:vAlign w:val="center"/>
            <w:tcMar>
              <w:top w:w="80" w:type="dxa"/>
              <w:start w:w="120" w:type="dxa"/>
              <w:bottom w:w="80" w:type="dxa"/>
              <w:end w:w="120" w:type="dxa"/>
            </w:tcMar>
          </w:tcPr>
          <w:p>
            <w:r>
              <w:rPr>
                <w:sz w:val="16"/>
                <w:lang w:val="en-GB" w:eastAsia="en-GB" w:bidi="en-GB"/>
              </w:rPr>
              <w:t>CAG subprocess inherits the full parent environment despite an allowlist</w:t>
            </w:r>
          </w:p>
        </w:tc>
        <w:tc>
          <w:tcPr>
            <w:tcW w:type="dxa" w:w="1263"/>
            <w:vAlign w:val="center"/>
            <w:tcMar>
              <w:top w:w="80" w:type="dxa"/>
              <w:start w:w="120" w:type="dxa"/>
              <w:bottom w:w="80" w:type="dxa"/>
              <w:end w:w="120" w:type="dxa"/>
            </w:tcMar>
          </w:tcPr>
          <w:p>
            <w:r>
              <w:rPr>
                <w:sz w:val="16"/>
                <w:lang w:val="en-GB" w:eastAsia="en-GB" w:bidi="en-GB"/>
              </w:rPr>
              <w:t>MCP server to native CAG child-process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Clear ProcessBuilder.environment before adding an explicit minimum set, restore only necessary PATH/locale/runtime values, use an absolute verified executable and provide a purpose-limited token. Run CAG in a separate constrained process or container with read-only source where feasible.</w:t>
            </w:r>
          </w:p>
        </w:tc>
        <w:tc>
          <w:tcPr>
            <w:tcW w:type="dxa" w:w="1209"/>
            <w:vAlign w:val="center"/>
            <w:tcMar>
              <w:top w:w="80" w:type="dxa"/>
              <w:start w:w="120" w:type="dxa"/>
              <w:bottom w:w="80" w:type="dxa"/>
              <w:end w:w="120" w:type="dxa"/>
            </w:tcMar>
          </w:tcPr>
          <w:p>
            <w:r>
              <w:rPr>
                <w:sz w:val="16"/>
                <w:lang w:val="en-GB" w:eastAsia="en-GB" w:bidi="en-GB"/>
              </w:rPr>
              <w:t>SonarSource CAG and MCP runtime maintainers</w:t>
            </w:r>
          </w:p>
        </w:tc>
      </w:tr>
      <w:tr>
        <w:trPr>
          <w:cantSplit/>
        </w:trPr>
        <w:tc>
          <w:tcPr>
            <w:tcW w:type="dxa" w:w="792"/>
            <w:vAlign w:val="center"/>
            <w:tcMar>
              <w:top w:w="80" w:type="dxa"/>
              <w:start w:w="120" w:type="dxa"/>
              <w:bottom w:w="80" w:type="dxa"/>
              <w:end w:w="120" w:type="dxa"/>
            </w:tcMar>
          </w:tcPr>
          <w:p>
            <w:r>
              <w:rPr>
                <w:sz w:val="16"/>
                <w:lang w:val="en-GB" w:eastAsia="en-GB" w:bidi="en-GB"/>
              </w:rPr>
              <w:t>F-004</w:t>
            </w:r>
          </w:p>
        </w:tc>
        <w:tc>
          <w:tcPr>
            <w:tcW w:type="dxa" w:w="1445"/>
            <w:vAlign w:val="center"/>
            <w:tcMar>
              <w:top w:w="80" w:type="dxa"/>
              <w:start w:w="120" w:type="dxa"/>
              <w:bottom w:w="80" w:type="dxa"/>
              <w:end w:w="120" w:type="dxa"/>
            </w:tcMar>
          </w:tcPr>
          <w:p>
            <w:r>
              <w:rPr>
                <w:sz w:val="16"/>
                <w:lang w:val="en-GB" w:eastAsia="en-GB" w:bidi="en-GB"/>
              </w:rPr>
              <w:t>Native CAG and container build inputs are not independently authenticated</w:t>
            </w:r>
          </w:p>
        </w:tc>
        <w:tc>
          <w:tcPr>
            <w:tcW w:type="dxa" w:w="1263"/>
            <w:vAlign w:val="center"/>
            <w:tcMar>
              <w:top w:w="80" w:type="dxa"/>
              <w:start w:w="120" w:type="dxa"/>
              <w:bottom w:w="80" w:type="dxa"/>
              <w:end w:w="120" w:type="dxa"/>
            </w:tcMar>
          </w:tcPr>
          <w:p>
            <w:r>
              <w:rPr>
                <w:sz w:val="16"/>
                <w:lang w:val="en-GB" w:eastAsia="en-GB" w:bidi="en-GB"/>
              </w:rPr>
              <w:t>Release build, OCI provenance and native executable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Publish and verify per-architecture SHA-256 plus signatures, pin every base image by digest, use checksum-verified acquisition, build once, test by manifest digest, promote that digest and publish verifiable signed provenance and SBOM attestations.</w:t>
            </w:r>
          </w:p>
        </w:tc>
        <w:tc>
          <w:tcPr>
            <w:tcW w:type="dxa" w:w="1209"/>
            <w:vAlign w:val="center"/>
            <w:tcMar>
              <w:top w:w="80" w:type="dxa"/>
              <w:start w:w="120" w:type="dxa"/>
              <w:bottom w:w="80" w:type="dxa"/>
              <w:end w:w="120" w:type="dxa"/>
            </w:tcMar>
          </w:tcPr>
          <w:p>
            <w:r>
              <w:rPr>
                <w:sz w:val="16"/>
                <w:lang w:val="en-GB" w:eastAsia="en-GB" w:bidi="en-GB"/>
              </w:rPr>
              <w:t>SonarSource release engineering and product security</w:t>
            </w:r>
          </w:p>
        </w:tc>
      </w:tr>
      <w:tr>
        <w:trPr>
          <w:cantSplit/>
        </w:trPr>
        <w:tc>
          <w:tcPr>
            <w:tcW w:type="dxa" w:w="792"/>
            <w:vAlign w:val="center"/>
            <w:tcMar>
              <w:top w:w="80" w:type="dxa"/>
              <w:start w:w="120" w:type="dxa"/>
              <w:bottom w:w="80" w:type="dxa"/>
              <w:end w:w="120" w:type="dxa"/>
            </w:tcMar>
          </w:tcPr>
          <w:p>
            <w:r>
              <w:rPr>
                <w:sz w:val="16"/>
                <w:lang w:val="en-GB" w:eastAsia="en-GB" w:bidi="en-GB"/>
              </w:rPr>
              <w:t>F-005</w:t>
            </w:r>
          </w:p>
        </w:tc>
        <w:tc>
          <w:tcPr>
            <w:tcW w:type="dxa" w:w="1445"/>
            <w:vAlign w:val="center"/>
            <w:tcMar>
              <w:top w:w="80" w:type="dxa"/>
              <w:start w:w="120" w:type="dxa"/>
              <w:bottom w:w="80" w:type="dxa"/>
              <w:end w:w="120" w:type="dxa"/>
            </w:tcMar>
          </w:tcPr>
          <w:p>
            <w:r>
              <w:rPr>
                <w:sz w:val="16"/>
                <w:lang w:val="en-GB" w:eastAsia="en-GB" w:bidi="en-GB"/>
              </w:rPr>
              <w:t>HTTP local analysis shares mutable backend state across request tokens</w:t>
            </w:r>
          </w:p>
        </w:tc>
        <w:tc>
          <w:tcPr>
            <w:tcW w:type="dxa" w:w="1263"/>
            <w:vAlign w:val="center"/>
            <w:tcMar>
              <w:top w:w="80" w:type="dxa"/>
              <w:start w:w="120" w:type="dxa"/>
              <w:bottom w:w="80" w:type="dxa"/>
              <w:end w:w="120" w:type="dxa"/>
            </w:tcMar>
          </w:tcPr>
          <w:p>
            <w:r>
              <w:rPr>
                <w:sz w:val="16"/>
                <w:lang w:val="en-GB" w:eastAsia="en-GB" w:bidi="en-GB"/>
              </w:rPr>
              <w:t>Streamable HTTP multi-user and tenant-isolation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Use per-tenant or per-request backend instances, or serialize the complete configure-add-analyze-remove transaction. Await every configuration and file operation, bind temporary identifiers to a request, add concurrency tests and prohibit multi-tenant exposure until isolation is proven.</w:t>
            </w:r>
          </w:p>
        </w:tc>
        <w:tc>
          <w:tcPr>
            <w:tcW w:type="dxa" w:w="1209"/>
            <w:vAlign w:val="center"/>
            <w:tcMar>
              <w:top w:w="80" w:type="dxa"/>
              <w:start w:w="120" w:type="dxa"/>
              <w:bottom w:w="80" w:type="dxa"/>
              <w:end w:w="120" w:type="dxa"/>
            </w:tcMar>
          </w:tcPr>
          <w:p>
            <w:r>
              <w:rPr>
                <w:sz w:val="16"/>
                <w:lang w:val="en-GB" w:eastAsia="en-GB" w:bidi="en-GB"/>
              </w:rPr>
              <w:t>SonarSource MCP HTTP and analyzer maintainers</w:t>
            </w:r>
          </w:p>
        </w:tc>
      </w:tr>
      <w:tr>
        <w:trPr>
          <w:cantSplit/>
        </w:trPr>
        <w:tc>
          <w:tcPr>
            <w:tcW w:type="dxa" w:w="792"/>
            <w:vAlign w:val="center"/>
            <w:tcMar>
              <w:top w:w="80" w:type="dxa"/>
              <w:start w:w="120" w:type="dxa"/>
              <w:bottom w:w="80" w:type="dxa"/>
              <w:end w:w="120" w:type="dxa"/>
            </w:tcMar>
          </w:tcPr>
          <w:p>
            <w:r>
              <w:rPr>
                <w:sz w:val="16"/>
                <w:lang w:val="en-GB" w:eastAsia="en-GB" w:bidi="en-GB"/>
              </w:rPr>
              <w:t>F-006</w:t>
            </w:r>
          </w:p>
        </w:tc>
        <w:tc>
          <w:tcPr>
            <w:tcW w:type="dxa" w:w="1445"/>
            <w:vAlign w:val="center"/>
            <w:tcMar>
              <w:top w:w="80" w:type="dxa"/>
              <w:start w:w="120" w:type="dxa"/>
              <w:bottom w:w="80" w:type="dxa"/>
              <w:end w:w="120" w:type="dxa"/>
            </w:tcMar>
          </w:tcPr>
          <w:p>
            <w:r>
              <w:rPr>
                <w:sz w:val="16"/>
                <w:lang w:val="en-GB" w:eastAsia="en-GB" w:bidi="en-GB"/>
              </w:rPr>
              <w:t>Default telemetry uses unbounded queued work that can retain token-bearing clients</w:t>
            </w:r>
          </w:p>
        </w:tc>
        <w:tc>
          <w:tcPr>
            <w:tcW w:type="dxa" w:w="1263"/>
            <w:vAlign w:val="center"/>
            <w:tcMar>
              <w:top w:w="80" w:type="dxa"/>
              <w:start w:w="120" w:type="dxa"/>
              <w:bottom w:w="80" w:type="dxa"/>
              <w:end w:w="120" w:type="dxa"/>
            </w:tcMar>
          </w:tcPr>
          <w:p>
            <w:r>
              <w:rPr>
                <w:sz w:val="16"/>
                <w:lang w:val="en-GB" w:eastAsia="en-GB" w:bidi="en-GB"/>
              </w:rPr>
              <w:t>HTTP request, analytics and privacy/resource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Use a bounded/coalescing executor, hard connection and response deadlines, request and analytics rate limits, backpressure and token-free immutable analytics context. Make telemetry opt-in for regulated deployments and document fields, purposes, retention and deletion.</w:t>
            </w:r>
          </w:p>
        </w:tc>
        <w:tc>
          <w:tcPr>
            <w:tcW w:type="dxa" w:w="1209"/>
            <w:vAlign w:val="center"/>
            <w:tcMar>
              <w:top w:w="80" w:type="dxa"/>
              <w:start w:w="120" w:type="dxa"/>
              <w:bottom w:w="80" w:type="dxa"/>
              <w:end w:w="120" w:type="dxa"/>
            </w:tcMar>
          </w:tcPr>
          <w:p>
            <w:r>
              <w:rPr>
                <w:sz w:val="16"/>
                <w:lang w:val="en-GB" w:eastAsia="en-GB" w:bidi="en-GB"/>
              </w:rPr>
              <w:t>SonarSource telemetry, HTTP and privacy owners</w:t>
            </w:r>
          </w:p>
        </w:tc>
      </w:tr>
      <w:tr>
        <w:trPr>
          <w:cantSplit/>
        </w:trPr>
        <w:tc>
          <w:tcPr>
            <w:tcW w:type="dxa" w:w="792"/>
            <w:vAlign w:val="center"/>
            <w:tcMar>
              <w:top w:w="80" w:type="dxa"/>
              <w:start w:w="120" w:type="dxa"/>
              <w:bottom w:w="80" w:type="dxa"/>
              <w:end w:w="120" w:type="dxa"/>
            </w:tcMar>
          </w:tcPr>
          <w:p>
            <w:r>
              <w:rPr>
                <w:sz w:val="16"/>
                <w:lang w:val="en-GB" w:eastAsia="en-GB" w:bidi="en-GB"/>
              </w:rPr>
              <w:t>F-007</w:t>
            </w:r>
          </w:p>
        </w:tc>
        <w:tc>
          <w:tcPr>
            <w:tcW w:type="dxa" w:w="1445"/>
            <w:vAlign w:val="center"/>
            <w:tcMar>
              <w:top w:w="80" w:type="dxa"/>
              <w:start w:w="120" w:type="dxa"/>
              <w:bottom w:w="80" w:type="dxa"/>
              <w:end w:w="120" w:type="dxa"/>
            </w:tcMar>
          </w:tcPr>
          <w:p>
            <w:r>
              <w:rPr>
                <w:sz w:val="16"/>
                <w:lang w:val="en-GB" w:eastAsia="en-GB" w:bidi="en-GB"/>
              </w:rPr>
              <w:t>Local HTTP origin protection can be bypassed before token validity is established</w:t>
            </w:r>
          </w:p>
        </w:tc>
        <w:tc>
          <w:tcPr>
            <w:tcW w:type="dxa" w:w="1263"/>
            <w:vAlign w:val="center"/>
            <w:tcMar>
              <w:top w:w="80" w:type="dxa"/>
              <w:start w:w="120" w:type="dxa"/>
              <w:bottom w:w="80" w:type="dxa"/>
              <w:end w:w="120" w:type="dxa"/>
            </w:tcMar>
          </w:tcPr>
          <w:p>
            <w:r>
              <w:rPr>
                <w:sz w:val="16"/>
                <w:lang w:val="en-GB" w:eastAsia="en-GB" w:bidi="en-GB"/>
              </w:rPr>
              <w:t>Browser-origin, authentication and local-work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2/4</w:t>
            </w:r>
          </w:p>
        </w:tc>
        <w:tc>
          <w:tcPr>
            <w:tcW w:type="dxa" w:w="811"/>
            <w:vAlign w:val="center"/>
            <w:tcMar>
              <w:top w:w="80" w:type="dxa"/>
              <w:start w:w="120" w:type="dxa"/>
              <w:bottom w:w="80" w:type="dxa"/>
              <w:end w:w="120" w:type="dxa"/>
            </w:tcMar>
          </w:tcPr>
          <w:p>
            <w:r>
              <w:rPr>
                <w:sz w:val="16"/>
                <w:lang w:val="en-GB" w:eastAsia="en-GB" w:bidi="en-GB"/>
              </w:rPr>
              <w:t>8 Moderate</w:t>
            </w:r>
          </w:p>
        </w:tc>
        <w:tc>
          <w:tcPr>
            <w:tcW w:type="dxa" w:w="1445"/>
            <w:vAlign w:val="center"/>
            <w:tcMar>
              <w:top w:w="80" w:type="dxa"/>
              <w:start w:w="120" w:type="dxa"/>
              <w:bottom w:w="80" w:type="dxa"/>
              <w:end w:w="120" w:type="dxa"/>
            </w:tcMar>
          </w:tcPr>
          <w:p>
            <w:r>
              <w:rPr>
                <w:sz w:val="16"/>
                <w:lang w:val="en-GB" w:eastAsia="en-GB" w:bidi="en-GB"/>
              </w:rPr>
              <w:t>Enforce exact Origin and Host regardless of token presence, restrict OAuth bootstrap paths, validate or introspect authentication before local effects, require regular files, enforce byte/time bounds and rate limits, and keep HTTP bound to an approved interface behind authenticated ingress.</w:t>
            </w:r>
          </w:p>
        </w:tc>
        <w:tc>
          <w:tcPr>
            <w:tcW w:type="dxa" w:w="1209"/>
            <w:vAlign w:val="center"/>
            <w:tcMar>
              <w:top w:w="80" w:type="dxa"/>
              <w:start w:w="120" w:type="dxa"/>
              <w:bottom w:w="80" w:type="dxa"/>
              <w:end w:w="120" w:type="dxa"/>
            </w:tcMar>
          </w:tcPr>
          <w:p>
            <w:r>
              <w:rPr>
                <w:sz w:val="16"/>
                <w:lang w:val="en-GB" w:eastAsia="en-GB" w:bidi="en-GB"/>
              </w:rPr>
              <w:t>SonarSource MCP HTTP security maintainers</w:t>
            </w:r>
          </w:p>
        </w:tc>
      </w:tr>
      <w:tr>
        <w:trPr>
          <w:cantSplit/>
        </w:trPr>
        <w:tc>
          <w:tcPr>
            <w:tcW w:type="dxa" w:w="792"/>
            <w:vAlign w:val="center"/>
            <w:tcMar>
              <w:top w:w="80" w:type="dxa"/>
              <w:start w:w="120" w:type="dxa"/>
              <w:bottom w:w="80" w:type="dxa"/>
              <w:end w:w="120" w:type="dxa"/>
            </w:tcMar>
          </w:tcPr>
          <w:p>
            <w:r>
              <w:rPr>
                <w:sz w:val="16"/>
                <w:lang w:val="en-GB" w:eastAsia="en-GB" w:bidi="en-GB"/>
              </w:rPr>
              <w:t>F-008</w:t>
            </w:r>
          </w:p>
        </w:tc>
        <w:tc>
          <w:tcPr>
            <w:tcW w:type="dxa" w:w="1445"/>
            <w:vAlign w:val="center"/>
            <w:tcMar>
              <w:top w:w="80" w:type="dxa"/>
              <w:start w:w="120" w:type="dxa"/>
              <w:bottom w:w="80" w:type="dxa"/>
              <w:end w:w="120" w:type="dxa"/>
            </w:tcMar>
          </w:tcPr>
          <w:p>
            <w:r>
              <w:rPr>
                <w:sz w:val="16"/>
                <w:lang w:val="en-GB" w:eastAsia="en-GB" w:bidi="en-GB"/>
              </w:rPr>
              <w:t>Mutating tools are marked non-destructive and read-write mode is the default</w:t>
            </w:r>
          </w:p>
        </w:tc>
        <w:tc>
          <w:tcPr>
            <w:tcW w:type="dxa" w:w="1263"/>
            <w:vAlign w:val="center"/>
            <w:tcMar>
              <w:top w:w="80" w:type="dxa"/>
              <w:start w:w="120" w:type="dxa"/>
              <w:bottom w:w="80" w:type="dxa"/>
              <w:end w:w="120" w:type="dxa"/>
            </w:tcMar>
          </w:tcPr>
          <w:p>
            <w:r>
              <w:rPr>
                <w:sz w:val="16"/>
                <w:lang w:val="en-GB" w:eastAsia="en-GB" w:bidi="en-GB"/>
              </w:rPr>
              <w:t>MCP tool metadata, consent and SonarQube governance state</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Mark each mutation destructive and accurately idempotent, add per-tool confirmation guidance, align documentation and code defaults, default enterprise examples to server-level read-only, and require explicit approved profiles for security-governance writes.</w:t>
            </w:r>
          </w:p>
        </w:tc>
        <w:tc>
          <w:tcPr>
            <w:tcW w:type="dxa" w:w="1209"/>
            <w:vAlign w:val="center"/>
            <w:tcMar>
              <w:top w:w="80" w:type="dxa"/>
              <w:start w:w="120" w:type="dxa"/>
              <w:bottom w:w="80" w:type="dxa"/>
              <w:end w:w="120" w:type="dxa"/>
            </w:tcMar>
          </w:tcPr>
          <w:p>
            <w:r>
              <w:rPr>
                <w:sz w:val="16"/>
                <w:lang w:val="en-GB" w:eastAsia="en-GB" w:bidi="en-GB"/>
              </w:rPr>
              <w:t>SonarSource MCP product and tool maintainers</w:t>
            </w:r>
          </w:p>
        </w:tc>
      </w:tr>
      <w:tr>
        <w:trPr>
          <w:cantSplit/>
        </w:trPr>
        <w:tc>
          <w:tcPr>
            <w:tcW w:type="dxa" w:w="792"/>
            <w:vAlign w:val="center"/>
            <w:tcMar>
              <w:top w:w="80" w:type="dxa"/>
              <w:start w:w="120" w:type="dxa"/>
              <w:bottom w:w="80" w:type="dxa"/>
              <w:end w:w="120" w:type="dxa"/>
            </w:tcMar>
          </w:tcPr>
          <w:p>
            <w:r>
              <w:rPr>
                <w:sz w:val="16"/>
                <w:lang w:val="en-GB" w:eastAsia="en-GB" w:bidi="en-GB"/>
              </w:rPr>
              <w:t>F-009</w:t>
            </w:r>
          </w:p>
        </w:tc>
        <w:tc>
          <w:tcPr>
            <w:tcW w:type="dxa" w:w="1445"/>
            <w:vAlign w:val="center"/>
            <w:tcMar>
              <w:top w:w="80" w:type="dxa"/>
              <w:start w:w="120" w:type="dxa"/>
              <w:bottom w:w="80" w:type="dxa"/>
              <w:end w:w="120" w:type="dxa"/>
            </w:tcMar>
          </w:tcPr>
          <w:p>
            <w:r>
              <w:rPr>
                <w:sz w:val="16"/>
                <w:lang w:val="en-GB" w:eastAsia="en-GB" w:bidi="en-GB"/>
              </w:rPr>
              <w:t>First-party distribution guidance permits mutable and version-skewed acquisition</w:t>
            </w:r>
          </w:p>
        </w:tc>
        <w:tc>
          <w:tcPr>
            <w:tcW w:type="dxa" w:w="1263"/>
            <w:vAlign w:val="center"/>
            <w:tcMar>
              <w:top w:w="80" w:type="dxa"/>
              <w:start w:w="120" w:type="dxa"/>
              <w:bottom w:w="80" w:type="dxa"/>
              <w:end w:w="120" w:type="dxa"/>
            </w:tcMar>
          </w:tcPr>
          <w:p>
            <w:r>
              <w:rPr>
                <w:sz w:val="16"/>
                <w:lang w:val="en-GB" w:eastAsia="en-GB" w:bidi="en-GB"/>
              </w:rPr>
              <w:t>VS Code installation, MCP Registry and update provenance</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Use the direct SonarSource repository pinned by manifest digest, document the mcp/sonarqube relationship or remove it from first-party guidance, separate update approval from startup, verify provenance before digest changes and synchronise release, server.json and registry metadata.</w:t>
            </w:r>
          </w:p>
        </w:tc>
        <w:tc>
          <w:tcPr>
            <w:tcW w:type="dxa" w:w="1209"/>
            <w:vAlign w:val="center"/>
            <w:tcMar>
              <w:top w:w="80" w:type="dxa"/>
              <w:start w:w="120" w:type="dxa"/>
              <w:bottom w:w="80" w:type="dxa"/>
              <w:end w:w="120" w:type="dxa"/>
            </w:tcMar>
          </w:tcPr>
          <w:p>
            <w:r>
              <w:rPr>
                <w:sz w:val="16"/>
                <w:lang w:val="en-GB" w:eastAsia="en-GB" w:bidi="en-GB"/>
              </w:rPr>
              <w:t>SonarSource product, documentation and release owners</w:t>
            </w:r>
          </w:p>
        </w:tc>
      </w:tr>
      <w:tr>
        <w:trPr>
          <w:cantSplit/>
        </w:trPr>
        <w:tc>
          <w:tcPr>
            <w:tcW w:type="dxa" w:w="792"/>
            <w:vAlign w:val="center"/>
            <w:tcMar>
              <w:top w:w="80" w:type="dxa"/>
              <w:start w:w="120" w:type="dxa"/>
              <w:bottom w:w="80" w:type="dxa"/>
              <w:end w:w="120" w:type="dxa"/>
            </w:tcMar>
          </w:tcPr>
          <w:p>
            <w:r>
              <w:rPr>
                <w:sz w:val="16"/>
                <w:lang w:val="en-GB" w:eastAsia="en-GB" w:bidi="en-GB"/>
              </w:rPr>
              <w:t>F-010</w:t>
            </w:r>
          </w:p>
        </w:tc>
        <w:tc>
          <w:tcPr>
            <w:tcW w:type="dxa" w:w="1445"/>
            <w:vAlign w:val="center"/>
            <w:tcMar>
              <w:top w:w="80" w:type="dxa"/>
              <w:start w:w="120" w:type="dxa"/>
              <w:bottom w:w="80" w:type="dxa"/>
              <w:end w:w="120" w:type="dxa"/>
            </w:tcMar>
          </w:tcPr>
          <w:p>
            <w:r>
              <w:rPr>
                <w:sz w:val="16"/>
                <w:lang w:val="en-GB" w:eastAsia="en-GB" w:bidi="en-GB"/>
              </w:rPr>
              <w:t>The server reports ready despite local backend initialization failure and shuts down noisily</w:t>
            </w:r>
          </w:p>
        </w:tc>
        <w:tc>
          <w:tcPr>
            <w:tcW w:type="dxa" w:w="1263"/>
            <w:vAlign w:val="center"/>
            <w:tcMar>
              <w:top w:w="80" w:type="dxa"/>
              <w:start w:w="120" w:type="dxa"/>
              <w:bottom w:w="80" w:type="dxa"/>
              <w:end w:w="120" w:type="dxa"/>
            </w:tcMar>
          </w:tcPr>
          <w:p>
            <w:r>
              <w:rPr>
                <w:sz w:val="16"/>
                <w:lang w:val="en-GB" w:eastAsia="en-GB" w:bidi="en-GB"/>
              </w:rPr>
              <w:t>Runtime health, readiness and graceful termination</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792"/>
            <w:vAlign w:val="center"/>
            <w:tcMar>
              <w:top w:w="80" w:type="dxa"/>
              <w:start w:w="120" w:type="dxa"/>
              <w:bottom w:w="80" w:type="dxa"/>
              <w:end w:w="120" w:type="dxa"/>
            </w:tcMar>
          </w:tcPr>
          <w:p>
            <w:r>
              <w:rPr>
                <w:sz w:val="16"/>
                <w:lang w:val="en-GB" w:eastAsia="en-GB" w:bidi="en-GB"/>
              </w:rPr>
              <w:t>2/3</w:t>
            </w:r>
          </w:p>
        </w:tc>
        <w:tc>
          <w:tcPr>
            <w:tcW w:type="dxa" w:w="811"/>
            <w:vAlign w:val="center"/>
            <w:tcMar>
              <w:top w:w="80" w:type="dxa"/>
              <w:start w:w="120" w:type="dxa"/>
              <w:bottom w:w="80" w:type="dxa"/>
              <w:end w:w="120" w:type="dxa"/>
            </w:tcMar>
          </w:tcPr>
          <w:p>
            <w:r>
              <w:rPr>
                <w:sz w:val="16"/>
                <w:lang w:val="en-GB" w:eastAsia="en-GB" w:bidi="en-GB"/>
              </w:rPr>
              <w:t>6 Moderate</w:t>
            </w:r>
          </w:p>
        </w:tc>
        <w:tc>
          <w:tcPr>
            <w:tcW w:type="dxa" w:w="1445"/>
            <w:vAlign w:val="center"/>
            <w:tcMar>
              <w:top w:w="80" w:type="dxa"/>
              <w:start w:w="120" w:type="dxa"/>
              <w:bottom w:w="80" w:type="dxa"/>
              <w:end w:w="120" w:type="dxa"/>
            </w:tcMar>
          </w:tcPr>
          <w:p>
            <w:r>
              <w:rPr>
                <w:sz w:val="16"/>
                <w:lang w:val="en-GB" w:eastAsia="en-GB" w:bidi="en-GB"/>
              </w:rPr>
              <w:t>Expose dependency-aware readiness separately from liveness, fail or explicitly degrade capabilities when backend initialization fails, prevent affected tools from listing, make shutdown idempotent and test signals, EOF, cancellation and partial initialization.</w:t>
            </w:r>
          </w:p>
        </w:tc>
        <w:tc>
          <w:tcPr>
            <w:tcW w:type="dxa" w:w="1209"/>
            <w:vAlign w:val="center"/>
            <w:tcMar>
              <w:top w:w="80" w:type="dxa"/>
              <w:start w:w="120" w:type="dxa"/>
              <w:bottom w:w="80" w:type="dxa"/>
              <w:end w:w="120" w:type="dxa"/>
            </w:tcMar>
          </w:tcPr>
          <w:p>
            <w:r>
              <w:rPr>
                <w:sz w:val="16"/>
                <w:lang w:val="en-GB" w:eastAsia="en-GB" w:bidi="en-GB"/>
              </w:rPr>
              <w:t>SonarSource runtime and operations maintainers</w:t>
            </w:r>
          </w:p>
        </w:tc>
      </w:tr>
    </w:tbl>
    <w:p>
      <w:pPr>
        <w:widowControl/>
      </w:pPr>
    </w:p>
    <w:p>
      <w:pPr>
        <w:pStyle w:val="Heading1"/>
        <w:keepNext/>
        <w:pageBreakBefore/>
        <w:widowControl/>
      </w:pPr>
      <w:r>
        <w:rPr>
          <w:lang w:val="en-GB" w:eastAsia="en-GB" w:bidi="en-GB"/>
        </w:rPr>
        <w:t>Evidence Register</w:t>
      </w:r>
    </w:p>
    <w:p>
      <w:pPr>
        <w:pStyle w:val="Caption"/>
        <w:keepLines/>
        <w:widowControl/>
      </w:pPr>
      <w:r>
        <w:rPr>
          <w:b/>
          <w:lang w:val="en-GB" w:eastAsia="en-GB" w:bidi="en-GB"/>
        </w:rPr>
        <w:t>Evidence register</w:t>
      </w:r>
    </w:p>
    <w:tbl>
      <w:tblPr>
        <w:tblStyle w:val="TableGrid"/>
        <w:tblW w:type="dxa" w:w="9360"/>
        <w:tblLayout w:type="fixed"/>
        <w:tblLook w:firstColumn="1" w:firstRow="1" w:lastColumn="0" w:lastRow="0" w:noHBand="0" w:noVBand="1" w:val="04A0"/>
        <w:tblInd w:w="120" w:type="dxa"/>
      </w:tblPr>
      <w:tblGrid>
        <w:gridCol w:w="974"/>
        <w:gridCol w:w="1438"/>
        <w:gridCol w:w="1916"/>
        <w:gridCol w:w="1916"/>
        <w:gridCol w:w="1200"/>
        <w:gridCol w:w="1916"/>
      </w:tblGrid>
      <w:tr>
        <w:trPr>
          <w:tblHeader w:val="true"/>
          <w:cantSplit/>
        </w:trPr>
        <w:tc>
          <w:tcPr>
            <w:tcW w:type="dxa" w:w="974"/>
            <w:shd w:fill="F2F4F7"/>
            <w:vAlign w:val="center"/>
            <w:tcMar>
              <w:top w:w="80" w:type="dxa"/>
              <w:start w:w="120" w:type="dxa"/>
              <w:bottom w:w="80" w:type="dxa"/>
              <w:end w:w="120" w:type="dxa"/>
            </w:tcMar>
          </w:tcPr>
          <w:p>
            <w:r>
              <w:rPr>
                <w:b/>
                <w:sz w:val="16"/>
                <w:lang w:val="en-GB" w:eastAsia="en-GB" w:bidi="en-GB"/>
              </w:rPr>
              <w:t>ID</w:t>
            </w:r>
          </w:p>
        </w:tc>
        <w:tc>
          <w:tcPr>
            <w:tcW w:type="dxa" w:w="1438"/>
            <w:shd w:fill="F2F4F7"/>
            <w:vAlign w:val="center"/>
            <w:tcMar>
              <w:top w:w="80" w:type="dxa"/>
              <w:start w:w="120" w:type="dxa"/>
              <w:bottom w:w="80" w:type="dxa"/>
              <w:end w:w="120" w:type="dxa"/>
            </w:tcMar>
          </w:tcPr>
          <w:p>
            <w:r>
              <w:rPr>
                <w:b/>
                <w:sz w:val="16"/>
                <w:lang w:val="en-GB" w:eastAsia="en-GB" w:bidi="en-GB"/>
              </w:rPr>
              <w:t>Evidence</w:t>
            </w:r>
          </w:p>
        </w:tc>
        <w:tc>
          <w:tcPr>
            <w:tcW w:type="dxa" w:w="1916"/>
            <w:shd w:fill="F2F4F7"/>
            <w:vAlign w:val="center"/>
            <w:tcMar>
              <w:top w:w="80" w:type="dxa"/>
              <w:start w:w="120" w:type="dxa"/>
              <w:bottom w:w="80" w:type="dxa"/>
              <w:end w:w="120" w:type="dxa"/>
            </w:tcMar>
          </w:tcPr>
          <w:p>
            <w:r>
              <w:rPr>
                <w:b/>
                <w:sz w:val="16"/>
                <w:lang w:val="en-GB" w:eastAsia="en-GB" w:bidi="en-GB"/>
              </w:rPr>
              <w:t>Source</w:t>
            </w:r>
          </w:p>
        </w:tc>
        <w:tc>
          <w:tcPr>
            <w:tcW w:type="dxa" w:w="1916"/>
            <w:shd w:fill="F2F4F7"/>
            <w:vAlign w:val="center"/>
            <w:tcMar>
              <w:top w:w="80" w:type="dxa"/>
              <w:start w:w="120" w:type="dxa"/>
              <w:bottom w:w="80" w:type="dxa"/>
              <w:end w:w="120" w:type="dxa"/>
            </w:tcMar>
          </w:tcPr>
          <w:p>
            <w:r>
              <w:rPr>
                <w:b/>
                <w:sz w:val="16"/>
                <w:lang w:val="en-GB" w:eastAsia="en-GB" w:bidi="en-GB"/>
              </w:rPr>
              <w:t>Method</w:t>
            </w:r>
          </w:p>
        </w:tc>
        <w:tc>
          <w:tcPr>
            <w:tcW w:type="dxa" w:w="1200"/>
            <w:shd w:fill="F2F4F7"/>
            <w:vAlign w:val="center"/>
            <w:tcMar>
              <w:top w:w="80" w:type="dxa"/>
              <w:start w:w="120" w:type="dxa"/>
              <w:bottom w:w="80" w:type="dxa"/>
              <w:end w:w="120" w:type="dxa"/>
            </w:tcMar>
            <w:noWrap/>
          </w:tcPr>
          <w:p>
            <w:r>
              <w:rPr>
                <w:b/>
                <w:sz w:val="16"/>
                <w:lang w:val="en-GB" w:eastAsia="en-GB" w:bidi="en-GB"/>
              </w:rPr>
              <w:t>State</w:t>
            </w:r>
          </w:p>
        </w:tc>
        <w:tc>
          <w:tcPr>
            <w:tcW w:type="dxa" w:w="1916"/>
            <w:shd w:fill="F2F4F7"/>
            <w:vAlign w:val="center"/>
            <w:tcMar>
              <w:top w:w="80" w:type="dxa"/>
              <w:start w:w="120" w:type="dxa"/>
              <w:bottom w:w="80" w:type="dxa"/>
              <w:end w:w="120" w:type="dxa"/>
            </w:tcMar>
          </w:tcPr>
          <w:p>
            <w:r>
              <w:rPr>
                <w:b/>
                <w:sz w:val="16"/>
                <w:lang w:val="en-GB" w:eastAsia="en-GB" w:bidi="en-GB"/>
              </w:rPr>
              <w:t>Limitation</w:t>
            </w:r>
          </w:p>
        </w:tc>
      </w:tr>
      <w:tr>
        <w:trPr>
          <w:cantSplit/>
        </w:trPr>
        <w:tc>
          <w:tcPr>
            <w:tcW w:type="dxa" w:w="974"/>
            <w:vAlign w:val="center"/>
            <w:tcMar>
              <w:top w:w="80" w:type="dxa"/>
              <w:start w:w="120" w:type="dxa"/>
              <w:bottom w:w="80" w:type="dxa"/>
              <w:end w:w="120" w:type="dxa"/>
            </w:tcMar>
          </w:tcPr>
          <w:p>
            <w:r>
              <w:rPr>
                <w:sz w:val="16"/>
                <w:lang w:val="en-GB" w:eastAsia="en-GB" w:bidi="en-GB"/>
              </w:rPr>
              <w:t>EVD-IDENTITY-001</w:t>
            </w:r>
          </w:p>
        </w:tc>
        <w:tc>
          <w:tcPr>
            <w:tcW w:type="dxa" w:w="1438"/>
            <w:vAlign w:val="center"/>
            <w:tcMar>
              <w:top w:w="80" w:type="dxa"/>
              <w:start w:w="120" w:type="dxa"/>
              <w:bottom w:w="80" w:type="dxa"/>
              <w:end w:w="120" w:type="dxa"/>
            </w:tcMar>
          </w:tcPr>
          <w:p>
            <w:r>
              <w:rPr>
                <w:sz w:val="16"/>
                <w:lang w:val="en-GB" w:eastAsia="en-GB" w:bidi="en-GB"/>
              </w:rPr>
              <w:t>First-party publisher and repository identity</w:t>
            </w:r>
          </w:p>
        </w:tc>
        <w:tc>
          <w:tcPr>
            <w:tcW w:type="dxa" w:w="1916"/>
            <w:vAlign w:val="center"/>
            <w:tcMar>
              <w:top w:w="80" w:type="dxa"/>
              <w:start w:w="120" w:type="dxa"/>
              <w:bottom w:w="80" w:type="dxa"/>
              <w:end w:w="120" w:type="dxa"/>
            </w:tcMar>
          </w:tcPr>
          <w:p>
            <w:r>
              <w:rPr>
                <w:sz w:val="16"/>
                <w:lang w:val="en-GB" w:eastAsia="en-GB" w:bidi="en-GB"/>
              </w:rPr>
              <w:t>GitHub SonarSource organisation, repository metadata and official Sonar documentation</w:t>
            </w:r>
          </w:p>
        </w:tc>
        <w:tc>
          <w:tcPr>
            <w:tcW w:type="dxa" w:w="1916"/>
            <w:vAlign w:val="center"/>
            <w:tcMar>
              <w:top w:w="80" w:type="dxa"/>
              <w:start w:w="120" w:type="dxa"/>
              <w:bottom w:w="80" w:type="dxa"/>
              <w:end w:w="120" w:type="dxa"/>
            </w:tcMar>
          </w:tcPr>
          <w:p>
            <w:r>
              <w:rPr>
                <w:sz w:val="16"/>
                <w:lang w:val="en-GB" w:eastAsia="en-GB" w:bidi="en-GB"/>
              </w:rPr>
              <w:t>Publisher, organisation, repository, product-name and documentation cross-check</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First-party status does not imply approval or secure implementation.</w:t>
            </w:r>
          </w:p>
        </w:tc>
      </w:tr>
      <w:tr>
        <w:trPr>
          <w:cantSplit/>
        </w:trPr>
        <w:tc>
          <w:tcPr>
            <w:tcW w:type="dxa" w:w="974"/>
            <w:vAlign w:val="center"/>
            <w:tcMar>
              <w:top w:w="80" w:type="dxa"/>
              <w:start w:w="120" w:type="dxa"/>
              <w:bottom w:w="80" w:type="dxa"/>
              <w:end w:w="120" w:type="dxa"/>
            </w:tcMar>
          </w:tcPr>
          <w:p>
            <w:r>
              <w:rPr>
                <w:sz w:val="16"/>
                <w:lang w:val="en-GB" w:eastAsia="en-GB" w:bidi="en-GB"/>
              </w:rPr>
              <w:t>EVD-RELEASE-001</w:t>
            </w:r>
          </w:p>
        </w:tc>
        <w:tc>
          <w:tcPr>
            <w:tcW w:type="dxa" w:w="1438"/>
            <w:vAlign w:val="center"/>
            <w:tcMar>
              <w:top w:w="80" w:type="dxa"/>
              <w:start w:w="120" w:type="dxa"/>
              <w:bottom w:w="80" w:type="dxa"/>
              <w:end w:w="120" w:type="dxa"/>
            </w:tcMar>
          </w:tcPr>
          <w:p>
            <w:r>
              <w:rPr>
                <w:sz w:val="16"/>
                <w:lang w:val="en-GB" w:eastAsia="en-GB" w:bidi="en-GB"/>
              </w:rPr>
              <w:t>Immutable release and verified commit</w:t>
            </w:r>
          </w:p>
        </w:tc>
        <w:tc>
          <w:tcPr>
            <w:tcW w:type="dxa" w:w="1916"/>
            <w:vAlign w:val="center"/>
            <w:tcMar>
              <w:top w:w="80" w:type="dxa"/>
              <w:start w:w="120" w:type="dxa"/>
              <w:bottom w:w="80" w:type="dxa"/>
              <w:end w:w="120" w:type="dxa"/>
            </w:tcMar>
          </w:tcPr>
          <w:p>
            <w:r>
              <w:rPr>
                <w:sz w:val="16"/>
                <w:lang w:val="en-GB" w:eastAsia="en-GB" w:bidi="en-GB"/>
              </w:rPr>
              <w:t>GitHub release 1.24.0.3152 and commit 3cc4d1f8ffde3c9798ad89fad8a7562c3f119042</w:t>
            </w:r>
          </w:p>
        </w:tc>
        <w:tc>
          <w:tcPr>
            <w:tcW w:type="dxa" w:w="1916"/>
            <w:vAlign w:val="center"/>
            <w:tcMar>
              <w:top w:w="80" w:type="dxa"/>
              <w:start w:w="120" w:type="dxa"/>
              <w:bottom w:w="80" w:type="dxa"/>
              <w:end w:w="120" w:type="dxa"/>
            </w:tcMar>
          </w:tcPr>
          <w:p>
            <w:r>
              <w:rPr>
                <w:sz w:val="16"/>
                <w:lang w:val="en-GB" w:eastAsia="en-GB" w:bidi="en-GB"/>
              </w:rPr>
              <w:t>GitHub API readback of release identity, publication time and commit verification</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GitHub verification does not prove reproducible packaged bytes.</w:t>
            </w:r>
          </w:p>
        </w:tc>
      </w:tr>
      <w:tr>
        <w:trPr>
          <w:cantSplit/>
        </w:trPr>
        <w:tc>
          <w:tcPr>
            <w:tcW w:type="dxa" w:w="974"/>
            <w:vAlign w:val="center"/>
            <w:tcMar>
              <w:top w:w="80" w:type="dxa"/>
              <w:start w:w="120" w:type="dxa"/>
              <w:bottom w:w="80" w:type="dxa"/>
              <w:end w:w="120" w:type="dxa"/>
            </w:tcMar>
          </w:tcPr>
          <w:p>
            <w:r>
              <w:rPr>
                <w:sz w:val="16"/>
                <w:lang w:val="en-GB" w:eastAsia="en-GB" w:bidi="en-GB"/>
              </w:rPr>
              <w:t>EVD-SOURCE-001</w:t>
            </w:r>
          </w:p>
        </w:tc>
        <w:tc>
          <w:tcPr>
            <w:tcW w:type="dxa" w:w="1438"/>
            <w:vAlign w:val="center"/>
            <w:tcMar>
              <w:top w:w="80" w:type="dxa"/>
              <w:start w:w="120" w:type="dxa"/>
              <w:bottom w:w="80" w:type="dxa"/>
              <w:end w:w="120" w:type="dxa"/>
            </w:tcMar>
          </w:tcPr>
          <w:p>
            <w:r>
              <w:rPr>
                <w:sz w:val="16"/>
                <w:lang w:val="en-GB" w:eastAsia="en-GB" w:bidi="en-GB"/>
              </w:rPr>
              <w:t>Unlinked immutable source snapshot</w:t>
            </w:r>
          </w:p>
        </w:tc>
        <w:tc>
          <w:tcPr>
            <w:tcW w:type="dxa" w:w="1916"/>
            <w:vAlign w:val="center"/>
            <w:tcMar>
              <w:top w:w="80" w:type="dxa"/>
              <w:start w:w="120" w:type="dxa"/>
              <w:bottom w:w="80" w:type="dxa"/>
              <w:end w:w="120" w:type="dxa"/>
            </w:tcMar>
          </w:tcPr>
          <w:p>
            <w:r>
              <w:rPr>
                <w:sz w:val="16"/>
                <w:lang w:val="en-GB" w:eastAsia="en-GB" w:bidi="en-GB"/>
              </w:rPr>
              <w:t>GitHub source archive for the selected release commit</w:t>
            </w:r>
          </w:p>
        </w:tc>
        <w:tc>
          <w:tcPr>
            <w:tcW w:type="dxa" w:w="1916"/>
            <w:vAlign w:val="center"/>
            <w:tcMar>
              <w:top w:w="80" w:type="dxa"/>
              <w:start w:w="120" w:type="dxa"/>
              <w:bottom w:w="80" w:type="dxa"/>
              <w:end w:w="120" w:type="dxa"/>
            </w:tcMar>
          </w:tcPr>
          <w:p>
            <w:r>
              <w:rPr>
                <w:sz w:val="16"/>
                <w:lang w:val="en-GB" w:eastAsia="en-GB" w:bidi="en-GB"/>
              </w:rPr>
              <w:t>Bounded archive validation, SHA-256 hashing and no-link read-only extraction</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A controlled source rebuild was not performed.</w:t>
            </w:r>
          </w:p>
        </w:tc>
      </w:tr>
      <w:tr>
        <w:trPr>
          <w:cantSplit/>
        </w:trPr>
        <w:tc>
          <w:tcPr>
            <w:tcW w:type="dxa" w:w="974"/>
            <w:vAlign w:val="center"/>
            <w:tcMar>
              <w:top w:w="80" w:type="dxa"/>
              <w:start w:w="120" w:type="dxa"/>
              <w:bottom w:w="80" w:type="dxa"/>
              <w:end w:w="120" w:type="dxa"/>
            </w:tcMar>
          </w:tcPr>
          <w:p>
            <w:r>
              <w:rPr>
                <w:sz w:val="16"/>
                <w:lang w:val="en-GB" w:eastAsia="en-GB" w:bidi="en-GB"/>
              </w:rPr>
              <w:t>EVD-JAR-001</w:t>
            </w:r>
          </w:p>
        </w:tc>
        <w:tc>
          <w:tcPr>
            <w:tcW w:type="dxa" w:w="1438"/>
            <w:vAlign w:val="center"/>
            <w:tcMar>
              <w:top w:w="80" w:type="dxa"/>
              <w:start w:w="120" w:type="dxa"/>
              <w:bottom w:w="80" w:type="dxa"/>
              <w:end w:w="120" w:type="dxa"/>
            </w:tcMar>
          </w:tcPr>
          <w:p>
            <w:r>
              <w:rPr>
                <w:sz w:val="16"/>
                <w:lang w:val="en-GB" w:eastAsia="en-GB" w:bidi="en-GB"/>
              </w:rPr>
              <w:t>Signed release JAR and archive inventory</w:t>
            </w:r>
          </w:p>
        </w:tc>
        <w:tc>
          <w:tcPr>
            <w:tcW w:type="dxa" w:w="1916"/>
            <w:vAlign w:val="center"/>
            <w:tcMar>
              <w:top w:w="80" w:type="dxa"/>
              <w:start w:w="120" w:type="dxa"/>
              <w:bottom w:w="80" w:type="dxa"/>
              <w:end w:w="120" w:type="dxa"/>
            </w:tcMar>
          </w:tcPr>
          <w:p>
            <w:r>
              <w:rPr>
                <w:sz w:val="16"/>
                <w:lang w:val="en-GB" w:eastAsia="en-GB" w:bidi="en-GB"/>
              </w:rPr>
              <w:t>SonarSource binaries distribution</w:t>
            </w:r>
          </w:p>
        </w:tc>
        <w:tc>
          <w:tcPr>
            <w:tcW w:type="dxa" w:w="1916"/>
            <w:vAlign w:val="center"/>
            <w:tcMar>
              <w:top w:w="80" w:type="dxa"/>
              <w:start w:w="120" w:type="dxa"/>
              <w:bottom w:w="80" w:type="dxa"/>
              <w:end w:w="120" w:type="dxa"/>
            </w:tcMar>
          </w:tcPr>
          <w:p>
            <w:r>
              <w:rPr>
                <w:sz w:val="16"/>
                <w:lang w:val="en-GB" w:eastAsia="en-GB" w:bidi="en-GB"/>
              </w:rPr>
              <w:t>Published SHA-256 comparison, detached-signature verification and direct ZIP member hashing</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Fat-JAR metadata stripping limits independent component attribution.</w:t>
            </w:r>
          </w:p>
        </w:tc>
      </w:tr>
      <w:tr>
        <w:trPr>
          <w:cantSplit/>
        </w:trPr>
        <w:tc>
          <w:tcPr>
            <w:tcW w:type="dxa" w:w="974"/>
            <w:vAlign w:val="center"/>
            <w:tcMar>
              <w:top w:w="80" w:type="dxa"/>
              <w:start w:w="120" w:type="dxa"/>
              <w:bottom w:w="80" w:type="dxa"/>
              <w:end w:w="120" w:type="dxa"/>
            </w:tcMar>
          </w:tcPr>
          <w:p>
            <w:r>
              <w:rPr>
                <w:sz w:val="16"/>
                <w:lang w:val="en-GB" w:eastAsia="en-GB" w:bidi="en-GB"/>
              </w:rPr>
              <w:t>EVD-SIGNATURE-001</w:t>
            </w:r>
          </w:p>
        </w:tc>
        <w:tc>
          <w:tcPr>
            <w:tcW w:type="dxa" w:w="1438"/>
            <w:vAlign w:val="center"/>
            <w:tcMar>
              <w:top w:w="80" w:type="dxa"/>
              <w:start w:w="120" w:type="dxa"/>
              <w:bottom w:w="80" w:type="dxa"/>
              <w:end w:w="120" w:type="dxa"/>
            </w:tcMar>
          </w:tcPr>
          <w:p>
            <w:r>
              <w:rPr>
                <w:sz w:val="16"/>
                <w:lang w:val="en-GB" w:eastAsia="en-GB" w:bidi="en-GB"/>
              </w:rPr>
              <w:t>SonarSource release signing evidence</w:t>
            </w:r>
          </w:p>
        </w:tc>
        <w:tc>
          <w:tcPr>
            <w:tcW w:type="dxa" w:w="1916"/>
            <w:vAlign w:val="center"/>
            <w:tcMar>
              <w:top w:w="80" w:type="dxa"/>
              <w:start w:w="120" w:type="dxa"/>
              <w:bottom w:w="80" w:type="dxa"/>
              <w:end w:w="120" w:type="dxa"/>
            </w:tcMar>
          </w:tcPr>
          <w:p>
            <w:r>
              <w:rPr>
                <w:sz w:val="16"/>
                <w:lang w:val="en-GB" w:eastAsia="en-GB" w:bidi="en-GB"/>
              </w:rPr>
              <w:t>Detached JAR signature and independently corroborated SonarSource key fingerprint</w:t>
            </w:r>
          </w:p>
        </w:tc>
        <w:tc>
          <w:tcPr>
            <w:tcW w:type="dxa" w:w="1916"/>
            <w:vAlign w:val="center"/>
            <w:tcMar>
              <w:top w:w="80" w:type="dxa"/>
              <w:start w:w="120" w:type="dxa"/>
              <w:bottom w:w="80" w:type="dxa"/>
              <w:end w:w="120" w:type="dxa"/>
            </w:tcMar>
          </w:tcPr>
          <w:p>
            <w:r>
              <w:rPr>
                <w:sz w:val="16"/>
                <w:lang w:val="en-GB" w:eastAsia="en-GB" w:bidi="en-GB"/>
              </w:rPr>
              <w:t>Task-local GPG keyring verification and GitHub/source fingerprint cross-check</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The local keyring has no Web-of-Trust certification; authority was corroborated through publisher-controlled materials.</w:t>
            </w:r>
          </w:p>
        </w:tc>
      </w:tr>
      <w:tr>
        <w:trPr>
          <w:cantSplit/>
        </w:trPr>
        <w:tc>
          <w:tcPr>
            <w:tcW w:type="dxa" w:w="974"/>
            <w:vAlign w:val="center"/>
            <w:tcMar>
              <w:top w:w="80" w:type="dxa"/>
              <w:start w:w="120" w:type="dxa"/>
              <w:bottom w:w="80" w:type="dxa"/>
              <w:end w:w="120" w:type="dxa"/>
            </w:tcMar>
          </w:tcPr>
          <w:p>
            <w:r>
              <w:rPr>
                <w:sz w:val="16"/>
                <w:lang w:val="en-GB" w:eastAsia="en-GB" w:bidi="en-GB"/>
              </w:rPr>
              <w:t>EVD-OCI-001</w:t>
            </w:r>
          </w:p>
        </w:tc>
        <w:tc>
          <w:tcPr>
            <w:tcW w:type="dxa" w:w="1438"/>
            <w:vAlign w:val="center"/>
            <w:tcMar>
              <w:top w:w="80" w:type="dxa"/>
              <w:start w:w="120" w:type="dxa"/>
              <w:bottom w:w="80" w:type="dxa"/>
              <w:end w:w="120" w:type="dxa"/>
            </w:tcMar>
          </w:tcPr>
          <w:p>
            <w:r>
              <w:rPr>
                <w:sz w:val="16"/>
                <w:lang w:val="en-GB" w:eastAsia="en-GB" w:bidi="en-GB"/>
              </w:rPr>
              <w:t>First-party multi-architecture OCI image</w:t>
            </w:r>
          </w:p>
        </w:tc>
        <w:tc>
          <w:tcPr>
            <w:tcW w:type="dxa" w:w="1916"/>
            <w:vAlign w:val="center"/>
            <w:tcMar>
              <w:top w:w="80" w:type="dxa"/>
              <w:start w:w="120" w:type="dxa"/>
              <w:bottom w:w="80" w:type="dxa"/>
              <w:end w:w="120" w:type="dxa"/>
            </w:tcMar>
          </w:tcPr>
          <w:p>
            <w:r>
              <w:rPr>
                <w:sz w:val="16"/>
                <w:lang w:val="en-GB" w:eastAsia="en-GB" w:bidi="en-GB"/>
              </w:rPr>
              <w:t>docker.io/sonarsource/sonarqube-mcp:1.24.0.3152</w:t>
            </w:r>
          </w:p>
        </w:tc>
        <w:tc>
          <w:tcPr>
            <w:tcW w:type="dxa" w:w="1916"/>
            <w:vAlign w:val="center"/>
            <w:tcMar>
              <w:top w:w="80" w:type="dxa"/>
              <w:start w:w="120" w:type="dxa"/>
              <w:bottom w:w="80" w:type="dxa"/>
              <w:end w:w="120" w:type="dxa"/>
            </w:tcMar>
          </w:tcPr>
          <w:p>
            <w:r>
              <w:rPr>
                <w:sz w:val="16"/>
                <w:lang w:val="en-GB" w:eastAsia="en-GB" w:bidi="en-GB"/>
              </w:rPr>
              <w:t>Registry-native manifest inspection, exact digest pull, platform SBOM and embedded artifact hash comparison</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No separate Cosign signature was found; build attestations were present as manifest entries rather than Cosign referrers.</w:t>
            </w:r>
          </w:p>
        </w:tc>
      </w:tr>
      <w:tr>
        <w:trPr>
          <w:cantSplit/>
        </w:trPr>
        <w:tc>
          <w:tcPr>
            <w:tcW w:type="dxa" w:w="974"/>
            <w:vAlign w:val="center"/>
            <w:tcMar>
              <w:top w:w="80" w:type="dxa"/>
              <w:start w:w="120" w:type="dxa"/>
              <w:bottom w:w="80" w:type="dxa"/>
              <w:end w:w="120" w:type="dxa"/>
            </w:tcMar>
          </w:tcPr>
          <w:p>
            <w:r>
              <w:rPr>
                <w:sz w:val="16"/>
                <w:lang w:val="en-GB" w:eastAsia="en-GB" w:bidi="en-GB"/>
              </w:rPr>
              <w:t>EVD-CAG-001</w:t>
            </w:r>
          </w:p>
        </w:tc>
        <w:tc>
          <w:tcPr>
            <w:tcW w:type="dxa" w:w="1438"/>
            <w:vAlign w:val="center"/>
            <w:tcMar>
              <w:top w:w="80" w:type="dxa"/>
              <w:start w:w="120" w:type="dxa"/>
              <w:bottom w:w="80" w:type="dxa"/>
              <w:end w:w="120" w:type="dxa"/>
            </w:tcMar>
          </w:tcPr>
          <w:p>
            <w:r>
              <w:rPr>
                <w:sz w:val="16"/>
                <w:lang w:val="en-GB" w:eastAsia="en-GB" w:bidi="en-GB"/>
              </w:rPr>
              <w:t>Native Sonar Context Augmentation archives</w:t>
            </w:r>
          </w:p>
        </w:tc>
        <w:tc>
          <w:tcPr>
            <w:tcW w:type="dxa" w:w="1916"/>
            <w:vAlign w:val="center"/>
            <w:tcMar>
              <w:top w:w="80" w:type="dxa"/>
              <w:start w:w="120" w:type="dxa"/>
              <w:bottom w:w="80" w:type="dxa"/>
              <w:end w:w="120" w:type="dxa"/>
            </w:tcMar>
          </w:tcPr>
          <w:p>
            <w:r>
              <w:rPr>
                <w:sz w:val="16"/>
                <w:lang w:val="en-GB" w:eastAsia="en-GB" w:bidi="en-GB"/>
              </w:rPr>
              <w:t>SonarSource binaries distribution, version 0.19.0.3620 for arm64 and x64</w:t>
            </w:r>
          </w:p>
        </w:tc>
        <w:tc>
          <w:tcPr>
            <w:tcW w:type="dxa" w:w="1916"/>
            <w:vAlign w:val="center"/>
            <w:tcMar>
              <w:top w:w="80" w:type="dxa"/>
              <w:start w:w="120" w:type="dxa"/>
              <w:bottom w:w="80" w:type="dxa"/>
              <w:end w:w="120" w:type="dxa"/>
            </w:tcMar>
          </w:tcPr>
          <w:p>
            <w:r>
              <w:rPr>
                <w:sz w:val="16"/>
                <w:lang w:val="en-GB" w:eastAsia="en-GB" w:bidi="en-GB"/>
              </w:rPr>
              <w:t>Inert HTTPS acquisition, archive listing, SHA-256 hashing, refreshed ClamAV scanning and image-member comparison</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No vendor-published checksum or detached signature was located and the executable was not invoked.</w:t>
            </w:r>
          </w:p>
        </w:tc>
      </w:tr>
      <w:tr>
        <w:trPr>
          <w:cantSplit/>
        </w:trPr>
        <w:tc>
          <w:tcPr>
            <w:tcW w:type="dxa" w:w="974"/>
            <w:vAlign w:val="center"/>
            <w:tcMar>
              <w:top w:w="80" w:type="dxa"/>
              <w:start w:w="120" w:type="dxa"/>
              <w:bottom w:w="80" w:type="dxa"/>
              <w:end w:w="120" w:type="dxa"/>
            </w:tcMar>
          </w:tcPr>
          <w:p>
            <w:r>
              <w:rPr>
                <w:sz w:val="16"/>
                <w:lang w:val="en-GB" w:eastAsia="en-GB" w:bidi="en-GB"/>
              </w:rPr>
              <w:t>EVD-STATIC-001</w:t>
            </w:r>
          </w:p>
        </w:tc>
        <w:tc>
          <w:tcPr>
            <w:tcW w:type="dxa" w:w="1438"/>
            <w:vAlign w:val="center"/>
            <w:tcMar>
              <w:top w:w="80" w:type="dxa"/>
              <w:start w:w="120" w:type="dxa"/>
              <w:bottom w:w="80" w:type="dxa"/>
              <w:end w:w="120" w:type="dxa"/>
            </w:tcMar>
          </w:tcPr>
          <w:p>
            <w:r>
              <w:rPr>
                <w:sz w:val="16"/>
                <w:lang w:val="en-GB" w:eastAsia="en-GB" w:bidi="en-GB"/>
              </w:rPr>
              <w:t>Manual static code review</w:t>
            </w:r>
          </w:p>
        </w:tc>
        <w:tc>
          <w:tcPr>
            <w:tcW w:type="dxa" w:w="1916"/>
            <w:vAlign w:val="center"/>
            <w:tcMar>
              <w:top w:w="80" w:type="dxa"/>
              <w:start w:w="120" w:type="dxa"/>
              <w:bottom w:w="80" w:type="dxa"/>
              <w:end w:w="120" w:type="dxa"/>
            </w:tcMar>
          </w:tcPr>
          <w:p>
            <w:r>
              <w:rPr>
                <w:sz w:val="16"/>
                <w:lang w:val="en-GB" w:eastAsia="en-GB" w:bidi="en-GB"/>
              </w:rPr>
              <w:t>Read-only source snapshot</w:t>
            </w:r>
          </w:p>
        </w:tc>
        <w:tc>
          <w:tcPr>
            <w:tcW w:type="dxa" w:w="1916"/>
            <w:vAlign w:val="center"/>
            <w:tcMar>
              <w:top w:w="80" w:type="dxa"/>
              <w:start w:w="120" w:type="dxa"/>
              <w:bottom w:w="80" w:type="dxa"/>
              <w:end w:w="120" w:type="dxa"/>
            </w:tcMar>
          </w:tcPr>
          <w:p>
            <w:r>
              <w:rPr>
                <w:sz w:val="16"/>
                <w:lang w:val="en-GB" w:eastAsia="en-GB" w:bidi="en-GB"/>
              </w:rPr>
              <w:t>Source-to-sink review of MCP tools, HTTP security, authentication, subprocess, telemetry, file, plugin and workflow boundaries</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Dynamic downstream behaviour and CAG implementation were not available in source.</w:t>
            </w:r>
          </w:p>
        </w:tc>
      </w:tr>
      <w:tr>
        <w:trPr>
          <w:cantSplit/>
        </w:trPr>
        <w:tc>
          <w:tcPr>
            <w:tcW w:type="dxa" w:w="974"/>
            <w:vAlign w:val="center"/>
            <w:tcMar>
              <w:top w:w="80" w:type="dxa"/>
              <w:start w:w="120" w:type="dxa"/>
              <w:bottom w:w="80" w:type="dxa"/>
              <w:end w:w="120" w:type="dxa"/>
            </w:tcMar>
          </w:tcPr>
          <w:p>
            <w:r>
              <w:rPr>
                <w:sz w:val="16"/>
                <w:lang w:val="en-GB" w:eastAsia="en-GB" w:bidi="en-GB"/>
              </w:rPr>
              <w:t>EVD-SEMGREP-001</w:t>
            </w:r>
          </w:p>
        </w:tc>
        <w:tc>
          <w:tcPr>
            <w:tcW w:type="dxa" w:w="1438"/>
            <w:vAlign w:val="center"/>
            <w:tcMar>
              <w:top w:w="80" w:type="dxa"/>
              <w:start w:w="120" w:type="dxa"/>
              <w:bottom w:w="80" w:type="dxa"/>
              <w:end w:w="120" w:type="dxa"/>
            </w:tcMar>
          </w:tcPr>
          <w:p>
            <w:r>
              <w:rPr>
                <w:sz w:val="16"/>
                <w:lang w:val="en-GB" w:eastAsia="en-GB" w:bidi="en-GB"/>
              </w:rPr>
              <w:t>Targeted telemetry-free Semgrep review</w:t>
            </w:r>
          </w:p>
        </w:tc>
        <w:tc>
          <w:tcPr>
            <w:tcW w:type="dxa" w:w="1916"/>
            <w:vAlign w:val="center"/>
            <w:tcMar>
              <w:top w:w="80" w:type="dxa"/>
              <w:start w:w="120" w:type="dxa"/>
              <w:bottom w:w="80" w:type="dxa"/>
              <w:end w:w="120" w:type="dxa"/>
            </w:tcMar>
          </w:tcPr>
          <w:p>
            <w:r>
              <w:rPr>
                <w:sz w:val="16"/>
                <w:lang w:val="en-GB" w:eastAsia="en-GB" w:bidi="en-GB"/>
              </w:rPr>
              <w:t>Local five-rule Java review pack and 277 Java targets</w:t>
            </w:r>
          </w:p>
        </w:tc>
        <w:tc>
          <w:tcPr>
            <w:tcW w:type="dxa" w:w="1916"/>
            <w:vAlign w:val="center"/>
            <w:tcMar>
              <w:top w:w="80" w:type="dxa"/>
              <w:start w:w="120" w:type="dxa"/>
              <w:bottom w:w="80" w:type="dxa"/>
              <w:end w:w="120" w:type="dxa"/>
            </w:tcMar>
          </w:tcPr>
          <w:p>
            <w:r>
              <w:rPr>
                <w:sz w:val="16"/>
                <w:lang w:val="en-GB" w:eastAsia="en-GB" w:bidi="en-GB"/>
              </w:rPr>
              <w:t>Semgrep 1.172.0 with metrics disabled and manual triage of ten signals</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Purpose-built rules are coverage aids and not a complete SAST rule corpus.</w:t>
            </w:r>
          </w:p>
        </w:tc>
      </w:tr>
      <w:tr>
        <w:trPr>
          <w:cantSplit/>
        </w:trPr>
        <w:tc>
          <w:tcPr>
            <w:tcW w:type="dxa" w:w="974"/>
            <w:vAlign w:val="center"/>
            <w:tcMar>
              <w:top w:w="80" w:type="dxa"/>
              <w:start w:w="120" w:type="dxa"/>
              <w:bottom w:w="80" w:type="dxa"/>
              <w:end w:w="120" w:type="dxa"/>
            </w:tcMar>
          </w:tcPr>
          <w:p>
            <w:r>
              <w:rPr>
                <w:sz w:val="16"/>
                <w:lang w:val="en-GB" w:eastAsia="en-GB" w:bidi="en-GB"/>
              </w:rPr>
              <w:t>EVD-MALWARE-001</w:t>
            </w:r>
          </w:p>
        </w:tc>
        <w:tc>
          <w:tcPr>
            <w:tcW w:type="dxa" w:w="1438"/>
            <w:vAlign w:val="center"/>
            <w:tcMar>
              <w:top w:w="80" w:type="dxa"/>
              <w:start w:w="120" w:type="dxa"/>
              <w:bottom w:w="80" w:type="dxa"/>
              <w:end w:w="120" w:type="dxa"/>
            </w:tcMar>
          </w:tcPr>
          <w:p>
            <w:r>
              <w:rPr>
                <w:sz w:val="16"/>
                <w:lang w:val="en-GB" w:eastAsia="en-GB" w:bidi="en-GB"/>
              </w:rPr>
              <w:t>Refreshed malware and secret review</w:t>
            </w:r>
          </w:p>
        </w:tc>
        <w:tc>
          <w:tcPr>
            <w:tcW w:type="dxa" w:w="1916"/>
            <w:vAlign w:val="center"/>
            <w:tcMar>
              <w:top w:w="80" w:type="dxa"/>
              <w:start w:w="120" w:type="dxa"/>
              <w:bottom w:w="80" w:type="dxa"/>
              <w:end w:w="120" w:type="dxa"/>
            </w:tcMar>
          </w:tcPr>
          <w:p>
            <w:r>
              <w:rPr>
                <w:sz w:val="16"/>
                <w:lang w:val="en-GB" w:eastAsia="en-GB" w:bidi="en-GB"/>
              </w:rPr>
              <w:t>Source, signed JAR and both native CAG archives</w:t>
            </w:r>
          </w:p>
        </w:tc>
        <w:tc>
          <w:tcPr>
            <w:tcW w:type="dxa" w:w="1916"/>
            <w:vAlign w:val="center"/>
            <w:tcMar>
              <w:top w:w="80" w:type="dxa"/>
              <w:start w:w="120" w:type="dxa"/>
              <w:bottom w:w="80" w:type="dxa"/>
              <w:end w:w="120" w:type="dxa"/>
            </w:tcMar>
          </w:tcPr>
          <w:p>
            <w:r>
              <w:rPr>
                <w:sz w:val="16"/>
                <w:lang w:val="en-GB" w:eastAsia="en-GB" w:bidi="en-GB"/>
              </w:rPr>
              <w:t>ClamAV 1.5.3 daily 28083, YARA 4.5.8, Gitleaks 8.30.1 and Trivy secret scanning</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No-detection does not prove absence of malicious or vulnerable behaviour.</w:t>
            </w:r>
          </w:p>
        </w:tc>
      </w:tr>
      <w:tr>
        <w:trPr>
          <w:cantSplit/>
        </w:trPr>
        <w:tc>
          <w:tcPr>
            <w:tcW w:type="dxa" w:w="974"/>
            <w:vAlign w:val="center"/>
            <w:tcMar>
              <w:top w:w="80" w:type="dxa"/>
              <w:start w:w="120" w:type="dxa"/>
              <w:bottom w:w="80" w:type="dxa"/>
              <w:end w:w="120" w:type="dxa"/>
            </w:tcMar>
          </w:tcPr>
          <w:p>
            <w:r>
              <w:rPr>
                <w:sz w:val="16"/>
                <w:lang w:val="en-GB" w:eastAsia="en-GB" w:bidi="en-GB"/>
              </w:rPr>
              <w:t>EVD-SBOM-001</w:t>
            </w:r>
          </w:p>
        </w:tc>
        <w:tc>
          <w:tcPr>
            <w:tcW w:type="dxa" w:w="1438"/>
            <w:vAlign w:val="center"/>
            <w:tcMar>
              <w:top w:w="80" w:type="dxa"/>
              <w:start w:w="120" w:type="dxa"/>
              <w:bottom w:w="80" w:type="dxa"/>
              <w:end w:w="120" w:type="dxa"/>
            </w:tcMar>
          </w:tcPr>
          <w:p>
            <w:r>
              <w:rPr>
                <w:sz w:val="16"/>
                <w:lang w:val="en-GB" w:eastAsia="en-GB" w:bidi="en-GB"/>
              </w:rPr>
              <w:t>Source, JAR and OCI software bills of materials</w:t>
            </w:r>
          </w:p>
        </w:tc>
        <w:tc>
          <w:tcPr>
            <w:tcW w:type="dxa" w:w="1916"/>
            <w:vAlign w:val="center"/>
            <w:tcMar>
              <w:top w:w="80" w:type="dxa"/>
              <w:start w:w="120" w:type="dxa"/>
              <w:bottom w:w="80" w:type="dxa"/>
              <w:end w:w="120" w:type="dxa"/>
            </w:tcMar>
          </w:tcPr>
          <w:p>
            <w:r>
              <w:rPr>
                <w:sz w:val="16"/>
                <w:lang w:val="en-GB" w:eastAsia="en-GB" w:bidi="en-GB"/>
              </w:rPr>
              <w:t>Syft 1.50.0 against source, signed JAR and both OCI architectures</w:t>
            </w:r>
          </w:p>
        </w:tc>
        <w:tc>
          <w:tcPr>
            <w:tcW w:type="dxa" w:w="1916"/>
            <w:vAlign w:val="center"/>
            <w:tcMar>
              <w:top w:w="80" w:type="dxa"/>
              <w:start w:w="120" w:type="dxa"/>
              <w:bottom w:w="80" w:type="dxa"/>
              <w:end w:w="120" w:type="dxa"/>
            </w:tcMar>
          </w:tcPr>
          <w:p>
            <w:r>
              <w:rPr>
                <w:sz w:val="16"/>
                <w:lang w:val="en-GB" w:eastAsia="en-GB" w:bidi="en-GB"/>
              </w:rPr>
              <w:t>CycloneDX generation and component/purl completeness comparison</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The shaded JAR strips dependency metadata and cannot independently identify all embedded libraries.</w:t>
            </w:r>
          </w:p>
        </w:tc>
      </w:tr>
      <w:tr>
        <w:trPr>
          <w:cantSplit/>
        </w:trPr>
        <w:tc>
          <w:tcPr>
            <w:tcW w:type="dxa" w:w="974"/>
            <w:vAlign w:val="center"/>
            <w:tcMar>
              <w:top w:w="80" w:type="dxa"/>
              <w:start w:w="120" w:type="dxa"/>
              <w:bottom w:w="80" w:type="dxa"/>
              <w:end w:w="120" w:type="dxa"/>
            </w:tcMar>
          </w:tcPr>
          <w:p>
            <w:r>
              <w:rPr>
                <w:sz w:val="16"/>
                <w:lang w:val="en-GB" w:eastAsia="en-GB" w:bidi="en-GB"/>
              </w:rPr>
              <w:t>EVD-VULN-001</w:t>
            </w:r>
          </w:p>
        </w:tc>
        <w:tc>
          <w:tcPr>
            <w:tcW w:type="dxa" w:w="1438"/>
            <w:vAlign w:val="center"/>
            <w:tcMar>
              <w:top w:w="80" w:type="dxa"/>
              <w:start w:w="120" w:type="dxa"/>
              <w:bottom w:w="80" w:type="dxa"/>
              <w:end w:w="120" w:type="dxa"/>
            </w:tcMar>
          </w:tcPr>
          <w:p>
            <w:r>
              <w:rPr>
                <w:sz w:val="16"/>
                <w:lang w:val="en-GB" w:eastAsia="en-GB" w:bidi="en-GB"/>
              </w:rPr>
              <w:t>Current vulnerability triage</w:t>
            </w:r>
          </w:p>
        </w:tc>
        <w:tc>
          <w:tcPr>
            <w:tcW w:type="dxa" w:w="1916"/>
            <w:vAlign w:val="center"/>
            <w:tcMar>
              <w:top w:w="80" w:type="dxa"/>
              <w:start w:w="120" w:type="dxa"/>
              <w:bottom w:w="80" w:type="dxa"/>
              <w:end w:w="120" w:type="dxa"/>
            </w:tcMar>
          </w:tcPr>
          <w:p>
            <w:r>
              <w:rPr>
                <w:sz w:val="16"/>
                <w:lang w:val="en-GB" w:eastAsia="en-GB" w:bidi="en-GB"/>
              </w:rPr>
              <w:t>Grype 0.116.1 database built 2026-08-05, Trivy 0.73.0 database refreshed 2026-08-05 and OSV Scanner 2.4.0</w:t>
            </w:r>
          </w:p>
        </w:tc>
        <w:tc>
          <w:tcPr>
            <w:tcW w:type="dxa" w:w="1916"/>
            <w:vAlign w:val="center"/>
            <w:tcMar>
              <w:top w:w="80" w:type="dxa"/>
              <w:start w:w="120" w:type="dxa"/>
              <w:bottom w:w="80" w:type="dxa"/>
              <w:end w:w="120" w:type="dxa"/>
            </w:tcMar>
          </w:tcPr>
          <w:p>
            <w:r>
              <w:rPr>
                <w:sz w:val="16"/>
                <w:lang w:val="en-GB" w:eastAsia="en-GB" w:bidi="en-GB"/>
              </w:rPr>
              <w:t>Exact locked-version scanning, advisory cross-check and runtime/test classpath triage</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Scanner matches require reachability analysis and new advisories can change the result.</w:t>
            </w:r>
          </w:p>
        </w:tc>
      </w:tr>
      <w:tr>
        <w:trPr>
          <w:cantSplit/>
        </w:trPr>
        <w:tc>
          <w:tcPr>
            <w:tcW w:type="dxa" w:w="974"/>
            <w:vAlign w:val="center"/>
            <w:tcMar>
              <w:top w:w="80" w:type="dxa"/>
              <w:start w:w="120" w:type="dxa"/>
              <w:bottom w:w="80" w:type="dxa"/>
              <w:end w:w="120" w:type="dxa"/>
            </w:tcMar>
          </w:tcPr>
          <w:p>
            <w:r>
              <w:rPr>
                <w:sz w:val="16"/>
                <w:lang w:val="en-GB" w:eastAsia="en-GB" w:bidi="en-GB"/>
              </w:rPr>
              <w:t>EVD-RUNTIME-001</w:t>
            </w:r>
          </w:p>
        </w:tc>
        <w:tc>
          <w:tcPr>
            <w:tcW w:type="dxa" w:w="1438"/>
            <w:vAlign w:val="center"/>
            <w:tcMar>
              <w:top w:w="80" w:type="dxa"/>
              <w:start w:w="120" w:type="dxa"/>
              <w:bottom w:w="80" w:type="dxa"/>
              <w:end w:w="120" w:type="dxa"/>
            </w:tcMar>
          </w:tcPr>
          <w:p>
            <w:r>
              <w:rPr>
                <w:sz w:val="16"/>
                <w:lang w:val="en-GB" w:eastAsia="en-GB" w:bidi="en-GB"/>
              </w:rPr>
              <w:t>Isolated credential-free MCP runtime observation</w:t>
            </w:r>
          </w:p>
        </w:tc>
        <w:tc>
          <w:tcPr>
            <w:tcW w:type="dxa" w:w="1916"/>
            <w:vAlign w:val="center"/>
            <w:tcMar>
              <w:top w:w="80" w:type="dxa"/>
              <w:start w:w="120" w:type="dxa"/>
              <w:bottom w:w="80" w:type="dxa"/>
              <w:end w:w="120" w:type="dxa"/>
            </w:tcMar>
          </w:tcPr>
          <w:p>
            <w:r>
              <w:rPr>
                <w:sz w:val="16"/>
                <w:lang w:val="en-GB" w:eastAsia="en-GB" w:bidi="en-GB"/>
              </w:rPr>
              <w:t>Exact OCI digest on linux/arm64 with a synthetic backend</w:t>
            </w:r>
          </w:p>
        </w:tc>
        <w:tc>
          <w:tcPr>
            <w:tcW w:type="dxa" w:w="1916"/>
            <w:vAlign w:val="center"/>
            <w:tcMar>
              <w:top w:w="80" w:type="dxa"/>
              <w:start w:w="120" w:type="dxa"/>
              <w:bottom w:w="80" w:type="dxa"/>
              <w:end w:w="120" w:type="dxa"/>
            </w:tcMar>
          </w:tcPr>
          <w:p>
            <w:r>
              <w:rPr>
                <w:sz w:val="16"/>
                <w:lang w:val="en-GB" w:eastAsia="en-GB" w:bidi="en-GB"/>
              </w:rPr>
              <w:t>Internal-only network, synthetic token, read-only root, dropped capabilities, no-new-privileges, bounded resources, telemetry disabled, read-only server and projects-only toolset</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Representative VS Code UI, real synthetic Sonar tenant, CAG, HTTP multi-user and Windows Visual Studio behaviour remain untested.</w:t>
            </w:r>
          </w:p>
        </w:tc>
      </w:tr>
      <w:tr>
        <w:trPr>
          <w:cantSplit/>
        </w:trPr>
        <w:tc>
          <w:tcPr>
            <w:tcW w:type="dxa" w:w="974"/>
            <w:vAlign w:val="center"/>
            <w:tcMar>
              <w:top w:w="80" w:type="dxa"/>
              <w:start w:w="120" w:type="dxa"/>
              <w:bottom w:w="80" w:type="dxa"/>
              <w:end w:w="120" w:type="dxa"/>
            </w:tcMar>
          </w:tcPr>
          <w:p>
            <w:r>
              <w:rPr>
                <w:sz w:val="16"/>
                <w:lang w:val="en-GB" w:eastAsia="en-GB" w:bidi="en-GB"/>
              </w:rPr>
              <w:t>EVD-PRIVACY-001</w:t>
            </w:r>
          </w:p>
        </w:tc>
        <w:tc>
          <w:tcPr>
            <w:tcW w:type="dxa" w:w="1438"/>
            <w:vAlign w:val="center"/>
            <w:tcMar>
              <w:top w:w="80" w:type="dxa"/>
              <w:start w:w="120" w:type="dxa"/>
              <w:bottom w:w="80" w:type="dxa"/>
              <w:end w:w="120" w:type="dxa"/>
            </w:tcMar>
          </w:tcPr>
          <w:p>
            <w:r>
              <w:rPr>
                <w:sz w:val="16"/>
                <w:lang w:val="en-GB" w:eastAsia="en-GB" w:bidi="en-GB"/>
              </w:rPr>
              <w:t>Telemetry and privacy data-flow review</w:t>
            </w:r>
          </w:p>
        </w:tc>
        <w:tc>
          <w:tcPr>
            <w:tcW w:type="dxa" w:w="1916"/>
            <w:vAlign w:val="center"/>
            <w:tcMar>
              <w:top w:w="80" w:type="dxa"/>
              <w:start w:w="120" w:type="dxa"/>
              <w:bottom w:w="80" w:type="dxa"/>
              <w:end w:w="120" w:type="dxa"/>
            </w:tcMar>
          </w:tcPr>
          <w:p>
            <w:r>
              <w:rPr>
                <w:sz w:val="16"/>
                <w:lang w:val="en-GB" w:eastAsia="en-GB" w:bidi="en-GB"/>
              </w:rPr>
              <w:t>Telemetry sample, source implementation and official product statements</w:t>
            </w:r>
          </w:p>
        </w:tc>
        <w:tc>
          <w:tcPr>
            <w:tcW w:type="dxa" w:w="1916"/>
            <w:vAlign w:val="center"/>
            <w:tcMar>
              <w:top w:w="80" w:type="dxa"/>
              <w:start w:w="120" w:type="dxa"/>
              <w:bottom w:w="80" w:type="dxa"/>
              <w:end w:w="120" w:type="dxa"/>
            </w:tcMar>
          </w:tcPr>
          <w:p>
            <w:r>
              <w:rPr>
                <w:sz w:val="16"/>
                <w:lang w:val="en-GB" w:eastAsia="en-GB" w:bidi="en-GB"/>
              </w:rPr>
              <w:t>Field, purpose, identifier, token, endpoint, retention, minimisation and enterprise-control review</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No packet capture, executed DPA, DPIA, retention evidence or deletion proof was available.</w:t>
            </w:r>
          </w:p>
        </w:tc>
      </w:tr>
      <w:tr>
        <w:trPr>
          <w:cantSplit/>
        </w:trPr>
        <w:tc>
          <w:tcPr>
            <w:tcW w:type="dxa" w:w="974"/>
            <w:vAlign w:val="center"/>
            <w:tcMar>
              <w:top w:w="80" w:type="dxa"/>
              <w:start w:w="120" w:type="dxa"/>
              <w:bottom w:w="80" w:type="dxa"/>
              <w:end w:w="120" w:type="dxa"/>
            </w:tcMar>
          </w:tcPr>
          <w:p>
            <w:r>
              <w:rPr>
                <w:sz w:val="16"/>
                <w:lang w:val="en-GB" w:eastAsia="en-GB" w:bidi="en-GB"/>
              </w:rPr>
              <w:t>EVD-REGISTRY-001</w:t>
            </w:r>
          </w:p>
        </w:tc>
        <w:tc>
          <w:tcPr>
            <w:tcW w:type="dxa" w:w="1438"/>
            <w:vAlign w:val="center"/>
            <w:tcMar>
              <w:top w:w="80" w:type="dxa"/>
              <w:start w:w="120" w:type="dxa"/>
              <w:bottom w:w="80" w:type="dxa"/>
              <w:end w:w="120" w:type="dxa"/>
            </w:tcMar>
          </w:tcPr>
          <w:p>
            <w:r>
              <w:rPr>
                <w:sz w:val="16"/>
                <w:lang w:val="en-GB" w:eastAsia="en-GB" w:bidi="en-GB"/>
              </w:rPr>
              <w:t>Distribution and MCP Registry comparison</w:t>
            </w:r>
          </w:p>
        </w:tc>
        <w:tc>
          <w:tcPr>
            <w:tcW w:type="dxa" w:w="1916"/>
            <w:vAlign w:val="center"/>
            <w:tcMar>
              <w:top w:w="80" w:type="dxa"/>
              <w:start w:w="120" w:type="dxa"/>
              <w:bottom w:w="80" w:type="dxa"/>
              <w:end w:w="120" w:type="dxa"/>
            </w:tcMar>
          </w:tcPr>
          <w:p>
            <w:r>
              <w:rPr>
                <w:sz w:val="16"/>
                <w:lang w:val="en-GB" w:eastAsia="en-GB" w:bidi="en-GB"/>
              </w:rPr>
              <w:t>GitHub release, release server.json, live official MCP Registry and Docker manifests</w:t>
            </w:r>
          </w:p>
        </w:tc>
        <w:tc>
          <w:tcPr>
            <w:tcW w:type="dxa" w:w="1916"/>
            <w:vAlign w:val="center"/>
            <w:tcMar>
              <w:top w:w="80" w:type="dxa"/>
              <w:start w:w="120" w:type="dxa"/>
              <w:bottom w:w="80" w:type="dxa"/>
              <w:end w:w="120" w:type="dxa"/>
            </w:tcMar>
          </w:tcPr>
          <w:p>
            <w:r>
              <w:rPr>
                <w:sz w:val="16"/>
                <w:lang w:val="en-GB" w:eastAsia="en-GB" w:bidi="en-GB"/>
              </w:rPr>
              <w:t>Name, version, image, digest, alias and update-guidance reconciliation</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Mutable tags and registry records may change after collection.</w:t>
            </w:r>
          </w:p>
        </w:tc>
      </w:tr>
      <w:tr>
        <w:trPr>
          <w:cantSplit/>
        </w:trPr>
        <w:tc>
          <w:tcPr>
            <w:tcW w:type="dxa" w:w="974"/>
            <w:vAlign w:val="center"/>
            <w:tcMar>
              <w:top w:w="80" w:type="dxa"/>
              <w:start w:w="120" w:type="dxa"/>
              <w:bottom w:w="80" w:type="dxa"/>
              <w:end w:w="120" w:type="dxa"/>
            </w:tcMar>
          </w:tcPr>
          <w:p>
            <w:r>
              <w:rPr>
                <w:sz w:val="16"/>
                <w:lang w:val="en-GB" w:eastAsia="en-GB" w:bidi="en-GB"/>
              </w:rPr>
              <w:t>EVD-IDE-001</w:t>
            </w:r>
          </w:p>
        </w:tc>
        <w:tc>
          <w:tcPr>
            <w:tcW w:type="dxa" w:w="1438"/>
            <w:vAlign w:val="center"/>
            <w:tcMar>
              <w:top w:w="80" w:type="dxa"/>
              <w:start w:w="120" w:type="dxa"/>
              <w:bottom w:w="80" w:type="dxa"/>
              <w:end w:w="120" w:type="dxa"/>
            </w:tcMar>
          </w:tcPr>
          <w:p>
            <w:r>
              <w:rPr>
                <w:sz w:val="16"/>
                <w:lang w:val="en-GB" w:eastAsia="en-GB" w:bidi="en-GB"/>
              </w:rPr>
              <w:t>IDE support scope</w:t>
            </w:r>
          </w:p>
        </w:tc>
        <w:tc>
          <w:tcPr>
            <w:tcW w:type="dxa" w:w="1916"/>
            <w:vAlign w:val="center"/>
            <w:tcMar>
              <w:top w:w="80" w:type="dxa"/>
              <w:start w:w="120" w:type="dxa"/>
              <w:bottom w:w="80" w:type="dxa"/>
              <w:end w:w="120" w:type="dxa"/>
            </w:tcMar>
          </w:tcPr>
          <w:p>
            <w:r>
              <w:rPr>
                <w:sz w:val="16"/>
                <w:lang w:val="en-GB" w:eastAsia="en-GB" w:bidi="en-GB"/>
              </w:rPr>
              <w:t>Official README and SonarQube MCP documentation</w:t>
            </w:r>
          </w:p>
        </w:tc>
        <w:tc>
          <w:tcPr>
            <w:tcW w:type="dxa" w:w="1916"/>
            <w:vAlign w:val="center"/>
            <w:tcMar>
              <w:top w:w="80" w:type="dxa"/>
              <w:start w:w="120" w:type="dxa"/>
              <w:bottom w:w="80" w:type="dxa"/>
              <w:end w:w="120" w:type="dxa"/>
            </w:tcMar>
          </w:tcPr>
          <w:p>
            <w:r>
              <w:rPr>
                <w:sz w:val="16"/>
                <w:lang w:val="en-GB" w:eastAsia="en-GB" w:bidi="en-GB"/>
              </w:rPr>
              <w:t>First-party install-link, configuration and product-identity review for VS Code and Visual Studio</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No VS Code UI installation was performed and no full Visual Studio first-party integration was found.</w:t>
            </w:r>
          </w:p>
        </w:tc>
      </w:tr>
      <w:tr>
        <w:trPr>
          <w:cantSplit/>
        </w:trPr>
        <w:tc>
          <w:tcPr>
            <w:tcW w:type="dxa" w:w="974"/>
            <w:vAlign w:val="center"/>
            <w:tcMar>
              <w:top w:w="80" w:type="dxa"/>
              <w:start w:w="120" w:type="dxa"/>
              <w:bottom w:w="80" w:type="dxa"/>
              <w:end w:w="120" w:type="dxa"/>
            </w:tcMar>
          </w:tcPr>
          <w:p>
            <w:r>
              <w:rPr>
                <w:sz w:val="16"/>
                <w:lang w:val="en-GB" w:eastAsia="en-GB" w:bidi="en-GB"/>
              </w:rPr>
              <w:t>EVD-WORKFLOW-001</w:t>
            </w:r>
          </w:p>
        </w:tc>
        <w:tc>
          <w:tcPr>
            <w:tcW w:type="dxa" w:w="1438"/>
            <w:vAlign w:val="center"/>
            <w:tcMar>
              <w:top w:w="80" w:type="dxa"/>
              <w:start w:w="120" w:type="dxa"/>
              <w:bottom w:w="80" w:type="dxa"/>
              <w:end w:w="120" w:type="dxa"/>
            </w:tcMar>
          </w:tcPr>
          <w:p>
            <w:r>
              <w:rPr>
                <w:sz w:val="16"/>
                <w:lang w:val="en-GB" w:eastAsia="en-GB" w:bidi="en-GB"/>
              </w:rPr>
              <w:t>Build and release workflow review</w:t>
            </w:r>
          </w:p>
        </w:tc>
        <w:tc>
          <w:tcPr>
            <w:tcW w:type="dxa" w:w="1916"/>
            <w:vAlign w:val="center"/>
            <w:tcMar>
              <w:top w:w="80" w:type="dxa"/>
              <w:start w:w="120" w:type="dxa"/>
              <w:bottom w:w="80" w:type="dxa"/>
              <w:end w:w="120" w:type="dxa"/>
            </w:tcMar>
          </w:tcPr>
          <w:p>
            <w:r>
              <w:rPr>
                <w:sz w:val="16"/>
                <w:lang w:val="en-GB" w:eastAsia="en-GB" w:bidi="en-GB"/>
              </w:rPr>
              <w:t>Source snapshot Dockerfile and GitHub Actions workflows</w:t>
            </w:r>
          </w:p>
        </w:tc>
        <w:tc>
          <w:tcPr>
            <w:tcW w:type="dxa" w:w="1916"/>
            <w:vAlign w:val="center"/>
            <w:tcMar>
              <w:top w:w="80" w:type="dxa"/>
              <w:start w:w="120" w:type="dxa"/>
              <w:bottom w:w="80" w:type="dxa"/>
              <w:end w:w="120" w:type="dxa"/>
            </w:tcMar>
          </w:tcPr>
          <w:p>
            <w:r>
              <w:rPr>
                <w:sz w:val="16"/>
                <w:lang w:val="en-GB" w:eastAsia="en-GB" w:bidi="en-GB"/>
              </w:rPr>
              <w:t>Pinned-action, secret boundary, immutable input, SBOM, provenance, build-once and promotion review</w:t>
            </w:r>
          </w:p>
        </w:tc>
        <w:tc>
          <w:tcPr>
            <w:tcW w:type="dxa" w:w="1200"/>
            <w:vAlign w:val="center"/>
            <w:tcMar>
              <w:top w:w="80" w:type="dxa"/>
              <w:start w:w="120" w:type="dxa"/>
              <w:bottom w:w="80" w:type="dxa"/>
              <w:end w:w="120" w:type="dxa"/>
            </w:tcMar>
          </w:tcPr>
          <w:p>
            <w:r>
              <w:rPr>
                <w:sz w:val="16"/>
                <w:lang w:val="en-GB" w:eastAsia="en-GB" w:bidi="en-GB"/>
              </w:rPr>
              <w:t>Verified</w:t>
            </w:r>
          </w:p>
        </w:tc>
        <w:tc>
          <w:tcPr>
            <w:tcW w:type="dxa" w:w="1916"/>
            <w:vAlign w:val="center"/>
            <w:tcMar>
              <w:top w:w="80" w:type="dxa"/>
              <w:start w:w="120" w:type="dxa"/>
              <w:bottom w:w="80" w:type="dxa"/>
              <w:end w:w="120" w:type="dxa"/>
            </w:tcMar>
          </w:tcPr>
          <w:p>
            <w:r>
              <w:rPr>
                <w:sz w:val="16"/>
                <w:lang w:val="en-GB" w:eastAsia="en-GB" w:bidi="en-GB"/>
              </w:rPr>
              <w:t>Repository settings, protected-environment rules and publisher infrastructure were not assessed.</w:t>
            </w:r>
          </w:p>
        </w:tc>
      </w:tr>
    </w:tbl>
    <w:p>
      <w:pPr>
        <w:widowControl/>
      </w:pPr>
    </w:p>
    <w:p>
      <w:pPr>
        <w:pStyle w:val="Heading1"/>
        <w:keepNext/>
        <w:pageBreakBefore/>
        <w:widowControl/>
      </w:pPr>
      <w:r>
        <w:rPr>
          <w:lang w:val="en-GB" w:eastAsia="en-GB" w:bidi="en-GB"/>
        </w:rPr>
        <w:t>References</w:t>
      </w:r>
    </w:p>
    <w:tbl>
      <w:tblPr>
        <w:tblStyle w:val="TableGrid"/>
        <w:tblW w:type="dxa" w:w="9360"/>
        <w:tblLayout w:type="fixed"/>
        <w:tblLook w:firstColumn="1" w:firstRow="1" w:lastColumn="0" w:lastRow="0" w:noHBand="0" w:noVBand="1" w:val="04A0"/>
        <w:tblInd w:w="120" w:type="dxa"/>
      </w:tblPr>
      <w:tblGrid>
        <w:gridCol w:w="851"/>
        <w:gridCol w:w="1541"/>
        <w:gridCol w:w="1475"/>
        <w:gridCol w:w="2034"/>
        <w:gridCol w:w="1424"/>
        <w:gridCol w:w="2035"/>
      </w:tblGrid>
      <w:tr>
        <w:trPr>
          <w:tblHeader w:val="true"/>
          <w:cantSplit/>
        </w:trPr>
        <w:tc>
          <w:tcPr>
            <w:tcW w:type="dxa" w:w="851"/>
            <w:shd w:fill="F2F4F7"/>
            <w:tcMar>
              <w:top w:w="80" w:type="dxa"/>
              <w:start w:w="120" w:type="dxa"/>
              <w:bottom w:w="80" w:type="dxa"/>
              <w:end w:w="120" w:type="dxa"/>
            </w:tcMar>
          </w:tcPr>
          <w:p>
            <w:r>
              <w:rPr>
                <w:lang w:val="en-GB" w:eastAsia="en-GB" w:bidi="en-GB"/>
              </w:rPr>
              <w:t>ID</w:t>
            </w:r>
          </w:p>
        </w:tc>
        <w:tc>
          <w:tcPr>
            <w:tcW w:type="dxa" w:w="1541"/>
            <w:shd w:fill="F2F4F7"/>
            <w:tcMar>
              <w:top w:w="80" w:type="dxa"/>
              <w:start w:w="120" w:type="dxa"/>
              <w:bottom w:w="80" w:type="dxa"/>
              <w:end w:w="120" w:type="dxa"/>
            </w:tcMar>
          </w:tcPr>
          <w:p>
            <w:r>
              <w:rPr>
                <w:lang w:val="en-GB" w:eastAsia="en-GB" w:bidi="en-GB"/>
              </w:rPr>
              <w:t>Title</w:t>
            </w:r>
          </w:p>
        </w:tc>
        <w:tc>
          <w:tcPr>
            <w:tcW w:type="dxa" w:w="1475"/>
            <w:shd w:fill="F2F4F7"/>
            <w:tcMar>
              <w:top w:w="80" w:type="dxa"/>
              <w:start w:w="120" w:type="dxa"/>
              <w:bottom w:w="80" w:type="dxa"/>
              <w:end w:w="120" w:type="dxa"/>
            </w:tcMar>
          </w:tcPr>
          <w:p>
            <w:r>
              <w:rPr>
                <w:lang w:val="en-GB" w:eastAsia="en-GB" w:bidi="en-GB"/>
              </w:rPr>
              <w:t>Publisher</w:t>
            </w:r>
          </w:p>
        </w:tc>
        <w:tc>
          <w:tcPr>
            <w:tcW w:type="dxa" w:w="2034"/>
            <w:shd w:fill="F2F4F7"/>
            <w:tcMar>
              <w:top w:w="80" w:type="dxa"/>
              <w:start w:w="120" w:type="dxa"/>
              <w:bottom w:w="80" w:type="dxa"/>
              <w:end w:w="120" w:type="dxa"/>
            </w:tcMar>
          </w:tcPr>
          <w:p>
            <w:r>
              <w:rPr>
                <w:lang w:val="en-GB" w:eastAsia="en-GB" w:bidi="en-GB"/>
              </w:rPr>
              <w:t>Source</w:t>
            </w:r>
          </w:p>
        </w:tc>
        <w:tc>
          <w:tcPr>
            <w:tcW w:type="dxa" w:w="1424"/>
            <w:shd w:fill="F2F4F7"/>
            <w:tcMar>
              <w:top w:w="80" w:type="dxa"/>
              <w:start w:w="120" w:type="dxa"/>
              <w:bottom w:w="80" w:type="dxa"/>
              <w:end w:w="120" w:type="dxa"/>
            </w:tcMar>
            <w:noWrap/>
          </w:tcPr>
          <w:p>
            <w:r>
              <w:rPr>
                <w:lang w:val="en-GB" w:eastAsia="en-GB" w:bidi="en-GB"/>
              </w:rPr>
              <w:t>Accessed</w:t>
            </w:r>
          </w:p>
        </w:tc>
        <w:tc>
          <w:tcPr>
            <w:tcW w:type="dxa" w:w="2035"/>
            <w:shd w:fill="F2F4F7"/>
            <w:tcMar>
              <w:top w:w="80" w:type="dxa"/>
              <w:start w:w="120" w:type="dxa"/>
              <w:bottom w:w="80" w:type="dxa"/>
              <w:end w:w="120" w:type="dxa"/>
            </w:tcMar>
          </w:tcPr>
          <w:p>
            <w:r>
              <w:rPr>
                <w:lang w:val="en-GB" w:eastAsia="en-GB" w:bidi="en-GB"/>
              </w:rPr>
              <w:t>Applicability</w:t>
            </w:r>
          </w:p>
        </w:tc>
      </w:tr>
      <w:tr>
        <w:trPr>
          <w:cantSplit/>
        </w:trPr>
        <w:tc>
          <w:tcPr>
            <w:tcW w:type="dxa" w:w="851"/>
            <w:vAlign w:val="center"/>
            <w:tcMar>
              <w:top w:w="80" w:type="dxa"/>
              <w:start w:w="120" w:type="dxa"/>
              <w:bottom w:w="80" w:type="dxa"/>
              <w:end w:w="120" w:type="dxa"/>
            </w:tcMar>
          </w:tcPr>
          <w:p>
            <w:bookmarkStart w:id="1000" w:name="REF_001"/>
            <w:r>
              <w:rPr>
                <w:b/>
                <w:sz w:val="16"/>
                <w:lang w:val="en-GB" w:eastAsia="en-GB" w:bidi="en-GB"/>
              </w:rPr>
              <w:t>REF-001</w:t>
            </w:r>
            <w:bookmarkEnd w:id="1000"/>
          </w:p>
        </w:tc>
        <w:tc>
          <w:tcPr>
            <w:tcW w:type="dxa" w:w="1541"/>
            <w:vAlign w:val="center"/>
            <w:tcMar>
              <w:top w:w="80" w:type="dxa"/>
              <w:start w:w="120" w:type="dxa"/>
              <w:bottom w:w="80" w:type="dxa"/>
              <w:end w:w="120" w:type="dxa"/>
            </w:tcMar>
          </w:tcPr>
          <w:p>
            <w:r>
              <w:rPr>
                <w:sz w:val="16"/>
                <w:lang w:val="en-GB" w:eastAsia="en-GB" w:bidi="en-GB"/>
              </w:rPr>
              <w:t>SonarQube MCP Server repository</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2">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Official first-party identity, source and configuration.</w:t>
            </w:r>
          </w:p>
        </w:tc>
      </w:tr>
      <w:tr>
        <w:trPr>
          <w:cantSplit/>
        </w:trPr>
        <w:tc>
          <w:tcPr>
            <w:tcW w:type="dxa" w:w="851"/>
            <w:vAlign w:val="center"/>
            <w:tcMar>
              <w:top w:w="80" w:type="dxa"/>
              <w:start w:w="120" w:type="dxa"/>
              <w:bottom w:w="80" w:type="dxa"/>
              <w:end w:w="120" w:type="dxa"/>
            </w:tcMar>
          </w:tcPr>
          <w:p>
            <w:bookmarkStart w:id="1001" w:name="REF_002"/>
            <w:r>
              <w:rPr>
                <w:b/>
                <w:sz w:val="16"/>
                <w:lang w:val="en-GB" w:eastAsia="en-GB" w:bidi="en-GB"/>
              </w:rPr>
              <w:t>REF-002</w:t>
            </w:r>
            <w:bookmarkEnd w:id="1001"/>
          </w:p>
        </w:tc>
        <w:tc>
          <w:tcPr>
            <w:tcW w:type="dxa" w:w="1541"/>
            <w:vAlign w:val="center"/>
            <w:tcMar>
              <w:top w:w="80" w:type="dxa"/>
              <w:start w:w="120" w:type="dxa"/>
              <w:bottom w:w="80" w:type="dxa"/>
              <w:end w:w="120" w:type="dxa"/>
            </w:tcMar>
          </w:tcPr>
          <w:p>
            <w:r>
              <w:rPr>
                <w:sz w:val="16"/>
                <w:lang w:val="en-GB" w:eastAsia="en-GB" w:bidi="en-GB"/>
              </w:rPr>
              <w:t>Release 1.24.0.3152</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3">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Selected immutable release identity.</w:t>
            </w:r>
          </w:p>
        </w:tc>
      </w:tr>
      <w:tr>
        <w:trPr>
          <w:cantSplit/>
        </w:trPr>
        <w:tc>
          <w:tcPr>
            <w:tcW w:type="dxa" w:w="851"/>
            <w:vAlign w:val="center"/>
            <w:tcMar>
              <w:top w:w="80" w:type="dxa"/>
              <w:start w:w="120" w:type="dxa"/>
              <w:bottom w:w="80" w:type="dxa"/>
              <w:end w:w="120" w:type="dxa"/>
            </w:tcMar>
          </w:tcPr>
          <w:p>
            <w:bookmarkStart w:id="1002" w:name="REF_003"/>
            <w:r>
              <w:rPr>
                <w:b/>
                <w:sz w:val="16"/>
                <w:lang w:val="en-GB" w:eastAsia="en-GB" w:bidi="en-GB"/>
              </w:rPr>
              <w:t>REF-003</w:t>
            </w:r>
            <w:bookmarkEnd w:id="1002"/>
          </w:p>
        </w:tc>
        <w:tc>
          <w:tcPr>
            <w:tcW w:type="dxa" w:w="1541"/>
            <w:vAlign w:val="center"/>
            <w:tcMar>
              <w:top w:w="80" w:type="dxa"/>
              <w:start w:w="120" w:type="dxa"/>
              <w:bottom w:w="80" w:type="dxa"/>
              <w:end w:w="120" w:type="dxa"/>
            </w:tcMar>
          </w:tcPr>
          <w:p>
            <w:r>
              <w:rPr>
                <w:sz w:val="16"/>
                <w:lang w:val="en-GB" w:eastAsia="en-GB" w:bidi="en-GB"/>
              </w:rPr>
              <w:t>SonarQube MCP Server documentation</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4">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Official product, installation and operational guidance.</w:t>
            </w:r>
          </w:p>
        </w:tc>
      </w:tr>
      <w:tr>
        <w:trPr>
          <w:cantSplit/>
        </w:trPr>
        <w:tc>
          <w:tcPr>
            <w:tcW w:type="dxa" w:w="851"/>
            <w:vAlign w:val="center"/>
            <w:tcMar>
              <w:top w:w="80" w:type="dxa"/>
              <w:start w:w="120" w:type="dxa"/>
              <w:bottom w:w="80" w:type="dxa"/>
              <w:end w:w="120" w:type="dxa"/>
            </w:tcMar>
          </w:tcPr>
          <w:p>
            <w:bookmarkStart w:id="1003" w:name="REF_004"/>
            <w:r>
              <w:rPr>
                <w:b/>
                <w:sz w:val="16"/>
                <w:lang w:val="en-GB" w:eastAsia="en-GB" w:bidi="en-GB"/>
              </w:rPr>
              <w:t>REF-004</w:t>
            </w:r>
            <w:bookmarkEnd w:id="1003"/>
          </w:p>
        </w:tc>
        <w:tc>
          <w:tcPr>
            <w:tcW w:type="dxa" w:w="1541"/>
            <w:vAlign w:val="center"/>
            <w:tcMar>
              <w:top w:w="80" w:type="dxa"/>
              <w:start w:w="120" w:type="dxa"/>
              <w:bottom w:w="80" w:type="dxa"/>
              <w:end w:w="120" w:type="dxa"/>
            </w:tcMar>
          </w:tcPr>
          <w:p>
            <w:r>
              <w:rPr>
                <w:sz w:val="16"/>
                <w:lang w:val="en-GB" w:eastAsia="en-GB" w:bidi="en-GB"/>
              </w:rPr>
              <w:t>Environment variables</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5">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Token, transport, toolset, read-only and telemetry controls.</w:t>
            </w:r>
          </w:p>
        </w:tc>
      </w:tr>
      <w:tr>
        <w:trPr>
          <w:cantSplit/>
        </w:trPr>
        <w:tc>
          <w:tcPr>
            <w:tcW w:type="dxa" w:w="851"/>
            <w:vAlign w:val="center"/>
            <w:tcMar>
              <w:top w:w="80" w:type="dxa"/>
              <w:start w:w="120" w:type="dxa"/>
              <w:bottom w:w="80" w:type="dxa"/>
              <w:end w:w="120" w:type="dxa"/>
            </w:tcMar>
          </w:tcPr>
          <w:p>
            <w:bookmarkStart w:id="1004" w:name="REF_005"/>
            <w:r>
              <w:rPr>
                <w:b/>
                <w:sz w:val="16"/>
                <w:lang w:val="en-GB" w:eastAsia="en-GB" w:bidi="en-GB"/>
              </w:rPr>
              <w:t>REF-005</w:t>
            </w:r>
            <w:bookmarkEnd w:id="1004"/>
          </w:p>
        </w:tc>
        <w:tc>
          <w:tcPr>
            <w:tcW w:type="dxa" w:w="1541"/>
            <w:vAlign w:val="center"/>
            <w:tcMar>
              <w:top w:w="80" w:type="dxa"/>
              <w:start w:w="120" w:type="dxa"/>
              <w:bottom w:w="80" w:type="dxa"/>
              <w:end w:w="120" w:type="dxa"/>
            </w:tcMar>
          </w:tcPr>
          <w:p>
            <w:r>
              <w:rPr>
                <w:sz w:val="16"/>
                <w:lang w:val="en-GB" w:eastAsia="en-GB" w:bidi="en-GB"/>
              </w:rPr>
              <w:t>SonarQube MCP container image</w:t>
            </w:r>
          </w:p>
        </w:tc>
        <w:tc>
          <w:tcPr>
            <w:tcW w:type="dxa" w:w="1475"/>
            <w:vAlign w:val="center"/>
            <w:tcMar>
              <w:top w:w="80" w:type="dxa"/>
              <w:start w:w="120" w:type="dxa"/>
              <w:bottom w:w="80" w:type="dxa"/>
              <w:end w:w="120" w:type="dxa"/>
            </w:tcMar>
          </w:tcPr>
          <w:p>
            <w:r>
              <w:rPr>
                <w:sz w:val="16"/>
                <w:lang w:val="en-GB" w:eastAsia="en-GB" w:bidi="en-GB"/>
              </w:rPr>
              <w:t>SonarSource / Docker Hub</w:t>
            </w:r>
          </w:p>
        </w:tc>
        <w:tc>
          <w:tcPr>
            <w:tcW w:type="dxa" w:w="2034"/>
            <w:vAlign w:val="center"/>
            <w:tcMar>
              <w:top w:w="80" w:type="dxa"/>
              <w:start w:w="120" w:type="dxa"/>
              <w:bottom w:w="80" w:type="dxa"/>
              <w:end w:w="120" w:type="dxa"/>
            </w:tcMar>
          </w:tcPr>
          <w:p>
            <w:hyperlink r:id="rId16">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First-party container distribution.</w:t>
            </w:r>
          </w:p>
        </w:tc>
      </w:tr>
      <w:tr>
        <w:trPr>
          <w:cantSplit/>
        </w:trPr>
        <w:tc>
          <w:tcPr>
            <w:tcW w:type="dxa" w:w="851"/>
            <w:vAlign w:val="center"/>
            <w:tcMar>
              <w:top w:w="80" w:type="dxa"/>
              <w:start w:w="120" w:type="dxa"/>
              <w:bottom w:w="80" w:type="dxa"/>
              <w:end w:w="120" w:type="dxa"/>
            </w:tcMar>
          </w:tcPr>
          <w:p>
            <w:bookmarkStart w:id="1005" w:name="REF_006"/>
            <w:r>
              <w:rPr>
                <w:b/>
                <w:sz w:val="16"/>
                <w:lang w:val="en-GB" w:eastAsia="en-GB" w:bidi="en-GB"/>
              </w:rPr>
              <w:t>REF-006</w:t>
            </w:r>
            <w:bookmarkEnd w:id="1005"/>
          </w:p>
        </w:tc>
        <w:tc>
          <w:tcPr>
            <w:tcW w:type="dxa" w:w="1541"/>
            <w:vAlign w:val="center"/>
            <w:tcMar>
              <w:top w:w="80" w:type="dxa"/>
              <w:start w:w="120" w:type="dxa"/>
              <w:bottom w:w="80" w:type="dxa"/>
              <w:end w:w="120" w:type="dxa"/>
            </w:tcMar>
          </w:tcPr>
          <w:p>
            <w:r>
              <w:rPr>
                <w:sz w:val="16"/>
                <w:lang w:val="en-GB" w:eastAsia="en-GB" w:bidi="en-GB"/>
              </w:rPr>
              <w:t>MCP Registry</w:t>
            </w:r>
          </w:p>
        </w:tc>
        <w:tc>
          <w:tcPr>
            <w:tcW w:type="dxa" w:w="1475"/>
            <w:vAlign w:val="center"/>
            <w:tcMar>
              <w:top w:w="80" w:type="dxa"/>
              <w:start w:w="120" w:type="dxa"/>
              <w:bottom w:w="80" w:type="dxa"/>
              <w:end w:w="120" w:type="dxa"/>
            </w:tcMar>
          </w:tcPr>
          <w:p>
            <w:r>
              <w:rPr>
                <w:sz w:val="16"/>
                <w:lang w:val="en-GB" w:eastAsia="en-GB" w:bidi="en-GB"/>
              </w:rPr>
              <w:t>Model Context Protocol</w:t>
            </w:r>
          </w:p>
        </w:tc>
        <w:tc>
          <w:tcPr>
            <w:tcW w:type="dxa" w:w="2034"/>
            <w:vAlign w:val="center"/>
            <w:tcMar>
              <w:top w:w="80" w:type="dxa"/>
              <w:start w:w="120" w:type="dxa"/>
              <w:bottom w:w="80" w:type="dxa"/>
              <w:end w:w="120" w:type="dxa"/>
            </w:tcMar>
          </w:tcPr>
          <w:p>
            <w:hyperlink r:id="rId17">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Official registry context and version comparison.</w:t>
            </w:r>
          </w:p>
        </w:tc>
      </w:tr>
      <w:tr>
        <w:trPr>
          <w:cantSplit/>
        </w:trPr>
        <w:tc>
          <w:tcPr>
            <w:tcW w:type="dxa" w:w="851"/>
            <w:vAlign w:val="center"/>
            <w:tcMar>
              <w:top w:w="80" w:type="dxa"/>
              <w:start w:w="120" w:type="dxa"/>
              <w:bottom w:w="80" w:type="dxa"/>
              <w:end w:w="120" w:type="dxa"/>
            </w:tcMar>
          </w:tcPr>
          <w:p>
            <w:bookmarkStart w:id="1006" w:name="REF_007"/>
            <w:r>
              <w:rPr>
                <w:b/>
                <w:sz w:val="16"/>
                <w:lang w:val="en-GB" w:eastAsia="en-GB" w:bidi="en-GB"/>
              </w:rPr>
              <w:t>REF-007</w:t>
            </w:r>
            <w:bookmarkEnd w:id="1006"/>
          </w:p>
        </w:tc>
        <w:tc>
          <w:tcPr>
            <w:tcW w:type="dxa" w:w="1541"/>
            <w:vAlign w:val="center"/>
            <w:tcMar>
              <w:top w:w="80" w:type="dxa"/>
              <w:start w:w="120" w:type="dxa"/>
              <w:bottom w:w="80" w:type="dxa"/>
              <w:end w:w="120" w:type="dxa"/>
            </w:tcMar>
          </w:tcPr>
          <w:p>
            <w:r>
              <w:rPr>
                <w:sz w:val="16"/>
                <w:lang w:val="en-GB" w:eastAsia="en-GB" w:bidi="en-GB"/>
              </w:rPr>
              <w:t>Sonar Source-Available License</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8">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Target licence terms and deployment constraints.</w:t>
            </w:r>
          </w:p>
        </w:tc>
      </w:tr>
      <w:tr>
        <w:trPr>
          <w:cantSplit/>
        </w:trPr>
        <w:tc>
          <w:tcPr>
            <w:tcW w:type="dxa" w:w="851"/>
            <w:vAlign w:val="center"/>
            <w:tcMar>
              <w:top w:w="80" w:type="dxa"/>
              <w:start w:w="120" w:type="dxa"/>
              <w:bottom w:w="80" w:type="dxa"/>
              <w:end w:w="120" w:type="dxa"/>
            </w:tcMar>
          </w:tcPr>
          <w:p>
            <w:bookmarkStart w:id="1007" w:name="REF_008"/>
            <w:r>
              <w:rPr>
                <w:b/>
                <w:sz w:val="16"/>
                <w:lang w:val="en-GB" w:eastAsia="en-GB" w:bidi="en-GB"/>
              </w:rPr>
              <w:t>REF-008</w:t>
            </w:r>
            <w:bookmarkEnd w:id="1007"/>
          </w:p>
        </w:tc>
        <w:tc>
          <w:tcPr>
            <w:tcW w:type="dxa" w:w="1541"/>
            <w:vAlign w:val="center"/>
            <w:tcMar>
              <w:top w:w="80" w:type="dxa"/>
              <w:start w:w="120" w:type="dxa"/>
              <w:bottom w:w="80" w:type="dxa"/>
              <w:end w:w="120" w:type="dxa"/>
            </w:tcMar>
          </w:tcPr>
          <w:p>
            <w:r>
              <w:rPr>
                <w:sz w:val="16"/>
                <w:lang w:val="en-GB" w:eastAsia="en-GB" w:bidi="en-GB"/>
              </w:rPr>
              <w:t>Jackson databind generic type validation bypass</w:t>
            </w:r>
          </w:p>
        </w:tc>
        <w:tc>
          <w:tcPr>
            <w:tcW w:type="dxa" w:w="1475"/>
            <w:vAlign w:val="center"/>
            <w:tcMar>
              <w:top w:w="80" w:type="dxa"/>
              <w:start w:w="120" w:type="dxa"/>
              <w:bottom w:w="80" w:type="dxa"/>
              <w:end w:w="120" w:type="dxa"/>
            </w:tcMar>
          </w:tcPr>
          <w:p>
            <w:r>
              <w:rPr>
                <w:sz w:val="16"/>
                <w:lang w:val="en-GB" w:eastAsia="en-GB" w:bidi="en-GB"/>
              </w:rPr>
              <w:t>GitHub Advisory Database</w:t>
            </w:r>
          </w:p>
        </w:tc>
        <w:tc>
          <w:tcPr>
            <w:tcW w:type="dxa" w:w="2034"/>
            <w:vAlign w:val="center"/>
            <w:tcMar>
              <w:top w:w="80" w:type="dxa"/>
              <w:start w:w="120" w:type="dxa"/>
              <w:bottom w:w="80" w:type="dxa"/>
              <w:end w:w="120" w:type="dxa"/>
            </w:tcMar>
          </w:tcPr>
          <w:p>
            <w:hyperlink r:id="rId19">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Affected and fixed Jackson versions and impact preconditions.</w:t>
            </w:r>
          </w:p>
        </w:tc>
      </w:tr>
      <w:tr>
        <w:trPr>
          <w:cantSplit/>
        </w:trPr>
        <w:tc>
          <w:tcPr>
            <w:tcW w:type="dxa" w:w="851"/>
            <w:vAlign w:val="center"/>
            <w:tcMar>
              <w:top w:w="80" w:type="dxa"/>
              <w:start w:w="120" w:type="dxa"/>
              <w:bottom w:w="80" w:type="dxa"/>
              <w:end w:w="120" w:type="dxa"/>
            </w:tcMar>
          </w:tcPr>
          <w:p>
            <w:bookmarkStart w:id="1008" w:name="REF_009"/>
            <w:r>
              <w:rPr>
                <w:b/>
                <w:sz w:val="16"/>
                <w:lang w:val="en-GB" w:eastAsia="en-GB" w:bidi="en-GB"/>
              </w:rPr>
              <w:t>REF-009</w:t>
            </w:r>
            <w:bookmarkEnd w:id="1008"/>
          </w:p>
        </w:tc>
        <w:tc>
          <w:tcPr>
            <w:tcW w:type="dxa" w:w="1541"/>
            <w:vAlign w:val="center"/>
            <w:tcMar>
              <w:top w:w="80" w:type="dxa"/>
              <w:start w:w="120" w:type="dxa"/>
              <w:bottom w:w="80" w:type="dxa"/>
              <w:end w:w="120" w:type="dxa"/>
            </w:tcMar>
          </w:tcPr>
          <w:p>
            <w:r>
              <w:rPr>
                <w:sz w:val="16"/>
                <w:lang w:val="en-GB" w:eastAsia="en-GB" w:bidi="en-GB"/>
              </w:rPr>
              <w:t>Jackson databind array validation bypass</w:t>
            </w:r>
          </w:p>
        </w:tc>
        <w:tc>
          <w:tcPr>
            <w:tcW w:type="dxa" w:w="1475"/>
            <w:vAlign w:val="center"/>
            <w:tcMar>
              <w:top w:w="80" w:type="dxa"/>
              <w:start w:w="120" w:type="dxa"/>
              <w:bottom w:w="80" w:type="dxa"/>
              <w:end w:w="120" w:type="dxa"/>
            </w:tcMar>
          </w:tcPr>
          <w:p>
            <w:r>
              <w:rPr>
                <w:sz w:val="16"/>
                <w:lang w:val="en-GB" w:eastAsia="en-GB" w:bidi="en-GB"/>
              </w:rPr>
              <w:t>GitHub Advisory Database</w:t>
            </w:r>
          </w:p>
        </w:tc>
        <w:tc>
          <w:tcPr>
            <w:tcW w:type="dxa" w:w="2034"/>
            <w:vAlign w:val="center"/>
            <w:tcMar>
              <w:top w:w="80" w:type="dxa"/>
              <w:start w:w="120" w:type="dxa"/>
              <w:bottom w:w="80" w:type="dxa"/>
              <w:end w:w="120" w:type="dxa"/>
            </w:tcMar>
          </w:tcPr>
          <w:p>
            <w:hyperlink r:id="rId20">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Affected and fixed Jackson versions and impact preconditions.</w:t>
            </w:r>
          </w:p>
        </w:tc>
      </w:tr>
      <w:tr>
        <w:trPr>
          <w:cantSplit/>
        </w:trPr>
        <w:tc>
          <w:tcPr>
            <w:tcW w:type="dxa" w:w="851"/>
            <w:vAlign w:val="center"/>
            <w:tcMar>
              <w:top w:w="80" w:type="dxa"/>
              <w:start w:w="120" w:type="dxa"/>
              <w:bottom w:w="80" w:type="dxa"/>
              <w:end w:w="120" w:type="dxa"/>
            </w:tcMar>
          </w:tcPr>
          <w:p>
            <w:bookmarkStart w:id="1009" w:name="REF_010"/>
            <w:r>
              <w:rPr>
                <w:b/>
                <w:sz w:val="16"/>
                <w:lang w:val="en-GB" w:eastAsia="en-GB" w:bidi="en-GB"/>
              </w:rPr>
              <w:t>REF-010</w:t>
            </w:r>
            <w:bookmarkEnd w:id="1009"/>
          </w:p>
        </w:tc>
        <w:tc>
          <w:tcPr>
            <w:tcW w:type="dxa" w:w="1541"/>
            <w:vAlign w:val="center"/>
            <w:tcMar>
              <w:top w:w="80" w:type="dxa"/>
              <w:start w:w="120" w:type="dxa"/>
              <w:bottom w:w="80" w:type="dxa"/>
              <w:end w:w="120" w:type="dxa"/>
            </w:tcMar>
          </w:tcPr>
          <w:p>
            <w:r>
              <w:rPr>
                <w:sz w:val="16"/>
                <w:lang w:val="en-GB" w:eastAsia="en-GB" w:bidi="en-GB"/>
              </w:rPr>
              <w:t>Jackson core async parser length bypass</w:t>
            </w:r>
          </w:p>
        </w:tc>
        <w:tc>
          <w:tcPr>
            <w:tcW w:type="dxa" w:w="1475"/>
            <w:vAlign w:val="center"/>
            <w:tcMar>
              <w:top w:w="80" w:type="dxa"/>
              <w:start w:w="120" w:type="dxa"/>
              <w:bottom w:w="80" w:type="dxa"/>
              <w:end w:w="120" w:type="dxa"/>
            </w:tcMar>
          </w:tcPr>
          <w:p>
            <w:r>
              <w:rPr>
                <w:sz w:val="16"/>
                <w:lang w:val="en-GB" w:eastAsia="en-GB" w:bidi="en-GB"/>
              </w:rPr>
              <w:t>GitHub Advisory Database</w:t>
            </w:r>
          </w:p>
        </w:tc>
        <w:tc>
          <w:tcPr>
            <w:tcW w:type="dxa" w:w="2034"/>
            <w:vAlign w:val="center"/>
            <w:tcMar>
              <w:top w:w="80" w:type="dxa"/>
              <w:start w:w="120" w:type="dxa"/>
              <w:bottom w:w="80" w:type="dxa"/>
              <w:end w:w="120" w:type="dxa"/>
            </w:tcMar>
          </w:tcPr>
          <w:p>
            <w:hyperlink r:id="rId21">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Affected and fixed parser versions and memory-exhaustion mechanism.</w:t>
            </w:r>
          </w:p>
        </w:tc>
      </w:tr>
      <w:tr>
        <w:trPr>
          <w:cantSplit/>
        </w:trPr>
        <w:tc>
          <w:tcPr>
            <w:tcW w:type="dxa" w:w="851"/>
            <w:vAlign w:val="center"/>
            <w:tcMar>
              <w:top w:w="80" w:type="dxa"/>
              <w:start w:w="120" w:type="dxa"/>
              <w:bottom w:w="80" w:type="dxa"/>
              <w:end w:w="120" w:type="dxa"/>
            </w:tcMar>
          </w:tcPr>
          <w:p>
            <w:bookmarkStart w:id="1010" w:name="REF_011"/>
            <w:r>
              <w:rPr>
                <w:b/>
                <w:sz w:val="16"/>
                <w:lang w:val="en-GB" w:eastAsia="en-GB" w:bidi="en-GB"/>
              </w:rPr>
              <w:t>REF-011</w:t>
            </w:r>
            <w:bookmarkEnd w:id="1010"/>
          </w:p>
        </w:tc>
        <w:tc>
          <w:tcPr>
            <w:tcW w:type="dxa" w:w="1541"/>
            <w:vAlign w:val="center"/>
            <w:tcMar>
              <w:top w:w="80" w:type="dxa"/>
              <w:start w:w="120" w:type="dxa"/>
              <w:bottom w:w="80" w:type="dxa"/>
              <w:end w:w="120" w:type="dxa"/>
            </w:tcMar>
          </w:tcPr>
          <w:p>
            <w:r>
              <w:rPr>
                <w:sz w:val="16"/>
                <w:lang w:val="en-GB" w:eastAsia="en-GB" w:bidi="en-GB"/>
              </w:rPr>
              <w:t>MCP tools specification</w:t>
            </w:r>
          </w:p>
        </w:tc>
        <w:tc>
          <w:tcPr>
            <w:tcW w:type="dxa" w:w="1475"/>
            <w:vAlign w:val="center"/>
            <w:tcMar>
              <w:top w:w="80" w:type="dxa"/>
              <w:start w:w="120" w:type="dxa"/>
              <w:bottom w:w="80" w:type="dxa"/>
              <w:end w:w="120" w:type="dxa"/>
            </w:tcMar>
          </w:tcPr>
          <w:p>
            <w:r>
              <w:rPr>
                <w:sz w:val="16"/>
                <w:lang w:val="en-GB" w:eastAsia="en-GB" w:bidi="en-GB"/>
              </w:rPr>
              <w:t>Model Context Protocol</w:t>
            </w:r>
          </w:p>
        </w:tc>
        <w:tc>
          <w:tcPr>
            <w:tcW w:type="dxa" w:w="2034"/>
            <w:vAlign w:val="center"/>
            <w:tcMar>
              <w:top w:w="80" w:type="dxa"/>
              <w:start w:w="120" w:type="dxa"/>
              <w:bottom w:w="80" w:type="dxa"/>
              <w:end w:w="120" w:type="dxa"/>
            </w:tcMar>
          </w:tcPr>
          <w:p>
            <w:hyperlink r:id="rId22">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Tool discovery, invocation, annotations and human-control expectations.</w:t>
            </w:r>
          </w:p>
        </w:tc>
      </w:tr>
      <w:tr>
        <w:trPr>
          <w:cantSplit/>
        </w:trPr>
        <w:tc>
          <w:tcPr>
            <w:tcW w:type="dxa" w:w="851"/>
            <w:vAlign w:val="center"/>
            <w:tcMar>
              <w:top w:w="80" w:type="dxa"/>
              <w:start w:w="120" w:type="dxa"/>
              <w:bottom w:w="80" w:type="dxa"/>
              <w:end w:w="120" w:type="dxa"/>
            </w:tcMar>
          </w:tcPr>
          <w:p>
            <w:bookmarkStart w:id="1011" w:name="REF_012"/>
            <w:r>
              <w:rPr>
                <w:b/>
                <w:sz w:val="16"/>
                <w:lang w:val="en-GB" w:eastAsia="en-GB" w:bidi="en-GB"/>
              </w:rPr>
              <w:t>REF-012</w:t>
            </w:r>
            <w:bookmarkEnd w:id="1011"/>
          </w:p>
        </w:tc>
        <w:tc>
          <w:tcPr>
            <w:tcW w:type="dxa" w:w="1541"/>
            <w:vAlign w:val="center"/>
            <w:tcMar>
              <w:top w:w="80" w:type="dxa"/>
              <w:start w:w="120" w:type="dxa"/>
              <w:bottom w:w="80" w:type="dxa"/>
              <w:end w:w="120" w:type="dxa"/>
            </w:tcMar>
          </w:tcPr>
          <w:p>
            <w:r>
              <w:rPr>
                <w:sz w:val="16"/>
                <w:lang w:val="en-GB" w:eastAsia="en-GB" w:bidi="en-GB"/>
              </w:rPr>
              <w:t>MCP security best practices</w:t>
            </w:r>
          </w:p>
        </w:tc>
        <w:tc>
          <w:tcPr>
            <w:tcW w:type="dxa" w:w="1475"/>
            <w:vAlign w:val="center"/>
            <w:tcMar>
              <w:top w:w="80" w:type="dxa"/>
              <w:start w:w="120" w:type="dxa"/>
              <w:bottom w:w="80" w:type="dxa"/>
              <w:end w:w="120" w:type="dxa"/>
            </w:tcMar>
          </w:tcPr>
          <w:p>
            <w:r>
              <w:rPr>
                <w:sz w:val="16"/>
                <w:lang w:val="en-GB" w:eastAsia="en-GB" w:bidi="en-GB"/>
              </w:rPr>
              <w:t>OWASP Foundation</w:t>
            </w:r>
          </w:p>
        </w:tc>
        <w:tc>
          <w:tcPr>
            <w:tcW w:type="dxa" w:w="2034"/>
            <w:vAlign w:val="center"/>
            <w:tcMar>
              <w:top w:w="80" w:type="dxa"/>
              <w:start w:w="120" w:type="dxa"/>
              <w:bottom w:w="80" w:type="dxa"/>
              <w:end w:w="120" w:type="dxa"/>
            </w:tcMar>
          </w:tcPr>
          <w:p>
            <w:hyperlink r:id="rId23">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MCP trust boundaries, tool safety, consent and credential controls.</w:t>
            </w:r>
          </w:p>
        </w:tc>
      </w:tr>
      <w:tr>
        <w:trPr>
          <w:cantSplit/>
        </w:trPr>
        <w:tc>
          <w:tcPr>
            <w:tcW w:type="dxa" w:w="851"/>
            <w:vAlign w:val="center"/>
            <w:tcMar>
              <w:top w:w="80" w:type="dxa"/>
              <w:start w:w="120" w:type="dxa"/>
              <w:bottom w:w="80" w:type="dxa"/>
              <w:end w:w="120" w:type="dxa"/>
            </w:tcMar>
          </w:tcPr>
          <w:p>
            <w:bookmarkStart w:id="1012" w:name="REF_013"/>
            <w:r>
              <w:rPr>
                <w:b/>
                <w:sz w:val="16"/>
                <w:lang w:val="en-GB" w:eastAsia="en-GB" w:bidi="en-GB"/>
              </w:rPr>
              <w:t>REF-013</w:t>
            </w:r>
            <w:bookmarkEnd w:id="1012"/>
          </w:p>
        </w:tc>
        <w:tc>
          <w:tcPr>
            <w:tcW w:type="dxa" w:w="1541"/>
            <w:vAlign w:val="center"/>
            <w:tcMar>
              <w:top w:w="80" w:type="dxa"/>
              <w:start w:w="120" w:type="dxa"/>
              <w:bottom w:w="80" w:type="dxa"/>
              <w:end w:w="120" w:type="dxa"/>
            </w:tcMar>
          </w:tcPr>
          <w:p>
            <w:r>
              <w:rPr>
                <w:sz w:val="16"/>
                <w:lang w:val="en-GB" w:eastAsia="en-GB" w:bidi="en-GB"/>
              </w:rPr>
              <w:t>Application Security Verification Standard 5.0.0</w:t>
            </w:r>
          </w:p>
        </w:tc>
        <w:tc>
          <w:tcPr>
            <w:tcW w:type="dxa" w:w="1475"/>
            <w:vAlign w:val="center"/>
            <w:tcMar>
              <w:top w:w="80" w:type="dxa"/>
              <w:start w:w="120" w:type="dxa"/>
              <w:bottom w:w="80" w:type="dxa"/>
              <w:end w:w="120" w:type="dxa"/>
            </w:tcMar>
          </w:tcPr>
          <w:p>
            <w:r>
              <w:rPr>
                <w:sz w:val="16"/>
                <w:lang w:val="en-GB" w:eastAsia="en-GB" w:bidi="en-GB"/>
              </w:rPr>
              <w:t>OWASP Foundation</w:t>
            </w:r>
          </w:p>
        </w:tc>
        <w:tc>
          <w:tcPr>
            <w:tcW w:type="dxa" w:w="2034"/>
            <w:vAlign w:val="center"/>
            <w:tcMar>
              <w:top w:w="80" w:type="dxa"/>
              <w:start w:w="120" w:type="dxa"/>
              <w:bottom w:w="80" w:type="dxa"/>
              <w:end w:w="120" w:type="dxa"/>
            </w:tcMar>
          </w:tcPr>
          <w:p>
            <w:hyperlink r:id="rId24">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Input, authentication, file, process, logging and communications controls.</w:t>
            </w:r>
          </w:p>
        </w:tc>
      </w:tr>
      <w:tr>
        <w:trPr>
          <w:cantSplit/>
        </w:trPr>
        <w:tc>
          <w:tcPr>
            <w:tcW w:type="dxa" w:w="851"/>
            <w:vAlign w:val="center"/>
            <w:tcMar>
              <w:top w:w="80" w:type="dxa"/>
              <w:start w:w="120" w:type="dxa"/>
              <w:bottom w:w="80" w:type="dxa"/>
              <w:end w:w="120" w:type="dxa"/>
            </w:tcMar>
          </w:tcPr>
          <w:p>
            <w:bookmarkStart w:id="1013" w:name="REF_014"/>
            <w:r>
              <w:rPr>
                <w:b/>
                <w:sz w:val="16"/>
                <w:lang w:val="en-GB" w:eastAsia="en-GB" w:bidi="en-GB"/>
              </w:rPr>
              <w:t>REF-014</w:t>
            </w:r>
            <w:bookmarkEnd w:id="1013"/>
          </w:p>
        </w:tc>
        <w:tc>
          <w:tcPr>
            <w:tcW w:type="dxa" w:w="1541"/>
            <w:vAlign w:val="center"/>
            <w:tcMar>
              <w:top w:w="80" w:type="dxa"/>
              <w:start w:w="120" w:type="dxa"/>
              <w:bottom w:w="80" w:type="dxa"/>
              <w:end w:w="120" w:type="dxa"/>
            </w:tcMar>
          </w:tcPr>
          <w:p>
            <w:r>
              <w:rPr>
                <w:sz w:val="16"/>
                <w:lang w:val="en-GB" w:eastAsia="en-GB" w:bidi="en-GB"/>
              </w:rPr>
              <w:t>AI Risk Management Framework</w:t>
            </w:r>
          </w:p>
        </w:tc>
        <w:tc>
          <w:tcPr>
            <w:tcW w:type="dxa" w:w="1475"/>
            <w:vAlign w:val="center"/>
            <w:tcMar>
              <w:top w:w="80" w:type="dxa"/>
              <w:start w:w="120" w:type="dxa"/>
              <w:bottom w:w="80" w:type="dxa"/>
              <w:end w:w="120" w:type="dxa"/>
            </w:tcMar>
          </w:tcPr>
          <w:p>
            <w:r>
              <w:rPr>
                <w:sz w:val="16"/>
                <w:lang w:val="en-GB" w:eastAsia="en-GB" w:bidi="en-GB"/>
              </w:rPr>
              <w:t>NIST</w:t>
            </w:r>
          </w:p>
        </w:tc>
        <w:tc>
          <w:tcPr>
            <w:tcW w:type="dxa" w:w="2034"/>
            <w:vAlign w:val="center"/>
            <w:tcMar>
              <w:top w:w="80" w:type="dxa"/>
              <w:start w:w="120" w:type="dxa"/>
              <w:bottom w:w="80" w:type="dxa"/>
              <w:end w:w="120" w:type="dxa"/>
            </w:tcMar>
          </w:tcPr>
          <w:p>
            <w:hyperlink r:id="rId25">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Governance, mapping, measurement and management context for AI-connected tooling.</w:t>
            </w:r>
          </w:p>
        </w:tc>
      </w:tr>
      <w:tr>
        <w:trPr>
          <w:cantSplit/>
        </w:trPr>
        <w:tc>
          <w:tcPr>
            <w:tcW w:type="dxa" w:w="851"/>
            <w:vAlign w:val="center"/>
            <w:tcMar>
              <w:top w:w="80" w:type="dxa"/>
              <w:start w:w="120" w:type="dxa"/>
              <w:bottom w:w="80" w:type="dxa"/>
              <w:end w:w="120" w:type="dxa"/>
            </w:tcMar>
          </w:tcPr>
          <w:p>
            <w:bookmarkStart w:id="1014" w:name="REF_015"/>
            <w:r>
              <w:rPr>
                <w:b/>
                <w:sz w:val="16"/>
                <w:lang w:val="en-GB" w:eastAsia="en-GB" w:bidi="en-GB"/>
              </w:rPr>
              <w:t>REF-015</w:t>
            </w:r>
            <w:bookmarkEnd w:id="1014"/>
          </w:p>
        </w:tc>
        <w:tc>
          <w:tcPr>
            <w:tcW w:type="dxa" w:w="1541"/>
            <w:vAlign w:val="center"/>
            <w:tcMar>
              <w:top w:w="80" w:type="dxa"/>
              <w:start w:w="120" w:type="dxa"/>
              <w:bottom w:w="80" w:type="dxa"/>
              <w:end w:w="120" w:type="dxa"/>
            </w:tcMar>
          </w:tcPr>
          <w:p>
            <w:r>
              <w:rPr>
                <w:sz w:val="16"/>
                <w:lang w:val="en-GB" w:eastAsia="en-GB" w:bidi="en-GB"/>
              </w:rPr>
              <w:t>Guidelines for secure AI system development</w:t>
            </w:r>
          </w:p>
        </w:tc>
        <w:tc>
          <w:tcPr>
            <w:tcW w:type="dxa" w:w="1475"/>
            <w:vAlign w:val="center"/>
            <w:tcMar>
              <w:top w:w="80" w:type="dxa"/>
              <w:start w:w="120" w:type="dxa"/>
              <w:bottom w:w="80" w:type="dxa"/>
              <w:end w:w="120" w:type="dxa"/>
            </w:tcMar>
          </w:tcPr>
          <w:p>
            <w:r>
              <w:rPr>
                <w:sz w:val="16"/>
                <w:lang w:val="en-GB" w:eastAsia="en-GB" w:bidi="en-GB"/>
              </w:rPr>
              <w:t>UK National Cyber Security Centre</w:t>
            </w:r>
          </w:p>
        </w:tc>
        <w:tc>
          <w:tcPr>
            <w:tcW w:type="dxa" w:w="2034"/>
            <w:vAlign w:val="center"/>
            <w:tcMar>
              <w:top w:w="80" w:type="dxa"/>
              <w:start w:w="120" w:type="dxa"/>
              <w:bottom w:w="80" w:type="dxa"/>
              <w:end w:w="120" w:type="dxa"/>
            </w:tcMar>
          </w:tcPr>
          <w:p>
            <w:hyperlink r:id="rId26">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Secure design, development, deployment and operation context.</w:t>
            </w:r>
          </w:p>
        </w:tc>
      </w:tr>
      <w:tr>
        <w:trPr>
          <w:cantSplit/>
        </w:trPr>
        <w:tc>
          <w:tcPr>
            <w:tcW w:type="dxa" w:w="851"/>
            <w:vAlign w:val="center"/>
            <w:tcMar>
              <w:top w:w="80" w:type="dxa"/>
              <w:start w:w="120" w:type="dxa"/>
              <w:bottom w:w="80" w:type="dxa"/>
              <w:end w:w="120" w:type="dxa"/>
            </w:tcMar>
          </w:tcPr>
          <w:p>
            <w:bookmarkStart w:id="1015" w:name="REF_016"/>
            <w:r>
              <w:rPr>
                <w:b/>
                <w:sz w:val="16"/>
                <w:lang w:val="en-GB" w:eastAsia="en-GB" w:bidi="en-GB"/>
              </w:rPr>
              <w:t>REF-016</w:t>
            </w:r>
            <w:bookmarkEnd w:id="1015"/>
          </w:p>
        </w:tc>
        <w:tc>
          <w:tcPr>
            <w:tcW w:type="dxa" w:w="1541"/>
            <w:vAlign w:val="center"/>
            <w:tcMar>
              <w:top w:w="80" w:type="dxa"/>
              <w:start w:w="120" w:type="dxa"/>
              <w:bottom w:w="80" w:type="dxa"/>
              <w:end w:w="120" w:type="dxa"/>
            </w:tcMar>
          </w:tcPr>
          <w:p>
            <w:r>
              <w:rPr>
                <w:sz w:val="16"/>
                <w:lang w:val="en-GB" w:eastAsia="en-GB" w:bidi="en-GB"/>
              </w:rPr>
              <w:t>UK GDPR guidance and resources</w:t>
            </w:r>
          </w:p>
        </w:tc>
        <w:tc>
          <w:tcPr>
            <w:tcW w:type="dxa" w:w="1475"/>
            <w:vAlign w:val="center"/>
            <w:tcMar>
              <w:top w:w="80" w:type="dxa"/>
              <w:start w:w="120" w:type="dxa"/>
              <w:bottom w:w="80" w:type="dxa"/>
              <w:end w:w="120" w:type="dxa"/>
            </w:tcMar>
          </w:tcPr>
          <w:p>
            <w:r>
              <w:rPr>
                <w:sz w:val="16"/>
                <w:lang w:val="en-GB" w:eastAsia="en-GB" w:bidi="en-GB"/>
              </w:rPr>
              <w:t>Information Commissioner's Office</w:t>
            </w:r>
          </w:p>
        </w:tc>
        <w:tc>
          <w:tcPr>
            <w:tcW w:type="dxa" w:w="2034"/>
            <w:vAlign w:val="center"/>
            <w:tcMar>
              <w:top w:w="80" w:type="dxa"/>
              <w:start w:w="120" w:type="dxa"/>
              <w:bottom w:w="80" w:type="dxa"/>
              <w:end w:w="120" w:type="dxa"/>
            </w:tcMar>
          </w:tcPr>
          <w:p>
            <w:hyperlink r:id="rId27">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Accountability, transparency, minimisation, security and rights.</w:t>
            </w:r>
          </w:p>
        </w:tc>
      </w:tr>
      <w:tr>
        <w:trPr>
          <w:cantSplit/>
        </w:trPr>
        <w:tc>
          <w:tcPr>
            <w:tcW w:type="dxa" w:w="851"/>
            <w:vAlign w:val="center"/>
            <w:tcMar>
              <w:top w:w="80" w:type="dxa"/>
              <w:start w:w="120" w:type="dxa"/>
              <w:bottom w:w="80" w:type="dxa"/>
              <w:end w:w="120" w:type="dxa"/>
            </w:tcMar>
          </w:tcPr>
          <w:p>
            <w:bookmarkStart w:id="1016" w:name="REF_017"/>
            <w:r>
              <w:rPr>
                <w:b/>
                <w:sz w:val="16"/>
                <w:lang w:val="en-GB" w:eastAsia="en-GB" w:bidi="en-GB"/>
              </w:rPr>
              <w:t>REF-017</w:t>
            </w:r>
            <w:bookmarkEnd w:id="1016"/>
          </w:p>
        </w:tc>
        <w:tc>
          <w:tcPr>
            <w:tcW w:type="dxa" w:w="1541"/>
            <w:vAlign w:val="center"/>
            <w:tcMar>
              <w:top w:w="80" w:type="dxa"/>
              <w:start w:w="120" w:type="dxa"/>
              <w:bottom w:w="80" w:type="dxa"/>
              <w:end w:w="120" w:type="dxa"/>
            </w:tcMar>
          </w:tcPr>
          <w:p>
            <w:r>
              <w:rPr>
                <w:sz w:val="16"/>
                <w:lang w:val="en-GB" w:eastAsia="en-GB" w:bidi="en-GB"/>
              </w:rPr>
              <w:t>Data Protection Act 2018</w:t>
            </w:r>
          </w:p>
        </w:tc>
        <w:tc>
          <w:tcPr>
            <w:tcW w:type="dxa" w:w="1475"/>
            <w:vAlign w:val="center"/>
            <w:tcMar>
              <w:top w:w="80" w:type="dxa"/>
              <w:start w:w="120" w:type="dxa"/>
              <w:bottom w:w="80" w:type="dxa"/>
              <w:end w:w="120" w:type="dxa"/>
            </w:tcMar>
          </w:tcPr>
          <w:p>
            <w:r>
              <w:rPr>
                <w:sz w:val="16"/>
                <w:lang w:val="en-GB" w:eastAsia="en-GB" w:bidi="en-GB"/>
              </w:rPr>
              <w:t>UK Legislation</w:t>
            </w:r>
          </w:p>
        </w:tc>
        <w:tc>
          <w:tcPr>
            <w:tcW w:type="dxa" w:w="2034"/>
            <w:vAlign w:val="center"/>
            <w:tcMar>
              <w:top w:w="80" w:type="dxa"/>
              <w:start w:w="120" w:type="dxa"/>
              <w:bottom w:w="80" w:type="dxa"/>
              <w:end w:w="120" w:type="dxa"/>
            </w:tcMar>
          </w:tcPr>
          <w:p>
            <w:hyperlink r:id="rId28">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UK statutory data-protection context.</w:t>
            </w:r>
          </w:p>
        </w:tc>
      </w:tr>
      <w:tr>
        <w:trPr>
          <w:cantSplit/>
        </w:trPr>
        <w:tc>
          <w:tcPr>
            <w:tcW w:type="dxa" w:w="851"/>
            <w:vAlign w:val="center"/>
            <w:tcMar>
              <w:top w:w="80" w:type="dxa"/>
              <w:start w:w="120" w:type="dxa"/>
              <w:bottom w:w="80" w:type="dxa"/>
              <w:end w:w="120" w:type="dxa"/>
            </w:tcMar>
          </w:tcPr>
          <w:p>
            <w:bookmarkStart w:id="1017" w:name="REF_018"/>
            <w:r>
              <w:rPr>
                <w:b/>
                <w:sz w:val="16"/>
                <w:lang w:val="en-GB" w:eastAsia="en-GB" w:bidi="en-GB"/>
              </w:rPr>
              <w:t>REF-018</w:t>
            </w:r>
            <w:bookmarkEnd w:id="1017"/>
          </w:p>
        </w:tc>
        <w:tc>
          <w:tcPr>
            <w:tcW w:type="dxa" w:w="1541"/>
            <w:vAlign w:val="center"/>
            <w:tcMar>
              <w:top w:w="80" w:type="dxa"/>
              <w:start w:w="120" w:type="dxa"/>
              <w:bottom w:w="80" w:type="dxa"/>
              <w:end w:w="120" w:type="dxa"/>
            </w:tcMar>
          </w:tcPr>
          <w:p>
            <w:r>
              <w:rPr>
                <w:sz w:val="16"/>
                <w:lang w:val="en-GB" w:eastAsia="en-GB" w:bidi="en-GB"/>
              </w:rPr>
              <w:t>Operational resilience</w:t>
            </w:r>
          </w:p>
        </w:tc>
        <w:tc>
          <w:tcPr>
            <w:tcW w:type="dxa" w:w="1475"/>
            <w:vAlign w:val="center"/>
            <w:tcMar>
              <w:top w:w="80" w:type="dxa"/>
              <w:start w:w="120" w:type="dxa"/>
              <w:bottom w:w="80" w:type="dxa"/>
              <w:end w:w="120" w:type="dxa"/>
            </w:tcMar>
          </w:tcPr>
          <w:p>
            <w:r>
              <w:rPr>
                <w:sz w:val="16"/>
                <w:lang w:val="en-GB" w:eastAsia="en-GB" w:bidi="en-GB"/>
              </w:rPr>
              <w:t>Financial Conduct Authority</w:t>
            </w:r>
          </w:p>
        </w:tc>
        <w:tc>
          <w:tcPr>
            <w:tcW w:type="dxa" w:w="2034"/>
            <w:vAlign w:val="center"/>
            <w:tcMar>
              <w:top w:w="80" w:type="dxa"/>
              <w:start w:w="120" w:type="dxa"/>
              <w:bottom w:w="80" w:type="dxa"/>
              <w:end w:w="120" w:type="dxa"/>
            </w:tcMar>
          </w:tcPr>
          <w:p>
            <w:hyperlink r:id="rId29">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Impact tolerance, mapping, testing and accountability context.</w:t>
            </w:r>
          </w:p>
        </w:tc>
      </w:tr>
      <w:tr>
        <w:trPr>
          <w:cantSplit/>
        </w:trPr>
        <w:tc>
          <w:tcPr>
            <w:tcW w:type="dxa" w:w="851"/>
            <w:vAlign w:val="center"/>
            <w:tcMar>
              <w:top w:w="80" w:type="dxa"/>
              <w:start w:w="120" w:type="dxa"/>
              <w:bottom w:w="80" w:type="dxa"/>
              <w:end w:w="120" w:type="dxa"/>
            </w:tcMar>
          </w:tcPr>
          <w:p>
            <w:bookmarkStart w:id="1018" w:name="REF_019"/>
            <w:r>
              <w:rPr>
                <w:b/>
                <w:sz w:val="16"/>
                <w:lang w:val="en-GB" w:eastAsia="en-GB" w:bidi="en-GB"/>
              </w:rPr>
              <w:t>REF-019</w:t>
            </w:r>
            <w:bookmarkEnd w:id="1018"/>
          </w:p>
        </w:tc>
        <w:tc>
          <w:tcPr>
            <w:tcW w:type="dxa" w:w="1541"/>
            <w:vAlign w:val="center"/>
            <w:tcMar>
              <w:top w:w="80" w:type="dxa"/>
              <w:start w:w="120" w:type="dxa"/>
              <w:bottom w:w="80" w:type="dxa"/>
              <w:end w:w="120" w:type="dxa"/>
            </w:tcMar>
          </w:tcPr>
          <w:p>
            <w:r>
              <w:rPr>
                <w:sz w:val="16"/>
                <w:lang w:val="en-GB" w:eastAsia="en-GB" w:bidi="en-GB"/>
              </w:rPr>
              <w:t>SS2/21 Outsourcing and third party risk management</w:t>
            </w:r>
          </w:p>
        </w:tc>
        <w:tc>
          <w:tcPr>
            <w:tcW w:type="dxa" w:w="1475"/>
            <w:vAlign w:val="center"/>
            <w:tcMar>
              <w:top w:w="80" w:type="dxa"/>
              <w:start w:w="120" w:type="dxa"/>
              <w:bottom w:w="80" w:type="dxa"/>
              <w:end w:w="120" w:type="dxa"/>
            </w:tcMar>
          </w:tcPr>
          <w:p>
            <w:r>
              <w:rPr>
                <w:sz w:val="16"/>
                <w:lang w:val="en-GB" w:eastAsia="en-GB" w:bidi="en-GB"/>
              </w:rPr>
              <w:t>Bank of England / PRA</w:t>
            </w:r>
          </w:p>
        </w:tc>
        <w:tc>
          <w:tcPr>
            <w:tcW w:type="dxa" w:w="2034"/>
            <w:vAlign w:val="center"/>
            <w:tcMar>
              <w:top w:w="80" w:type="dxa"/>
              <w:start w:w="120" w:type="dxa"/>
              <w:bottom w:w="80" w:type="dxa"/>
              <w:end w:w="120" w:type="dxa"/>
            </w:tcMar>
          </w:tcPr>
          <w:p>
            <w:hyperlink r:id="rId30">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PRA outsourcing and third-party control context where applicable.</w:t>
            </w:r>
          </w:p>
        </w:tc>
      </w:tr>
      <w:tr>
        <w:trPr>
          <w:cantSplit/>
        </w:trPr>
        <w:tc>
          <w:tcPr>
            <w:tcW w:type="dxa" w:w="851"/>
            <w:vAlign w:val="center"/>
            <w:tcMar>
              <w:top w:w="80" w:type="dxa"/>
              <w:start w:w="120" w:type="dxa"/>
              <w:bottom w:w="80" w:type="dxa"/>
              <w:end w:w="120" w:type="dxa"/>
            </w:tcMar>
          </w:tcPr>
          <w:p>
            <w:bookmarkStart w:id="1019" w:name="REF_020"/>
            <w:r>
              <w:rPr>
                <w:b/>
                <w:sz w:val="16"/>
                <w:lang w:val="en-GB" w:eastAsia="en-GB" w:bidi="en-GB"/>
              </w:rPr>
              <w:t>REF-020</w:t>
            </w:r>
            <w:bookmarkEnd w:id="1019"/>
          </w:p>
        </w:tc>
        <w:tc>
          <w:tcPr>
            <w:tcW w:type="dxa" w:w="1541"/>
            <w:vAlign w:val="center"/>
            <w:tcMar>
              <w:top w:w="80" w:type="dxa"/>
              <w:start w:w="120" w:type="dxa"/>
              <w:bottom w:w="80" w:type="dxa"/>
              <w:end w:w="120" w:type="dxa"/>
            </w:tcMar>
          </w:tcPr>
          <w:p>
            <w:r>
              <w:rPr>
                <w:sz w:val="16"/>
                <w:lang w:val="en-GB" w:eastAsia="en-GB" w:bidi="en-GB"/>
              </w:rPr>
              <w:t>ISO/IEC 27001:2022</w:t>
            </w:r>
          </w:p>
        </w:tc>
        <w:tc>
          <w:tcPr>
            <w:tcW w:type="dxa" w:w="1475"/>
            <w:vAlign w:val="center"/>
            <w:tcMar>
              <w:top w:w="80" w:type="dxa"/>
              <w:start w:w="120" w:type="dxa"/>
              <w:bottom w:w="80" w:type="dxa"/>
              <w:end w:w="120" w:type="dxa"/>
            </w:tcMar>
          </w:tcPr>
          <w:p>
            <w:r>
              <w:rPr>
                <w:sz w:val="16"/>
                <w:lang w:val="en-GB" w:eastAsia="en-GB" w:bidi="en-GB"/>
              </w:rPr>
              <w:t>International Organization for Standardization</w:t>
            </w:r>
          </w:p>
        </w:tc>
        <w:tc>
          <w:tcPr>
            <w:tcW w:type="dxa" w:w="2034"/>
            <w:vAlign w:val="center"/>
            <w:tcMar>
              <w:top w:w="80" w:type="dxa"/>
              <w:start w:w="120" w:type="dxa"/>
              <w:bottom w:w="80" w:type="dxa"/>
              <w:end w:w="120" w:type="dxa"/>
            </w:tcMar>
          </w:tcPr>
          <w:p>
            <w:hyperlink r:id="rId31">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ISMS, supplier, access, vulnerability, logging and incident context.</w:t>
            </w:r>
          </w:p>
        </w:tc>
      </w:tr>
    </w:tbl>
    <w:p>
      <w:pPr>
        <w:pStyle w:val="Heading1"/>
        <w:keepNext/>
        <w:pageBreakBefore/>
        <w:widowControl/>
      </w:pPr>
      <w:r>
        <w:rPr>
          <w:lang w:val="en-GB" w:eastAsia="en-GB" w:bidi="en-GB"/>
        </w:rPr>
        <w:t>Appendices</w:t>
      </w:r>
    </w:p>
    <w:p>
      <w:pPr>
        <w:pStyle w:val="Heading2"/>
        <w:widowControl/>
      </w:pPr>
      <w:r>
        <w:rPr>
          <w:lang w:val="en-GB" w:eastAsia="en-GB" w:bidi="en-GB"/>
        </w:rPr>
        <w:t>Appendix A — Analysis Selections and Results</w:t>
      </w:r>
    </w:p>
    <w:p>
      <w:pPr>
        <w:widowControl/>
      </w:pPr>
      <w:r>
        <w:rPr>
          <w:lang w:val="en-GB" w:eastAsia="en-GB" w:bidi="en-GB"/>
        </w:rP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widowControl/>
      </w:pPr>
      <w:r>
        <w:rPr>
          <w:lang w:val="en-GB" w:eastAsia="en-GB" w:bidi="en-GB"/>
        </w:rPr>
        <w:t>Appendix B — Build and Quality-Assurance Contract</w:t>
      </w:r>
    </w:p>
    <w:p>
      <w:pPr>
        <w:widowControl/>
      </w:pPr>
      <w:r>
        <w:rPr>
          <w:lang w:val="en-GB" w:eastAsia="en-GB" w:bidi="en-GB"/>
        </w:rP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keepNext/>
        <w:pageBreakBefore/>
        <w:widowControl/>
      </w:pPr>
      <w:r>
        <w:rPr>
          <w:lang w:val="en-GB" w:eastAsia="en-GB" w:bidi="en-GB"/>
        </w:rPr>
        <w:t>Glossary</w:t>
      </w:r>
    </w:p>
    <w:p>
      <w:pPr>
        <w:pStyle w:val="Caption"/>
        <w:keepLines/>
        <w:widowControl/>
      </w:pPr>
      <w:r>
        <w:rPr>
          <w:b/>
          <w:lang w:val="en-GB" w:eastAsia="en-GB" w:bidi="en-GB"/>
        </w:rPr>
        <w:t>Glossary</w:t>
      </w:r>
    </w:p>
    <w:tbl>
      <w:tblPr>
        <w:tblStyle w:val="TableGrid"/>
        <w:tblW w:type="dxa" w:w="9360"/>
        <w:tblLayout w:type="fixed"/>
        <w:tblLook w:firstColumn="1" w:firstRow="1" w:lastColumn="0" w:lastRow="0" w:noHBand="0" w:noVBand="1" w:val="04A0"/>
        <w:tblInd w:w="120" w:type="dxa"/>
      </w:tblPr>
      <w:tblGrid>
        <w:gridCol w:w="2428"/>
        <w:gridCol w:w="6932"/>
      </w:tblGrid>
      <w:tr>
        <w:trPr>
          <w:tblHeader w:val="true"/>
          <w:cantSplit/>
        </w:trPr>
        <w:tc>
          <w:tcPr>
            <w:tcW w:type="dxa" w:w="2428"/>
            <w:shd w:fill="F2F4F7"/>
            <w:vAlign w:val="center"/>
            <w:tcMar>
              <w:top w:w="35" w:type="dxa"/>
              <w:start w:w="120" w:type="dxa"/>
              <w:bottom w:w="35" w:type="dxa"/>
              <w:end w:w="120" w:type="dxa"/>
            </w:tcMar>
          </w:tcPr>
          <w:p>
            <w:pPr>
              <w:spacing w:before="0" w:after="0"/>
            </w:pPr>
            <w:r>
              <w:rPr>
                <w:b/>
                <w:sz w:val="16"/>
                <w:lang w:val="en-GB" w:eastAsia="en-GB" w:bidi="en-GB"/>
              </w:rPr>
              <w:t>Term</w:t>
            </w:r>
          </w:p>
        </w:tc>
        <w:tc>
          <w:tcPr>
            <w:tcW w:type="dxa" w:w="6932"/>
            <w:shd w:fill="F2F4F7"/>
            <w:vAlign w:val="center"/>
            <w:tcMar>
              <w:top w:w="35" w:type="dxa"/>
              <w:start w:w="120" w:type="dxa"/>
              <w:bottom w:w="35" w:type="dxa"/>
              <w:end w:w="120" w:type="dxa"/>
            </w:tcMar>
          </w:tcPr>
          <w:p>
            <w:pPr>
              <w:spacing w:before="0" w:after="0"/>
            </w:pPr>
            <w:r>
              <w:rPr>
                <w:b/>
                <w:sz w:val="16"/>
                <w:lang w:val="en-GB" w:eastAsia="en-GB" w:bidi="en-GB"/>
              </w:rPr>
              <w:t>Definition</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CAG</w:t>
            </w:r>
          </w:p>
        </w:tc>
        <w:tc>
          <w:tcPr>
            <w:tcW w:type="dxa" w:w="6932"/>
            <w:vAlign w:val="center"/>
            <w:tcMar>
              <w:top w:w="35" w:type="dxa"/>
              <w:start w:w="120" w:type="dxa"/>
              <w:bottom w:w="35" w:type="dxa"/>
              <w:end w:w="120" w:type="dxa"/>
            </w:tcMar>
          </w:tcPr>
          <w:p>
            <w:pPr>
              <w:spacing w:before="0" w:after="0"/>
            </w:pPr>
            <w:r>
              <w:rPr>
                <w:sz w:val="16"/>
                <w:lang w:val="en-GB" w:eastAsia="en-GB" w:bidi="en-GB"/>
              </w:rPr>
              <w:t>Sonar Context Augmentation, a native proxied MCP component distributed with the container image.</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Defer pending evidence</w:t>
            </w:r>
          </w:p>
        </w:tc>
        <w:tc>
          <w:tcPr>
            <w:tcW w:type="dxa" w:w="6932"/>
            <w:vAlign w:val="center"/>
            <w:tcMar>
              <w:top w:w="35" w:type="dxa"/>
              <w:start w:w="120" w:type="dxa"/>
              <w:bottom w:w="35" w:type="dxa"/>
              <w:end w:w="120" w:type="dxa"/>
            </w:tcMar>
          </w:tcPr>
          <w:p>
            <w:pPr>
              <w:spacing w:before="0" w:after="0"/>
            </w:pPr>
            <w:r>
              <w:rPr>
                <w:sz w:val="16"/>
                <w:lang w:val="en-GB" w:eastAsia="en-GB" w:bidi="en-GB"/>
              </w:rPr>
              <w:t>Approval scope remains open because a selected capability lacks material safe evidence or remediation.</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Digest pinning</w:t>
            </w:r>
          </w:p>
        </w:tc>
        <w:tc>
          <w:tcPr>
            <w:tcW w:type="dxa" w:w="6932"/>
            <w:vAlign w:val="center"/>
            <w:tcMar>
              <w:top w:w="35" w:type="dxa"/>
              <w:start w:w="120" w:type="dxa"/>
              <w:bottom w:w="35" w:type="dxa"/>
              <w:end w:w="120" w:type="dxa"/>
            </w:tcMar>
          </w:tcPr>
          <w:p>
            <w:pPr>
              <w:spacing w:before="0" w:after="0"/>
            </w:pPr>
            <w:r>
              <w:rPr>
                <w:sz w:val="16"/>
                <w:lang w:val="en-GB" w:eastAsia="en-GB" w:bidi="en-GB"/>
              </w:rPr>
              <w:t>Selecting immutable OCI content by cryptographic manifest digest rather than a mutable tag.</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MCP</w:t>
            </w:r>
          </w:p>
        </w:tc>
        <w:tc>
          <w:tcPr>
            <w:tcW w:type="dxa" w:w="6932"/>
            <w:vAlign w:val="center"/>
            <w:tcMar>
              <w:top w:w="35" w:type="dxa"/>
              <w:start w:w="120" w:type="dxa"/>
              <w:bottom w:w="35" w:type="dxa"/>
              <w:end w:w="120" w:type="dxa"/>
            </w:tcMar>
          </w:tcPr>
          <w:p>
            <w:pPr>
              <w:spacing w:before="0" w:after="0"/>
            </w:pPr>
            <w:r>
              <w:rPr>
                <w:sz w:val="16"/>
                <w:lang w:val="en-GB" w:eastAsia="en-GB" w:bidi="en-GB"/>
              </w:rPr>
              <w:t>Model Context Protocol, a protocol connecting AI hosts and clients to tools, resources and prompts.</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Pseudonymous data</w:t>
            </w:r>
          </w:p>
        </w:tc>
        <w:tc>
          <w:tcPr>
            <w:tcW w:type="dxa" w:w="6932"/>
            <w:vAlign w:val="center"/>
            <w:tcMar>
              <w:top w:w="35" w:type="dxa"/>
              <w:start w:w="120" w:type="dxa"/>
              <w:bottom w:w="35" w:type="dxa"/>
              <w:end w:w="120" w:type="dxa"/>
            </w:tcMar>
          </w:tcPr>
          <w:p>
            <w:pPr>
              <w:spacing w:before="0" w:after="0"/>
            </w:pPr>
            <w:r>
              <w:rPr>
                <w:sz w:val="16"/>
                <w:lang w:val="en-GB" w:eastAsia="en-GB" w:bidi="en-GB"/>
              </w:rPr>
              <w:t>Data linked through identifiers that can still relate to a person or organisation when combined with additional information.</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Read-only mode</w:t>
            </w:r>
          </w:p>
        </w:tc>
        <w:tc>
          <w:tcPr>
            <w:tcW w:type="dxa" w:w="6932"/>
            <w:vAlign w:val="center"/>
            <w:tcMar>
              <w:top w:w="35" w:type="dxa"/>
              <w:start w:w="120" w:type="dxa"/>
              <w:bottom w:w="35" w:type="dxa"/>
              <w:end w:w="120" w:type="dxa"/>
            </w:tcMar>
          </w:tcPr>
          <w:p>
            <w:pPr>
              <w:spacing w:before="0" w:after="0"/>
            </w:pPr>
            <w:r>
              <w:rPr>
                <w:sz w:val="16"/>
                <w:lang w:val="en-GB" w:eastAsia="en-GB" w:bidi="en-GB"/>
              </w:rPr>
              <w:t>Server-enforced filtering intended to remove tools that change SonarQube state.</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SBOM</w:t>
            </w:r>
          </w:p>
        </w:tc>
        <w:tc>
          <w:tcPr>
            <w:tcW w:type="dxa" w:w="6932"/>
            <w:vAlign w:val="center"/>
            <w:tcMar>
              <w:top w:w="35" w:type="dxa"/>
              <w:start w:w="120" w:type="dxa"/>
              <w:bottom w:w="35" w:type="dxa"/>
              <w:end w:w="120" w:type="dxa"/>
            </w:tcMar>
          </w:tcPr>
          <w:p>
            <w:pPr>
              <w:spacing w:before="0" w:after="0"/>
            </w:pPr>
            <w:r>
              <w:rPr>
                <w:sz w:val="16"/>
                <w:lang w:val="en-GB" w:eastAsia="en-GB" w:bidi="en-GB"/>
              </w:rPr>
              <w:t>Software bill of materials identifying components, versions and relationships in an artifact.</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SSALv1</w:t>
            </w:r>
          </w:p>
        </w:tc>
        <w:tc>
          <w:tcPr>
            <w:tcW w:type="dxa" w:w="6932"/>
            <w:vAlign w:val="center"/>
            <w:tcMar>
              <w:top w:w="35" w:type="dxa"/>
              <w:start w:w="120" w:type="dxa"/>
              <w:bottom w:w="35" w:type="dxa"/>
              <w:end w:w="120" w:type="dxa"/>
            </w:tcMar>
          </w:tcPr>
          <w:p>
            <w:pPr>
              <w:spacing w:before="0" w:after="0"/>
            </w:pPr>
            <w:r>
              <w:rPr>
                <w:sz w:val="16"/>
                <w:lang w:val="en-GB" w:eastAsia="en-GB" w:bidi="en-GB"/>
              </w:rPr>
              <w:t>Sonar Source-Available License version 1 used by the assessed repository.</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Streamable HTTP</w:t>
            </w:r>
          </w:p>
        </w:tc>
        <w:tc>
          <w:tcPr>
            <w:tcW w:type="dxa" w:w="6932"/>
            <w:vAlign w:val="center"/>
            <w:tcMar>
              <w:top w:w="35" w:type="dxa"/>
              <w:start w:w="120" w:type="dxa"/>
              <w:bottom w:w="35" w:type="dxa"/>
              <w:end w:w="120" w:type="dxa"/>
            </w:tcMar>
          </w:tcPr>
          <w:p>
            <w:pPr>
              <w:spacing w:before="0" w:after="0"/>
            </w:pPr>
            <w:r>
              <w:rPr>
                <w:sz w:val="16"/>
                <w:lang w:val="en-GB" w:eastAsia="en-GB" w:bidi="en-GB"/>
              </w:rPr>
              <w:t>MCP HTTP transport supporting request-scoped authentication and tool narrowing.</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VEX</w:t>
            </w:r>
          </w:p>
        </w:tc>
        <w:tc>
          <w:tcPr>
            <w:tcW w:type="dxa" w:w="6932"/>
            <w:vAlign w:val="center"/>
            <w:tcMar>
              <w:top w:w="35" w:type="dxa"/>
              <w:start w:w="120" w:type="dxa"/>
              <w:bottom w:w="35" w:type="dxa"/>
              <w:end w:w="120" w:type="dxa"/>
            </w:tcMar>
          </w:tcPr>
          <w:p>
            <w:pPr>
              <w:spacing w:before="0" w:after="0"/>
            </w:pPr>
            <w:r>
              <w:rPr>
                <w:sz w:val="16"/>
                <w:lang w:val="en-GB" w:eastAsia="en-GB" w:bidi="en-GB"/>
              </w:rPr>
              <w:t>Vulnerability Exploitability eXchange statement describing whether an advisory affects a product and why.</w:t>
            </w:r>
          </w:p>
        </w:tc>
      </w:tr>
    </w:tbl>
    <w:p>
      <w:pPr>
        <w:widowControl/>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lang w:val="en-GB" w:eastAsia="en-GB" w:bidi="en-GB"/>
      </w:rPr>
      <w:t xml:space="preserve">Page </w:t>
    </w:r>
    <w:r>
      <w:rPr>
        <w:lang w:val="en-GB" w:eastAsia="en-GB" w:bidi="en-GB"/>
      </w:rPr>
      <w:fldChar w:fldCharType="begin"/>
    </w:r>
    <w:r>
      <w:rPr>
        <w:lang w:val="en-GB" w:eastAsia="en-GB" w:bidi="en-GB"/>
      </w:rPr>
      <w:instrText xml:space="preserve"> PAGE </w:instrText>
    </w:r>
    <w:r>
      <w:rPr>
        <w:lang w:val="en-GB" w:eastAsia="en-GB" w:bidi="en-GB"/>
      </w:rPr>
      <w:fldChar w:fldCharType="separate"/>
    </w:r>
    <w:r>
      <w:rPr>
        <w:lang w:val="en-GB" w:eastAsia="en-GB" w:bidi="en-GB"/>
      </w:rPr>
      <w:t>1</w:t>
    </w:r>
    <w:r>
      <w:rPr>
        <w:lang w:val="en-GB" w:eastAsia="en-GB" w:bidi="en-G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lang w:val="en-GB" w:eastAsia="en-GB" w:bidi="en-GB"/>
      </w:rPr>
      <w:t>SonarQube MCP Server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en-GB" w:bidi="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onarSource/sonarqube-mcp-server" TargetMode="External"/><Relationship Id="rId13" Type="http://schemas.openxmlformats.org/officeDocument/2006/relationships/hyperlink" Target="https://github.com/SonarSource/sonarqube-mcp-server/releases/tag/1.24.0.3152" TargetMode="External"/><Relationship Id="rId14" Type="http://schemas.openxmlformats.org/officeDocument/2006/relationships/hyperlink" Target="https://docs.sonarsource.com/sonarqube-mcp-server/" TargetMode="External"/><Relationship Id="rId15" Type="http://schemas.openxmlformats.org/officeDocument/2006/relationships/hyperlink" Target="https://docs.sonarsource.com/sonarqube-mcp-server/build-and-configure/environment-variables" TargetMode="External"/><Relationship Id="rId16" Type="http://schemas.openxmlformats.org/officeDocument/2006/relationships/hyperlink" Target="https://hub.docker.com/r/sonarsource/sonarqube-mcp" TargetMode="External"/><Relationship Id="rId17" Type="http://schemas.openxmlformats.org/officeDocument/2006/relationships/hyperlink" Target="https://registry.modelcontextprotocol.io/" TargetMode="External"/><Relationship Id="rId18" Type="http://schemas.openxmlformats.org/officeDocument/2006/relationships/hyperlink" Target="https://sonarsource.com/license/ssal/" TargetMode="External"/><Relationship Id="rId19" Type="http://schemas.openxmlformats.org/officeDocument/2006/relationships/hyperlink" Target="https://github.com/advisories/GHSA-j3rv-43j4-c7qm" TargetMode="External"/><Relationship Id="rId20" Type="http://schemas.openxmlformats.org/officeDocument/2006/relationships/hyperlink" Target="https://github.com/advisories/GHSA-rmj7-2vxq-3g9f" TargetMode="External"/><Relationship Id="rId21" Type="http://schemas.openxmlformats.org/officeDocument/2006/relationships/hyperlink" Target="https://github.com/advisories/GHSA-r7wm-3cxj-wff9" TargetMode="External"/><Relationship Id="rId22" Type="http://schemas.openxmlformats.org/officeDocument/2006/relationships/hyperlink" Target="https://modelcontextprotocol.io/specification/2025-06-18/server/tools" TargetMode="External"/><Relationship Id="rId23" Type="http://schemas.openxmlformats.org/officeDocument/2006/relationships/hyperlink" Target="https://cheatsheetseries.owasp.org/cheatsheets/Model_Context_Protocol_Security_Cheat_Sheet.html"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www.ncsc.gov.uk/collection/guidelines-secure-ai-system-development" TargetMode="External"/><Relationship Id="rId27" Type="http://schemas.openxmlformats.org/officeDocument/2006/relationships/hyperlink" Target="https://ico.org.uk/for-organisations/uk-gdpr-guidance-and-resources/" TargetMode="External"/><Relationship Id="rId28" Type="http://schemas.openxmlformats.org/officeDocument/2006/relationships/hyperlink" Target="https://www.legislation.gov.uk/ukpga/2018/12/contents" TargetMode="External"/><Relationship Id="rId29" Type="http://schemas.openxmlformats.org/officeDocument/2006/relationships/hyperlink" Target="https://www.fca.org.uk/firms/operational-resilience" TargetMode="External"/><Relationship Id="rId30" Type="http://schemas.openxmlformats.org/officeDocument/2006/relationships/hyperlink" Target="https://www.bankofengland.co.uk/prudential-regulation/publication/2021/march/outsourcing-and-third-party-risk-management-ss" TargetMode="External"/><Relationship Id="rId31"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SonarQube MCP Server (io.github.SonarSource/sonarqube-mcp-server) security assessment</dc:title>
  <dc:subject>Evidence-led Microsoft IDE extension security assessment</dc:subject>
  <dc:creator>Security Assessment Automation</dc:creator>
  <cp:keywords>security assessment, VS Code, AI, OWASP, privacy</cp:keywords>
  <dc:description>Generated from hash-bound validated stage outputs.</dc:description>
  <cp:lastModifiedBy>Security Assessment Automation</cp:lastModifiedBy>
  <cp:revision>1</cp:revision>
  <dcterms:created xsi:type="dcterms:W3CDTF">2013-12-23T23:15:00Z</dcterms:created>
  <dcterms:modified xsi:type="dcterms:W3CDTF">2013-12-23T23:15:00Z</dcterms:modified>
  <cp:category/>
  <dc:language>en-GB</dc:language>
</cp:coreProperties>
</file>