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47D80"/>
          <w:sz w:val="30"/>
        </w:rPr>
        <w:t>SERENA MCP: THE IDE FOR YOUR AGENT</w:t>
      </w:r>
    </w:p>
    <w:p>
      <w:pPr>
        <w:pStyle w:val="Title"/>
        <w:jc w:val="center"/>
      </w:pPr>
      <w:r>
        <w:t>Security Assessment</w:t>
      </w:r>
    </w:p>
    <w:p>
      <w:pPr>
        <w:jc w:val="center"/>
      </w:pPr>
      <w:r>
        <w:rPr>
          <w:b/>
        </w:rPr>
        <w:t>Oraios serena-agent 1.6.1</w:t>
        <w:br/>
        <w:t>VS Code and Visual Studio</w:t>
      </w:r>
    </w:p>
    <w:p>
      <w:pPr>
        <w:jc w:val="center"/>
      </w:pPr>
      <w:r>
        <w:rPr>
          <w:b/>
          <w:color w:val="A56A00"/>
          <w:sz w:val="28"/>
        </w:rPr>
        <w:br/>
        <w:t>Decision: DEFER PENDING EVIDENCE</w:t>
      </w:r>
    </w:p>
    <w:p>
      <w:pPr>
        <w:jc w:val="center"/>
      </w:pPr>
      <w:r>
        <w:br/>
        <w:t>Classification: PUBLIC</w:t>
        <w:br/>
        <w:t>Assessment version 1.1  |  27 July 2026</w:t>
        <w:br/>
        <w:t>Enterprise context: Large UK Insurance business</w:t>
      </w:r>
    </w:p>
    <w:p>
      <w:r>
        <w:br w:type="page"/>
      </w:r>
    </w:p>
    <w:p>
      <w:bookmarkStart w:id="178062" w:name="DOC_CONTROL"/>
      <w:pPr>
        <w:pStyle w:val="Heading1"/>
      </w:pPr>
      <w:r>
        <w:t>Document Control</w:t>
      </w:r>
      <w:bookmarkEnd w:id="178062"/>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Value</w:t>
            </w:r>
          </w:p>
        </w:tc>
      </w:tr>
      <w:tr>
        <w:trPr>
          <w:cantSplit/>
        </w:trPr>
        <w:tc>
          <w:tcPr>
            <w:tcW w:type="dxa" w:w="5112"/>
            <w:vAlign w:val="center"/>
          </w:tcPr>
          <w:p>
            <w:pPr>
              <w:spacing w:after="20"/>
            </w:pPr>
            <w:r>
              <w:rPr>
                <w:sz w:val="14"/>
              </w:rPr>
              <w:t>Assessment ID</w:t>
            </w:r>
          </w:p>
        </w:tc>
        <w:tc>
          <w:tcPr>
            <w:tcW w:type="dxa" w:w="5112"/>
            <w:vAlign w:val="center"/>
          </w:tcPr>
          <w:p>
            <w:pPr>
              <w:spacing w:after="20"/>
            </w:pPr>
            <w:r>
              <w:rPr>
                <w:sz w:val="14"/>
              </w:rPr>
              <w:t>Serena MCP: the IDE for your agent</w:t>
            </w:r>
          </w:p>
        </w:tc>
      </w:tr>
      <w:tr>
        <w:trPr>
          <w:cantSplit/>
        </w:trPr>
        <w:tc>
          <w:tcPr>
            <w:tcW w:type="dxa" w:w="5112"/>
            <w:vAlign w:val="center"/>
            <w:shd w:fill="EAF2F4"/>
          </w:tcPr>
          <w:p>
            <w:pPr>
              <w:spacing w:after="20"/>
            </w:pPr>
            <w:r>
              <w:rPr>
                <w:sz w:val="14"/>
              </w:rPr>
              <w:t>Publisher</w:t>
            </w:r>
          </w:p>
        </w:tc>
        <w:tc>
          <w:tcPr>
            <w:tcW w:type="dxa" w:w="5112"/>
            <w:vAlign w:val="center"/>
            <w:shd w:fill="EAF2F4"/>
          </w:tcPr>
          <w:p>
            <w:pPr>
              <w:spacing w:after="20"/>
            </w:pPr>
            <w:r>
              <w:rPr>
                <w:sz w:val="14"/>
              </w:rPr>
              <w:t>Oraios</w:t>
            </w:r>
          </w:p>
        </w:tc>
      </w:tr>
      <w:tr>
        <w:trPr>
          <w:cantSplit/>
        </w:trPr>
        <w:tc>
          <w:tcPr>
            <w:tcW w:type="dxa" w:w="5112"/>
            <w:vAlign w:val="center"/>
          </w:tcPr>
          <w:p>
            <w:pPr>
              <w:spacing w:after="20"/>
            </w:pPr>
            <w:r>
              <w:rPr>
                <w:sz w:val="14"/>
              </w:rPr>
              <w:t>Server identity</w:t>
            </w:r>
          </w:p>
        </w:tc>
        <w:tc>
          <w:tcPr>
            <w:tcW w:type="dxa" w:w="5112"/>
            <w:vAlign w:val="center"/>
          </w:tcPr>
          <w:p>
            <w:pPr>
              <w:spacing w:after="20"/>
            </w:pPr>
            <w:r>
              <w:rPr>
                <w:sz w:val="14"/>
              </w:rPr>
              <w:t>io.github.oraios/serena</w:t>
            </w:r>
          </w:p>
        </w:tc>
      </w:tr>
      <w:tr>
        <w:trPr>
          <w:cantSplit/>
        </w:trPr>
        <w:tc>
          <w:tcPr>
            <w:tcW w:type="dxa" w:w="5112"/>
            <w:vAlign w:val="center"/>
            <w:shd w:fill="EAF2F4"/>
          </w:tcPr>
          <w:p>
            <w:pPr>
              <w:spacing w:after="20"/>
            </w:pPr>
            <w:r>
              <w:rPr>
                <w:sz w:val="14"/>
              </w:rPr>
              <w:t>Assessed release</w:t>
            </w:r>
          </w:p>
        </w:tc>
        <w:tc>
          <w:tcPr>
            <w:tcW w:type="dxa" w:w="5112"/>
            <w:vAlign w:val="center"/>
            <w:shd w:fill="EAF2F4"/>
          </w:tcPr>
          <w:p>
            <w:pPr>
              <w:spacing w:after="20"/>
            </w:pPr>
            <w:r>
              <w:rPr>
                <w:sz w:val="14"/>
              </w:rPr>
              <w:t>serena-agent 1.6.1</w:t>
            </w:r>
          </w:p>
        </w:tc>
      </w:tr>
      <w:tr>
        <w:trPr>
          <w:cantSplit/>
        </w:trPr>
        <w:tc>
          <w:tcPr>
            <w:tcW w:type="dxa" w:w="5112"/>
            <w:vAlign w:val="center"/>
          </w:tcPr>
          <w:p>
            <w:pPr>
              <w:spacing w:after="20"/>
            </w:pPr>
            <w:r>
              <w:rPr>
                <w:sz w:val="14"/>
              </w:rPr>
              <w:t>Run key</w:t>
            </w:r>
          </w:p>
        </w:tc>
        <w:tc>
          <w:tcPr>
            <w:tcW w:type="dxa" w:w="5112"/>
            <w:vAlign w:val="center"/>
          </w:tcPr>
          <w:p>
            <w:pPr>
              <w:spacing w:after="20"/>
            </w:pPr>
            <w:r>
              <w:rPr>
                <w:sz w:val="14"/>
              </w:rPr>
              <w:t>2026-07-27-v1.1</w:t>
            </w:r>
          </w:p>
        </w:tc>
      </w:tr>
      <w:tr>
        <w:trPr>
          <w:cantSplit/>
        </w:trPr>
        <w:tc>
          <w:tcPr>
            <w:tcW w:type="dxa" w:w="5112"/>
            <w:vAlign w:val="center"/>
            <w:shd w:fill="EAF2F4"/>
          </w:tcPr>
          <w:p>
            <w:pPr>
              <w:spacing w:after="20"/>
            </w:pPr>
            <w:r>
              <w:rPr>
                <w:sz w:val="14"/>
              </w:rPr>
              <w:t>Decision</w:t>
            </w:r>
          </w:p>
        </w:tc>
        <w:tc>
          <w:tcPr>
            <w:tcW w:type="dxa" w:w="5112"/>
            <w:vAlign w:val="center"/>
            <w:shd w:fill="EAF2F4"/>
          </w:tcPr>
          <w:p>
            <w:pPr>
              <w:spacing w:after="20"/>
            </w:pPr>
            <w:r>
              <w:rPr>
                <w:sz w:val="14"/>
              </w:rPr>
              <w:t>Defer pending evidence</w:t>
            </w:r>
          </w:p>
        </w:tc>
      </w:tr>
      <w:tr>
        <w:trPr>
          <w:cantSplit/>
        </w:trPr>
        <w:tc>
          <w:tcPr>
            <w:tcW w:type="dxa" w:w="5112"/>
            <w:vAlign w:val="center"/>
          </w:tcPr>
          <w:p>
            <w:pPr>
              <w:spacing w:after="20"/>
            </w:pPr>
            <w:r>
              <w:rPr>
                <w:sz w:val="14"/>
              </w:rPr>
              <w:t>Overall residual risk</w:t>
            </w:r>
          </w:p>
        </w:tc>
        <w:tc>
          <w:tcPr>
            <w:tcW w:type="dxa" w:w="5112"/>
            <w:vAlign w:val="center"/>
          </w:tcPr>
          <w:p>
            <w:pPr>
              <w:spacing w:after="20"/>
            </w:pPr>
            <w:r>
              <w:rPr>
                <w:sz w:val="14"/>
              </w:rPr>
              <w:t>High</w:t>
            </w:r>
          </w:p>
        </w:tc>
      </w:tr>
      <w:tr>
        <w:trPr>
          <w:cantSplit/>
        </w:trPr>
        <w:tc>
          <w:tcPr>
            <w:tcW w:type="dxa" w:w="5112"/>
            <w:vAlign w:val="center"/>
            <w:shd w:fill="EAF2F4"/>
          </w:tcPr>
          <w:p>
            <w:pPr>
              <w:spacing w:after="20"/>
            </w:pPr>
            <w:r>
              <w:rPr>
                <w:sz w:val="14"/>
              </w:rPr>
              <w:t>Classification</w:t>
            </w:r>
          </w:p>
        </w:tc>
        <w:tc>
          <w:tcPr>
            <w:tcW w:type="dxa" w:w="5112"/>
            <w:vAlign w:val="center"/>
            <w:shd w:fill="EAF2F4"/>
          </w:tcPr>
          <w:p>
            <w:pPr>
              <w:spacing w:after="20"/>
            </w:pPr>
            <w:r>
              <w:rPr>
                <w:sz w:val="14"/>
              </w:rPr>
              <w:t>PUBLIC</w:t>
            </w:r>
          </w:p>
        </w:tc>
      </w:tr>
      <w:tr>
        <w:trPr>
          <w:cantSplit/>
        </w:trPr>
        <w:tc>
          <w:tcPr>
            <w:tcW w:type="dxa" w:w="5112"/>
            <w:vAlign w:val="center"/>
          </w:tcPr>
          <w:p>
            <w:pPr>
              <w:spacing w:after="20"/>
            </w:pPr>
            <w:r>
              <w:rPr>
                <w:sz w:val="14"/>
              </w:rPr>
              <w:t>Reason for classification</w:t>
            </w:r>
          </w:p>
        </w:tc>
        <w:tc>
          <w:tcPr>
            <w:tcW w:type="dxa" w:w="5112"/>
            <w:vAlign w:val="center"/>
          </w:tcPr>
          <w:p>
            <w:pPr>
              <w:spacing w:after="20"/>
            </w:pPr>
            <w:r>
              <w:rPr>
                <w:sz w:val="14"/>
              </w:rPr>
              <w:t>Public-safe report; detailed implementation evidence for RISK-001 remains private pending vendor validation.</w:t>
            </w:r>
          </w:p>
        </w:tc>
      </w:tr>
      <w:tr>
        <w:trPr>
          <w:cantSplit/>
        </w:trPr>
        <w:tc>
          <w:tcPr>
            <w:tcW w:type="dxa" w:w="5112"/>
            <w:vAlign w:val="center"/>
            <w:shd w:fill="EAF2F4"/>
          </w:tcPr>
          <w:p>
            <w:pPr>
              <w:spacing w:after="20"/>
            </w:pPr>
            <w:r>
              <w:rPr>
                <w:sz w:val="14"/>
              </w:rPr>
              <w:t>Approval owner</w:t>
            </w:r>
          </w:p>
        </w:tc>
        <w:tc>
          <w:tcPr>
            <w:tcW w:type="dxa" w:w="5112"/>
            <w:vAlign w:val="center"/>
            <w:shd w:fill="EAF2F4"/>
          </w:tcPr>
          <w:p>
            <w:pPr>
              <w:spacing w:after="20"/>
            </w:pPr>
            <w:r>
              <w:rPr>
                <w:sz w:val="14"/>
              </w:rPr>
              <w:t>CISO delegate with Developer Platform, AppSec, Privacy and Third-Party Risk</w:t>
            </w:r>
          </w:p>
        </w:tc>
      </w:tr>
      <w:tr>
        <w:trPr>
          <w:cantSplit/>
        </w:trPr>
        <w:tc>
          <w:tcPr>
            <w:tcW w:type="dxa" w:w="5112"/>
            <w:vAlign w:val="center"/>
          </w:tcPr>
          <w:p>
            <w:pPr>
              <w:spacing w:after="20"/>
            </w:pPr>
            <w:r>
              <w:rPr>
                <w:sz w:val="14"/>
              </w:rPr>
              <w:t>Review trigger</w:t>
            </w:r>
          </w:p>
        </w:tc>
        <w:tc>
          <w:tcPr>
            <w:tcW w:type="dxa" w:w="5112"/>
            <w:vAlign w:val="center"/>
          </w:tcPr>
          <w:p>
            <w:pPr>
              <w:spacing w:after="20"/>
            </w:pPr>
            <w:r>
              <w:rPr>
                <w:sz w:val="14"/>
              </w:rPr>
              <w:t>Vendor response/fix, runtime closure, dependency/config change, or 90 days</w:t>
            </w:r>
          </w:p>
        </w:tc>
      </w:tr>
    </w:tbl>
    <w:p/>
    <w:p>
      <w:bookmarkStart w:id="966125" w:name="REVISION_HISTORY"/>
      <w:pPr>
        <w:pStyle w:val="Heading1"/>
      </w:pPr>
      <w:r>
        <w:t>Revision History</w:t>
      </w:r>
      <w:bookmarkEnd w:id="966125"/>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Version</w:t>
            </w:r>
          </w:p>
        </w:tc>
        <w:tc>
          <w:tcPr>
            <w:tcW w:type="dxa" w:w="2556"/>
            <w:shd w:fill="17324D"/>
          </w:tcPr>
          <w:p>
            <w:r>
              <w:rPr>
                <w:b/>
                <w:color w:val="FFFFFF"/>
                <w:sz w:val="14"/>
              </w:rPr>
              <w:t>Date</w:t>
            </w:r>
          </w:p>
        </w:tc>
        <w:tc>
          <w:tcPr>
            <w:tcW w:type="dxa" w:w="2556"/>
            <w:shd w:fill="17324D"/>
          </w:tcPr>
          <w:p>
            <w:r>
              <w:rPr>
                <w:b/>
                <w:color w:val="FFFFFF"/>
                <w:sz w:val="14"/>
              </w:rPr>
              <w:t>Status</w:t>
            </w:r>
          </w:p>
        </w:tc>
        <w:tc>
          <w:tcPr>
            <w:tcW w:type="dxa" w:w="2556"/>
            <w:shd w:fill="17324D"/>
          </w:tcPr>
          <w:p>
            <w:r>
              <w:rPr>
                <w:b/>
                <w:color w:val="FFFFFF"/>
                <w:sz w:val="14"/>
              </w:rPr>
              <w:t>Change</w:t>
            </w:r>
          </w:p>
        </w:tc>
      </w:tr>
      <w:tr>
        <w:trPr>
          <w:cantSplit/>
        </w:trPr>
        <w:tc>
          <w:tcPr>
            <w:tcW w:type="dxa" w:w="2556"/>
            <w:vAlign w:val="center"/>
          </w:tcPr>
          <w:p>
            <w:pPr>
              <w:spacing w:after="20"/>
            </w:pPr>
            <w:r>
              <w:rPr>
                <w:sz w:val="14"/>
              </w:rPr>
              <w:t>1.0</w:t>
            </w:r>
          </w:p>
        </w:tc>
        <w:tc>
          <w:tcPr>
            <w:tcW w:type="dxa" w:w="2556"/>
            <w:vAlign w:val="center"/>
          </w:tcPr>
          <w:p>
            <w:pPr>
              <w:spacing w:after="20"/>
            </w:pPr>
            <w:r>
              <w:rPr>
                <w:sz w:val="14"/>
              </w:rPr>
              <w:t>27 July 2026</w:t>
            </w:r>
          </w:p>
        </w:tc>
        <w:tc>
          <w:tcPr>
            <w:tcW w:type="dxa" w:w="2556"/>
            <w:vAlign w:val="center"/>
          </w:tcPr>
          <w:p>
            <w:pPr>
              <w:spacing w:after="20"/>
            </w:pPr>
            <w:r>
              <w:rPr>
                <w:sz w:val="14"/>
              </w:rPr>
              <w:t>Assessment complete; deferred</w:t>
            </w:r>
          </w:p>
        </w:tc>
        <w:tc>
          <w:tcPr>
            <w:tcW w:type="dxa" w:w="2556"/>
            <w:vAlign w:val="center"/>
          </w:tcPr>
          <w:p>
            <w:pPr>
              <w:spacing w:after="20"/>
            </w:pPr>
            <w:r>
              <w:rPr>
                <w:sz w:val="14"/>
              </w:rPr>
              <w:t>Initial evidence-led assessment of Serena 1.6.1.</w:t>
            </w:r>
          </w:p>
        </w:tc>
      </w:tr>
      <w:tr>
        <w:trPr>
          <w:cantSplit/>
        </w:trPr>
        <w:tc>
          <w:tcPr>
            <w:tcW w:type="dxa" w:w="2556"/>
            <w:vAlign w:val="center"/>
            <w:shd w:fill="EAF2F4"/>
          </w:tcPr>
          <w:p>
            <w:pPr>
              <w:spacing w:after="20"/>
            </w:pPr>
            <w:r>
              <w:rPr>
                <w:sz w:val="14"/>
              </w:rPr>
              <w:t>1.1</w:t>
            </w:r>
          </w:p>
        </w:tc>
        <w:tc>
          <w:tcPr>
            <w:tcW w:type="dxa" w:w="2556"/>
            <w:vAlign w:val="center"/>
            <w:shd w:fill="EAF2F4"/>
          </w:tcPr>
          <w:p>
            <w:pPr>
              <w:spacing w:after="20"/>
            </w:pPr>
            <w:r>
              <w:rPr>
                <w:sz w:val="14"/>
              </w:rPr>
              <w:t>29 July 2026</w:t>
            </w:r>
          </w:p>
        </w:tc>
        <w:tc>
          <w:tcPr>
            <w:tcW w:type="dxa" w:w="2556"/>
            <w:vAlign w:val="center"/>
            <w:shd w:fill="EAF2F4"/>
          </w:tcPr>
          <w:p>
            <w:pPr>
              <w:spacing w:after="20"/>
            </w:pPr>
            <w:r>
              <w:rPr>
                <w:sz w:val="14"/>
              </w:rPr>
              <w:t>Citation correction; deferred</w:t>
            </w:r>
          </w:p>
        </w:tc>
        <w:tc>
          <w:tcPr>
            <w:tcW w:type="dxa" w:w="2556"/>
            <w:vAlign w:val="center"/>
            <w:shd w:fill="EAF2F4"/>
          </w:tcPr>
          <w:p>
            <w:pPr>
              <w:spacing w:after="20"/>
            </w:pPr>
            <w:r>
              <w:rPr>
                <w:sz w:val="14"/>
              </w:rPr>
              <w:t>Corrected the PRA SS2/21 external reference; findings, scores, decision and runtime status unchanged.</w:t>
            </w:r>
          </w:p>
        </w:tc>
      </w:tr>
    </w:tbl>
    <w:p/>
    <w:p>
      <w:bookmarkStart w:id="712846" w:name="CONTENTS"/>
      <w:pPr>
        <w:pStyle w:val="Heading1"/>
      </w:pPr>
      <w:r>
        <w:t>Contents</w:t>
      </w:r>
      <w:bookmarkEnd w:id="712846"/>
    </w:p>
    <w:p>
      <w:pPr>
        <w:pStyle w:val="ListBullet"/>
      </w:pPr>
      <w:hyperlink w:anchor="EXECUTIVE_SUMMARY">
        <w:r>
          <w:rPr>
            <w:color w:val="315F7D"/>
            <w:u w:val="single"/>
          </w:rPr>
          <w:t>Executive Summary</w:t>
        </w:r>
      </w:hyperlink>
    </w:p>
    <w:p>
      <w:pPr>
        <w:pStyle w:val="ListBullet"/>
      </w:pPr>
      <w:hyperlink w:anchor="PURPOSE">
        <w:r>
          <w:rPr>
            <w:color w:val="315F7D"/>
            <w:u w:val="single"/>
          </w:rPr>
          <w:t>Purpose &amp; Function Overview</w:t>
        </w:r>
      </w:hyperlink>
    </w:p>
    <w:p>
      <w:pPr>
        <w:pStyle w:val="ListBullet"/>
      </w:pPr>
      <w:hyperlink w:anchor="SCOPE">
        <w:r>
          <w:rPr>
            <w:color w:val="315F7D"/>
            <w:u w:val="single"/>
          </w:rPr>
          <w:t>Scope, Assumptions and Methodology</w:t>
        </w:r>
      </w:hyperlink>
    </w:p>
    <w:p>
      <w:pPr>
        <w:pStyle w:val="ListBullet"/>
      </w:pPr>
      <w:hyperlink w:anchor="IDENTITY">
        <w:r>
          <w:rPr>
            <w:color w:val="315F7D"/>
            <w:u w:val="single"/>
          </w:rPr>
          <w:t>Product Identity and Version</w:t>
        </w:r>
      </w:hyperlink>
    </w:p>
    <w:p>
      <w:pPr>
        <w:pStyle w:val="ListBullet"/>
      </w:pPr>
      <w:hyperlink w:anchor="PART_I">
        <w:r>
          <w:rPr>
            <w:color w:val="315F7D"/>
            <w:u w:val="single"/>
          </w:rPr>
          <w:t>Part I — VS Code Assessment</w:t>
        </w:r>
      </w:hyperlink>
    </w:p>
    <w:p>
      <w:pPr>
        <w:pStyle w:val="ListBullet"/>
      </w:pPr>
      <w:hyperlink w:anchor="PART_II">
        <w:r>
          <w:rPr>
            <w:color w:val="315F7D"/>
            <w:u w:val="single"/>
          </w:rPr>
          <w:t>Part II — Visual Studio Assessment</w:t>
        </w:r>
      </w:hyperlink>
    </w:p>
    <w:p>
      <w:pPr>
        <w:pStyle w:val="ListBullet"/>
      </w:pPr>
      <w:hyperlink w:anchor="PART_III">
        <w:r>
          <w:rPr>
            <w:color w:val="315F7D"/>
            <w:u w:val="single"/>
          </w:rPr>
          <w:t>Part III — Installed Agent Skills</w:t>
        </w:r>
      </w:hyperlink>
    </w:p>
    <w:p>
      <w:pPr>
        <w:pStyle w:val="ListBullet"/>
      </w:pPr>
      <w:hyperlink w:anchor="CONSOLIDATED">
        <w:r>
          <w:rPr>
            <w:color w:val="315F7D"/>
            <w:u w:val="single"/>
          </w:rPr>
          <w:t>Consolidated Assessment</w:t>
        </w:r>
      </w:hyperlink>
    </w:p>
    <w:p>
      <w:pPr>
        <w:pStyle w:val="ListBullet"/>
      </w:pPr>
      <w:hyperlink w:anchor="EVIDENCE_REGISTER">
        <w:r>
          <w:rPr>
            <w:color w:val="315F7D"/>
            <w:u w:val="single"/>
          </w:rPr>
          <w:t>Evidence Register</w:t>
        </w:r>
      </w:hyperlink>
    </w:p>
    <w:p>
      <w:pPr>
        <w:pStyle w:val="ListBullet"/>
      </w:pPr>
      <w:hyperlink w:anchor="REFERENCES">
        <w:r>
          <w:rPr>
            <w:color w:val="315F7D"/>
            <w:u w:val="single"/>
          </w:rPr>
          <w:t>References</w:t>
        </w:r>
      </w:hyperlink>
    </w:p>
    <w:p>
      <w:pPr>
        <w:pStyle w:val="ListBullet"/>
      </w:pPr>
      <w:hyperlink w:anchor="APPENDICES">
        <w:r>
          <w:rPr>
            <w:color w:val="315F7D"/>
            <w:u w:val="single"/>
          </w:rPr>
          <w:t>Appendices</w:t>
        </w:r>
      </w:hyperlink>
    </w:p>
    <w:p>
      <w:pPr>
        <w:pStyle w:val="ListBullet"/>
      </w:pPr>
      <w:hyperlink w:anchor="GLOSSARY">
        <w:r>
          <w:rPr>
            <w:color w:val="315F7D"/>
            <w:u w:val="single"/>
          </w:rPr>
          <w:t>Glossary</w:t>
        </w:r>
      </w:hyperlink>
    </w:p>
    <w:p>
      <w:pPr>
        <w:pStyle w:val="Heading2"/>
      </w:pPr>
      <w:r>
        <w:t>Stage Assembly Record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Stage</w:t>
            </w:r>
          </w:p>
        </w:tc>
        <w:tc>
          <w:tcPr>
            <w:tcW w:type="dxa" w:w="3408"/>
            <w:shd w:fill="17324D"/>
          </w:tcPr>
          <w:p>
            <w:r>
              <w:rPr>
                <w:b/>
                <w:color w:val="FFFFFF"/>
                <w:sz w:val="14"/>
              </w:rPr>
              <w:t>Validated file</w:t>
            </w:r>
          </w:p>
        </w:tc>
        <w:tc>
          <w:tcPr>
            <w:tcW w:type="dxa" w:w="3408"/>
            <w:shd w:fill="17324D"/>
          </w:tcPr>
          <w:p>
            <w:r>
              <w:rPr>
                <w:b/>
                <w:color w:val="FFFFFF"/>
                <w:sz w:val="14"/>
              </w:rPr>
              <w:t>SHA-256 prefix</w:t>
            </w:r>
          </w:p>
        </w:tc>
      </w:tr>
      <w:tr>
        <w:trPr>
          <w:cantSplit/>
        </w:trPr>
        <w:tc>
          <w:tcPr>
            <w:tcW w:type="dxa" w:w="3408"/>
            <w:vAlign w:val="center"/>
          </w:tcPr>
          <w:p>
            <w:pPr>
              <w:spacing w:after="20"/>
            </w:pPr>
            <w:r>
              <w:rPr>
                <w:sz w:val="14"/>
              </w:rPr>
              <w:t>1</w:t>
            </w:r>
          </w:p>
        </w:tc>
        <w:tc>
          <w:tcPr>
            <w:tcW w:type="dxa" w:w="3408"/>
            <w:vAlign w:val="center"/>
          </w:tcPr>
          <w:p>
            <w:pPr>
              <w:spacing w:after="20"/>
            </w:pPr>
            <w:r>
              <w:rPr>
                <w:sz w:val="14"/>
              </w:rPr>
              <w:t>01-intake-readiness.md</w:t>
            </w:r>
          </w:p>
        </w:tc>
        <w:tc>
          <w:tcPr>
            <w:tcW w:type="dxa" w:w="3408"/>
            <w:vAlign w:val="center"/>
          </w:tcPr>
          <w:p>
            <w:pPr>
              <w:spacing w:after="20"/>
            </w:pPr>
            <w:r>
              <w:rPr>
                <w:sz w:val="14"/>
              </w:rPr>
              <w:t>79d282b5a8478e5f</w:t>
            </w:r>
          </w:p>
        </w:tc>
      </w:tr>
      <w:tr>
        <w:trPr>
          <w:cantSplit/>
        </w:trPr>
        <w:tc>
          <w:tcPr>
            <w:tcW w:type="dxa" w:w="3408"/>
            <w:vAlign w:val="center"/>
            <w:shd w:fill="EAF2F4"/>
          </w:tcPr>
          <w:p>
            <w:pPr>
              <w:spacing w:after="20"/>
            </w:pPr>
            <w:r>
              <w:rPr>
                <w:sz w:val="14"/>
              </w:rPr>
              <w:t>2</w:t>
            </w:r>
          </w:p>
        </w:tc>
        <w:tc>
          <w:tcPr>
            <w:tcW w:type="dxa" w:w="3408"/>
            <w:vAlign w:val="center"/>
            <w:shd w:fill="EAF2F4"/>
          </w:tcPr>
          <w:p>
            <w:pPr>
              <w:spacing w:after="20"/>
            </w:pPr>
            <w:r>
              <w:rPr>
                <w:sz w:val="14"/>
              </w:rPr>
              <w:t>02-evidence-plan-register.md</w:t>
            </w:r>
          </w:p>
        </w:tc>
        <w:tc>
          <w:tcPr>
            <w:tcW w:type="dxa" w:w="3408"/>
            <w:vAlign w:val="center"/>
            <w:shd w:fill="EAF2F4"/>
          </w:tcPr>
          <w:p>
            <w:pPr>
              <w:spacing w:after="20"/>
            </w:pPr>
            <w:r>
              <w:rPr>
                <w:sz w:val="14"/>
              </w:rPr>
              <w:t>bfe8b07898942f14</w:t>
            </w:r>
          </w:p>
        </w:tc>
      </w:tr>
      <w:tr>
        <w:trPr>
          <w:cantSplit/>
        </w:trPr>
        <w:tc>
          <w:tcPr>
            <w:tcW w:type="dxa" w:w="3408"/>
            <w:vAlign w:val="center"/>
          </w:tcPr>
          <w:p>
            <w:pPr>
              <w:spacing w:after="20"/>
            </w:pPr>
            <w:r>
              <w:rPr>
                <w:sz w:val="14"/>
              </w:rPr>
              <w:t>3</w:t>
            </w:r>
          </w:p>
        </w:tc>
        <w:tc>
          <w:tcPr>
            <w:tcW w:type="dxa" w:w="3408"/>
            <w:vAlign w:val="center"/>
          </w:tcPr>
          <w:p>
            <w:pPr>
              <w:spacing w:after="20"/>
            </w:pPr>
            <w:r>
              <w:rPr>
                <w:sz w:val="14"/>
              </w:rPr>
              <w:t>03-acquisition-provenance.md</w:t>
            </w:r>
          </w:p>
        </w:tc>
        <w:tc>
          <w:tcPr>
            <w:tcW w:type="dxa" w:w="3408"/>
            <w:vAlign w:val="center"/>
          </w:tcPr>
          <w:p>
            <w:pPr>
              <w:spacing w:after="20"/>
            </w:pPr>
            <w:r>
              <w:rPr>
                <w:sz w:val="14"/>
              </w:rPr>
              <w:t>5c7d5e475c364913</w:t>
            </w:r>
          </w:p>
        </w:tc>
      </w:tr>
      <w:tr>
        <w:trPr>
          <w:cantSplit/>
        </w:trPr>
        <w:tc>
          <w:tcPr>
            <w:tcW w:type="dxa" w:w="3408"/>
            <w:vAlign w:val="center"/>
            <w:shd w:fill="EAF2F4"/>
          </w:tcPr>
          <w:p>
            <w:pPr>
              <w:spacing w:after="20"/>
            </w:pPr>
            <w:r>
              <w:rPr>
                <w:sz w:val="14"/>
              </w:rPr>
              <w:t>4</w:t>
            </w:r>
          </w:p>
        </w:tc>
        <w:tc>
          <w:tcPr>
            <w:tcW w:type="dxa" w:w="3408"/>
            <w:vAlign w:val="center"/>
            <w:shd w:fill="EAF2F4"/>
          </w:tcPr>
          <w:p>
            <w:pPr>
              <w:spacing w:after="20"/>
            </w:pPr>
            <w:r>
              <w:rPr>
                <w:sz w:val="14"/>
              </w:rPr>
              <w:t>04-static-inspection.md</w:t>
            </w:r>
          </w:p>
        </w:tc>
        <w:tc>
          <w:tcPr>
            <w:tcW w:type="dxa" w:w="3408"/>
            <w:vAlign w:val="center"/>
            <w:shd w:fill="EAF2F4"/>
          </w:tcPr>
          <w:p>
            <w:pPr>
              <w:spacing w:after="20"/>
            </w:pPr>
            <w:r>
              <w:rPr>
                <w:sz w:val="14"/>
              </w:rPr>
              <w:t>470f0109f93a61b4</w:t>
            </w:r>
          </w:p>
        </w:tc>
      </w:tr>
      <w:tr>
        <w:trPr>
          <w:cantSplit/>
        </w:trPr>
        <w:tc>
          <w:tcPr>
            <w:tcW w:type="dxa" w:w="3408"/>
            <w:vAlign w:val="center"/>
          </w:tcPr>
          <w:p>
            <w:pPr>
              <w:spacing w:after="20"/>
            </w:pPr>
            <w:r>
              <w:rPr>
                <w:sz w:val="14"/>
              </w:rPr>
              <w:t>5</w:t>
            </w:r>
          </w:p>
        </w:tc>
        <w:tc>
          <w:tcPr>
            <w:tcW w:type="dxa" w:w="3408"/>
            <w:vAlign w:val="center"/>
          </w:tcPr>
          <w:p>
            <w:pPr>
              <w:spacing w:after="20"/>
            </w:pPr>
            <w:r>
              <w:rPr>
                <w:sz w:val="14"/>
              </w:rPr>
              <w:t>05-per-ide-installation.md</w:t>
            </w:r>
          </w:p>
        </w:tc>
        <w:tc>
          <w:tcPr>
            <w:tcW w:type="dxa" w:w="3408"/>
            <w:vAlign w:val="center"/>
          </w:tcPr>
          <w:p>
            <w:pPr>
              <w:spacing w:after="20"/>
            </w:pPr>
            <w:r>
              <w:rPr>
                <w:sz w:val="14"/>
              </w:rPr>
              <w:t>051b2b566853c00d</w:t>
            </w:r>
          </w:p>
        </w:tc>
      </w:tr>
      <w:tr>
        <w:trPr>
          <w:cantSplit/>
        </w:trPr>
        <w:tc>
          <w:tcPr>
            <w:tcW w:type="dxa" w:w="3408"/>
            <w:vAlign w:val="center"/>
            <w:shd w:fill="EAF2F4"/>
          </w:tcPr>
          <w:p>
            <w:pPr>
              <w:spacing w:after="20"/>
            </w:pPr>
            <w:r>
              <w:rPr>
                <w:sz w:val="14"/>
              </w:rPr>
              <w:t>6</w:t>
            </w:r>
          </w:p>
        </w:tc>
        <w:tc>
          <w:tcPr>
            <w:tcW w:type="dxa" w:w="3408"/>
            <w:vAlign w:val="center"/>
            <w:shd w:fill="EAF2F4"/>
          </w:tcPr>
          <w:p>
            <w:pPr>
              <w:spacing w:after="20"/>
            </w:pPr>
            <w:r>
              <w:rPr>
                <w:sz w:val="14"/>
              </w:rPr>
              <w:t>06-architecture-data-flows.md</w:t>
            </w:r>
          </w:p>
        </w:tc>
        <w:tc>
          <w:tcPr>
            <w:tcW w:type="dxa" w:w="3408"/>
            <w:vAlign w:val="center"/>
            <w:shd w:fill="EAF2F4"/>
          </w:tcPr>
          <w:p>
            <w:pPr>
              <w:spacing w:after="20"/>
            </w:pPr>
            <w:r>
              <w:rPr>
                <w:sz w:val="14"/>
              </w:rPr>
              <w:t>2ae4ef2282805d3b</w:t>
            </w:r>
          </w:p>
        </w:tc>
      </w:tr>
      <w:tr>
        <w:trPr>
          <w:cantSplit/>
        </w:trPr>
        <w:tc>
          <w:tcPr>
            <w:tcW w:type="dxa" w:w="3408"/>
            <w:vAlign w:val="center"/>
          </w:tcPr>
          <w:p>
            <w:pPr>
              <w:spacing w:after="20"/>
            </w:pPr>
            <w:r>
              <w:rPr>
                <w:sz w:val="14"/>
              </w:rPr>
              <w:t>7</w:t>
            </w:r>
          </w:p>
        </w:tc>
        <w:tc>
          <w:tcPr>
            <w:tcW w:type="dxa" w:w="3408"/>
            <w:vAlign w:val="center"/>
          </w:tcPr>
          <w:p>
            <w:pPr>
              <w:spacing w:after="20"/>
            </w:pPr>
            <w:r>
              <w:rPr>
                <w:sz w:val="14"/>
              </w:rPr>
              <w:t>07-runtime-observations.md</w:t>
            </w:r>
          </w:p>
        </w:tc>
        <w:tc>
          <w:tcPr>
            <w:tcW w:type="dxa" w:w="3408"/>
            <w:vAlign w:val="center"/>
          </w:tcPr>
          <w:p>
            <w:pPr>
              <w:spacing w:after="20"/>
            </w:pPr>
            <w:r>
              <w:rPr>
                <w:sz w:val="14"/>
              </w:rPr>
              <w:t>4c3aec066a4817d3</w:t>
            </w:r>
          </w:p>
        </w:tc>
      </w:tr>
      <w:tr>
        <w:trPr>
          <w:cantSplit/>
        </w:trPr>
        <w:tc>
          <w:tcPr>
            <w:tcW w:type="dxa" w:w="3408"/>
            <w:vAlign w:val="center"/>
            <w:shd w:fill="EAF2F4"/>
          </w:tcPr>
          <w:p>
            <w:pPr>
              <w:spacing w:after="20"/>
            </w:pPr>
            <w:r>
              <w:rPr>
                <w:sz w:val="14"/>
              </w:rPr>
              <w:t>8</w:t>
            </w:r>
          </w:p>
        </w:tc>
        <w:tc>
          <w:tcPr>
            <w:tcW w:type="dxa" w:w="3408"/>
            <w:vAlign w:val="center"/>
            <w:shd w:fill="EAF2F4"/>
          </w:tcPr>
          <w:p>
            <w:pPr>
              <w:spacing w:after="20"/>
            </w:pPr>
            <w:r>
              <w:rPr>
                <w:sz w:val="14"/>
              </w:rPr>
              <w:t>08-malware-supply-chain.md</w:t>
            </w:r>
          </w:p>
        </w:tc>
        <w:tc>
          <w:tcPr>
            <w:tcW w:type="dxa" w:w="3408"/>
            <w:vAlign w:val="center"/>
            <w:shd w:fill="EAF2F4"/>
          </w:tcPr>
          <w:p>
            <w:pPr>
              <w:spacing w:after="20"/>
            </w:pPr>
            <w:r>
              <w:rPr>
                <w:sz w:val="14"/>
              </w:rPr>
              <w:t>c527c3deba133413</w:t>
            </w:r>
          </w:p>
        </w:tc>
      </w:tr>
      <w:tr>
        <w:trPr>
          <w:cantSplit/>
        </w:trPr>
        <w:tc>
          <w:tcPr>
            <w:tcW w:type="dxa" w:w="3408"/>
            <w:vAlign w:val="center"/>
          </w:tcPr>
          <w:p>
            <w:pPr>
              <w:spacing w:after="20"/>
            </w:pPr>
            <w:r>
              <w:rPr>
                <w:sz w:val="14"/>
              </w:rPr>
              <w:t>9</w:t>
            </w:r>
          </w:p>
        </w:tc>
        <w:tc>
          <w:tcPr>
            <w:tcW w:type="dxa" w:w="3408"/>
            <w:vAlign w:val="center"/>
          </w:tcPr>
          <w:p>
            <w:pPr>
              <w:spacing w:after="20"/>
            </w:pPr>
            <w:r>
              <w:rPr>
                <w:sz w:val="14"/>
              </w:rPr>
              <w:t>09-sbom-vulnerability.md</w:t>
            </w:r>
          </w:p>
        </w:tc>
        <w:tc>
          <w:tcPr>
            <w:tcW w:type="dxa" w:w="3408"/>
            <w:vAlign w:val="center"/>
          </w:tcPr>
          <w:p>
            <w:pPr>
              <w:spacing w:after="20"/>
            </w:pPr>
            <w:r>
              <w:rPr>
                <w:sz w:val="14"/>
              </w:rPr>
              <w:t>b90430b852d484da</w:t>
            </w:r>
          </w:p>
        </w:tc>
      </w:tr>
      <w:tr>
        <w:trPr>
          <w:cantSplit/>
        </w:trPr>
        <w:tc>
          <w:tcPr>
            <w:tcW w:type="dxa" w:w="3408"/>
            <w:vAlign w:val="center"/>
            <w:shd w:fill="EAF2F4"/>
          </w:tcPr>
          <w:p>
            <w:pPr>
              <w:spacing w:after="20"/>
            </w:pPr>
            <w:r>
              <w:rPr>
                <w:sz w:val="14"/>
              </w:rPr>
              <w:t>10</w:t>
            </w:r>
          </w:p>
        </w:tc>
        <w:tc>
          <w:tcPr>
            <w:tcW w:type="dxa" w:w="3408"/>
            <w:vAlign w:val="center"/>
            <w:shd w:fill="EAF2F4"/>
          </w:tcPr>
          <w:p>
            <w:pPr>
              <w:spacing w:after="20"/>
            </w:pPr>
            <w:r>
              <w:rPr>
                <w:sz w:val="14"/>
              </w:rPr>
              <w:t>10-mcp-agent-skills.md</w:t>
            </w:r>
          </w:p>
        </w:tc>
        <w:tc>
          <w:tcPr>
            <w:tcW w:type="dxa" w:w="3408"/>
            <w:vAlign w:val="center"/>
            <w:shd w:fill="EAF2F4"/>
          </w:tcPr>
          <w:p>
            <w:pPr>
              <w:spacing w:after="20"/>
            </w:pPr>
            <w:r>
              <w:rPr>
                <w:sz w:val="14"/>
              </w:rPr>
              <w:t>a232027eb1e8dee1</w:t>
            </w:r>
          </w:p>
        </w:tc>
      </w:tr>
      <w:tr>
        <w:trPr>
          <w:cantSplit/>
        </w:trPr>
        <w:tc>
          <w:tcPr>
            <w:tcW w:type="dxa" w:w="3408"/>
            <w:vAlign w:val="center"/>
          </w:tcPr>
          <w:p>
            <w:pPr>
              <w:spacing w:after="20"/>
            </w:pPr>
            <w:r>
              <w:rPr>
                <w:sz w:val="14"/>
              </w:rPr>
              <w:t>11</w:t>
            </w:r>
          </w:p>
        </w:tc>
        <w:tc>
          <w:tcPr>
            <w:tcW w:type="dxa" w:w="3408"/>
            <w:vAlign w:val="center"/>
          </w:tcPr>
          <w:p>
            <w:pPr>
              <w:spacing w:after="20"/>
            </w:pPr>
            <w:r>
              <w:rPr>
                <w:sz w:val="14"/>
              </w:rPr>
              <w:t>11-privacy-regulatory.md</w:t>
            </w:r>
          </w:p>
        </w:tc>
        <w:tc>
          <w:tcPr>
            <w:tcW w:type="dxa" w:w="3408"/>
            <w:vAlign w:val="center"/>
          </w:tcPr>
          <w:p>
            <w:pPr>
              <w:spacing w:after="20"/>
            </w:pPr>
            <w:r>
              <w:rPr>
                <w:sz w:val="14"/>
              </w:rPr>
              <w:t>29dd789198a753fc</w:t>
            </w:r>
          </w:p>
        </w:tc>
      </w:tr>
      <w:tr>
        <w:trPr>
          <w:cantSplit/>
        </w:trPr>
        <w:tc>
          <w:tcPr>
            <w:tcW w:type="dxa" w:w="3408"/>
            <w:vAlign w:val="center"/>
            <w:shd w:fill="EAF2F4"/>
          </w:tcPr>
          <w:p>
            <w:pPr>
              <w:spacing w:after="20"/>
            </w:pPr>
            <w:r>
              <w:rPr>
                <w:sz w:val="14"/>
              </w:rPr>
              <w:t>12</w:t>
            </w:r>
          </w:p>
        </w:tc>
        <w:tc>
          <w:tcPr>
            <w:tcW w:type="dxa" w:w="3408"/>
            <w:vAlign w:val="center"/>
            <w:shd w:fill="EAF2F4"/>
          </w:tcPr>
          <w:p>
            <w:pPr>
              <w:spacing w:after="20"/>
            </w:pPr>
            <w:r>
              <w:rPr>
                <w:sz w:val="14"/>
              </w:rPr>
              <w:t>12-framework-mapping.md</w:t>
            </w:r>
          </w:p>
        </w:tc>
        <w:tc>
          <w:tcPr>
            <w:tcW w:type="dxa" w:w="3408"/>
            <w:vAlign w:val="center"/>
            <w:shd w:fill="EAF2F4"/>
          </w:tcPr>
          <w:p>
            <w:pPr>
              <w:spacing w:after="20"/>
            </w:pPr>
            <w:r>
              <w:rPr>
                <w:sz w:val="14"/>
              </w:rPr>
              <w:t>733e4774ac040110</w:t>
            </w:r>
          </w:p>
        </w:tc>
      </w:tr>
      <w:tr>
        <w:trPr>
          <w:cantSplit/>
        </w:trPr>
        <w:tc>
          <w:tcPr>
            <w:tcW w:type="dxa" w:w="3408"/>
            <w:vAlign w:val="center"/>
          </w:tcPr>
          <w:p>
            <w:pPr>
              <w:spacing w:after="20"/>
            </w:pPr>
            <w:r>
              <w:rPr>
                <w:sz w:val="14"/>
              </w:rPr>
              <w:t>13</w:t>
            </w:r>
          </w:p>
        </w:tc>
        <w:tc>
          <w:tcPr>
            <w:tcW w:type="dxa" w:w="3408"/>
            <w:vAlign w:val="center"/>
          </w:tcPr>
          <w:p>
            <w:pPr>
              <w:spacing w:after="20"/>
            </w:pPr>
            <w:r>
              <w:rPr>
                <w:sz w:val="14"/>
              </w:rPr>
              <w:t>13-findings-risk-register.md</w:t>
            </w:r>
          </w:p>
        </w:tc>
        <w:tc>
          <w:tcPr>
            <w:tcW w:type="dxa" w:w="3408"/>
            <w:vAlign w:val="center"/>
          </w:tcPr>
          <w:p>
            <w:pPr>
              <w:spacing w:after="20"/>
            </w:pPr>
            <w:r>
              <w:rPr>
                <w:sz w:val="14"/>
              </w:rPr>
              <w:t>5d388eecab6e2932</w:t>
            </w:r>
          </w:p>
        </w:tc>
      </w:tr>
      <w:tr>
        <w:trPr>
          <w:cantSplit/>
        </w:trPr>
        <w:tc>
          <w:tcPr>
            <w:tcW w:type="dxa" w:w="3408"/>
            <w:vAlign w:val="center"/>
            <w:shd w:fill="EAF2F4"/>
          </w:tcPr>
          <w:p>
            <w:pPr>
              <w:spacing w:after="20"/>
            </w:pPr>
            <w:r>
              <w:rPr>
                <w:sz w:val="14"/>
              </w:rPr>
              <w:t>14</w:t>
            </w:r>
          </w:p>
        </w:tc>
        <w:tc>
          <w:tcPr>
            <w:tcW w:type="dxa" w:w="3408"/>
            <w:vAlign w:val="center"/>
            <w:shd w:fill="EAF2F4"/>
          </w:tcPr>
          <w:p>
            <w:pPr>
              <w:spacing w:after="20"/>
            </w:pPr>
            <w:r>
              <w:rPr>
                <w:sz w:val="14"/>
              </w:rPr>
              <w:t>14-controls-detection.md</w:t>
            </w:r>
          </w:p>
        </w:tc>
        <w:tc>
          <w:tcPr>
            <w:tcW w:type="dxa" w:w="3408"/>
            <w:vAlign w:val="center"/>
            <w:shd w:fill="EAF2F4"/>
          </w:tcPr>
          <w:p>
            <w:pPr>
              <w:spacing w:after="20"/>
            </w:pPr>
            <w:r>
              <w:rPr>
                <w:sz w:val="14"/>
              </w:rPr>
              <w:t>c3920d11c24133a3</w:t>
            </w:r>
          </w:p>
        </w:tc>
      </w:tr>
      <w:tr>
        <w:trPr>
          <w:cantSplit/>
        </w:trPr>
        <w:tc>
          <w:tcPr>
            <w:tcW w:type="dxa" w:w="3408"/>
            <w:vAlign w:val="center"/>
          </w:tcPr>
          <w:p>
            <w:pPr>
              <w:spacing w:after="20"/>
            </w:pPr>
            <w:r>
              <w:rPr>
                <w:sz w:val="14"/>
              </w:rPr>
              <w:t>15</w:t>
            </w:r>
          </w:p>
        </w:tc>
        <w:tc>
          <w:tcPr>
            <w:tcW w:type="dxa" w:w="3408"/>
            <w:vAlign w:val="center"/>
          </w:tcPr>
          <w:p>
            <w:pPr>
              <w:spacing w:after="20"/>
            </w:pPr>
            <w:r>
              <w:rPr>
                <w:sz w:val="14"/>
              </w:rPr>
              <w:t>15-claim-evidence-report-qa.md</w:t>
            </w:r>
          </w:p>
        </w:tc>
        <w:tc>
          <w:tcPr>
            <w:tcW w:type="dxa" w:w="3408"/>
            <w:vAlign w:val="center"/>
          </w:tcPr>
          <w:p>
            <w:pPr>
              <w:spacing w:after="20"/>
            </w:pPr>
            <w:r>
              <w:rPr>
                <w:sz w:val="14"/>
              </w:rPr>
              <w:t>8a9d8b9134e415ab</w:t>
            </w:r>
          </w:p>
        </w:tc>
      </w:tr>
    </w:tbl>
    <w:p/>
    <w:p>
      <w:bookmarkStart w:id="1875218" w:name="EXECUTIVE_SUMMARY"/>
      <w:pPr>
        <w:pStyle w:val="Heading1"/>
      </w:pPr>
      <w:r>
        <w:t>Executive Summary</w:t>
      </w:r>
      <w:bookmarkEnd w:id="1875218"/>
    </w:p>
    <w:p>
      <w:r>
        <w:rPr>
          <w:b/>
        </w:rPr>
        <w:t xml:space="preserve">Decision — Defer pending evidence. </w:t>
      </w:r>
      <w:r>
        <w:t>Serena 1.6.1 should not be approved for production or regulated-data use. Publication of this public-safe assessment is not product approval. The product offers useful semantic code navigation and editing through MCP, and its VS Code context removes redundant generic shell and file tools. However, a plausible project-local unsafe-deserialization path, trust-all migration behavior, agent write authority, non-immutable runtime dependency resolution and missing representative runtime evidence leave High residual risk. A synthetic, read-only pilot may be reconsidered only after the P0 conditions close.</w:t>
      </w:r>
      <w:r>
        <w:t xml:space="preserve"> </w:t>
      </w:r>
      <w:hyperlink w:anchor="REF_002">
        <w:r>
          <w:rPr>
            <w:color w:val="315F7D"/>
            <w:u w:val="single"/>
          </w:rPr>
          <w:t>[REF-002]</w:t>
        </w:r>
      </w:hyperlink>
    </w:p>
    <w:p>
      <w:pPr>
        <w:pStyle w:val="ListBullet"/>
      </w:pPr>
      <w:r>
        <w:t>A plausible unsafe-deserialization path exists from project-local semantic cache state into language-server initialization. Detailed implementation evidence is retained privately for coordinated vendor validation; no exploit was attempted.</w:t>
      </w:r>
    </w:p>
    <w:p>
      <w:pPr>
        <w:pStyle w:val="ListBullet"/>
      </w:pPr>
      <w:r>
        <w:t>Repository content can influence initial_prompt and project settings. Migrated configurations missing trusted_project_path_patterns fall back to **, potentially trusting all project roots for activation and language-server settings.</w:t>
      </w:r>
    </w:p>
    <w:p>
      <w:pPr>
        <w:pStyle w:val="ListBullet"/>
      </w:pPr>
      <w:r>
        <w:t>Serena's semantic write tools are powerful, and its editing mode discourages rereading changes or rerunning tests after a successful tool response. Enterprise policy must restore independent diff and test verification.</w:t>
      </w:r>
    </w:p>
    <w:p>
      <w:pPr>
        <w:pStyle w:val="ListBullet"/>
      </w:pPr>
      <w:r>
        <w:t>The official Registry advertises 1.5.3 while the released GitHub/PyPI version is 1.6.1. Install only a reviewed wheel by exact hash; do not rely on Registry latest metadata.</w:t>
      </w:r>
    </w:p>
    <w:p>
      <w:pPr>
        <w:pStyle w:val="ListBullet"/>
      </w:pPr>
      <w:r>
        <w:t>Runtime was not silently waived: it remained selected and is blocked pending isolated managed VS Code and Windows Visual Studio evidence. Visual Studio-specific vendor support is not documented.</w:t>
      </w:r>
    </w:p>
    <w:p>
      <w:pPr>
        <w:pStyle w:val="Heading2"/>
      </w:pPr>
      <w:r>
        <w:t>Immediate Decision Conditions</w:t>
      </w:r>
    </w:p>
    <w:p>
      <w:pPr>
        <w:pStyle w:val="ListBullet"/>
      </w:pPr>
      <w:r>
        <w:t>Resolve or contain RISK-001; reject supplied project-local semantic caches before any Serena initialization.</w:t>
      </w:r>
    </w:p>
    <w:p>
      <w:pPr>
        <w:pStyle w:val="ListBullet"/>
      </w:pPr>
      <w:r>
        <w:t>Set trusted_project_path_patterns explicitly to an empty or narrow allowlist and prohibit activation commands by default.</w:t>
      </w:r>
    </w:p>
    <w:p>
      <w:pPr>
        <w:pStyle w:val="ListBullet"/>
      </w:pPr>
      <w:r>
        <w:t>Start read-only with a fixed tool allowlist, no automatic approvals, no dashboard and usage reporting disabled.</w:t>
      </w:r>
    </w:p>
    <w:p>
      <w:pPr>
        <w:pStyle w:val="ListBullet"/>
      </w:pPr>
      <w:r>
        <w:t>Use an internal, hash-locked Python wheelhouse and approved language-server distribution with restricted egress.</w:t>
      </w:r>
    </w:p>
    <w:p>
      <w:pPr>
        <w:pStyle w:val="ListBullet"/>
      </w:pPr>
      <w:r>
        <w:t>Complete isolated host tests for both claimed IDEs with synthetic repositories, hostile instructions, lifecycle capture and rollback.</w:t>
      </w:r>
    </w:p>
    <w:p>
      <w:bookmarkStart w:id="235358" w:name="PURPOSE"/>
      <w:pPr>
        <w:pStyle w:val="Heading1"/>
      </w:pPr>
      <w:r>
        <w:t>Purpose &amp; Function Overview</w:t>
      </w:r>
      <w:bookmarkEnd w:id="235358"/>
    </w:p>
    <w:p>
      <w:r>
        <w:t>Serena is an open-source coding-agent toolkit and MCP server published by Oraios. It gives an MCP-capable host language-server-backed symbol search, references, semantic editing, project memories, project activation and related code-navigation functions. It can operate over many languages by starting or acquiring downstream language servers. It is not a conventional VSIX; the IDE or agent host launches the Python MCP process.</w:t>
      </w:r>
      <w:r>
        <w:t xml:space="preserve"> </w:t>
      </w:r>
      <w:hyperlink w:anchor="REF_004">
        <w:r>
          <w:rPr>
            <w:color w:val="315F7D"/>
            <w:u w:val="single"/>
          </w:rPr>
          <w:t>[REF-004]</w:t>
        </w:r>
      </w:hyperlink>
    </w:p>
    <w:p>
      <w:r>
        <w:t>Its benefit is efficient code understanding without placing entire repositories into model context. Its security significance is the same abstraction: a model can convert untrusted repository content into precise read and write operations through a process that can access source files, language servers, caches and optional local or network services. MCP capability discovery and host consent therefore form only part of the control system.</w:t>
      </w:r>
      <w:r>
        <w:t xml:space="preserve"> </w:t>
      </w:r>
      <w:hyperlink w:anchor="REF_008">
        <w:r>
          <w:rPr>
            <w:color w:val="315F7D"/>
            <w:u w:val="single"/>
          </w:rPr>
          <w:t>[REF-008]</w:t>
        </w:r>
      </w:hyperlink>
    </w:p>
    <w:p>
      <w:bookmarkStart w:id="1038403" w:name="SCOPE"/>
      <w:pPr>
        <w:pStyle w:val="Heading1"/>
      </w:pPr>
      <w:r>
        <w:t>Scope, Assumptions, Methodology and Assessment Criteria</w:t>
      </w:r>
      <w:bookmarkEnd w:id="1038403"/>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Dimension</w:t>
            </w:r>
          </w:p>
        </w:tc>
        <w:tc>
          <w:tcPr>
            <w:tcW w:type="dxa" w:w="5112"/>
            <w:shd w:fill="17324D"/>
          </w:tcPr>
          <w:p>
            <w:r>
              <w:rPr>
                <w:b/>
                <w:color w:val="FFFFFF"/>
                <w:sz w:val="14"/>
              </w:rPr>
              <w:t>Scope / assumption</w:t>
            </w:r>
          </w:p>
        </w:tc>
      </w:tr>
      <w:tr>
        <w:trPr>
          <w:cantSplit/>
        </w:trPr>
        <w:tc>
          <w:tcPr>
            <w:tcW w:type="dxa" w:w="5112"/>
            <w:vAlign w:val="center"/>
          </w:tcPr>
          <w:p>
            <w:pPr>
              <w:spacing w:after="20"/>
            </w:pPr>
            <w:r>
              <w:rPr>
                <w:sz w:val="14"/>
              </w:rPr>
              <w:t>Target</w:t>
            </w:r>
          </w:p>
        </w:tc>
        <w:tc>
          <w:tcPr>
            <w:tcW w:type="dxa" w:w="5112"/>
            <w:vAlign w:val="center"/>
          </w:tcPr>
          <w:p>
            <w:pPr>
              <w:spacing w:after="20"/>
            </w:pPr>
            <w:r>
              <w:rPr>
                <w:sz w:val="14"/>
              </w:rPr>
              <w:t>Official Oraios Serena repository, PyPI serena-agent 1.6.1 and Registry io.github.oraios/serena.</w:t>
            </w:r>
          </w:p>
        </w:tc>
      </w:tr>
      <w:tr>
        <w:trPr>
          <w:cantSplit/>
        </w:trPr>
        <w:tc>
          <w:tcPr>
            <w:tcW w:type="dxa" w:w="5112"/>
            <w:vAlign w:val="center"/>
            <w:shd w:fill="EAF2F4"/>
          </w:tcPr>
          <w:p>
            <w:pPr>
              <w:spacing w:after="20"/>
            </w:pPr>
            <w:r>
              <w:rPr>
                <w:sz w:val="14"/>
              </w:rPr>
              <w:t>IDEs</w:t>
            </w:r>
          </w:p>
        </w:tc>
        <w:tc>
          <w:tcPr>
            <w:tcW w:type="dxa" w:w="5112"/>
            <w:vAlign w:val="center"/>
            <w:shd w:fill="EAF2F4"/>
          </w:tcPr>
          <w:p>
            <w:pPr>
              <w:spacing w:after="20"/>
            </w:pPr>
            <w:r>
              <w:rPr>
                <w:sz w:val="14"/>
              </w:rPr>
              <w:t>VS Code directly documented; Visual Studio generic MCP compatibility assessed separately and remains unsupported/Unknown.</w:t>
            </w:r>
          </w:p>
        </w:tc>
      </w:tr>
      <w:tr>
        <w:trPr>
          <w:cantSplit/>
        </w:trPr>
        <w:tc>
          <w:tcPr>
            <w:tcW w:type="dxa" w:w="5112"/>
            <w:vAlign w:val="center"/>
          </w:tcPr>
          <w:p>
            <w:pPr>
              <w:spacing w:after="20"/>
            </w:pPr>
            <w:r>
              <w:rPr>
                <w:sz w:val="14"/>
              </w:rPr>
              <w:t>Business context</w:t>
            </w:r>
          </w:p>
        </w:tc>
        <w:tc>
          <w:tcPr>
            <w:tcW w:type="dxa" w:w="5112"/>
            <w:vAlign w:val="center"/>
          </w:tcPr>
          <w:p>
            <w:pPr>
              <w:spacing w:after="20"/>
            </w:pPr>
            <w:r>
              <w:rPr>
                <w:sz w:val="14"/>
              </w:rPr>
              <w:t>Large UK Insurance business; actual firm status, materiality and important services require confirmation.</w:t>
            </w:r>
          </w:p>
        </w:tc>
      </w:tr>
      <w:tr>
        <w:trPr>
          <w:cantSplit/>
        </w:trPr>
        <w:tc>
          <w:tcPr>
            <w:tcW w:type="dxa" w:w="5112"/>
            <w:vAlign w:val="center"/>
            <w:shd w:fill="EAF2F4"/>
          </w:tcPr>
          <w:p>
            <w:pPr>
              <w:spacing w:after="20"/>
            </w:pPr>
            <w:r>
              <w:rPr>
                <w:sz w:val="14"/>
              </w:rPr>
              <w:t>Static analysis</w:t>
            </w:r>
          </w:p>
        </w:tc>
        <w:tc>
          <w:tcPr>
            <w:tcW w:type="dxa" w:w="5112"/>
            <w:vAlign w:val="center"/>
            <w:shd w:fill="EAF2F4"/>
          </w:tcPr>
          <w:p>
            <w:pPr>
              <w:spacing w:after="20"/>
            </w:pPr>
            <w:r>
              <w:rPr>
                <w:sz w:val="14"/>
              </w:rPr>
              <w:t>Yes — package, source, config, tools, prompts, caches, downloads, dashboard and publisher workflow.</w:t>
            </w:r>
          </w:p>
        </w:tc>
      </w:tr>
      <w:tr>
        <w:trPr>
          <w:cantSplit/>
        </w:trPr>
        <w:tc>
          <w:tcPr>
            <w:tcW w:type="dxa" w:w="5112"/>
            <w:vAlign w:val="center"/>
          </w:tcPr>
          <w:p>
            <w:pPr>
              <w:spacing w:after="20"/>
            </w:pPr>
            <w:r>
              <w:rPr>
                <w:sz w:val="14"/>
              </w:rPr>
              <w:t>Malware review</w:t>
            </w:r>
          </w:p>
        </w:tc>
        <w:tc>
          <w:tcPr>
            <w:tcW w:type="dxa" w:w="5112"/>
            <w:vAlign w:val="center"/>
          </w:tcPr>
          <w:p>
            <w:pPr>
              <w:spacing w:after="20"/>
            </w:pPr>
            <w:r>
              <w:rPr>
                <w:sz w:val="14"/>
              </w:rPr>
              <w:t>Yes — bounded archives, hashes, ClamAV, YARA, manual inspection; no detonation.</w:t>
            </w:r>
          </w:p>
        </w:tc>
      </w:tr>
      <w:tr>
        <w:trPr>
          <w:cantSplit/>
        </w:trPr>
        <w:tc>
          <w:tcPr>
            <w:tcW w:type="dxa" w:w="5112"/>
            <w:vAlign w:val="center"/>
            <w:shd w:fill="EAF2F4"/>
          </w:tcPr>
          <w:p>
            <w:pPr>
              <w:spacing w:after="20"/>
            </w:pPr>
            <w:r>
              <w:rPr>
                <w:sz w:val="14"/>
              </w:rPr>
              <w:t>Runtime analysis</w:t>
            </w:r>
          </w:p>
        </w:tc>
        <w:tc>
          <w:tcPr>
            <w:tcW w:type="dxa" w:w="5112"/>
            <w:vAlign w:val="center"/>
            <w:shd w:fill="EAF2F4"/>
          </w:tcPr>
          <w:p>
            <w:pPr>
              <w:spacing w:after="20"/>
            </w:pPr>
            <w:r>
              <w:rPr>
                <w:sz w:val="14"/>
              </w:rPr>
              <w:t>Yes selected; blocked because representative disposable managed hosts were unavailable.</w:t>
            </w:r>
          </w:p>
        </w:tc>
      </w:tr>
      <w:tr>
        <w:trPr>
          <w:cantSplit/>
        </w:trPr>
        <w:tc>
          <w:tcPr>
            <w:tcW w:type="dxa" w:w="5112"/>
            <w:vAlign w:val="center"/>
          </w:tcPr>
          <w:p>
            <w:pPr>
              <w:spacing w:after="20"/>
            </w:pPr>
            <w:r>
              <w:rPr>
                <w:sz w:val="14"/>
              </w:rPr>
              <w:t>Privacy</w:t>
            </w:r>
          </w:p>
        </w:tc>
        <w:tc>
          <w:tcPr>
            <w:tcW w:type="dxa" w:w="5112"/>
            <w:vAlign w:val="center"/>
          </w:tcPr>
          <w:p>
            <w:pPr>
              <w:spacing w:after="20"/>
            </w:pPr>
            <w:r>
              <w:rPr>
                <w:sz w:val="14"/>
              </w:rPr>
              <w:t>Yes — code, paths, memories, logs, model context, news/version checks and usage reporting.</w:t>
            </w:r>
          </w:p>
        </w:tc>
      </w:tr>
      <w:tr>
        <w:trPr>
          <w:cantSplit/>
        </w:trPr>
        <w:tc>
          <w:tcPr>
            <w:tcW w:type="dxa" w:w="5112"/>
            <w:vAlign w:val="center"/>
            <w:shd w:fill="EAF2F4"/>
          </w:tcPr>
          <w:p>
            <w:pPr>
              <w:spacing w:after="20"/>
            </w:pPr>
            <w:r>
              <w:rPr>
                <w:sz w:val="14"/>
              </w:rPr>
              <w:t>Exclusions</w:t>
            </w:r>
          </w:p>
        </w:tc>
        <w:tc>
          <w:tcPr>
            <w:tcW w:type="dxa" w:w="5112"/>
            <w:vAlign w:val="center"/>
            <w:shd w:fill="EAF2F4"/>
          </w:tcPr>
          <w:p>
            <w:pPr>
              <w:spacing w:after="20"/>
            </w:pPr>
            <w:r>
              <w:rPr>
                <w:sz w:val="14"/>
              </w:rPr>
              <w:t>No real credentials, customer data, production repositories, callbacks, persistence, destructive tests or exploit payload.</w:t>
            </w:r>
          </w:p>
        </w:tc>
      </w:tr>
    </w:tbl>
    <w:p/>
    <w:p>
      <w:r>
        <w:t>The assessment followed fifteen evidence-led stages. Originals were retained with provenance and hashes; source was treated as untrusted immutable input. Scanner output was manually dispositioned. Findings require a credible source, trust-boundary crossing, sink and impact. Risk is likelihood multiplied by impact on a 1–5 scale: 1–4 Low, 5–9 Moderate, 10–16 High and 17–25 Critical. Residual scores reflect verified control strength rather than subtracting controls mechanically.</w:t>
      </w:r>
    </w:p>
    <w:p>
      <w:pPr>
        <w:pStyle w:val="Heading2"/>
      </w:pPr>
      <w:r>
        <w:t>Evidence-State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State</w:t>
            </w:r>
          </w:p>
        </w:tc>
        <w:tc>
          <w:tcPr>
            <w:tcW w:type="dxa" w:w="5112"/>
            <w:shd w:fill="17324D"/>
          </w:tcPr>
          <w:p>
            <w:r>
              <w:rPr>
                <w:b/>
                <w:color w:val="FFFFFF"/>
                <w:sz w:val="14"/>
              </w:rPr>
              <w:t>Meaning</w:t>
            </w:r>
          </w:p>
        </w:tc>
      </w:tr>
      <w:tr>
        <w:trPr>
          <w:cantSplit/>
        </w:trPr>
        <w:tc>
          <w:tcPr>
            <w:tcW w:type="dxa" w:w="5112"/>
            <w:vAlign w:val="center"/>
          </w:tcPr>
          <w:p>
            <w:pPr>
              <w:spacing w:after="20"/>
            </w:pPr>
            <w:r>
              <w:rPr>
                <w:sz w:val="14"/>
              </w:rPr>
              <w:t>Verified</w:t>
            </w:r>
          </w:p>
        </w:tc>
        <w:tc>
          <w:tcPr>
            <w:tcW w:type="dxa" w:w="5112"/>
            <w:vAlign w:val="center"/>
          </w:tcPr>
          <w:p>
            <w:pPr>
              <w:spacing w:after="20"/>
            </w:pPr>
            <w:r>
              <w:rPr>
                <w:sz w:val="14"/>
              </w:rPr>
              <w:t>Directly supported by retained bytes, source or observation.</w:t>
            </w:r>
          </w:p>
        </w:tc>
      </w:tr>
      <w:tr>
        <w:trPr>
          <w:cantSplit/>
        </w:trPr>
        <w:tc>
          <w:tcPr>
            <w:tcW w:type="dxa" w:w="5112"/>
            <w:vAlign w:val="center"/>
            <w:shd w:fill="EAF2F4"/>
          </w:tcPr>
          <w:p>
            <w:pPr>
              <w:spacing w:after="20"/>
            </w:pPr>
            <w:r>
              <w:rPr>
                <w:sz w:val="14"/>
              </w:rPr>
              <w:t>Inferred</w:t>
            </w:r>
          </w:p>
        </w:tc>
        <w:tc>
          <w:tcPr>
            <w:tcW w:type="dxa" w:w="5112"/>
            <w:vAlign w:val="center"/>
            <w:shd w:fill="EAF2F4"/>
          </w:tcPr>
          <w:p>
            <w:pPr>
              <w:spacing w:after="20"/>
            </w:pPr>
            <w:r>
              <w:rPr>
                <w:sz w:val="14"/>
              </w:rPr>
              <w:t>Reasoned from verified facts with rationale and uncertainty.</w:t>
            </w:r>
          </w:p>
        </w:tc>
      </w:tr>
      <w:tr>
        <w:trPr>
          <w:cantSplit/>
        </w:trPr>
        <w:tc>
          <w:tcPr>
            <w:tcW w:type="dxa" w:w="5112"/>
            <w:vAlign w:val="center"/>
          </w:tcPr>
          <w:p>
            <w:pPr>
              <w:spacing w:after="20"/>
            </w:pPr>
            <w:r>
              <w:rPr>
                <w:sz w:val="14"/>
              </w:rPr>
              <w:t>Not observed</w:t>
            </w:r>
          </w:p>
        </w:tc>
        <w:tc>
          <w:tcPr>
            <w:tcW w:type="dxa" w:w="5112"/>
            <w:vAlign w:val="center"/>
          </w:tcPr>
          <w:p>
            <w:pPr>
              <w:spacing w:after="20"/>
            </w:pPr>
            <w:r>
              <w:rPr>
                <w:sz w:val="14"/>
              </w:rPr>
              <w:t>Searched in the defined scope but not found.</w:t>
            </w:r>
          </w:p>
        </w:tc>
      </w:tr>
      <w:tr>
        <w:trPr>
          <w:cantSplit/>
        </w:trPr>
        <w:tc>
          <w:tcPr>
            <w:tcW w:type="dxa" w:w="5112"/>
            <w:vAlign w:val="center"/>
            <w:shd w:fill="EAF2F4"/>
          </w:tcPr>
          <w:p>
            <w:pPr>
              <w:spacing w:after="20"/>
            </w:pPr>
            <w:r>
              <w:rPr>
                <w:sz w:val="14"/>
              </w:rPr>
              <w:t>Not applicable</w:t>
            </w:r>
          </w:p>
        </w:tc>
        <w:tc>
          <w:tcPr>
            <w:tcW w:type="dxa" w:w="5112"/>
            <w:vAlign w:val="center"/>
            <w:shd w:fill="EAF2F4"/>
          </w:tcPr>
          <w:p>
            <w:pPr>
              <w:spacing w:after="20"/>
            </w:pPr>
            <w:r>
              <w:rPr>
                <w:sz w:val="14"/>
              </w:rPr>
              <w:t>Surface does not apply and the reason is stated.</w:t>
            </w:r>
          </w:p>
        </w:tc>
      </w:tr>
      <w:tr>
        <w:trPr>
          <w:cantSplit/>
        </w:trPr>
        <w:tc>
          <w:tcPr>
            <w:tcW w:type="dxa" w:w="5112"/>
            <w:vAlign w:val="center"/>
          </w:tcPr>
          <w:p>
            <w:pPr>
              <w:spacing w:after="20"/>
            </w:pPr>
            <w:r>
              <w:rPr>
                <w:sz w:val="14"/>
              </w:rPr>
              <w:t>Unknown</w:t>
            </w:r>
          </w:p>
        </w:tc>
        <w:tc>
          <w:tcPr>
            <w:tcW w:type="dxa" w:w="5112"/>
            <w:vAlign w:val="center"/>
          </w:tcPr>
          <w:p>
            <w:pPr>
              <w:spacing w:after="20"/>
            </w:pPr>
            <w:r>
              <w:rPr>
                <w:sz w:val="14"/>
              </w:rPr>
              <w:t>Evidence unavailable, unrepresentative or outside authorization.</w:t>
            </w:r>
          </w:p>
        </w:tc>
      </w:tr>
    </w:tbl>
    <w:p/>
    <w:p>
      <w:bookmarkStart w:id="1919319" w:name="IDENTITY"/>
      <w:pPr>
        <w:pStyle w:val="Heading1"/>
      </w:pPr>
      <w:r>
        <w:t>Product Identity and Version</w:t>
      </w:r>
      <w:bookmarkEnd w:id="1919319"/>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Attribute</w:t>
            </w:r>
          </w:p>
        </w:tc>
        <w:tc>
          <w:tcPr>
            <w:tcW w:type="dxa" w:w="3408"/>
            <w:shd w:fill="17324D"/>
          </w:tcPr>
          <w:p>
            <w:r>
              <w:rPr>
                <w:b/>
                <w:color w:val="FFFFFF"/>
                <w:sz w:val="14"/>
              </w:rPr>
              <w:t>Verified value</w:t>
            </w:r>
          </w:p>
        </w:tc>
        <w:tc>
          <w:tcPr>
            <w:tcW w:type="dxa" w:w="3408"/>
            <w:shd w:fill="17324D"/>
          </w:tcPr>
          <w:p>
            <w:r>
              <w:rPr>
                <w:b/>
                <w:color w:val="FFFFFF"/>
                <w:sz w:val="14"/>
              </w:rPr>
              <w:t>Evidence</w:t>
            </w:r>
          </w:p>
        </w:tc>
      </w:tr>
      <w:tr>
        <w:trPr>
          <w:cantSplit/>
        </w:trPr>
        <w:tc>
          <w:tcPr>
            <w:tcW w:type="dxa" w:w="3408"/>
            <w:vAlign w:val="center"/>
          </w:tcPr>
          <w:p>
            <w:pPr>
              <w:spacing w:after="20"/>
            </w:pPr>
            <w:r>
              <w:rPr>
                <w:sz w:val="14"/>
              </w:rPr>
              <w:t>Marketplace/registry title</w:t>
            </w:r>
          </w:p>
        </w:tc>
        <w:tc>
          <w:tcPr>
            <w:tcW w:type="dxa" w:w="3408"/>
            <w:vAlign w:val="center"/>
          </w:tcPr>
          <w:p>
            <w:pPr>
              <w:spacing w:after="20"/>
            </w:pPr>
            <w:r>
              <w:rPr>
                <w:sz w:val="14"/>
              </w:rPr>
              <w:t>Serena MCP: the IDE for your agent</w:t>
            </w:r>
          </w:p>
        </w:tc>
        <w:tc>
          <w:tcPr>
            <w:tcW w:type="dxa" w:w="3408"/>
            <w:vAlign w:val="center"/>
          </w:tcPr>
          <w:p>
            <w:pPr>
              <w:spacing w:after="20"/>
            </w:pPr>
            <w:r>
              <w:rPr>
                <w:sz w:val="14"/>
              </w:rPr>
              <w:t>EVD-001</w:t>
            </w:r>
          </w:p>
        </w:tc>
      </w:tr>
      <w:tr>
        <w:trPr>
          <w:cantSplit/>
        </w:trPr>
        <w:tc>
          <w:tcPr>
            <w:tcW w:type="dxa" w:w="3408"/>
            <w:vAlign w:val="center"/>
            <w:shd w:fill="EAF2F4"/>
          </w:tcPr>
          <w:p>
            <w:pPr>
              <w:spacing w:after="20"/>
            </w:pPr>
            <w:r>
              <w:rPr>
                <w:sz w:val="14"/>
              </w:rPr>
              <w:t>Publisher</w:t>
            </w:r>
          </w:p>
        </w:tc>
        <w:tc>
          <w:tcPr>
            <w:tcW w:type="dxa" w:w="3408"/>
            <w:vAlign w:val="center"/>
            <w:shd w:fill="EAF2F4"/>
          </w:tcPr>
          <w:p>
            <w:pPr>
              <w:spacing w:after="20"/>
            </w:pPr>
            <w:r>
              <w:rPr>
                <w:sz w:val="14"/>
              </w:rPr>
              <w:t>Oraios / GitHub namespace oraios</w:t>
            </w:r>
          </w:p>
        </w:tc>
        <w:tc>
          <w:tcPr>
            <w:tcW w:type="dxa" w:w="3408"/>
            <w:vAlign w:val="center"/>
            <w:shd w:fill="EAF2F4"/>
          </w:tcPr>
          <w:p>
            <w:pPr>
              <w:spacing w:after="20"/>
            </w:pPr>
            <w:r>
              <w:rPr>
                <w:sz w:val="14"/>
              </w:rPr>
              <w:t>EVD-001/EVD-002</w:t>
            </w:r>
          </w:p>
        </w:tc>
      </w:tr>
      <w:tr>
        <w:trPr>
          <w:cantSplit/>
        </w:trPr>
        <w:tc>
          <w:tcPr>
            <w:tcW w:type="dxa" w:w="3408"/>
            <w:vAlign w:val="center"/>
          </w:tcPr>
          <w:p>
            <w:pPr>
              <w:spacing w:after="20"/>
            </w:pPr>
            <w:r>
              <w:rPr>
                <w:sz w:val="14"/>
              </w:rPr>
              <w:t>MCP server</w:t>
            </w:r>
          </w:p>
        </w:tc>
        <w:tc>
          <w:tcPr>
            <w:tcW w:type="dxa" w:w="3408"/>
            <w:vAlign w:val="center"/>
          </w:tcPr>
          <w:p>
            <w:pPr>
              <w:spacing w:after="20"/>
            </w:pPr>
            <w:r>
              <w:rPr>
                <w:sz w:val="14"/>
              </w:rPr>
              <w:t>io.github.oraios/serena</w:t>
            </w:r>
          </w:p>
        </w:tc>
        <w:tc>
          <w:tcPr>
            <w:tcW w:type="dxa" w:w="3408"/>
            <w:vAlign w:val="center"/>
          </w:tcPr>
          <w:p>
            <w:pPr>
              <w:spacing w:after="20"/>
            </w:pPr>
            <w:r>
              <w:rPr>
                <w:sz w:val="14"/>
              </w:rPr>
              <w:t>EVD-001</w:t>
            </w:r>
          </w:p>
        </w:tc>
      </w:tr>
      <w:tr>
        <w:trPr>
          <w:cantSplit/>
        </w:trPr>
        <w:tc>
          <w:tcPr>
            <w:tcW w:type="dxa" w:w="3408"/>
            <w:vAlign w:val="center"/>
            <w:shd w:fill="EAF2F4"/>
          </w:tcPr>
          <w:p>
            <w:pPr>
              <w:spacing w:after="20"/>
            </w:pPr>
            <w:r>
              <w:rPr>
                <w:sz w:val="14"/>
              </w:rPr>
              <w:t>Python distribution</w:t>
            </w:r>
          </w:p>
        </w:tc>
        <w:tc>
          <w:tcPr>
            <w:tcW w:type="dxa" w:w="3408"/>
            <w:vAlign w:val="center"/>
            <w:shd w:fill="EAF2F4"/>
          </w:tcPr>
          <w:p>
            <w:pPr>
              <w:spacing w:after="20"/>
            </w:pPr>
            <w:r>
              <w:rPr>
                <w:sz w:val="14"/>
              </w:rPr>
              <w:t>serena-agent 1.6.1</w:t>
            </w:r>
          </w:p>
        </w:tc>
        <w:tc>
          <w:tcPr>
            <w:tcW w:type="dxa" w:w="3408"/>
            <w:vAlign w:val="center"/>
            <w:shd w:fill="EAF2F4"/>
          </w:tcPr>
          <w:p>
            <w:pPr>
              <w:spacing w:after="20"/>
            </w:pPr>
            <w:r>
              <w:rPr>
                <w:sz w:val="14"/>
              </w:rPr>
              <w:t>EVD-003</w:t>
            </w:r>
          </w:p>
        </w:tc>
      </w:tr>
      <w:tr>
        <w:trPr>
          <w:cantSplit/>
        </w:trPr>
        <w:tc>
          <w:tcPr>
            <w:tcW w:type="dxa" w:w="3408"/>
            <w:vAlign w:val="center"/>
          </w:tcPr>
          <w:p>
            <w:pPr>
              <w:spacing w:after="20"/>
            </w:pPr>
            <w:r>
              <w:rPr>
                <w:sz w:val="14"/>
              </w:rPr>
              <w:t>Release commit</w:t>
            </w:r>
          </w:p>
        </w:tc>
        <w:tc>
          <w:tcPr>
            <w:tcW w:type="dxa" w:w="3408"/>
            <w:vAlign w:val="center"/>
          </w:tcPr>
          <w:p>
            <w:pPr>
              <w:spacing w:after="20"/>
            </w:pPr>
            <w:r>
              <w:rPr>
                <w:sz w:val="14"/>
              </w:rPr>
              <w:t>bcac0969fb8685783ea6d0f2642468fcc47e6395</w:t>
            </w:r>
          </w:p>
        </w:tc>
        <w:tc>
          <w:tcPr>
            <w:tcW w:type="dxa" w:w="3408"/>
            <w:vAlign w:val="center"/>
          </w:tcPr>
          <w:p>
            <w:pPr>
              <w:spacing w:after="20"/>
            </w:pPr>
            <w:r>
              <w:rPr>
                <w:sz w:val="14"/>
              </w:rPr>
              <w:t>EVD-002</w:t>
            </w:r>
          </w:p>
        </w:tc>
      </w:tr>
      <w:tr>
        <w:trPr>
          <w:cantSplit/>
        </w:trPr>
        <w:tc>
          <w:tcPr>
            <w:tcW w:type="dxa" w:w="3408"/>
            <w:vAlign w:val="center"/>
            <w:shd w:fill="EAF2F4"/>
          </w:tcPr>
          <w:p>
            <w:pPr>
              <w:spacing w:after="20"/>
            </w:pPr>
            <w:r>
              <w:rPr>
                <w:sz w:val="14"/>
              </w:rPr>
              <w:t>Tag signature</w:t>
            </w:r>
          </w:p>
        </w:tc>
        <w:tc>
          <w:tcPr>
            <w:tcW w:type="dxa" w:w="3408"/>
            <w:vAlign w:val="center"/>
            <w:shd w:fill="EAF2F4"/>
          </w:tcPr>
          <w:p>
            <w:pPr>
              <w:spacing w:after="20"/>
            </w:pPr>
            <w:r>
              <w:rPr>
                <w:sz w:val="14"/>
              </w:rPr>
              <w:t>Unsigned</w:t>
            </w:r>
          </w:p>
        </w:tc>
        <w:tc>
          <w:tcPr>
            <w:tcW w:type="dxa" w:w="3408"/>
            <w:vAlign w:val="center"/>
            <w:shd w:fill="EAF2F4"/>
          </w:tcPr>
          <w:p>
            <w:pPr>
              <w:spacing w:after="20"/>
            </w:pPr>
            <w:r>
              <w:rPr>
                <w:sz w:val="14"/>
              </w:rPr>
              <w:t>EVD-002</w:t>
            </w:r>
          </w:p>
        </w:tc>
      </w:tr>
      <w:tr>
        <w:trPr>
          <w:cantSplit/>
        </w:trPr>
        <w:tc>
          <w:tcPr>
            <w:tcW w:type="dxa" w:w="3408"/>
            <w:vAlign w:val="center"/>
          </w:tcPr>
          <w:p>
            <w:pPr>
              <w:spacing w:after="20"/>
            </w:pPr>
            <w:r>
              <w:rPr>
                <w:sz w:val="14"/>
              </w:rPr>
              <w:t>Wheel SHA-256</w:t>
            </w:r>
          </w:p>
        </w:tc>
        <w:tc>
          <w:tcPr>
            <w:tcW w:type="dxa" w:w="3408"/>
            <w:vAlign w:val="center"/>
          </w:tcPr>
          <w:p>
            <w:pPr>
              <w:spacing w:after="20"/>
            </w:pPr>
            <w:r>
              <w:rPr>
                <w:sz w:val="14"/>
              </w:rPr>
              <w:t>04ddd985bd3feb25598ab8732bf3a998f961d5b46dce271b816126c0a68a91e1</w:t>
            </w:r>
          </w:p>
        </w:tc>
        <w:tc>
          <w:tcPr>
            <w:tcW w:type="dxa" w:w="3408"/>
            <w:vAlign w:val="center"/>
          </w:tcPr>
          <w:p>
            <w:pPr>
              <w:spacing w:after="20"/>
            </w:pPr>
            <w:r>
              <w:rPr>
                <w:sz w:val="14"/>
              </w:rPr>
              <w:t>EVD-003</w:t>
            </w:r>
          </w:p>
        </w:tc>
      </w:tr>
      <w:tr>
        <w:trPr>
          <w:cantSplit/>
        </w:trPr>
        <w:tc>
          <w:tcPr>
            <w:tcW w:type="dxa" w:w="3408"/>
            <w:vAlign w:val="center"/>
            <w:shd w:fill="EAF2F4"/>
          </w:tcPr>
          <w:p>
            <w:pPr>
              <w:spacing w:after="20"/>
            </w:pPr>
            <w:r>
              <w:rPr>
                <w:sz w:val="14"/>
              </w:rPr>
              <w:t>Source archive SHA-256</w:t>
            </w:r>
          </w:p>
        </w:tc>
        <w:tc>
          <w:tcPr>
            <w:tcW w:type="dxa" w:w="3408"/>
            <w:vAlign w:val="center"/>
            <w:shd w:fill="EAF2F4"/>
          </w:tcPr>
          <w:p>
            <w:pPr>
              <w:spacing w:after="20"/>
            </w:pPr>
            <w:r>
              <w:rPr>
                <w:sz w:val="14"/>
              </w:rPr>
              <w:t>dbd1c1cae8c1ff3f3f4e3039673b9876214e2353cd53a48391937e0582bce31a</w:t>
            </w:r>
          </w:p>
        </w:tc>
        <w:tc>
          <w:tcPr>
            <w:tcW w:type="dxa" w:w="3408"/>
            <w:vAlign w:val="center"/>
            <w:shd w:fill="EAF2F4"/>
          </w:tcPr>
          <w:p>
            <w:pPr>
              <w:spacing w:after="20"/>
            </w:pPr>
            <w:r>
              <w:rPr>
                <w:sz w:val="14"/>
              </w:rPr>
              <w:t>EVD-004</w:t>
            </w:r>
          </w:p>
        </w:tc>
      </w:tr>
      <w:tr>
        <w:trPr>
          <w:cantSplit/>
        </w:trPr>
        <w:tc>
          <w:tcPr>
            <w:tcW w:type="dxa" w:w="3408"/>
            <w:vAlign w:val="center"/>
          </w:tcPr>
          <w:p>
            <w:pPr>
              <w:spacing w:after="20"/>
            </w:pPr>
            <w:r>
              <w:rPr>
                <w:sz w:val="14"/>
              </w:rPr>
              <w:t>Registry advertised version</w:t>
            </w:r>
          </w:p>
        </w:tc>
        <w:tc>
          <w:tcPr>
            <w:tcW w:type="dxa" w:w="3408"/>
            <w:vAlign w:val="center"/>
          </w:tcPr>
          <w:p>
            <w:pPr>
              <w:spacing w:after="20"/>
            </w:pPr>
            <w:r>
              <w:rPr>
                <w:sz w:val="14"/>
              </w:rPr>
              <w:t>1.5.3 — stale relative to 1.6.1</w:t>
            </w:r>
          </w:p>
        </w:tc>
        <w:tc>
          <w:tcPr>
            <w:tcW w:type="dxa" w:w="3408"/>
            <w:vAlign w:val="center"/>
          </w:tcPr>
          <w:p>
            <w:pPr>
              <w:spacing w:after="20"/>
            </w:pPr>
            <w:r>
              <w:rPr>
                <w:sz w:val="14"/>
              </w:rPr>
              <w:t>EVD-001/EVD-002/EVD-003</w:t>
            </w:r>
          </w:p>
        </w:tc>
      </w:tr>
      <w:tr>
        <w:trPr>
          <w:cantSplit/>
        </w:trPr>
        <w:tc>
          <w:tcPr>
            <w:tcW w:type="dxa" w:w="3408"/>
            <w:vAlign w:val="center"/>
            <w:shd w:fill="EAF2F4"/>
          </w:tcPr>
          <w:p>
            <w:pPr>
              <w:spacing w:after="20"/>
            </w:pPr>
            <w:r>
              <w:rPr>
                <w:sz w:val="14"/>
              </w:rPr>
              <w:t>Licence</w:t>
            </w:r>
          </w:p>
        </w:tc>
        <w:tc>
          <w:tcPr>
            <w:tcW w:type="dxa" w:w="3408"/>
            <w:vAlign w:val="center"/>
            <w:shd w:fill="EAF2F4"/>
          </w:tcPr>
          <w:p>
            <w:pPr>
              <w:spacing w:after="20"/>
            </w:pPr>
            <w:r>
              <w:rPr>
                <w:sz w:val="14"/>
              </w:rPr>
              <w:t>MIT</w:t>
            </w:r>
          </w:p>
        </w:tc>
        <w:tc>
          <w:tcPr>
            <w:tcW w:type="dxa" w:w="3408"/>
            <w:vAlign w:val="center"/>
            <w:shd w:fill="EAF2F4"/>
          </w:tcPr>
          <w:p>
            <w:pPr>
              <w:spacing w:after="20"/>
            </w:pPr>
            <w:r>
              <w:rPr>
                <w:sz w:val="14"/>
              </w:rPr>
              <w:t>EVD-004</w:t>
            </w:r>
          </w:p>
        </w:tc>
      </w:tr>
    </w:tbl>
    <w:p/>
    <w:p>
      <w:r>
        <w:t>The exact title resolves similarly named products and packages. Registry drift is material because the normal command uses uvx and can resolve package state independently of the repository lock.</w:t>
      </w:r>
      <w:r>
        <w:t xml:space="preserve"> </w:t>
      </w:r>
      <w:hyperlink w:anchor="REF_001">
        <w:r>
          <w:rPr>
            <w:color w:val="315F7D"/>
            <w:u w:val="single"/>
          </w:rPr>
          <w:t>[REF-001]</w:t>
        </w:r>
      </w:hyperlink>
      <w:r>
        <w:t xml:space="preserve"> </w:t>
      </w:r>
      <w:hyperlink w:anchor="REF_003">
        <w:r>
          <w:rPr>
            <w:color w:val="315F7D"/>
            <w:u w:val="single"/>
          </w:rPr>
          <w:t>[REF-003]</w:t>
        </w:r>
      </w:hyperlink>
    </w:p>
    <w:p>
      <w:bookmarkStart w:id="1106928" w:name="PART_I"/>
      <w:pPr>
        <w:pStyle w:val="Heading1"/>
      </w:pPr>
      <w:r>
        <w:t>Part I — VS Code Assessment</w:t>
      </w:r>
      <w:bookmarkEnd w:id="1106928"/>
    </w:p>
    <w:p>
      <w:pPr>
        <w:pStyle w:val="Heading2"/>
      </w:pPr>
      <w:r>
        <w:t>VS Code Executive Decision</w:t>
      </w:r>
    </w:p>
    <w:p>
      <w:r>
        <w:t>Decision: Defer pending evidence for production. Serena directly documents VS Code and recommends the vscode context, but approval remains blocked by RISK-001, repository trust, write authority, supply-chain and host-verification gaps. Only a separately approved synthetic read-only experiment is conceivable.</w:t>
      </w:r>
    </w:p>
    <w:p>
      <w:pPr>
        <w:pStyle w:val="Heading2"/>
      </w:pPr>
      <w:r>
        <w:t>VS Code Purpose and Function</w:t>
      </w:r>
    </w:p>
    <w:p>
      <w:r>
        <w:t>VS Code would act as the MCP host, present tools to the model and mediate user consent. Serena would run as a separate Python process, initialize a project and language server, expose semantic tools and return results to model context. The host is not an authorization substitute: its approvals must describe the exact target, operation and expected effect.</w:t>
      </w:r>
    </w:p>
    <w:p>
      <w:pPr>
        <w:pStyle w:val="Heading2"/>
      </w:pPr>
      <w:r>
        <w:t>VS Code Architecture</w:t>
      </w:r>
    </w:p>
    <w:p>
      <w:r>
        <w:t>Architecture: VS Code model/agent -&gt; MCP client -&gt; STDIO Serena process -&gt; project configuration and source -&gt; language-server child processes -&gt; semantic index/cache -&gt; results and edits. Optional paths reach PyPI, npm or language-server download hosts, Oraios news/usage services and a loopback dashboard. No separate Serena authentication layer protects local project access; OS identity and host process boundaries dominate.</w:t>
      </w:r>
    </w:p>
    <w:p>
      <w:pPr>
        <w:pStyle w:val="Heading2"/>
      </w:pPr>
      <w:r>
        <w:t>VS Code Trust Boundaries</w:t>
      </w:r>
    </w:p>
    <w:p>
      <w:pPr>
        <w:pStyle w:val="ListBullet"/>
      </w:pPr>
      <w:r>
        <w:t>Repository source, README/instruction content, .serena/project.yml, initial_prompt, memories and pre-existing caches are untrusted inputs.</w:t>
      </w:r>
    </w:p>
    <w:p>
      <w:pPr>
        <w:pStyle w:val="ListBullet"/>
      </w:pPr>
      <w:r>
        <w:t>VS Code's model selection and consent are probabilistic and user-interface boundaries; they must fail closed for mutation.</w:t>
      </w:r>
    </w:p>
    <w:p>
      <w:pPr>
        <w:pStyle w:val="ListBullet"/>
      </w:pPr>
      <w:r>
        <w:t>The Serena process and each language server are executable endpoint boundaries with repository access.</w:t>
      </w:r>
    </w:p>
    <w:p>
      <w:pPr>
        <w:pStyle w:val="ListBullet"/>
      </w:pPr>
      <w:r>
        <w:t>Public package registries, download hosts, dashboard/browser traffic and usage/news services are external trust boundaries.</w:t>
      </w:r>
    </w:p>
    <w:p>
      <w:pPr>
        <w:pStyle w:val="ListBullet"/>
      </w:pPr>
      <w:r>
        <w:t>Returned symbols, code and logs enter model context and may compose with other enabled MCP servers or terminal/browser tools.</w:t>
      </w:r>
    </w:p>
    <w:p>
      <w:pPr>
        <w:pStyle w:val="Heading2"/>
      </w:pPr>
      <w:r>
        <w:t>VS Code Data Flows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Flow</w:t>
            </w:r>
          </w:p>
        </w:tc>
        <w:tc>
          <w:tcPr>
            <w:tcW w:type="dxa" w:w="2556"/>
            <w:shd w:fill="17324D"/>
          </w:tcPr>
          <w:p>
            <w:r>
              <w:rPr>
                <w:b/>
                <w:color w:val="FFFFFF"/>
                <w:sz w:val="14"/>
              </w:rPr>
              <w:t>Data</w:t>
            </w:r>
          </w:p>
        </w:tc>
        <w:tc>
          <w:tcPr>
            <w:tcW w:type="dxa" w:w="2556"/>
            <w:shd w:fill="17324D"/>
          </w:tcPr>
          <w:p>
            <w:r>
              <w:rPr>
                <w:b/>
                <w:color w:val="FFFFFF"/>
                <w:sz w:val="14"/>
              </w:rPr>
              <w:t>Purpose</w:t>
            </w:r>
          </w:p>
        </w:tc>
        <w:tc>
          <w:tcPr>
            <w:tcW w:type="dxa" w:w="2556"/>
            <w:shd w:fill="17324D"/>
          </w:tcPr>
          <w:p>
            <w:r>
              <w:rPr>
                <w:b/>
                <w:color w:val="FFFFFF"/>
                <w:sz w:val="14"/>
              </w:rPr>
              <w:t>Control / concern</w:t>
            </w:r>
          </w:p>
        </w:tc>
      </w:tr>
      <w:tr>
        <w:trPr>
          <w:cantSplit/>
        </w:trPr>
        <w:tc>
          <w:tcPr>
            <w:tcW w:type="dxa" w:w="2556"/>
            <w:vAlign w:val="center"/>
          </w:tcPr>
          <w:p>
            <w:pPr>
              <w:spacing w:after="20"/>
            </w:pPr>
            <w:r>
              <w:rPr>
                <w:sz w:val="14"/>
              </w:rPr>
              <w:t>Project -&gt; Serena</w:t>
            </w:r>
          </w:p>
        </w:tc>
        <w:tc>
          <w:tcPr>
            <w:tcW w:type="dxa" w:w="2556"/>
            <w:vAlign w:val="center"/>
          </w:tcPr>
          <w:p>
            <w:pPr>
              <w:spacing w:after="20"/>
            </w:pPr>
            <w:r>
              <w:rPr>
                <w:sz w:val="14"/>
              </w:rPr>
              <w:t>Source, paths, symbols, prompts, memories, config</w:t>
            </w:r>
          </w:p>
        </w:tc>
        <w:tc>
          <w:tcPr>
            <w:tcW w:type="dxa" w:w="2556"/>
            <w:vAlign w:val="center"/>
          </w:tcPr>
          <w:p>
            <w:pPr>
              <w:spacing w:after="20"/>
            </w:pPr>
            <w:r>
              <w:rPr>
                <w:sz w:val="14"/>
              </w:rPr>
              <w:t>Semantic analysis</w:t>
            </w:r>
          </w:p>
        </w:tc>
        <w:tc>
          <w:tcPr>
            <w:tcW w:type="dxa" w:w="2556"/>
            <w:vAlign w:val="center"/>
          </w:tcPr>
          <w:p>
            <w:pPr>
              <w:spacing w:after="20"/>
            </w:pPr>
            <w:r>
              <w:rPr>
                <w:sz w:val="14"/>
              </w:rPr>
              <w:t>Scope, trust, minimisation and cache rejection.</w:t>
            </w:r>
          </w:p>
        </w:tc>
      </w:tr>
      <w:tr>
        <w:trPr>
          <w:cantSplit/>
        </w:trPr>
        <w:tc>
          <w:tcPr>
            <w:tcW w:type="dxa" w:w="2556"/>
            <w:vAlign w:val="center"/>
            <w:shd w:fill="EAF2F4"/>
          </w:tcPr>
          <w:p>
            <w:pPr>
              <w:spacing w:after="20"/>
            </w:pPr>
            <w:r>
              <w:rPr>
                <w:sz w:val="14"/>
              </w:rPr>
              <w:t>Serena -&gt; language server</w:t>
            </w:r>
          </w:p>
        </w:tc>
        <w:tc>
          <w:tcPr>
            <w:tcW w:type="dxa" w:w="2556"/>
            <w:vAlign w:val="center"/>
            <w:shd w:fill="EAF2F4"/>
          </w:tcPr>
          <w:p>
            <w:pPr>
              <w:spacing w:after="20"/>
            </w:pPr>
            <w:r>
              <w:rPr>
                <w:sz w:val="14"/>
              </w:rPr>
              <w:t>Project path and file content</w:t>
            </w:r>
          </w:p>
        </w:tc>
        <w:tc>
          <w:tcPr>
            <w:tcW w:type="dxa" w:w="2556"/>
            <w:vAlign w:val="center"/>
            <w:shd w:fill="EAF2F4"/>
          </w:tcPr>
          <w:p>
            <w:pPr>
              <w:spacing w:after="20"/>
            </w:pPr>
            <w:r>
              <w:rPr>
                <w:sz w:val="14"/>
              </w:rPr>
              <w:t>Index/navigation</w:t>
            </w:r>
          </w:p>
        </w:tc>
        <w:tc>
          <w:tcPr>
            <w:tcW w:type="dxa" w:w="2556"/>
            <w:vAlign w:val="center"/>
            <w:shd w:fill="EAF2F4"/>
          </w:tcPr>
          <w:p>
            <w:pPr>
              <w:spacing w:after="20"/>
            </w:pPr>
            <w:r>
              <w:rPr>
                <w:sz w:val="14"/>
              </w:rPr>
              <w:t>Approved binary, process and egress policy.</w:t>
            </w:r>
          </w:p>
        </w:tc>
      </w:tr>
      <w:tr>
        <w:trPr>
          <w:cantSplit/>
        </w:trPr>
        <w:tc>
          <w:tcPr>
            <w:tcW w:type="dxa" w:w="2556"/>
            <w:vAlign w:val="center"/>
          </w:tcPr>
          <w:p>
            <w:pPr>
              <w:spacing w:after="20"/>
            </w:pPr>
            <w:r>
              <w:rPr>
                <w:sz w:val="14"/>
              </w:rPr>
              <w:t>Serena -&gt; host/model</w:t>
            </w:r>
          </w:p>
        </w:tc>
        <w:tc>
          <w:tcPr>
            <w:tcW w:type="dxa" w:w="2556"/>
            <w:vAlign w:val="center"/>
          </w:tcPr>
          <w:p>
            <w:pPr>
              <w:spacing w:after="20"/>
            </w:pPr>
            <w:r>
              <w:rPr>
                <w:sz w:val="14"/>
              </w:rPr>
              <w:t>Code fragments, symbols, errors, memory</w:t>
            </w:r>
          </w:p>
        </w:tc>
        <w:tc>
          <w:tcPr>
            <w:tcW w:type="dxa" w:w="2556"/>
            <w:vAlign w:val="center"/>
          </w:tcPr>
          <w:p>
            <w:pPr>
              <w:spacing w:after="20"/>
            </w:pPr>
            <w:r>
              <w:rPr>
                <w:sz w:val="14"/>
              </w:rPr>
              <w:t>Agent reasoning</w:t>
            </w:r>
          </w:p>
        </w:tc>
        <w:tc>
          <w:tcPr>
            <w:tcW w:type="dxa" w:w="2556"/>
            <w:vAlign w:val="center"/>
          </w:tcPr>
          <w:p>
            <w:pPr>
              <w:spacing w:after="20"/>
            </w:pPr>
            <w:r>
              <w:rPr>
                <w:sz w:val="14"/>
              </w:rPr>
              <w:t>DLP, retention and user consent.</w:t>
            </w:r>
          </w:p>
        </w:tc>
      </w:tr>
      <w:tr>
        <w:trPr>
          <w:cantSplit/>
        </w:trPr>
        <w:tc>
          <w:tcPr>
            <w:tcW w:type="dxa" w:w="2556"/>
            <w:vAlign w:val="center"/>
            <w:shd w:fill="EAF2F4"/>
          </w:tcPr>
          <w:p>
            <w:pPr>
              <w:spacing w:after="20"/>
            </w:pPr>
            <w:r>
              <w:rPr>
                <w:sz w:val="14"/>
              </w:rPr>
              <w:t>Host/model -&gt; Serena</w:t>
            </w:r>
          </w:p>
        </w:tc>
        <w:tc>
          <w:tcPr>
            <w:tcW w:type="dxa" w:w="2556"/>
            <w:vAlign w:val="center"/>
            <w:shd w:fill="EAF2F4"/>
          </w:tcPr>
          <w:p>
            <w:pPr>
              <w:spacing w:after="20"/>
            </w:pPr>
            <w:r>
              <w:rPr>
                <w:sz w:val="14"/>
              </w:rPr>
              <w:t>Tool name and arguments</w:t>
            </w:r>
          </w:p>
        </w:tc>
        <w:tc>
          <w:tcPr>
            <w:tcW w:type="dxa" w:w="2556"/>
            <w:vAlign w:val="center"/>
            <w:shd w:fill="EAF2F4"/>
          </w:tcPr>
          <w:p>
            <w:pPr>
              <w:spacing w:after="20"/>
            </w:pPr>
            <w:r>
              <w:rPr>
                <w:sz w:val="14"/>
              </w:rPr>
              <w:t>Read/edit operations</w:t>
            </w:r>
          </w:p>
        </w:tc>
        <w:tc>
          <w:tcPr>
            <w:tcW w:type="dxa" w:w="2556"/>
            <w:vAlign w:val="center"/>
            <w:shd w:fill="EAF2F4"/>
          </w:tcPr>
          <w:p>
            <w:pPr>
              <w:spacing w:after="20"/>
            </w:pPr>
            <w:r>
              <w:rPr>
                <w:sz w:val="14"/>
              </w:rPr>
              <w:t>Allowlist, schema validation and per-write approval.</w:t>
            </w:r>
          </w:p>
        </w:tc>
      </w:tr>
      <w:tr>
        <w:trPr>
          <w:cantSplit/>
        </w:trPr>
        <w:tc>
          <w:tcPr>
            <w:tcW w:type="dxa" w:w="2556"/>
            <w:vAlign w:val="center"/>
          </w:tcPr>
          <w:p>
            <w:pPr>
              <w:spacing w:after="20"/>
            </w:pPr>
            <w:r>
              <w:rPr>
                <w:sz w:val="14"/>
              </w:rPr>
              <w:t>Serena -&gt; external services</w:t>
            </w:r>
          </w:p>
        </w:tc>
        <w:tc>
          <w:tcPr>
            <w:tcW w:type="dxa" w:w="2556"/>
            <w:vAlign w:val="center"/>
          </w:tcPr>
          <w:p>
            <w:pPr>
              <w:spacing w:after="20"/>
            </w:pPr>
            <w:r>
              <w:rPr>
                <w:sz w:val="14"/>
              </w:rPr>
              <w:t>Package queries/downloads; usage attributes; news</w:t>
            </w:r>
          </w:p>
        </w:tc>
        <w:tc>
          <w:tcPr>
            <w:tcW w:type="dxa" w:w="2556"/>
            <w:vAlign w:val="center"/>
          </w:tcPr>
          <w:p>
            <w:pPr>
              <w:spacing w:after="20"/>
            </w:pPr>
            <w:r>
              <w:rPr>
                <w:sz w:val="14"/>
              </w:rPr>
              <w:t>Dependencies and product services</w:t>
            </w:r>
          </w:p>
        </w:tc>
        <w:tc>
          <w:tcPr>
            <w:tcW w:type="dxa" w:w="2556"/>
            <w:vAlign w:val="center"/>
          </w:tcPr>
          <w:p>
            <w:pPr>
              <w:spacing w:after="20"/>
            </w:pPr>
            <w:r>
              <w:rPr>
                <w:sz w:val="14"/>
              </w:rPr>
              <w:t>Disable or proxy/allowlist.</w:t>
            </w:r>
          </w:p>
        </w:tc>
      </w:tr>
      <w:tr>
        <w:trPr>
          <w:cantSplit/>
        </w:trPr>
        <w:tc>
          <w:tcPr>
            <w:tcW w:type="dxa" w:w="2556"/>
            <w:vAlign w:val="center"/>
            <w:shd w:fill="EAF2F4"/>
          </w:tcPr>
          <w:p>
            <w:pPr>
              <w:spacing w:after="20"/>
            </w:pPr>
            <w:r>
              <w:rPr>
                <w:sz w:val="14"/>
              </w:rPr>
              <w:t>Dashboard -&gt; local APIs</w:t>
            </w:r>
          </w:p>
        </w:tc>
        <w:tc>
          <w:tcPr>
            <w:tcW w:type="dxa" w:w="2556"/>
            <w:vAlign w:val="center"/>
            <w:shd w:fill="EAF2F4"/>
          </w:tcPr>
          <w:p>
            <w:pPr>
              <w:spacing w:after="20"/>
            </w:pPr>
            <w:r>
              <w:rPr>
                <w:sz w:val="14"/>
              </w:rPr>
              <w:t>Logs, config and memories</w:t>
            </w:r>
          </w:p>
        </w:tc>
        <w:tc>
          <w:tcPr>
            <w:tcW w:type="dxa" w:w="2556"/>
            <w:vAlign w:val="center"/>
            <w:shd w:fill="EAF2F4"/>
          </w:tcPr>
          <w:p>
            <w:pPr>
              <w:spacing w:after="20"/>
            </w:pPr>
            <w:r>
              <w:rPr>
                <w:sz w:val="14"/>
              </w:rPr>
              <w:t>Local UI</w:t>
            </w:r>
          </w:p>
        </w:tc>
        <w:tc>
          <w:tcPr>
            <w:tcW w:type="dxa" w:w="2556"/>
            <w:vAlign w:val="center"/>
            <w:shd w:fill="EAF2F4"/>
          </w:tcPr>
          <w:p>
            <w:pPr>
              <w:spacing w:after="20"/>
            </w:pPr>
            <w:r>
              <w:rPr>
                <w:sz w:val="14"/>
              </w:rPr>
              <w:t>Disabled for enterprise pilot.</w:t>
            </w:r>
          </w:p>
        </w:tc>
      </w:tr>
    </w:tbl>
    <w:p/>
    <w:p>
      <w:pPr>
        <w:pStyle w:val="Heading2"/>
      </w:pPr>
      <w:r>
        <w:t>VS Code Installation Manifest and Uninstall</w:t>
      </w:r>
    </w:p>
    <w:p>
      <w:r>
        <w:t>Vendor guidance recommends `serena start-mcp-server --context=vscode` for global setup and can add `--project ${workspaceFolder}` for workspace-specific activation. The vscode context is single-project and excludes generic shell and duplicate file tools. Enterprise installation must instead use an exact approved wheel hash, managed configuration and an internal wheelhouse. Uninstall must remove host MCP configuration, process environment, Serena data, project metadata/caches, language-server downloads, dashboard state and logs after retention review.</w:t>
      </w:r>
      <w:r>
        <w:t xml:space="preserve"> </w:t>
      </w:r>
      <w:hyperlink w:anchor="REF_005">
        <w:r>
          <w:rPr>
            <w:color w:val="315F7D"/>
            <w:u w:val="single"/>
          </w:rPr>
          <w:t>[REF-005]</w:t>
        </w:r>
      </w:hyperlink>
    </w:p>
    <w:p>
      <w:pPr>
        <w:pStyle w:val="Heading2"/>
      </w:pPr>
      <w:r>
        <w:t>VS Code Runtime and Activation</w:t>
      </w:r>
    </w:p>
    <w:p>
      <w:r>
        <w:t>Runtime analysis remains Yes and is blocked, not waived. No package or language server was executed. Activation is expected when the host starts the configured MCP server and a project is selected, but actual tool inventory, prompts, consent text, read_only enforcement, process tree, error behavior, update and cleanup are Unknown. Host verification requires a disposable managed profile and synthetic repository.</w:t>
      </w:r>
    </w:p>
    <w:p>
      <w:pPr>
        <w:pStyle w:val="Heading2"/>
      </w:pPr>
      <w:r>
        <w:t>VS Code Network and Authentication</w:t>
      </w:r>
    </w:p>
    <w:p>
      <w:r>
        <w:t>The primary STDIO transport does not require a network listener or Serena authentication. Network access may still occur for PyPI/uv, npm and language-server downloads, version checks, news, usage reporting and optional token estimation. The dashboard defaults to loopback. Enterprise egress must be default-deny and attributed to the Serena/language-server process; no production token, SSH agent or cloud credential may be exposed.</w:t>
      </w:r>
    </w:p>
    <w:p>
      <w:pPr>
        <w:pStyle w:val="Heading2"/>
      </w:pPr>
      <w:r>
        <w:t>VS Code Telemetry and Privacy</w:t>
      </w:r>
    </w:p>
    <w:p>
      <w:r>
        <w:t>Startup usage reporting can transmit operating system, dashboard state, Serena version, backend and context; remote news/version retrieval creates additional observable egress. Project source, paths, symbols, memories, prompts and logs may contain personal or confidential insurance data and may enter model-provider context. Set SERENA_USAGE_REPORTING=false, disable the dashboard, use synthetic data, apply retention limits and complete DPIA screening before any broader use.</w:t>
      </w:r>
    </w:p>
    <w:p>
      <w:pPr>
        <w:pStyle w:val="Heading2"/>
      </w:pPr>
      <w:r>
        <w:t>VS Code MCP and Agent Skills</w:t>
      </w:r>
    </w:p>
    <w:p>
      <w:r>
        <w:t>Serena is an MCP server with tools, prompts, contexts and modes. No bundled Agent Skill was observed, so Agent Skills are Not applicable to this package branch. Composition with separately installed skills or MCP servers can amplify authority: repository data can steer terminal, browser, ticketing or cloud tools. Assess the full enabled graph and require explicit handoff controls.</w:t>
      </w:r>
    </w:p>
    <w:p>
      <w:pPr>
        <w:pStyle w:val="Heading2"/>
      </w:pPr>
      <w:r>
        <w:t>VS Code Supply Chain</w:t>
      </w:r>
    </w:p>
    <w:p>
      <w:r>
        <w:t>The acquired wheel matched source Python content and current runtime dependency resolution showed no OSV record, but future uvx resolution is not immutable. Language-server acquisition spans multiple hosts and npm configuration. The tag is unsigned and no PyPI attestation was exposed. Exact hashes, internal distribution, an approved SBOM, dependency admission and downstream binary provenance are required.</w:t>
      </w:r>
    </w:p>
    <w:p>
      <w:pPr>
        <w:pStyle w:val="Heading2"/>
      </w:pPr>
      <w:r>
        <w:t>VS Code Threats and Findings</w:t>
      </w:r>
    </w:p>
    <w:p>
      <w:r>
        <w:t>The applicable threats are unsafe deserialization from project-local semantic caches, prompt injection through project instructions, excessive agency, configuration trust drift, dependency/download substitution, dashboard/local control abuse, sensitive-data disclosure and incomplete lifecycle behavior. Findings RISK-001 through RISK-010 apply according to scope; Visual Studio additionally carries product-specific support uncertainty.</w:t>
      </w:r>
    </w:p>
    <w:p>
      <w:pPr>
        <w:pStyle w:val="Heading2"/>
      </w:pPr>
      <w:r>
        <w:t>VS Code Framework Disposition</w:t>
      </w:r>
    </w:p>
    <w:p>
      <w:r>
        <w:t>OWASP LLM, Agentic and MCP guidance apply to prompt injection, tool poisoning, excessive agency and supply chain. ASVS applies to dashboard/HTTP configuration and unsafe deserialization. MITRE ATLAS informs prompt/tool paths; NIST AI RMF structures governance and measurement; CIS and NCSC guide endpoint, software, logging, network and incident controls. These mappings are design aids, not certifications.</w:t>
      </w:r>
      <w:r>
        <w:t xml:space="preserve"> </w:t>
      </w:r>
      <w:hyperlink w:anchor="REF_011">
        <w:r>
          <w:rPr>
            <w:color w:val="315F7D"/>
            <w:u w:val="single"/>
          </w:rPr>
          <w:t>[REF-011]</w:t>
        </w:r>
      </w:hyperlink>
      <w:r>
        <w:t xml:space="preserve"> </w:t>
      </w:r>
      <w:hyperlink w:anchor="REF_012">
        <w:r>
          <w:rPr>
            <w:color w:val="315F7D"/>
            <w:u w:val="single"/>
          </w:rPr>
          <w:t>[REF-012]</w:t>
        </w:r>
      </w:hyperlink>
      <w:r>
        <w:t xml:space="preserve"> </w:t>
      </w:r>
      <w:hyperlink w:anchor="REF_016">
        <w:r>
          <w:rPr>
            <w:color w:val="315F7D"/>
            <w:u w:val="single"/>
          </w:rPr>
          <w:t>[REF-016]</w:t>
        </w:r>
      </w:hyperlink>
    </w:p>
    <w:p>
      <w:pPr>
        <w:pStyle w:val="Heading2"/>
      </w:pPr>
      <w:r>
        <w:t>VS Code Controls and Detection</w:t>
      </w:r>
    </w:p>
    <w:p>
      <w:pPr>
        <w:pStyle w:val="ListBullet"/>
      </w:pPr>
      <w:r>
        <w:t>Managed read_only and narrow tool allowlist; deny shell, activation commands and mutation until separately approved.</w:t>
      </w:r>
    </w:p>
    <w:p>
      <w:pPr>
        <w:pStyle w:val="ListBullet"/>
      </w:pPr>
      <w:r>
        <w:t>Reject supplied project-local semantic caches and unreviewed project configuration before process start.</w:t>
      </w:r>
    </w:p>
    <w:p>
      <w:pPr>
        <w:pStyle w:val="ListBullet"/>
      </w:pPr>
      <w:r>
        <w:t>Pin exact wheel, dependencies and language servers; proxy and log approved egress.</w:t>
      </w:r>
    </w:p>
    <w:p>
      <w:pPr>
        <w:pStyle w:val="ListBullet"/>
      </w:pPr>
      <w:r>
        <w:t>Detect changes to MCP config, trusted paths, tool inventory, process tree, project writes and unusual network destinations.</w:t>
      </w:r>
    </w:p>
    <w:p>
      <w:pPr>
        <w:pStyle w:val="ListBullet"/>
      </w:pPr>
      <w:r>
        <w:t>Correlate every approved write with host consent, source diff, test evidence and accountable user.</w:t>
      </w:r>
    </w:p>
    <w:p>
      <w:pPr>
        <w:pStyle w:val="Heading2"/>
      </w:pPr>
      <w:r>
        <w:t>VS Code Residual Risk, Confidence and Limitations</w:t>
      </w:r>
    </w:p>
    <w:p>
      <w:r>
        <w:t>Residual risk is High and decision is Defer pending evidence. Confidence is High for acquired bytes and source behavior, Medium for exploitability and compatibility, and Unknown for representative runtime. Limitations are no installation, authentication, live tool invocation, network capture, update or uninstall. Verification must close the P0 findings on the exact managed host before approval.</w:t>
      </w:r>
    </w:p>
    <w:p>
      <w:bookmarkStart w:id="847923" w:name="PART_II"/>
      <w:pPr>
        <w:pStyle w:val="Heading1"/>
      </w:pPr>
      <w:r>
        <w:t>Part II — Visual Studio Assessment</w:t>
      </w:r>
      <w:bookmarkEnd w:id="847923"/>
    </w:p>
    <w:p>
      <w:pPr>
        <w:pStyle w:val="Heading2"/>
      </w:pPr>
      <w:r>
        <w:t>Visual Studio Executive Decision</w:t>
      </w:r>
    </w:p>
    <w:p>
      <w:r>
        <w:t>Decision: Defer pending evidence; unsupported product-specific branch. Generic Visual Studio MCP STDIO compatibility is plausible, but Serena supplies no Visual Studio-specific version, manifest, variable, consent, activation, update or uninstall guidance. Evidence, limitation and verification requirements are therefore explicit and VS Code conclusions are not copied across.</w:t>
      </w:r>
    </w:p>
    <w:p>
      <w:pPr>
        <w:pStyle w:val="Heading2"/>
      </w:pPr>
      <w:r>
        <w:t>Visual Studio Purpose and Function</w:t>
      </w:r>
    </w:p>
    <w:p>
      <w:r>
        <w:t>Visual Studio would act as the MCP host, present tools to the model and mediate user consent. Serena would run as a separate Python process, initialize a project and language server, expose semantic tools and return results to model context. The host is not an authorization substitute: its approvals must describe the exact target, operation and expected effect.</w:t>
      </w:r>
    </w:p>
    <w:p>
      <w:pPr>
        <w:pStyle w:val="Heading2"/>
      </w:pPr>
      <w:r>
        <w:t>Visual Studio Architecture</w:t>
      </w:r>
    </w:p>
    <w:p>
      <w:r>
        <w:t>Architecture: Visual Studio model/agent -&gt; MCP client -&gt; STDIO Serena process -&gt; project configuration and source -&gt; language-server child processes -&gt; semantic index/cache -&gt; results and edits. Optional paths reach PyPI, npm or language-server download hosts, Oraios news/usage services and a loopback dashboard. No separate Serena authentication layer protects local project access; OS identity and host process boundaries dominate.</w:t>
      </w:r>
    </w:p>
    <w:p>
      <w:pPr>
        <w:pStyle w:val="Heading2"/>
      </w:pPr>
      <w:r>
        <w:t>Visual Studio Trust Boundaries</w:t>
      </w:r>
    </w:p>
    <w:p>
      <w:pPr>
        <w:pStyle w:val="ListBullet"/>
      </w:pPr>
      <w:r>
        <w:t>Repository source, README/instruction content, .serena/project.yml, initial_prompt, memories and pre-existing caches are untrusted inputs.</w:t>
      </w:r>
    </w:p>
    <w:p>
      <w:pPr>
        <w:pStyle w:val="ListBullet"/>
      </w:pPr>
      <w:r>
        <w:t>Visual Studio's model selection and consent are probabilistic and user-interface boundaries; they must fail closed for mutation.</w:t>
      </w:r>
    </w:p>
    <w:p>
      <w:pPr>
        <w:pStyle w:val="ListBullet"/>
      </w:pPr>
      <w:r>
        <w:t>The Serena process and each language server are executable endpoint boundaries with repository access.</w:t>
      </w:r>
    </w:p>
    <w:p>
      <w:pPr>
        <w:pStyle w:val="ListBullet"/>
      </w:pPr>
      <w:r>
        <w:t>Public package registries, download hosts, dashboard/browser traffic and usage/news services are external trust boundaries.</w:t>
      </w:r>
    </w:p>
    <w:p>
      <w:pPr>
        <w:pStyle w:val="ListBullet"/>
      </w:pPr>
      <w:r>
        <w:t>Returned symbols, code and logs enter model context and may compose with other enabled MCP servers or terminal/browser tools.</w:t>
      </w:r>
    </w:p>
    <w:p>
      <w:pPr>
        <w:pStyle w:val="Heading2"/>
      </w:pPr>
      <w:r>
        <w:t>Visual Studio Data Flows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Flow</w:t>
            </w:r>
          </w:p>
        </w:tc>
        <w:tc>
          <w:tcPr>
            <w:tcW w:type="dxa" w:w="2556"/>
            <w:shd w:fill="17324D"/>
          </w:tcPr>
          <w:p>
            <w:r>
              <w:rPr>
                <w:b/>
                <w:color w:val="FFFFFF"/>
                <w:sz w:val="14"/>
              </w:rPr>
              <w:t>Data</w:t>
            </w:r>
          </w:p>
        </w:tc>
        <w:tc>
          <w:tcPr>
            <w:tcW w:type="dxa" w:w="2556"/>
            <w:shd w:fill="17324D"/>
          </w:tcPr>
          <w:p>
            <w:r>
              <w:rPr>
                <w:b/>
                <w:color w:val="FFFFFF"/>
                <w:sz w:val="14"/>
              </w:rPr>
              <w:t>Purpose</w:t>
            </w:r>
          </w:p>
        </w:tc>
        <w:tc>
          <w:tcPr>
            <w:tcW w:type="dxa" w:w="2556"/>
            <w:shd w:fill="17324D"/>
          </w:tcPr>
          <w:p>
            <w:r>
              <w:rPr>
                <w:b/>
                <w:color w:val="FFFFFF"/>
                <w:sz w:val="14"/>
              </w:rPr>
              <w:t>Control / concern</w:t>
            </w:r>
          </w:p>
        </w:tc>
      </w:tr>
      <w:tr>
        <w:trPr>
          <w:cantSplit/>
        </w:trPr>
        <w:tc>
          <w:tcPr>
            <w:tcW w:type="dxa" w:w="2556"/>
            <w:vAlign w:val="center"/>
          </w:tcPr>
          <w:p>
            <w:pPr>
              <w:spacing w:after="20"/>
            </w:pPr>
            <w:r>
              <w:rPr>
                <w:sz w:val="14"/>
              </w:rPr>
              <w:t>Project -&gt; Serena</w:t>
            </w:r>
          </w:p>
        </w:tc>
        <w:tc>
          <w:tcPr>
            <w:tcW w:type="dxa" w:w="2556"/>
            <w:vAlign w:val="center"/>
          </w:tcPr>
          <w:p>
            <w:pPr>
              <w:spacing w:after="20"/>
            </w:pPr>
            <w:r>
              <w:rPr>
                <w:sz w:val="14"/>
              </w:rPr>
              <w:t>Source, paths, symbols, prompts, memories, config</w:t>
            </w:r>
          </w:p>
        </w:tc>
        <w:tc>
          <w:tcPr>
            <w:tcW w:type="dxa" w:w="2556"/>
            <w:vAlign w:val="center"/>
          </w:tcPr>
          <w:p>
            <w:pPr>
              <w:spacing w:after="20"/>
            </w:pPr>
            <w:r>
              <w:rPr>
                <w:sz w:val="14"/>
              </w:rPr>
              <w:t>Semantic analysis</w:t>
            </w:r>
          </w:p>
        </w:tc>
        <w:tc>
          <w:tcPr>
            <w:tcW w:type="dxa" w:w="2556"/>
            <w:vAlign w:val="center"/>
          </w:tcPr>
          <w:p>
            <w:pPr>
              <w:spacing w:after="20"/>
            </w:pPr>
            <w:r>
              <w:rPr>
                <w:sz w:val="14"/>
              </w:rPr>
              <w:t>Scope, trust, minimisation and cache rejection.</w:t>
            </w:r>
          </w:p>
        </w:tc>
      </w:tr>
      <w:tr>
        <w:trPr>
          <w:cantSplit/>
        </w:trPr>
        <w:tc>
          <w:tcPr>
            <w:tcW w:type="dxa" w:w="2556"/>
            <w:vAlign w:val="center"/>
            <w:shd w:fill="EAF2F4"/>
          </w:tcPr>
          <w:p>
            <w:pPr>
              <w:spacing w:after="20"/>
            </w:pPr>
            <w:r>
              <w:rPr>
                <w:sz w:val="14"/>
              </w:rPr>
              <w:t>Serena -&gt; language server</w:t>
            </w:r>
          </w:p>
        </w:tc>
        <w:tc>
          <w:tcPr>
            <w:tcW w:type="dxa" w:w="2556"/>
            <w:vAlign w:val="center"/>
            <w:shd w:fill="EAF2F4"/>
          </w:tcPr>
          <w:p>
            <w:pPr>
              <w:spacing w:after="20"/>
            </w:pPr>
            <w:r>
              <w:rPr>
                <w:sz w:val="14"/>
              </w:rPr>
              <w:t>Project path and file content</w:t>
            </w:r>
          </w:p>
        </w:tc>
        <w:tc>
          <w:tcPr>
            <w:tcW w:type="dxa" w:w="2556"/>
            <w:vAlign w:val="center"/>
            <w:shd w:fill="EAF2F4"/>
          </w:tcPr>
          <w:p>
            <w:pPr>
              <w:spacing w:after="20"/>
            </w:pPr>
            <w:r>
              <w:rPr>
                <w:sz w:val="14"/>
              </w:rPr>
              <w:t>Index/navigation</w:t>
            </w:r>
          </w:p>
        </w:tc>
        <w:tc>
          <w:tcPr>
            <w:tcW w:type="dxa" w:w="2556"/>
            <w:vAlign w:val="center"/>
            <w:shd w:fill="EAF2F4"/>
          </w:tcPr>
          <w:p>
            <w:pPr>
              <w:spacing w:after="20"/>
            </w:pPr>
            <w:r>
              <w:rPr>
                <w:sz w:val="14"/>
              </w:rPr>
              <w:t>Approved binary, process and egress policy.</w:t>
            </w:r>
          </w:p>
        </w:tc>
      </w:tr>
      <w:tr>
        <w:trPr>
          <w:cantSplit/>
        </w:trPr>
        <w:tc>
          <w:tcPr>
            <w:tcW w:type="dxa" w:w="2556"/>
            <w:vAlign w:val="center"/>
          </w:tcPr>
          <w:p>
            <w:pPr>
              <w:spacing w:after="20"/>
            </w:pPr>
            <w:r>
              <w:rPr>
                <w:sz w:val="14"/>
              </w:rPr>
              <w:t>Serena -&gt; host/model</w:t>
            </w:r>
          </w:p>
        </w:tc>
        <w:tc>
          <w:tcPr>
            <w:tcW w:type="dxa" w:w="2556"/>
            <w:vAlign w:val="center"/>
          </w:tcPr>
          <w:p>
            <w:pPr>
              <w:spacing w:after="20"/>
            </w:pPr>
            <w:r>
              <w:rPr>
                <w:sz w:val="14"/>
              </w:rPr>
              <w:t>Code fragments, symbols, errors, memory</w:t>
            </w:r>
          </w:p>
        </w:tc>
        <w:tc>
          <w:tcPr>
            <w:tcW w:type="dxa" w:w="2556"/>
            <w:vAlign w:val="center"/>
          </w:tcPr>
          <w:p>
            <w:pPr>
              <w:spacing w:after="20"/>
            </w:pPr>
            <w:r>
              <w:rPr>
                <w:sz w:val="14"/>
              </w:rPr>
              <w:t>Agent reasoning</w:t>
            </w:r>
          </w:p>
        </w:tc>
        <w:tc>
          <w:tcPr>
            <w:tcW w:type="dxa" w:w="2556"/>
            <w:vAlign w:val="center"/>
          </w:tcPr>
          <w:p>
            <w:pPr>
              <w:spacing w:after="20"/>
            </w:pPr>
            <w:r>
              <w:rPr>
                <w:sz w:val="14"/>
              </w:rPr>
              <w:t>DLP, retention and user consent.</w:t>
            </w:r>
          </w:p>
        </w:tc>
      </w:tr>
      <w:tr>
        <w:trPr>
          <w:cantSplit/>
        </w:trPr>
        <w:tc>
          <w:tcPr>
            <w:tcW w:type="dxa" w:w="2556"/>
            <w:vAlign w:val="center"/>
            <w:shd w:fill="EAF2F4"/>
          </w:tcPr>
          <w:p>
            <w:pPr>
              <w:spacing w:after="20"/>
            </w:pPr>
            <w:r>
              <w:rPr>
                <w:sz w:val="14"/>
              </w:rPr>
              <w:t>Host/model -&gt; Serena</w:t>
            </w:r>
          </w:p>
        </w:tc>
        <w:tc>
          <w:tcPr>
            <w:tcW w:type="dxa" w:w="2556"/>
            <w:vAlign w:val="center"/>
            <w:shd w:fill="EAF2F4"/>
          </w:tcPr>
          <w:p>
            <w:pPr>
              <w:spacing w:after="20"/>
            </w:pPr>
            <w:r>
              <w:rPr>
                <w:sz w:val="14"/>
              </w:rPr>
              <w:t>Tool name and arguments</w:t>
            </w:r>
          </w:p>
        </w:tc>
        <w:tc>
          <w:tcPr>
            <w:tcW w:type="dxa" w:w="2556"/>
            <w:vAlign w:val="center"/>
            <w:shd w:fill="EAF2F4"/>
          </w:tcPr>
          <w:p>
            <w:pPr>
              <w:spacing w:after="20"/>
            </w:pPr>
            <w:r>
              <w:rPr>
                <w:sz w:val="14"/>
              </w:rPr>
              <w:t>Read/edit operations</w:t>
            </w:r>
          </w:p>
        </w:tc>
        <w:tc>
          <w:tcPr>
            <w:tcW w:type="dxa" w:w="2556"/>
            <w:vAlign w:val="center"/>
            <w:shd w:fill="EAF2F4"/>
          </w:tcPr>
          <w:p>
            <w:pPr>
              <w:spacing w:after="20"/>
            </w:pPr>
            <w:r>
              <w:rPr>
                <w:sz w:val="14"/>
              </w:rPr>
              <w:t>Allowlist, schema validation and per-write approval.</w:t>
            </w:r>
          </w:p>
        </w:tc>
      </w:tr>
      <w:tr>
        <w:trPr>
          <w:cantSplit/>
        </w:trPr>
        <w:tc>
          <w:tcPr>
            <w:tcW w:type="dxa" w:w="2556"/>
            <w:vAlign w:val="center"/>
          </w:tcPr>
          <w:p>
            <w:pPr>
              <w:spacing w:after="20"/>
            </w:pPr>
            <w:r>
              <w:rPr>
                <w:sz w:val="14"/>
              </w:rPr>
              <w:t>Serena -&gt; external services</w:t>
            </w:r>
          </w:p>
        </w:tc>
        <w:tc>
          <w:tcPr>
            <w:tcW w:type="dxa" w:w="2556"/>
            <w:vAlign w:val="center"/>
          </w:tcPr>
          <w:p>
            <w:pPr>
              <w:spacing w:after="20"/>
            </w:pPr>
            <w:r>
              <w:rPr>
                <w:sz w:val="14"/>
              </w:rPr>
              <w:t>Package queries/downloads; usage attributes; news</w:t>
            </w:r>
          </w:p>
        </w:tc>
        <w:tc>
          <w:tcPr>
            <w:tcW w:type="dxa" w:w="2556"/>
            <w:vAlign w:val="center"/>
          </w:tcPr>
          <w:p>
            <w:pPr>
              <w:spacing w:after="20"/>
            </w:pPr>
            <w:r>
              <w:rPr>
                <w:sz w:val="14"/>
              </w:rPr>
              <w:t>Dependencies and product services</w:t>
            </w:r>
          </w:p>
        </w:tc>
        <w:tc>
          <w:tcPr>
            <w:tcW w:type="dxa" w:w="2556"/>
            <w:vAlign w:val="center"/>
          </w:tcPr>
          <w:p>
            <w:pPr>
              <w:spacing w:after="20"/>
            </w:pPr>
            <w:r>
              <w:rPr>
                <w:sz w:val="14"/>
              </w:rPr>
              <w:t>Disable or proxy/allowlist.</w:t>
            </w:r>
          </w:p>
        </w:tc>
      </w:tr>
      <w:tr>
        <w:trPr>
          <w:cantSplit/>
        </w:trPr>
        <w:tc>
          <w:tcPr>
            <w:tcW w:type="dxa" w:w="2556"/>
            <w:vAlign w:val="center"/>
            <w:shd w:fill="EAF2F4"/>
          </w:tcPr>
          <w:p>
            <w:pPr>
              <w:spacing w:after="20"/>
            </w:pPr>
            <w:r>
              <w:rPr>
                <w:sz w:val="14"/>
              </w:rPr>
              <w:t>Dashboard -&gt; local APIs</w:t>
            </w:r>
          </w:p>
        </w:tc>
        <w:tc>
          <w:tcPr>
            <w:tcW w:type="dxa" w:w="2556"/>
            <w:vAlign w:val="center"/>
            <w:shd w:fill="EAF2F4"/>
          </w:tcPr>
          <w:p>
            <w:pPr>
              <w:spacing w:after="20"/>
            </w:pPr>
            <w:r>
              <w:rPr>
                <w:sz w:val="14"/>
              </w:rPr>
              <w:t>Logs, config and memories</w:t>
            </w:r>
          </w:p>
        </w:tc>
        <w:tc>
          <w:tcPr>
            <w:tcW w:type="dxa" w:w="2556"/>
            <w:vAlign w:val="center"/>
            <w:shd w:fill="EAF2F4"/>
          </w:tcPr>
          <w:p>
            <w:pPr>
              <w:spacing w:after="20"/>
            </w:pPr>
            <w:r>
              <w:rPr>
                <w:sz w:val="14"/>
              </w:rPr>
              <w:t>Local UI</w:t>
            </w:r>
          </w:p>
        </w:tc>
        <w:tc>
          <w:tcPr>
            <w:tcW w:type="dxa" w:w="2556"/>
            <w:vAlign w:val="center"/>
            <w:shd w:fill="EAF2F4"/>
          </w:tcPr>
          <w:p>
            <w:pPr>
              <w:spacing w:after="20"/>
            </w:pPr>
            <w:r>
              <w:rPr>
                <w:sz w:val="14"/>
              </w:rPr>
              <w:t>Disabled for enterprise pilot.</w:t>
            </w:r>
          </w:p>
        </w:tc>
      </w:tr>
    </w:tbl>
    <w:p/>
    <w:p>
      <w:pPr>
        <w:pStyle w:val="Heading2"/>
      </w:pPr>
      <w:r>
        <w:t>Visual Studio Installation Manifest and Uninstall</w:t>
      </w:r>
    </w:p>
    <w:p>
      <w:r>
        <w:t>No Serena-specific Visual Studio installation manifest was observed. A generic MCP entry may be feasible, but command path, solution variables, profile scope, process ownership, secret storage and removal behavior are Unknown. Do not install into a normal profile. The verification procedure must capture .mcp.json or equivalent configuration, process tree, user data, caches, downloads, credential store and complete uninstall.</w:t>
      </w:r>
    </w:p>
    <w:p>
      <w:pPr>
        <w:pStyle w:val="Heading2"/>
      </w:pPr>
      <w:r>
        <w:t>Visual Studio Runtime and Activation</w:t>
      </w:r>
    </w:p>
    <w:p>
      <w:r>
        <w:t>Runtime analysis remains Yes and is blocked, not waived. No package or language server was executed. Activation is expected when the host starts the configured MCP server and a project is selected, but actual tool inventory, prompts, consent text, read_only enforcement, process tree, error behavior, update and cleanup are Unknown. Host verification requires a disposable managed profile and synthetic repository.</w:t>
      </w:r>
    </w:p>
    <w:p>
      <w:pPr>
        <w:pStyle w:val="Heading2"/>
      </w:pPr>
      <w:r>
        <w:t>Visual Studio Network and Authentication</w:t>
      </w:r>
    </w:p>
    <w:p>
      <w:r>
        <w:t>The primary STDIO transport does not require a network listener or Serena authentication. Network access may still occur for PyPI/uv, npm and language-server downloads, version checks, news, usage reporting and optional token estimation. The dashboard defaults to loopback. Enterprise egress must be default-deny and attributed to the Serena/language-server process; no production token, SSH agent or cloud credential may be exposed.</w:t>
      </w:r>
    </w:p>
    <w:p>
      <w:pPr>
        <w:pStyle w:val="Heading2"/>
      </w:pPr>
      <w:r>
        <w:t>Visual Studio Telemetry and Privacy</w:t>
      </w:r>
    </w:p>
    <w:p>
      <w:r>
        <w:t>Startup usage reporting can transmit operating system, dashboard state, Serena version, backend and context; remote news/version retrieval creates additional observable egress. Project source, paths, symbols, memories, prompts and logs may contain personal or confidential insurance data and may enter model-provider context. Set SERENA_USAGE_REPORTING=false, disable the dashboard, use synthetic data, apply retention limits and complete DPIA screening before any broader use.</w:t>
      </w:r>
    </w:p>
    <w:p>
      <w:pPr>
        <w:pStyle w:val="Heading2"/>
      </w:pPr>
      <w:r>
        <w:t>Visual Studio MCP and Agent Skills</w:t>
      </w:r>
    </w:p>
    <w:p>
      <w:r>
        <w:t>Serena is an MCP server with tools, prompts, contexts and modes. No bundled Agent Skill was observed, so Agent Skills are Not applicable to this package branch. Composition with separately installed skills or MCP servers can amplify authority: repository data can steer terminal, browser, ticketing or cloud tools. Assess the full enabled graph and require explicit handoff controls.</w:t>
      </w:r>
    </w:p>
    <w:p>
      <w:pPr>
        <w:pStyle w:val="Heading2"/>
      </w:pPr>
      <w:r>
        <w:t>Visual Studio Supply Chain</w:t>
      </w:r>
    </w:p>
    <w:p>
      <w:r>
        <w:t>The acquired wheel matched source Python content and current runtime dependency resolution showed no OSV record, but future uvx resolution is not immutable. Language-server acquisition spans multiple hosts and npm configuration. The tag is unsigned and no PyPI attestation was exposed. Exact hashes, internal distribution, an approved SBOM, dependency admission and downstream binary provenance are required.</w:t>
      </w:r>
    </w:p>
    <w:p>
      <w:pPr>
        <w:pStyle w:val="Heading2"/>
      </w:pPr>
      <w:r>
        <w:t>Visual Studio Threats and Findings</w:t>
      </w:r>
    </w:p>
    <w:p>
      <w:r>
        <w:t>The applicable threats are unsafe deserialization from project-local semantic caches, prompt injection through project instructions, excessive agency, configuration trust drift, dependency/download substitution, dashboard/local control abuse, sensitive-data disclosure and incomplete lifecycle behavior. Findings RISK-001 through RISK-010 apply according to scope; Visual Studio additionally carries product-specific support uncertainty.</w:t>
      </w:r>
    </w:p>
    <w:p>
      <w:pPr>
        <w:pStyle w:val="Heading2"/>
      </w:pPr>
      <w:r>
        <w:t>Visual Studio Framework Disposition</w:t>
      </w:r>
    </w:p>
    <w:p>
      <w:r>
        <w:t>OWASP LLM, Agentic and MCP guidance apply to prompt injection, tool poisoning, excessive agency and supply chain. ASVS applies to dashboard/HTTP configuration and unsafe deserialization. MITRE ATLAS informs prompt/tool paths; NIST AI RMF structures governance and measurement; CIS and NCSC guide endpoint, software, logging, network and incident controls. These mappings are design aids, not certifications.</w:t>
      </w:r>
      <w:r>
        <w:t xml:space="preserve"> </w:t>
      </w:r>
      <w:hyperlink w:anchor="REF_011">
        <w:r>
          <w:rPr>
            <w:color w:val="315F7D"/>
            <w:u w:val="single"/>
          </w:rPr>
          <w:t>[REF-011]</w:t>
        </w:r>
      </w:hyperlink>
      <w:r>
        <w:t xml:space="preserve"> </w:t>
      </w:r>
      <w:hyperlink w:anchor="REF_012">
        <w:r>
          <w:rPr>
            <w:color w:val="315F7D"/>
            <w:u w:val="single"/>
          </w:rPr>
          <w:t>[REF-012]</w:t>
        </w:r>
      </w:hyperlink>
      <w:r>
        <w:t xml:space="preserve"> </w:t>
      </w:r>
      <w:hyperlink w:anchor="REF_016">
        <w:r>
          <w:rPr>
            <w:color w:val="315F7D"/>
            <w:u w:val="single"/>
          </w:rPr>
          <w:t>[REF-016]</w:t>
        </w:r>
      </w:hyperlink>
    </w:p>
    <w:p>
      <w:pPr>
        <w:pStyle w:val="Heading2"/>
      </w:pPr>
      <w:r>
        <w:t>Visual Studio Controls and Detection</w:t>
      </w:r>
    </w:p>
    <w:p>
      <w:pPr>
        <w:pStyle w:val="ListBullet"/>
      </w:pPr>
      <w:r>
        <w:t>Managed read_only and narrow tool allowlist; deny shell, activation commands and mutation until separately approved.</w:t>
      </w:r>
    </w:p>
    <w:p>
      <w:pPr>
        <w:pStyle w:val="ListBullet"/>
      </w:pPr>
      <w:r>
        <w:t>Reject supplied project-local semantic caches and unreviewed project configuration before process start.</w:t>
      </w:r>
    </w:p>
    <w:p>
      <w:pPr>
        <w:pStyle w:val="ListBullet"/>
      </w:pPr>
      <w:r>
        <w:t>Pin exact wheel, dependencies and language servers; proxy and log approved egress.</w:t>
      </w:r>
    </w:p>
    <w:p>
      <w:pPr>
        <w:pStyle w:val="ListBullet"/>
      </w:pPr>
      <w:r>
        <w:t>Detect changes to MCP config, trusted paths, tool inventory, process tree, project writes and unusual network destinations.</w:t>
      </w:r>
    </w:p>
    <w:p>
      <w:pPr>
        <w:pStyle w:val="ListBullet"/>
      </w:pPr>
      <w:r>
        <w:t>Correlate every approved write with host consent, source diff, test evidence and accountable user.</w:t>
      </w:r>
    </w:p>
    <w:p>
      <w:pPr>
        <w:pStyle w:val="Heading2"/>
      </w:pPr>
      <w:r>
        <w:t>Visual Studio Residual Risk, Confidence and Limitations</w:t>
      </w:r>
    </w:p>
    <w:p>
      <w:r>
        <w:t>Residual risk is High and decision is Defer pending evidence. Confidence is High for acquired bytes and source behavior, Medium for exploitability and compatibility, and Unknown for representative runtime. Limitations are no installation, authentication, live tool invocation, network capture, update or uninstall. Verification must close the P0 findings on the exact managed host before approval.</w:t>
      </w:r>
    </w:p>
    <w:p>
      <w:bookmarkStart w:id="1367473" w:name="PART_III"/>
      <w:pPr>
        <w:pStyle w:val="Heading1"/>
      </w:pPr>
      <w:r>
        <w:t>Part III — Installed Agent Skills</w:t>
      </w:r>
      <w:bookmarkEnd w:id="1367473"/>
    </w:p>
    <w:p>
      <w:r>
        <w:t>Status: Not observed. The source snapshot, wheel, Registry metadata and documentation contain MCP tools, prompts, contexts and modes but no SKILL.md or bundled installed Agent Skill. This is a scoped absence claim; separately installed host skills were not inventoried and could materially change composition risk.</w:t>
      </w:r>
    </w:p>
    <w:p>
      <w:bookmarkStart w:id="511525" w:name="CONSOLIDATED"/>
      <w:pPr>
        <w:pStyle w:val="Heading1"/>
      </w:pPr>
      <w:r>
        <w:t>Consolidated Assessment</w:t>
      </w:r>
      <w:bookmarkEnd w:id="511525"/>
    </w:p>
    <w:p>
      <w:pPr>
        <w:pStyle w:val="Heading2"/>
      </w:pPr>
      <w:r>
        <w:t>Cross-IDE Comparison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Area</w:t>
            </w:r>
          </w:p>
        </w:tc>
        <w:tc>
          <w:tcPr>
            <w:tcW w:type="dxa" w:w="2556"/>
            <w:shd w:fill="17324D"/>
          </w:tcPr>
          <w:p>
            <w:r>
              <w:rPr>
                <w:b/>
                <w:color w:val="FFFFFF"/>
                <w:sz w:val="14"/>
              </w:rPr>
              <w:t>VS Code</w:t>
            </w:r>
          </w:p>
        </w:tc>
        <w:tc>
          <w:tcPr>
            <w:tcW w:type="dxa" w:w="2556"/>
            <w:shd w:fill="17324D"/>
          </w:tcPr>
          <w:p>
            <w:r>
              <w:rPr>
                <w:b/>
                <w:color w:val="FFFFFF"/>
                <w:sz w:val="14"/>
              </w:rPr>
              <w:t>Visual Studio</w:t>
            </w:r>
          </w:p>
        </w:tc>
        <w:tc>
          <w:tcPr>
            <w:tcW w:type="dxa" w:w="2556"/>
            <w:shd w:fill="17324D"/>
          </w:tcPr>
          <w:p>
            <w:r>
              <w:rPr>
                <w:b/>
                <w:color w:val="FFFFFF"/>
                <w:sz w:val="14"/>
              </w:rPr>
              <w:t>Disposition</w:t>
            </w:r>
          </w:p>
        </w:tc>
      </w:tr>
      <w:tr>
        <w:trPr>
          <w:cantSplit/>
        </w:trPr>
        <w:tc>
          <w:tcPr>
            <w:tcW w:type="dxa" w:w="2556"/>
            <w:vAlign w:val="center"/>
          </w:tcPr>
          <w:p>
            <w:pPr>
              <w:spacing w:after="20"/>
            </w:pPr>
            <w:r>
              <w:rPr>
                <w:sz w:val="14"/>
              </w:rPr>
              <w:t>Vendor guidance</w:t>
            </w:r>
          </w:p>
        </w:tc>
        <w:tc>
          <w:tcPr>
            <w:tcW w:type="dxa" w:w="2556"/>
            <w:vAlign w:val="center"/>
          </w:tcPr>
          <w:p>
            <w:pPr>
              <w:spacing w:after="20"/>
            </w:pPr>
            <w:r>
              <w:rPr>
                <w:sz w:val="14"/>
              </w:rPr>
              <w:t>Direct Serena client instructions</w:t>
            </w:r>
          </w:p>
        </w:tc>
        <w:tc>
          <w:tcPr>
            <w:tcW w:type="dxa" w:w="2556"/>
            <w:vAlign w:val="center"/>
          </w:tcPr>
          <w:p>
            <w:pPr>
              <w:spacing w:after="20"/>
            </w:pPr>
            <w:r>
              <w:rPr>
                <w:sz w:val="14"/>
              </w:rPr>
              <w:t>No Serena-specific instructions observed</w:t>
            </w:r>
          </w:p>
        </w:tc>
        <w:tc>
          <w:tcPr>
            <w:tcW w:type="dxa" w:w="2556"/>
            <w:vAlign w:val="center"/>
          </w:tcPr>
          <w:p>
            <w:pPr>
              <w:spacing w:after="20"/>
            </w:pPr>
            <w:r>
              <w:rPr>
                <w:sz w:val="14"/>
              </w:rPr>
              <w:t>Do not infer parity.</w:t>
            </w:r>
          </w:p>
        </w:tc>
      </w:tr>
      <w:tr>
        <w:trPr>
          <w:cantSplit/>
        </w:trPr>
        <w:tc>
          <w:tcPr>
            <w:tcW w:type="dxa" w:w="2556"/>
            <w:vAlign w:val="center"/>
            <w:shd w:fill="EAF2F4"/>
          </w:tcPr>
          <w:p>
            <w:pPr>
              <w:spacing w:after="20"/>
            </w:pPr>
            <w:r>
              <w:rPr>
                <w:sz w:val="14"/>
              </w:rPr>
              <w:t>Transport</w:t>
            </w:r>
          </w:p>
        </w:tc>
        <w:tc>
          <w:tcPr>
            <w:tcW w:type="dxa" w:w="2556"/>
            <w:vAlign w:val="center"/>
            <w:shd w:fill="EAF2F4"/>
          </w:tcPr>
          <w:p>
            <w:pPr>
              <w:spacing w:after="20"/>
            </w:pPr>
            <w:r>
              <w:rPr>
                <w:sz w:val="14"/>
              </w:rPr>
              <w:t>STDIO command documented</w:t>
            </w:r>
          </w:p>
        </w:tc>
        <w:tc>
          <w:tcPr>
            <w:tcW w:type="dxa" w:w="2556"/>
            <w:vAlign w:val="center"/>
            <w:shd w:fill="EAF2F4"/>
          </w:tcPr>
          <w:p>
            <w:pPr>
              <w:spacing w:after="20"/>
            </w:pPr>
            <w:r>
              <w:rPr>
                <w:sz w:val="14"/>
              </w:rPr>
              <w:t>Generic STDIO compatibility plausible</w:t>
            </w:r>
          </w:p>
        </w:tc>
        <w:tc>
          <w:tcPr>
            <w:tcW w:type="dxa" w:w="2556"/>
            <w:vAlign w:val="center"/>
            <w:shd w:fill="EAF2F4"/>
          </w:tcPr>
          <w:p>
            <w:pPr>
              <w:spacing w:after="20"/>
            </w:pPr>
            <w:r>
              <w:rPr>
                <w:sz w:val="14"/>
              </w:rPr>
              <w:t>Runtime verification required.</w:t>
            </w:r>
          </w:p>
        </w:tc>
      </w:tr>
      <w:tr>
        <w:trPr>
          <w:cantSplit/>
        </w:trPr>
        <w:tc>
          <w:tcPr>
            <w:tcW w:type="dxa" w:w="2556"/>
            <w:vAlign w:val="center"/>
          </w:tcPr>
          <w:p>
            <w:pPr>
              <w:spacing w:after="20"/>
            </w:pPr>
            <w:r>
              <w:rPr>
                <w:sz w:val="14"/>
              </w:rPr>
              <w:t>Project variable</w:t>
            </w:r>
          </w:p>
        </w:tc>
        <w:tc>
          <w:tcPr>
            <w:tcW w:type="dxa" w:w="2556"/>
            <w:vAlign w:val="center"/>
          </w:tcPr>
          <w:p>
            <w:pPr>
              <w:spacing w:after="20"/>
            </w:pPr>
            <w:r>
              <w:rPr>
                <w:sz w:val="14"/>
              </w:rPr>
              <w:t>${workspaceFolder} example</w:t>
            </w:r>
          </w:p>
        </w:tc>
        <w:tc>
          <w:tcPr>
            <w:tcW w:type="dxa" w:w="2556"/>
            <w:vAlign w:val="center"/>
          </w:tcPr>
          <w:p>
            <w:pPr>
              <w:spacing w:after="20"/>
            </w:pPr>
            <w:r>
              <w:rPr>
                <w:sz w:val="14"/>
              </w:rPr>
              <w:t>Unknown solution variable behavior</w:t>
            </w:r>
          </w:p>
        </w:tc>
        <w:tc>
          <w:tcPr>
            <w:tcW w:type="dxa" w:w="2556"/>
            <w:vAlign w:val="center"/>
          </w:tcPr>
          <w:p>
            <w:pPr>
              <w:spacing w:after="20"/>
            </w:pPr>
            <w:r>
              <w:rPr>
                <w:sz w:val="14"/>
              </w:rPr>
              <w:t>Host-specific manifest needed.</w:t>
            </w:r>
          </w:p>
        </w:tc>
      </w:tr>
      <w:tr>
        <w:trPr>
          <w:cantSplit/>
        </w:trPr>
        <w:tc>
          <w:tcPr>
            <w:tcW w:type="dxa" w:w="2556"/>
            <w:vAlign w:val="center"/>
            <w:shd w:fill="EAF2F4"/>
          </w:tcPr>
          <w:p>
            <w:pPr>
              <w:spacing w:after="20"/>
            </w:pPr>
            <w:r>
              <w:rPr>
                <w:sz w:val="14"/>
              </w:rPr>
              <w:t>Context</w:t>
            </w:r>
          </w:p>
        </w:tc>
        <w:tc>
          <w:tcPr>
            <w:tcW w:type="dxa" w:w="2556"/>
            <w:vAlign w:val="center"/>
            <w:shd w:fill="EAF2F4"/>
          </w:tcPr>
          <w:p>
            <w:pPr>
              <w:spacing w:after="20"/>
            </w:pPr>
            <w:r>
              <w:rPr>
                <w:sz w:val="14"/>
              </w:rPr>
              <w:t>vscode context excludes generic shell/file tools</w:t>
            </w:r>
          </w:p>
        </w:tc>
        <w:tc>
          <w:tcPr>
            <w:tcW w:type="dxa" w:w="2556"/>
            <w:vAlign w:val="center"/>
            <w:shd w:fill="EAF2F4"/>
          </w:tcPr>
          <w:p>
            <w:pPr>
              <w:spacing w:after="20"/>
            </w:pPr>
            <w:r>
              <w:rPr>
                <w:sz w:val="14"/>
              </w:rPr>
              <w:t>No vendor-specific context</w:t>
            </w:r>
          </w:p>
        </w:tc>
        <w:tc>
          <w:tcPr>
            <w:tcW w:type="dxa" w:w="2556"/>
            <w:vAlign w:val="center"/>
            <w:shd w:fill="EAF2F4"/>
          </w:tcPr>
          <w:p>
            <w:pPr>
              <w:spacing w:after="20"/>
            </w:pPr>
            <w:r>
              <w:rPr>
                <w:sz w:val="14"/>
              </w:rPr>
              <w:t>Use explicit context/tool allowlist.</w:t>
            </w:r>
          </w:p>
        </w:tc>
      </w:tr>
      <w:tr>
        <w:trPr>
          <w:cantSplit/>
        </w:trPr>
        <w:tc>
          <w:tcPr>
            <w:tcW w:type="dxa" w:w="2556"/>
            <w:vAlign w:val="center"/>
          </w:tcPr>
          <w:p>
            <w:pPr>
              <w:spacing w:after="20"/>
            </w:pPr>
            <w:r>
              <w:rPr>
                <w:sz w:val="14"/>
              </w:rPr>
              <w:t>Runtime evidence</w:t>
            </w:r>
          </w:p>
        </w:tc>
        <w:tc>
          <w:tcPr>
            <w:tcW w:type="dxa" w:w="2556"/>
            <w:vAlign w:val="center"/>
          </w:tcPr>
          <w:p>
            <w:pPr>
              <w:spacing w:after="20"/>
            </w:pPr>
            <w:r>
              <w:rPr>
                <w:sz w:val="14"/>
              </w:rPr>
              <w:t>Blocked</w:t>
            </w:r>
          </w:p>
        </w:tc>
        <w:tc>
          <w:tcPr>
            <w:tcW w:type="dxa" w:w="2556"/>
            <w:vAlign w:val="center"/>
          </w:tcPr>
          <w:p>
            <w:pPr>
              <w:spacing w:after="20"/>
            </w:pPr>
            <w:r>
              <w:rPr>
                <w:sz w:val="14"/>
              </w:rPr>
              <w:t>Blocked</w:t>
            </w:r>
          </w:p>
        </w:tc>
        <w:tc>
          <w:tcPr>
            <w:tcW w:type="dxa" w:w="2556"/>
            <w:vAlign w:val="center"/>
          </w:tcPr>
          <w:p>
            <w:pPr>
              <w:spacing w:after="20"/>
            </w:pPr>
            <w:r>
              <w:rPr>
                <w:sz w:val="14"/>
              </w:rPr>
              <w:t>Defer pending evidence.</w:t>
            </w:r>
          </w:p>
        </w:tc>
      </w:tr>
      <w:tr>
        <w:trPr>
          <w:cantSplit/>
        </w:trPr>
        <w:tc>
          <w:tcPr>
            <w:tcW w:type="dxa" w:w="2556"/>
            <w:vAlign w:val="center"/>
            <w:shd w:fill="EAF2F4"/>
          </w:tcPr>
          <w:p>
            <w:pPr>
              <w:spacing w:after="20"/>
            </w:pPr>
            <w:r>
              <w:rPr>
                <w:sz w:val="14"/>
              </w:rPr>
              <w:t>Agent Skills</w:t>
            </w:r>
          </w:p>
        </w:tc>
        <w:tc>
          <w:tcPr>
            <w:tcW w:type="dxa" w:w="2556"/>
            <w:vAlign w:val="center"/>
            <w:shd w:fill="EAF2F4"/>
          </w:tcPr>
          <w:p>
            <w:pPr>
              <w:spacing w:after="20"/>
            </w:pPr>
            <w:r>
              <w:rPr>
                <w:sz w:val="14"/>
              </w:rPr>
              <w:t>Not observed</w:t>
            </w:r>
          </w:p>
        </w:tc>
        <w:tc>
          <w:tcPr>
            <w:tcW w:type="dxa" w:w="2556"/>
            <w:vAlign w:val="center"/>
            <w:shd w:fill="EAF2F4"/>
          </w:tcPr>
          <w:p>
            <w:pPr>
              <w:spacing w:after="20"/>
            </w:pPr>
            <w:r>
              <w:rPr>
                <w:sz w:val="14"/>
              </w:rPr>
              <w:t>Not observed</w:t>
            </w:r>
          </w:p>
        </w:tc>
        <w:tc>
          <w:tcPr>
            <w:tcW w:type="dxa" w:w="2556"/>
            <w:vAlign w:val="center"/>
            <w:shd w:fill="EAF2F4"/>
          </w:tcPr>
          <w:p>
            <w:pPr>
              <w:spacing w:after="20"/>
            </w:pPr>
            <w:r>
              <w:rPr>
                <w:sz w:val="14"/>
              </w:rPr>
              <w:t>Separate from MCP prompts/modes.</w:t>
            </w:r>
          </w:p>
        </w:tc>
      </w:tr>
    </w:tbl>
    <w:p/>
    <w:p>
      <w:pPr>
        <w:pStyle w:val="Heading2"/>
      </w:pPr>
      <w:r>
        <w:t>Consolidated Supply Chain Assessment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Control area</w:t>
            </w:r>
          </w:p>
        </w:tc>
        <w:tc>
          <w:tcPr>
            <w:tcW w:type="dxa" w:w="2556"/>
            <w:shd w:fill="17324D"/>
          </w:tcPr>
          <w:p>
            <w:r>
              <w:rPr>
                <w:b/>
                <w:color w:val="FFFFFF"/>
                <w:sz w:val="14"/>
              </w:rPr>
              <w:t>Verified strength</w:t>
            </w:r>
          </w:p>
        </w:tc>
        <w:tc>
          <w:tcPr>
            <w:tcW w:type="dxa" w:w="2556"/>
            <w:shd w:fill="17324D"/>
          </w:tcPr>
          <w:p>
            <w:r>
              <w:rPr>
                <w:b/>
                <w:color w:val="FFFFFF"/>
                <w:sz w:val="14"/>
              </w:rPr>
              <w:t>Gap</w:t>
            </w:r>
          </w:p>
        </w:tc>
        <w:tc>
          <w:tcPr>
            <w:tcW w:type="dxa" w:w="2556"/>
            <w:shd w:fill="17324D"/>
          </w:tcPr>
          <w:p>
            <w:r>
              <w:rPr>
                <w:b/>
                <w:color w:val="FFFFFF"/>
                <w:sz w:val="14"/>
              </w:rPr>
              <w:t>Decision effect</w:t>
            </w:r>
          </w:p>
        </w:tc>
      </w:tr>
      <w:tr>
        <w:trPr>
          <w:cantSplit/>
        </w:trPr>
        <w:tc>
          <w:tcPr>
            <w:tcW w:type="dxa" w:w="2556"/>
            <w:vAlign w:val="center"/>
          </w:tcPr>
          <w:p>
            <w:pPr>
              <w:spacing w:after="20"/>
            </w:pPr>
            <w:r>
              <w:rPr>
                <w:sz w:val="14"/>
              </w:rPr>
              <w:t>Identity</w:t>
            </w:r>
          </w:p>
        </w:tc>
        <w:tc>
          <w:tcPr>
            <w:tcW w:type="dxa" w:w="2556"/>
            <w:vAlign w:val="center"/>
          </w:tcPr>
          <w:p>
            <w:pPr>
              <w:spacing w:after="20"/>
            </w:pPr>
            <w:r>
              <w:rPr>
                <w:sz w:val="14"/>
              </w:rPr>
              <w:t>Official Oraios repo, Registry and PyPI</w:t>
            </w:r>
          </w:p>
        </w:tc>
        <w:tc>
          <w:tcPr>
            <w:tcW w:type="dxa" w:w="2556"/>
            <w:vAlign w:val="center"/>
          </w:tcPr>
          <w:p>
            <w:pPr>
              <w:spacing w:after="20"/>
            </w:pPr>
            <w:r>
              <w:rPr>
                <w:sz w:val="14"/>
              </w:rPr>
              <w:t>Registry is stale</w:t>
            </w:r>
          </w:p>
        </w:tc>
        <w:tc>
          <w:tcPr>
            <w:tcW w:type="dxa" w:w="2556"/>
            <w:vAlign w:val="center"/>
          </w:tcPr>
          <w:p>
            <w:pPr>
              <w:spacing w:after="20"/>
            </w:pPr>
            <w:r>
              <w:rPr>
                <w:sz w:val="14"/>
              </w:rPr>
              <w:t>Pin exact wheel/hash.</w:t>
            </w:r>
          </w:p>
        </w:tc>
      </w:tr>
      <w:tr>
        <w:trPr>
          <w:cantSplit/>
        </w:trPr>
        <w:tc>
          <w:tcPr>
            <w:tcW w:type="dxa" w:w="2556"/>
            <w:vAlign w:val="center"/>
            <w:shd w:fill="EAF2F4"/>
          </w:tcPr>
          <w:p>
            <w:pPr>
              <w:spacing w:after="20"/>
            </w:pPr>
            <w:r>
              <w:rPr>
                <w:sz w:val="14"/>
              </w:rPr>
              <w:t>Source/package</w:t>
            </w:r>
          </w:p>
        </w:tc>
        <w:tc>
          <w:tcPr>
            <w:tcW w:type="dxa" w:w="2556"/>
            <w:vAlign w:val="center"/>
            <w:shd w:fill="EAF2F4"/>
          </w:tcPr>
          <w:p>
            <w:pPr>
              <w:spacing w:after="20"/>
            </w:pPr>
            <w:r>
              <w:rPr>
                <w:sz w:val="14"/>
              </w:rPr>
              <w:t>Wheel Python tree matches source</w:t>
            </w:r>
          </w:p>
        </w:tc>
        <w:tc>
          <w:tcPr>
            <w:tcW w:type="dxa" w:w="2556"/>
            <w:vAlign w:val="center"/>
            <w:shd w:fill="EAF2F4"/>
          </w:tcPr>
          <w:p>
            <w:pPr>
              <w:spacing w:after="20"/>
            </w:pPr>
            <w:r>
              <w:rPr>
                <w:sz w:val="14"/>
              </w:rPr>
              <w:t>No reproducible-build attestation</w:t>
            </w:r>
          </w:p>
        </w:tc>
        <w:tc>
          <w:tcPr>
            <w:tcW w:type="dxa" w:w="2556"/>
            <w:vAlign w:val="center"/>
            <w:shd w:fill="EAF2F4"/>
          </w:tcPr>
          <w:p>
            <w:pPr>
              <w:spacing w:after="20"/>
            </w:pPr>
            <w:r>
              <w:rPr>
                <w:sz w:val="14"/>
              </w:rPr>
              <w:t>Independent admission evidence.</w:t>
            </w:r>
          </w:p>
        </w:tc>
      </w:tr>
      <w:tr>
        <w:trPr>
          <w:cantSplit/>
        </w:trPr>
        <w:tc>
          <w:tcPr>
            <w:tcW w:type="dxa" w:w="2556"/>
            <w:vAlign w:val="center"/>
          </w:tcPr>
          <w:p>
            <w:pPr>
              <w:spacing w:after="20"/>
            </w:pPr>
            <w:r>
              <w:rPr>
                <w:sz w:val="14"/>
              </w:rPr>
              <w:t>Release</w:t>
            </w:r>
          </w:p>
        </w:tc>
        <w:tc>
          <w:tcPr>
            <w:tcW w:type="dxa" w:w="2556"/>
            <w:vAlign w:val="center"/>
          </w:tcPr>
          <w:p>
            <w:pPr>
              <w:spacing w:after="20"/>
            </w:pPr>
            <w:r>
              <w:rPr>
                <w:sz w:val="14"/>
              </w:rPr>
              <w:t>Exact-head successful OIDC publish run</w:t>
            </w:r>
          </w:p>
        </w:tc>
        <w:tc>
          <w:tcPr>
            <w:tcW w:type="dxa" w:w="2556"/>
            <w:vAlign w:val="center"/>
          </w:tcPr>
          <w:p>
            <w:pPr>
              <w:spacing w:after="20"/>
            </w:pPr>
            <w:r>
              <w:rPr>
                <w:sz w:val="14"/>
              </w:rPr>
              <w:t>Unsigned tag, mutable actions, uv latest</w:t>
            </w:r>
          </w:p>
        </w:tc>
        <w:tc>
          <w:tcPr>
            <w:tcW w:type="dxa" w:w="2556"/>
            <w:vAlign w:val="center"/>
          </w:tcPr>
          <w:p>
            <w:pPr>
              <w:spacing w:after="20"/>
            </w:pPr>
            <w:r>
              <w:rPr>
                <w:sz w:val="14"/>
              </w:rPr>
              <w:t>Attestation improvement.</w:t>
            </w:r>
          </w:p>
        </w:tc>
      </w:tr>
      <w:tr>
        <w:trPr>
          <w:cantSplit/>
        </w:trPr>
        <w:tc>
          <w:tcPr>
            <w:tcW w:type="dxa" w:w="2556"/>
            <w:vAlign w:val="center"/>
            <w:shd w:fill="EAF2F4"/>
          </w:tcPr>
          <w:p>
            <w:pPr>
              <w:spacing w:after="20"/>
            </w:pPr>
            <w:r>
              <w:rPr>
                <w:sz w:val="14"/>
              </w:rPr>
              <w:t>Dependencies</w:t>
            </w:r>
          </w:p>
        </w:tc>
        <w:tc>
          <w:tcPr>
            <w:tcW w:type="dxa" w:w="2556"/>
            <w:vAlign w:val="center"/>
            <w:shd w:fill="EAF2F4"/>
          </w:tcPr>
          <w:p>
            <w:pPr>
              <w:spacing w:after="20"/>
            </w:pPr>
            <w:r>
              <w:rPr>
                <w:sz w:val="14"/>
              </w:rPr>
              <w:t>Exact direct pins; current runtime OSV clean</w:t>
            </w:r>
          </w:p>
        </w:tc>
        <w:tc>
          <w:tcPr>
            <w:tcW w:type="dxa" w:w="2556"/>
            <w:vAlign w:val="center"/>
            <w:shd w:fill="EAF2F4"/>
          </w:tcPr>
          <w:p>
            <w:pPr>
              <w:spacing w:after="20"/>
            </w:pPr>
            <w:r>
              <w:rPr>
                <w:sz w:val="14"/>
              </w:rPr>
              <w:t>Transitives resolve at install time</w:t>
            </w:r>
          </w:p>
        </w:tc>
        <w:tc>
          <w:tcPr>
            <w:tcW w:type="dxa" w:w="2556"/>
            <w:vAlign w:val="center"/>
            <w:shd w:fill="EAF2F4"/>
          </w:tcPr>
          <w:p>
            <w:pPr>
              <w:spacing w:after="20"/>
            </w:pPr>
            <w:r>
              <w:rPr>
                <w:sz w:val="14"/>
              </w:rPr>
              <w:t>Internal lock/wheelhouse.</w:t>
            </w:r>
          </w:p>
        </w:tc>
      </w:tr>
      <w:tr>
        <w:trPr>
          <w:cantSplit/>
        </w:trPr>
        <w:tc>
          <w:tcPr>
            <w:tcW w:type="dxa" w:w="2556"/>
            <w:vAlign w:val="center"/>
          </w:tcPr>
          <w:p>
            <w:pPr>
              <w:spacing w:after="20"/>
            </w:pPr>
            <w:r>
              <w:rPr>
                <w:sz w:val="14"/>
              </w:rPr>
              <w:t>Language servers</w:t>
            </w:r>
          </w:p>
        </w:tc>
        <w:tc>
          <w:tcPr>
            <w:tcW w:type="dxa" w:w="2556"/>
            <w:vAlign w:val="center"/>
          </w:tcPr>
          <w:p>
            <w:pPr>
              <w:spacing w:after="20"/>
            </w:pPr>
            <w:r>
              <w:rPr>
                <w:sz w:val="14"/>
              </w:rPr>
              <w:t>Many exact versions/hashes/hosts</w:t>
            </w:r>
          </w:p>
        </w:tc>
        <w:tc>
          <w:tcPr>
            <w:tcW w:type="dxa" w:w="2556"/>
            <w:vAlign w:val="center"/>
          </w:tcPr>
          <w:p>
            <w:pPr>
              <w:spacing w:after="20"/>
            </w:pPr>
            <w:r>
              <w:rPr>
                <w:sz w:val="14"/>
              </w:rPr>
              <w:t>Uneven npm and archive controls</w:t>
            </w:r>
          </w:p>
        </w:tc>
        <w:tc>
          <w:tcPr>
            <w:tcW w:type="dxa" w:w="2556"/>
            <w:vAlign w:val="center"/>
          </w:tcPr>
          <w:p>
            <w:pPr>
              <w:spacing w:after="20"/>
            </w:pPr>
            <w:r>
              <w:rPr>
                <w:sz w:val="14"/>
              </w:rPr>
              <w:t>Internal approved distribution.</w:t>
            </w:r>
          </w:p>
        </w:tc>
      </w:tr>
      <w:tr>
        <w:trPr>
          <w:cantSplit/>
        </w:trPr>
        <w:tc>
          <w:tcPr>
            <w:tcW w:type="dxa" w:w="2556"/>
            <w:vAlign w:val="center"/>
            <w:shd w:fill="EAF2F4"/>
          </w:tcPr>
          <w:p>
            <w:pPr>
              <w:spacing w:after="20"/>
            </w:pPr>
            <w:r>
              <w:rPr>
                <w:sz w:val="14"/>
              </w:rPr>
              <w:t>Malware</w:t>
            </w:r>
          </w:p>
        </w:tc>
        <w:tc>
          <w:tcPr>
            <w:tcW w:type="dxa" w:w="2556"/>
            <w:vAlign w:val="center"/>
            <w:shd w:fill="EAF2F4"/>
          </w:tcPr>
          <w:p>
            <w:pPr>
              <w:spacing w:after="20"/>
            </w:pPr>
            <w:r>
              <w:rPr>
                <w:sz w:val="14"/>
              </w:rPr>
              <w:t>Zero ClamAV infections; heuristic review</w:t>
            </w:r>
          </w:p>
        </w:tc>
        <w:tc>
          <w:tcPr>
            <w:tcW w:type="dxa" w:w="2556"/>
            <w:vAlign w:val="center"/>
            <w:shd w:fill="EAF2F4"/>
          </w:tcPr>
          <w:p>
            <w:pPr>
              <w:spacing w:after="20"/>
            </w:pPr>
            <w:r>
              <w:rPr>
                <w:sz w:val="14"/>
              </w:rPr>
              <w:t>No detonation/runtime</w:t>
            </w:r>
          </w:p>
        </w:tc>
        <w:tc>
          <w:tcPr>
            <w:tcW w:type="dxa" w:w="2556"/>
            <w:vAlign w:val="center"/>
            <w:shd w:fill="EAF2F4"/>
          </w:tcPr>
          <w:p>
            <w:pPr>
              <w:spacing w:after="20"/>
            </w:pPr>
            <w:r>
              <w:rPr>
                <w:sz w:val="14"/>
              </w:rPr>
              <w:t>Clean scan is limited evidence.</w:t>
            </w:r>
          </w:p>
        </w:tc>
      </w:tr>
    </w:tbl>
    <w:p/>
    <w:p>
      <w:pPr>
        <w:pStyle w:val="Heading2"/>
      </w:pPr>
      <w:r>
        <w:t>Consolidated Privacy and Data Protection Assessment</w:t>
      </w:r>
    </w:p>
    <w:p>
      <w:r>
        <w:t>Source code, filenames, repository structure, commit-linked identities, comments embedded in code, prompts, project memories, dashboard logs and error traces may contain personal data, confidential business logic, security details or claims/customer information. Serena reduces context volume but does not itself establish lawful basis, purpose limitation, data residency, model-provider retention, deletion or data-subject rights. A pilot must use synthetic data and managed model/endpoint contracts.</w:t>
      </w:r>
      <w:r>
        <w:t xml:space="preserve"> </w:t>
      </w:r>
      <w:hyperlink w:anchor="REF_020">
        <w:r>
          <w:rPr>
            <w:color w:val="315F7D"/>
            <w:u w:val="single"/>
          </w:rPr>
          <w:t>[REF-020]</w:t>
        </w:r>
      </w:hyperlink>
    </w:p>
    <w:p>
      <w:r>
        <w:t>For a Large UK Insurance business, accountable owners must determine FCA/PRA entity scope, whether Serena supports an important business service, third-party materiality, concentration, audit/access, incident, change and exit requirements. This assessment does not assert a particular firm's regulatory status without those facts.</w:t>
      </w:r>
      <w:r>
        <w:t xml:space="preserve"> </w:t>
      </w:r>
      <w:hyperlink w:anchor="REF_021">
        <w:r>
          <w:rPr>
            <w:color w:val="315F7D"/>
            <w:u w:val="single"/>
          </w:rPr>
          <w:t>[REF-021]</w:t>
        </w:r>
      </w:hyperlink>
      <w:r>
        <w:t xml:space="preserve"> </w:t>
      </w:r>
      <w:hyperlink w:anchor="REF_022">
        <w:r>
          <w:rPr>
            <w:color w:val="315F7D"/>
            <w:u w:val="single"/>
          </w:rPr>
          <w:t>[REF-022]</w:t>
        </w:r>
      </w:hyperlink>
    </w:p>
    <w:p>
      <w:pPr>
        <w:pStyle w:val="Heading2"/>
      </w:pPr>
      <w:r>
        <w:t>Framework Mapping</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Framework</w:t>
            </w:r>
          </w:p>
        </w:tc>
        <w:tc>
          <w:tcPr>
            <w:tcW w:type="dxa" w:w="3408"/>
            <w:shd w:fill="17324D"/>
          </w:tcPr>
          <w:p>
            <w:r>
              <w:rPr>
                <w:b/>
                <w:color w:val="FFFFFF"/>
                <w:sz w:val="14"/>
              </w:rPr>
              <w:t>Disposition</w:t>
            </w:r>
          </w:p>
        </w:tc>
        <w:tc>
          <w:tcPr>
            <w:tcW w:type="dxa" w:w="3408"/>
            <w:shd w:fill="17324D"/>
          </w:tcPr>
          <w:p>
            <w:r>
              <w:rPr>
                <w:b/>
                <w:color w:val="FFFFFF"/>
                <w:sz w:val="14"/>
              </w:rPr>
              <w:t>Serena application</w:t>
            </w:r>
          </w:p>
        </w:tc>
      </w:tr>
      <w:tr>
        <w:trPr>
          <w:cantSplit/>
        </w:trPr>
        <w:tc>
          <w:tcPr>
            <w:tcW w:type="dxa" w:w="3408"/>
            <w:vAlign w:val="center"/>
          </w:tcPr>
          <w:p>
            <w:pPr>
              <w:spacing w:after="20"/>
            </w:pPr>
            <w:r>
              <w:rPr>
                <w:sz w:val="14"/>
              </w:rPr>
              <w:t>OWASP LLM Top 10 2025</w:t>
            </w:r>
          </w:p>
        </w:tc>
        <w:tc>
          <w:tcPr>
            <w:tcW w:type="dxa" w:w="3408"/>
            <w:vAlign w:val="center"/>
          </w:tcPr>
          <w:p>
            <w:pPr>
              <w:spacing w:after="20"/>
            </w:pPr>
            <w:r>
              <w:rPr>
                <w:sz w:val="14"/>
              </w:rPr>
              <w:t>Applicable</w:t>
            </w:r>
          </w:p>
        </w:tc>
        <w:tc>
          <w:tcPr>
            <w:tcW w:type="dxa" w:w="3408"/>
            <w:vAlign w:val="center"/>
          </w:tcPr>
          <w:p>
            <w:pPr>
              <w:spacing w:after="20"/>
            </w:pPr>
            <w:r>
              <w:rPr>
                <w:sz w:val="14"/>
              </w:rPr>
              <w:t>Prompt injection, supply chain, disclosure, excessive agency and consumption.</w:t>
            </w:r>
          </w:p>
        </w:tc>
      </w:tr>
      <w:tr>
        <w:trPr>
          <w:cantSplit/>
        </w:trPr>
        <w:tc>
          <w:tcPr>
            <w:tcW w:type="dxa" w:w="3408"/>
            <w:vAlign w:val="center"/>
            <w:shd w:fill="EAF2F4"/>
          </w:tcPr>
          <w:p>
            <w:pPr>
              <w:spacing w:after="20"/>
            </w:pPr>
            <w:r>
              <w:rPr>
                <w:sz w:val="14"/>
              </w:rPr>
              <w:t>OWASP Agentic 2026</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Goal hijack, tool misuse, privilege abuse and agentic supply chain.</w:t>
            </w:r>
          </w:p>
        </w:tc>
      </w:tr>
      <w:tr>
        <w:trPr>
          <w:cantSplit/>
        </w:trPr>
        <w:tc>
          <w:tcPr>
            <w:tcW w:type="dxa" w:w="3408"/>
            <w:vAlign w:val="center"/>
          </w:tcPr>
          <w:p>
            <w:pPr>
              <w:spacing w:after="20"/>
            </w:pPr>
            <w:r>
              <w:rPr>
                <w:sz w:val="14"/>
              </w:rPr>
              <w:t>OWASP MCP Top 10</w:t>
            </w:r>
          </w:p>
        </w:tc>
        <w:tc>
          <w:tcPr>
            <w:tcW w:type="dxa" w:w="3408"/>
            <w:vAlign w:val="center"/>
          </w:tcPr>
          <w:p>
            <w:pPr>
              <w:spacing w:after="20"/>
            </w:pPr>
            <w:r>
              <w:rPr>
                <w:sz w:val="14"/>
              </w:rPr>
              <w:t>Applicable</w:t>
            </w:r>
          </w:p>
        </w:tc>
        <w:tc>
          <w:tcPr>
            <w:tcW w:type="dxa" w:w="3408"/>
            <w:vAlign w:val="center"/>
          </w:tcPr>
          <w:p>
            <w:pPr>
              <w:spacing w:after="20"/>
            </w:pPr>
            <w:r>
              <w:rPr>
                <w:sz w:val="14"/>
              </w:rPr>
              <w:t>Tool poisoning, scope, command/file authority, auth assumptions and context leakage.</w:t>
            </w:r>
          </w:p>
        </w:tc>
      </w:tr>
      <w:tr>
        <w:trPr>
          <w:cantSplit/>
        </w:trPr>
        <w:tc>
          <w:tcPr>
            <w:tcW w:type="dxa" w:w="3408"/>
            <w:vAlign w:val="center"/>
            <w:shd w:fill="EAF2F4"/>
          </w:tcPr>
          <w:p>
            <w:pPr>
              <w:spacing w:after="20"/>
            </w:pPr>
            <w:r>
              <w:rPr>
                <w:sz w:val="14"/>
              </w:rPr>
              <w:t>OWASP ASVS 5.0 L2</w:t>
            </w:r>
          </w:p>
        </w:tc>
        <w:tc>
          <w:tcPr>
            <w:tcW w:type="dxa" w:w="3408"/>
            <w:vAlign w:val="center"/>
            <w:shd w:fill="EAF2F4"/>
          </w:tcPr>
          <w:p>
            <w:pPr>
              <w:spacing w:after="20"/>
            </w:pPr>
            <w:r>
              <w:rPr>
                <w:sz w:val="14"/>
              </w:rPr>
              <w:t>Partly applicable</w:t>
            </w:r>
          </w:p>
        </w:tc>
        <w:tc>
          <w:tcPr>
            <w:tcW w:type="dxa" w:w="3408"/>
            <w:vAlign w:val="center"/>
            <w:shd w:fill="EAF2F4"/>
          </w:tcPr>
          <w:p>
            <w:pPr>
              <w:spacing w:after="20"/>
            </w:pPr>
            <w:r>
              <w:rPr>
                <w:sz w:val="14"/>
              </w:rPr>
              <w:t>Unsafe deserialization, dashboard host/config, validation and secure deployment.</w:t>
            </w:r>
          </w:p>
        </w:tc>
      </w:tr>
      <w:tr>
        <w:trPr>
          <w:cantSplit/>
        </w:trPr>
        <w:tc>
          <w:tcPr>
            <w:tcW w:type="dxa" w:w="3408"/>
            <w:vAlign w:val="center"/>
          </w:tcPr>
          <w:p>
            <w:pPr>
              <w:spacing w:after="20"/>
            </w:pPr>
            <w:r>
              <w:rPr>
                <w:sz w:val="14"/>
              </w:rPr>
              <w:t>MITRE ATLAS</w:t>
            </w:r>
          </w:p>
        </w:tc>
        <w:tc>
          <w:tcPr>
            <w:tcW w:type="dxa" w:w="3408"/>
            <w:vAlign w:val="center"/>
          </w:tcPr>
          <w:p>
            <w:pPr>
              <w:spacing w:after="20"/>
            </w:pPr>
            <w:r>
              <w:rPr>
                <w:sz w:val="14"/>
              </w:rPr>
              <w:t>Applicable</w:t>
            </w:r>
          </w:p>
        </w:tc>
        <w:tc>
          <w:tcPr>
            <w:tcW w:type="dxa" w:w="3408"/>
            <w:vAlign w:val="center"/>
          </w:tcPr>
          <w:p>
            <w:pPr>
              <w:spacing w:after="20"/>
            </w:pPr>
            <w:r>
              <w:rPr>
                <w:sz w:val="14"/>
              </w:rPr>
              <w:t>Prompt injection and AI Agent Tool Invocation attack paths.</w:t>
            </w:r>
          </w:p>
        </w:tc>
      </w:tr>
      <w:tr>
        <w:trPr>
          <w:cantSplit/>
        </w:trPr>
        <w:tc>
          <w:tcPr>
            <w:tcW w:type="dxa" w:w="3408"/>
            <w:vAlign w:val="center"/>
            <w:shd w:fill="EAF2F4"/>
          </w:tcPr>
          <w:p>
            <w:pPr>
              <w:spacing w:after="20"/>
            </w:pPr>
            <w:r>
              <w:rPr>
                <w:sz w:val="14"/>
              </w:rPr>
              <w:t>NIST AI RMF / AI 600-1</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Govern, map, measure and manage third-party/model/agent risk.</w:t>
            </w:r>
          </w:p>
        </w:tc>
      </w:tr>
      <w:tr>
        <w:trPr>
          <w:cantSplit/>
        </w:trPr>
        <w:tc>
          <w:tcPr>
            <w:tcW w:type="dxa" w:w="3408"/>
            <w:vAlign w:val="center"/>
          </w:tcPr>
          <w:p>
            <w:pPr>
              <w:spacing w:after="20"/>
            </w:pPr>
            <w:r>
              <w:rPr>
                <w:sz w:val="14"/>
              </w:rPr>
              <w:t>CIS Controls v8.1</w:t>
            </w:r>
          </w:p>
        </w:tc>
        <w:tc>
          <w:tcPr>
            <w:tcW w:type="dxa" w:w="3408"/>
            <w:vAlign w:val="center"/>
          </w:tcPr>
          <w:p>
            <w:pPr>
              <w:spacing w:after="20"/>
            </w:pPr>
            <w:r>
              <w:rPr>
                <w:sz w:val="14"/>
              </w:rPr>
              <w:t>Applicable</w:t>
            </w:r>
          </w:p>
        </w:tc>
        <w:tc>
          <w:tcPr>
            <w:tcW w:type="dxa" w:w="3408"/>
            <w:vAlign w:val="center"/>
          </w:tcPr>
          <w:p>
            <w:pPr>
              <w:spacing w:after="20"/>
            </w:pPr>
            <w:r>
              <w:rPr>
                <w:sz w:val="14"/>
              </w:rPr>
              <w:t>Inventory, secure configuration, access, vulnerability, audit, network and supplier controls.</w:t>
            </w:r>
          </w:p>
        </w:tc>
      </w:tr>
      <w:tr>
        <w:trPr>
          <w:cantSplit/>
        </w:trPr>
        <w:tc>
          <w:tcPr>
            <w:tcW w:type="dxa" w:w="3408"/>
            <w:vAlign w:val="center"/>
            <w:shd w:fill="EAF2F4"/>
          </w:tcPr>
          <w:p>
            <w:pPr>
              <w:spacing w:after="20"/>
            </w:pPr>
            <w:r>
              <w:rPr>
                <w:sz w:val="14"/>
              </w:rPr>
              <w:t>NCSC secure AI</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Secure design, development, deployment and operation.</w:t>
            </w:r>
          </w:p>
        </w:tc>
      </w:tr>
      <w:tr>
        <w:trPr>
          <w:cantSplit/>
        </w:trPr>
        <w:tc>
          <w:tcPr>
            <w:tcW w:type="dxa" w:w="3408"/>
            <w:vAlign w:val="center"/>
          </w:tcPr>
          <w:p>
            <w:pPr>
              <w:spacing w:after="20"/>
            </w:pPr>
            <w:r>
              <w:rPr>
                <w:sz w:val="14"/>
              </w:rPr>
              <w:t>UK GDPR / ICO</w:t>
            </w:r>
          </w:p>
        </w:tc>
        <w:tc>
          <w:tcPr>
            <w:tcW w:type="dxa" w:w="3408"/>
            <w:vAlign w:val="center"/>
          </w:tcPr>
          <w:p>
            <w:pPr>
              <w:spacing w:after="20"/>
            </w:pPr>
            <w:r>
              <w:rPr>
                <w:sz w:val="14"/>
              </w:rPr>
              <w:t>Applicable when personal data is processed</w:t>
            </w:r>
          </w:p>
        </w:tc>
        <w:tc>
          <w:tcPr>
            <w:tcW w:type="dxa" w:w="3408"/>
            <w:vAlign w:val="center"/>
          </w:tcPr>
          <w:p>
            <w:pPr>
              <w:spacing w:after="20"/>
            </w:pPr>
            <w:r>
              <w:rPr>
                <w:sz w:val="14"/>
              </w:rPr>
              <w:t>Purpose, minimisation, transparency, security, retention and DPIA screening.</w:t>
            </w:r>
          </w:p>
        </w:tc>
      </w:tr>
      <w:tr>
        <w:trPr>
          <w:cantSplit/>
        </w:trPr>
        <w:tc>
          <w:tcPr>
            <w:tcW w:type="dxa" w:w="3408"/>
            <w:vAlign w:val="center"/>
            <w:shd w:fill="EAF2F4"/>
          </w:tcPr>
          <w:p>
            <w:pPr>
              <w:spacing w:after="20"/>
            </w:pPr>
            <w:r>
              <w:rPr>
                <w:sz w:val="14"/>
              </w:rPr>
              <w:t>FCA/PRA</w:t>
            </w:r>
          </w:p>
        </w:tc>
        <w:tc>
          <w:tcPr>
            <w:tcW w:type="dxa" w:w="3408"/>
            <w:vAlign w:val="center"/>
            <w:shd w:fill="EAF2F4"/>
          </w:tcPr>
          <w:p>
            <w:pPr>
              <w:spacing w:after="20"/>
            </w:pPr>
            <w:r>
              <w:rPr>
                <w:sz w:val="14"/>
              </w:rPr>
              <w:t>Conditionally applicable</w:t>
            </w:r>
          </w:p>
        </w:tc>
        <w:tc>
          <w:tcPr>
            <w:tcW w:type="dxa" w:w="3408"/>
            <w:vAlign w:val="center"/>
            <w:shd w:fill="EAF2F4"/>
          </w:tcPr>
          <w:p>
            <w:pPr>
              <w:spacing w:after="20"/>
            </w:pPr>
            <w:r>
              <w:rPr>
                <w:sz w:val="14"/>
              </w:rPr>
              <w:t>Entity, materiality, resilience, outsourcing and third-party facts must be confirmed.</w:t>
            </w:r>
          </w:p>
        </w:tc>
      </w:tr>
    </w:tbl>
    <w:p/>
    <w:p>
      <w:pPr>
        <w:pStyle w:val="Heading2"/>
      </w:pPr>
      <w:r>
        <w:t>Enterprise Controls Roadmap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Milestone</w:t>
            </w:r>
          </w:p>
        </w:tc>
        <w:tc>
          <w:tcPr>
            <w:tcW w:type="dxa" w:w="2556"/>
            <w:shd w:fill="17324D"/>
          </w:tcPr>
          <w:p>
            <w:r>
              <w:rPr>
                <w:b/>
                <w:color w:val="FFFFFF"/>
                <w:sz w:val="14"/>
              </w:rPr>
              <w:t>Control</w:t>
            </w:r>
          </w:p>
        </w:tc>
        <w:tc>
          <w:tcPr>
            <w:tcW w:type="dxa" w:w="2556"/>
            <w:shd w:fill="17324D"/>
          </w:tcPr>
          <w:p>
            <w:r>
              <w:rPr>
                <w:b/>
                <w:color w:val="FFFFFF"/>
                <w:sz w:val="14"/>
              </w:rPr>
              <w:t>Owner</w:t>
            </w:r>
          </w:p>
        </w:tc>
        <w:tc>
          <w:tcPr>
            <w:tcW w:type="dxa" w:w="2556"/>
            <w:shd w:fill="17324D"/>
          </w:tcPr>
          <w:p>
            <w:r>
              <w:rPr>
                <w:b/>
                <w:color w:val="FFFFFF"/>
                <w:sz w:val="14"/>
              </w:rPr>
              <w:t>Exit evidence</w:t>
            </w:r>
          </w:p>
        </w:tc>
      </w:tr>
      <w:tr>
        <w:trPr>
          <w:cantSplit/>
        </w:trPr>
        <w:tc>
          <w:tcPr>
            <w:tcW w:type="dxa" w:w="2556"/>
            <w:vAlign w:val="center"/>
          </w:tcPr>
          <w:p>
            <w:pPr>
              <w:spacing w:after="20"/>
            </w:pPr>
            <w:r>
              <w:rPr>
                <w:sz w:val="14"/>
              </w:rPr>
              <w:t>0–15 days</w:t>
            </w:r>
          </w:p>
        </w:tc>
        <w:tc>
          <w:tcPr>
            <w:tcW w:type="dxa" w:w="2556"/>
            <w:vAlign w:val="center"/>
          </w:tcPr>
          <w:p>
            <w:pPr>
              <w:spacing w:after="20"/>
            </w:pPr>
            <w:r>
              <w:rPr>
                <w:sz w:val="14"/>
              </w:rPr>
              <w:t>Coordinate RISK-001 with vendor; block supplied semantic caches</w:t>
            </w:r>
          </w:p>
        </w:tc>
        <w:tc>
          <w:tcPr>
            <w:tcW w:type="dxa" w:w="2556"/>
            <w:vAlign w:val="center"/>
          </w:tcPr>
          <w:p>
            <w:pPr>
              <w:spacing w:after="20"/>
            </w:pPr>
            <w:r>
              <w:rPr>
                <w:sz w:val="14"/>
              </w:rPr>
              <w:t>AppSec / Vendor</w:t>
            </w:r>
          </w:p>
        </w:tc>
        <w:tc>
          <w:tcPr>
            <w:tcW w:type="dxa" w:w="2556"/>
            <w:vAlign w:val="center"/>
          </w:tcPr>
          <w:p>
            <w:pPr>
              <w:spacing w:after="20"/>
            </w:pPr>
            <w:r>
              <w:rPr>
                <w:sz w:val="14"/>
              </w:rPr>
              <w:t>Acknowledgment, fix or enforced containment.</w:t>
            </w:r>
          </w:p>
        </w:tc>
      </w:tr>
      <w:tr>
        <w:trPr>
          <w:cantSplit/>
        </w:trPr>
        <w:tc>
          <w:tcPr>
            <w:tcW w:type="dxa" w:w="2556"/>
            <w:vAlign w:val="center"/>
            <w:shd w:fill="EAF2F4"/>
          </w:tcPr>
          <w:p>
            <w:pPr>
              <w:spacing w:after="20"/>
            </w:pPr>
            <w:r>
              <w:rPr>
                <w:sz w:val="14"/>
              </w:rPr>
              <w:t>0–15 days</w:t>
            </w:r>
          </w:p>
        </w:tc>
        <w:tc>
          <w:tcPr>
            <w:tcW w:type="dxa" w:w="2556"/>
            <w:vAlign w:val="center"/>
            <w:shd w:fill="EAF2F4"/>
          </w:tcPr>
          <w:p>
            <w:pPr>
              <w:spacing w:after="20"/>
            </w:pPr>
            <w:r>
              <w:rPr>
                <w:sz w:val="14"/>
              </w:rPr>
              <w:t>Explicit empty/narrow trusted paths; block activation commands</w:t>
            </w:r>
          </w:p>
        </w:tc>
        <w:tc>
          <w:tcPr>
            <w:tcW w:type="dxa" w:w="2556"/>
            <w:vAlign w:val="center"/>
            <w:shd w:fill="EAF2F4"/>
          </w:tcPr>
          <w:p>
            <w:pPr>
              <w:spacing w:after="20"/>
            </w:pPr>
            <w:r>
              <w:rPr>
                <w:sz w:val="14"/>
              </w:rPr>
              <w:t>Developer Platform</w:t>
            </w:r>
          </w:p>
        </w:tc>
        <w:tc>
          <w:tcPr>
            <w:tcW w:type="dxa" w:w="2556"/>
            <w:vAlign w:val="center"/>
            <w:shd w:fill="EAF2F4"/>
          </w:tcPr>
          <w:p>
            <w:pPr>
              <w:spacing w:after="20"/>
            </w:pPr>
            <w:r>
              <w:rPr>
                <w:sz w:val="14"/>
              </w:rPr>
              <w:t>Managed config and hostile-project negative test.</w:t>
            </w:r>
          </w:p>
        </w:tc>
      </w:tr>
      <w:tr>
        <w:trPr>
          <w:cantSplit/>
        </w:trPr>
        <w:tc>
          <w:tcPr>
            <w:tcW w:type="dxa" w:w="2556"/>
            <w:vAlign w:val="center"/>
          </w:tcPr>
          <w:p>
            <w:pPr>
              <w:spacing w:after="20"/>
            </w:pPr>
            <w:r>
              <w:rPr>
                <w:sz w:val="14"/>
              </w:rPr>
              <w:t>0–30 days</w:t>
            </w:r>
          </w:p>
        </w:tc>
        <w:tc>
          <w:tcPr>
            <w:tcW w:type="dxa" w:w="2556"/>
            <w:vAlign w:val="center"/>
          </w:tcPr>
          <w:p>
            <w:pPr>
              <w:spacing w:after="20"/>
            </w:pPr>
            <w:r>
              <w:rPr>
                <w:sz w:val="14"/>
              </w:rPr>
              <w:t>Read-only tool profile; dashboard/reporting off</w:t>
            </w:r>
          </w:p>
        </w:tc>
        <w:tc>
          <w:tcPr>
            <w:tcW w:type="dxa" w:w="2556"/>
            <w:vAlign w:val="center"/>
          </w:tcPr>
          <w:p>
            <w:pPr>
              <w:spacing w:after="20"/>
            </w:pPr>
            <w:r>
              <w:rPr>
                <w:sz w:val="14"/>
              </w:rPr>
              <w:t>Endpoint / Privacy</w:t>
            </w:r>
          </w:p>
        </w:tc>
        <w:tc>
          <w:tcPr>
            <w:tcW w:type="dxa" w:w="2556"/>
            <w:vAlign w:val="center"/>
          </w:tcPr>
          <w:p>
            <w:pPr>
              <w:spacing w:after="20"/>
            </w:pPr>
            <w:r>
              <w:rPr>
                <w:sz w:val="14"/>
              </w:rPr>
              <w:t>Policy export, no listener/egress, denied writes.</w:t>
            </w:r>
          </w:p>
        </w:tc>
      </w:tr>
      <w:tr>
        <w:trPr>
          <w:cantSplit/>
        </w:trPr>
        <w:tc>
          <w:tcPr>
            <w:tcW w:type="dxa" w:w="2556"/>
            <w:vAlign w:val="center"/>
            <w:shd w:fill="EAF2F4"/>
          </w:tcPr>
          <w:p>
            <w:pPr>
              <w:spacing w:after="20"/>
            </w:pPr>
            <w:r>
              <w:rPr>
                <w:sz w:val="14"/>
              </w:rPr>
              <w:t>0–30 days</w:t>
            </w:r>
          </w:p>
        </w:tc>
        <w:tc>
          <w:tcPr>
            <w:tcW w:type="dxa" w:w="2556"/>
            <w:vAlign w:val="center"/>
            <w:shd w:fill="EAF2F4"/>
          </w:tcPr>
          <w:p>
            <w:pPr>
              <w:spacing w:after="20"/>
            </w:pPr>
            <w:r>
              <w:rPr>
                <w:sz w:val="14"/>
              </w:rPr>
              <w:t>Exact wheel/dependency/language-server supply chain</w:t>
            </w:r>
          </w:p>
        </w:tc>
        <w:tc>
          <w:tcPr>
            <w:tcW w:type="dxa" w:w="2556"/>
            <w:vAlign w:val="center"/>
            <w:shd w:fill="EAF2F4"/>
          </w:tcPr>
          <w:p>
            <w:pPr>
              <w:spacing w:after="20"/>
            </w:pPr>
            <w:r>
              <w:rPr>
                <w:sz w:val="14"/>
              </w:rPr>
              <w:t>Supply Chain</w:t>
            </w:r>
          </w:p>
        </w:tc>
        <w:tc>
          <w:tcPr>
            <w:tcW w:type="dxa" w:w="2556"/>
            <w:vAlign w:val="center"/>
            <w:shd w:fill="EAF2F4"/>
          </w:tcPr>
          <w:p>
            <w:pPr>
              <w:spacing w:after="20"/>
            </w:pPr>
            <w:r>
              <w:rPr>
                <w:sz w:val="14"/>
              </w:rPr>
              <w:t>Hashes, SBOM, offline install and advisory pass.</w:t>
            </w:r>
          </w:p>
        </w:tc>
      </w:tr>
      <w:tr>
        <w:trPr>
          <w:cantSplit/>
        </w:trPr>
        <w:tc>
          <w:tcPr>
            <w:tcW w:type="dxa" w:w="2556"/>
            <w:vAlign w:val="center"/>
          </w:tcPr>
          <w:p>
            <w:pPr>
              <w:spacing w:after="20"/>
            </w:pPr>
            <w:r>
              <w:rPr>
                <w:sz w:val="14"/>
              </w:rPr>
              <w:t>31–60 days</w:t>
            </w:r>
          </w:p>
        </w:tc>
        <w:tc>
          <w:tcPr>
            <w:tcW w:type="dxa" w:w="2556"/>
            <w:vAlign w:val="center"/>
          </w:tcPr>
          <w:p>
            <w:pPr>
              <w:spacing w:after="20"/>
            </w:pPr>
            <w:r>
              <w:rPr>
                <w:sz w:val="14"/>
              </w:rPr>
              <w:t>VS Code and Visual Studio isolated runtime closure</w:t>
            </w:r>
          </w:p>
        </w:tc>
        <w:tc>
          <w:tcPr>
            <w:tcW w:type="dxa" w:w="2556"/>
            <w:vAlign w:val="center"/>
          </w:tcPr>
          <w:p>
            <w:pPr>
              <w:spacing w:after="20"/>
            </w:pPr>
            <w:r>
              <w:rPr>
                <w:sz w:val="14"/>
              </w:rPr>
              <w:t>Security Testing</w:t>
            </w:r>
          </w:p>
        </w:tc>
        <w:tc>
          <w:tcPr>
            <w:tcW w:type="dxa" w:w="2556"/>
            <w:vAlign w:val="center"/>
          </w:tcPr>
          <w:p>
            <w:pPr>
              <w:spacing w:after="20"/>
            </w:pPr>
            <w:r>
              <w:rPr>
                <w:sz w:val="14"/>
              </w:rPr>
              <w:t>Before/after evidence and rollback.</w:t>
            </w:r>
          </w:p>
        </w:tc>
      </w:tr>
      <w:tr>
        <w:trPr>
          <w:cantSplit/>
        </w:trPr>
        <w:tc>
          <w:tcPr>
            <w:tcW w:type="dxa" w:w="2556"/>
            <w:vAlign w:val="center"/>
            <w:shd w:fill="EAF2F4"/>
          </w:tcPr>
          <w:p>
            <w:pPr>
              <w:spacing w:after="20"/>
            </w:pPr>
            <w:r>
              <w:rPr>
                <w:sz w:val="14"/>
              </w:rPr>
              <w:t>31–60 days</w:t>
            </w:r>
          </w:p>
        </w:tc>
        <w:tc>
          <w:tcPr>
            <w:tcW w:type="dxa" w:w="2556"/>
            <w:vAlign w:val="center"/>
            <w:shd w:fill="EAF2F4"/>
          </w:tcPr>
          <w:p>
            <w:pPr>
              <w:spacing w:after="20"/>
            </w:pPr>
            <w:r>
              <w:rPr>
                <w:sz w:val="14"/>
              </w:rPr>
              <w:t>DPIA/materiality/third-party decision</w:t>
            </w:r>
          </w:p>
        </w:tc>
        <w:tc>
          <w:tcPr>
            <w:tcW w:type="dxa" w:w="2556"/>
            <w:vAlign w:val="center"/>
            <w:shd w:fill="EAF2F4"/>
          </w:tcPr>
          <w:p>
            <w:pPr>
              <w:spacing w:after="20"/>
            </w:pPr>
            <w:r>
              <w:rPr>
                <w:sz w:val="14"/>
              </w:rPr>
              <w:t>DPO / Third-Party Risk</w:t>
            </w:r>
          </w:p>
        </w:tc>
        <w:tc>
          <w:tcPr>
            <w:tcW w:type="dxa" w:w="2556"/>
            <w:vAlign w:val="center"/>
            <w:shd w:fill="EAF2F4"/>
          </w:tcPr>
          <w:p>
            <w:pPr>
              <w:spacing w:after="20"/>
            </w:pPr>
            <w:r>
              <w:rPr>
                <w:sz w:val="14"/>
              </w:rPr>
              <w:t>Approved records and accountable owner.</w:t>
            </w:r>
          </w:p>
        </w:tc>
      </w:tr>
      <w:tr>
        <w:trPr>
          <w:cantSplit/>
        </w:trPr>
        <w:tc>
          <w:tcPr>
            <w:tcW w:type="dxa" w:w="2556"/>
            <w:vAlign w:val="center"/>
          </w:tcPr>
          <w:p>
            <w:pPr>
              <w:spacing w:after="20"/>
            </w:pPr>
            <w:r>
              <w:rPr>
                <w:sz w:val="14"/>
              </w:rPr>
              <w:t>Quarterly</w:t>
            </w:r>
          </w:p>
        </w:tc>
        <w:tc>
          <w:tcPr>
            <w:tcW w:type="dxa" w:w="2556"/>
            <w:vAlign w:val="center"/>
          </w:tcPr>
          <w:p>
            <w:pPr>
              <w:spacing w:after="20"/>
            </w:pPr>
            <w:r>
              <w:rPr>
                <w:sz w:val="14"/>
              </w:rPr>
              <w:t>Configuration, tools, advisory and vendor drift review</w:t>
            </w:r>
          </w:p>
        </w:tc>
        <w:tc>
          <w:tcPr>
            <w:tcW w:type="dxa" w:w="2556"/>
            <w:vAlign w:val="center"/>
          </w:tcPr>
          <w:p>
            <w:pPr>
              <w:spacing w:after="20"/>
            </w:pPr>
            <w:r>
              <w:rPr>
                <w:sz w:val="14"/>
              </w:rPr>
              <w:t>Service Owner</w:t>
            </w:r>
          </w:p>
        </w:tc>
        <w:tc>
          <w:tcPr>
            <w:tcW w:type="dxa" w:w="2556"/>
            <w:vAlign w:val="center"/>
          </w:tcPr>
          <w:p>
            <w:pPr>
              <w:spacing w:after="20"/>
            </w:pPr>
            <w:r>
              <w:rPr>
                <w:sz w:val="14"/>
              </w:rPr>
              <w:t>Signed review and remediation record.</w:t>
            </w:r>
          </w:p>
        </w:tc>
      </w:tr>
    </w:tbl>
    <w:p/>
    <w:p>
      <w:pPr>
        <w:pStyle w:val="Heading2"/>
      </w:pPr>
      <w:r>
        <w:t>Detection Opportunities and Monitoring Plan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Signal</w:t>
            </w:r>
          </w:p>
        </w:tc>
        <w:tc>
          <w:tcPr>
            <w:tcW w:type="dxa" w:w="2556"/>
            <w:shd w:fill="17324D"/>
          </w:tcPr>
          <w:p>
            <w:r>
              <w:rPr>
                <w:b/>
                <w:color w:val="FFFFFF"/>
                <w:sz w:val="14"/>
              </w:rPr>
              <w:t>Source</w:t>
            </w:r>
          </w:p>
        </w:tc>
        <w:tc>
          <w:tcPr>
            <w:tcW w:type="dxa" w:w="2556"/>
            <w:shd w:fill="17324D"/>
          </w:tcPr>
          <w:p>
            <w:r>
              <w:rPr>
                <w:b/>
                <w:color w:val="FFFFFF"/>
                <w:sz w:val="14"/>
              </w:rPr>
              <w:t>Detection</w:t>
            </w:r>
          </w:p>
        </w:tc>
        <w:tc>
          <w:tcPr>
            <w:tcW w:type="dxa" w:w="2556"/>
            <w:shd w:fill="17324D"/>
          </w:tcPr>
          <w:p>
            <w:r>
              <w:rPr>
                <w:b/>
                <w:color w:val="FFFFFF"/>
                <w:sz w:val="14"/>
              </w:rPr>
              <w:t>Response</w:t>
            </w:r>
          </w:p>
        </w:tc>
      </w:tr>
      <w:tr>
        <w:trPr>
          <w:cantSplit/>
        </w:trPr>
        <w:tc>
          <w:tcPr>
            <w:tcW w:type="dxa" w:w="2556"/>
            <w:vAlign w:val="center"/>
          </w:tcPr>
          <w:p>
            <w:pPr>
              <w:spacing w:after="20"/>
            </w:pPr>
            <w:r>
              <w:rPr>
                <w:sz w:val="14"/>
              </w:rPr>
              <w:t>Project semantic cache</w:t>
            </w:r>
          </w:p>
        </w:tc>
        <w:tc>
          <w:tcPr>
            <w:tcW w:type="dxa" w:w="2556"/>
            <w:vAlign w:val="center"/>
          </w:tcPr>
          <w:p>
            <w:pPr>
              <w:spacing w:after="20"/>
            </w:pPr>
            <w:r>
              <w:rPr>
                <w:sz w:val="14"/>
              </w:rPr>
              <w:t>File admission/EDR</w:t>
            </w:r>
          </w:p>
        </w:tc>
        <w:tc>
          <w:tcPr>
            <w:tcW w:type="dxa" w:w="2556"/>
            <w:vAlign w:val="center"/>
          </w:tcPr>
          <w:p>
            <w:pPr>
              <w:spacing w:after="20"/>
            </w:pPr>
            <w:r>
              <w:rPr>
                <w:sz w:val="14"/>
              </w:rPr>
              <w:t>Supplied or newly created unapproved cache state</w:t>
            </w:r>
          </w:p>
        </w:tc>
        <w:tc>
          <w:tcPr>
            <w:tcW w:type="dxa" w:w="2556"/>
            <w:vAlign w:val="center"/>
          </w:tcPr>
          <w:p>
            <w:pPr>
              <w:spacing w:after="20"/>
            </w:pPr>
            <w:r>
              <w:rPr>
                <w:sz w:val="14"/>
              </w:rPr>
              <w:t>Quarantine project; block Serena; investigate.</w:t>
            </w:r>
          </w:p>
        </w:tc>
      </w:tr>
      <w:tr>
        <w:trPr>
          <w:cantSplit/>
        </w:trPr>
        <w:tc>
          <w:tcPr>
            <w:tcW w:type="dxa" w:w="2556"/>
            <w:vAlign w:val="center"/>
            <w:shd w:fill="EAF2F4"/>
          </w:tcPr>
          <w:p>
            <w:pPr>
              <w:spacing w:after="20"/>
            </w:pPr>
            <w:r>
              <w:rPr>
                <w:sz w:val="14"/>
              </w:rPr>
              <w:t>Trust/config expansion</w:t>
            </w:r>
          </w:p>
        </w:tc>
        <w:tc>
          <w:tcPr>
            <w:tcW w:type="dxa" w:w="2556"/>
            <w:vAlign w:val="center"/>
            <w:shd w:fill="EAF2F4"/>
          </w:tcPr>
          <w:p>
            <w:pPr>
              <w:spacing w:after="20"/>
            </w:pPr>
            <w:r>
              <w:rPr>
                <w:sz w:val="14"/>
              </w:rPr>
              <w:t>Managed config + file integrity</w:t>
            </w:r>
          </w:p>
        </w:tc>
        <w:tc>
          <w:tcPr>
            <w:tcW w:type="dxa" w:w="2556"/>
            <w:vAlign w:val="center"/>
            <w:shd w:fill="EAF2F4"/>
          </w:tcPr>
          <w:p>
            <w:pPr>
              <w:spacing w:after="20"/>
            </w:pPr>
            <w:r>
              <w:rPr>
                <w:sz w:val="14"/>
              </w:rPr>
              <w:t>** or new activation/LS setting</w:t>
            </w:r>
          </w:p>
        </w:tc>
        <w:tc>
          <w:tcPr>
            <w:tcW w:type="dxa" w:w="2556"/>
            <w:vAlign w:val="center"/>
            <w:shd w:fill="EAF2F4"/>
          </w:tcPr>
          <w:p>
            <w:pPr>
              <w:spacing w:after="20"/>
            </w:pPr>
            <w:r>
              <w:rPr>
                <w:sz w:val="14"/>
              </w:rPr>
              <w:t>Restore policy; review repository.</w:t>
            </w:r>
          </w:p>
        </w:tc>
      </w:tr>
      <w:tr>
        <w:trPr>
          <w:cantSplit/>
        </w:trPr>
        <w:tc>
          <w:tcPr>
            <w:tcW w:type="dxa" w:w="2556"/>
            <w:vAlign w:val="center"/>
          </w:tcPr>
          <w:p>
            <w:pPr>
              <w:spacing w:after="20"/>
            </w:pPr>
            <w:r>
              <w:rPr>
                <w:sz w:val="14"/>
              </w:rPr>
              <w:t>Unexpected write</w:t>
            </w:r>
          </w:p>
        </w:tc>
        <w:tc>
          <w:tcPr>
            <w:tcW w:type="dxa" w:w="2556"/>
            <w:vAlign w:val="center"/>
          </w:tcPr>
          <w:p>
            <w:pPr>
              <w:spacing w:after="20"/>
            </w:pPr>
            <w:r>
              <w:rPr>
                <w:sz w:val="14"/>
              </w:rPr>
              <w:t>IDE/tool logs + VCS diff</w:t>
            </w:r>
          </w:p>
        </w:tc>
        <w:tc>
          <w:tcPr>
            <w:tcW w:type="dxa" w:w="2556"/>
            <w:vAlign w:val="center"/>
          </w:tcPr>
          <w:p>
            <w:pPr>
              <w:spacing w:after="20"/>
            </w:pPr>
            <w:r>
              <w:rPr>
                <w:sz w:val="14"/>
              </w:rPr>
              <w:t>Mutation without matching consent</w:t>
            </w:r>
          </w:p>
        </w:tc>
        <w:tc>
          <w:tcPr>
            <w:tcW w:type="dxa" w:w="2556"/>
            <w:vAlign w:val="center"/>
          </w:tcPr>
          <w:p>
            <w:pPr>
              <w:spacing w:after="20"/>
            </w:pPr>
            <w:r>
              <w:rPr>
                <w:sz w:val="14"/>
              </w:rPr>
              <w:t>Stop process, preserve evidence, revert through normal review.</w:t>
            </w:r>
          </w:p>
        </w:tc>
      </w:tr>
      <w:tr>
        <w:trPr>
          <w:cantSplit/>
        </w:trPr>
        <w:tc>
          <w:tcPr>
            <w:tcW w:type="dxa" w:w="2556"/>
            <w:vAlign w:val="center"/>
            <w:shd w:fill="EAF2F4"/>
          </w:tcPr>
          <w:p>
            <w:pPr>
              <w:spacing w:after="20"/>
            </w:pPr>
            <w:r>
              <w:rPr>
                <w:sz w:val="14"/>
              </w:rPr>
              <w:t>New process/download</w:t>
            </w:r>
          </w:p>
        </w:tc>
        <w:tc>
          <w:tcPr>
            <w:tcW w:type="dxa" w:w="2556"/>
            <w:vAlign w:val="center"/>
            <w:shd w:fill="EAF2F4"/>
          </w:tcPr>
          <w:p>
            <w:pPr>
              <w:spacing w:after="20"/>
            </w:pPr>
            <w:r>
              <w:rPr>
                <w:sz w:val="14"/>
              </w:rPr>
              <w:t>EDR/proxy/DNS</w:t>
            </w:r>
          </w:p>
        </w:tc>
        <w:tc>
          <w:tcPr>
            <w:tcW w:type="dxa" w:w="2556"/>
            <w:vAlign w:val="center"/>
            <w:shd w:fill="EAF2F4"/>
          </w:tcPr>
          <w:p>
            <w:pPr>
              <w:spacing w:after="20"/>
            </w:pPr>
            <w:r>
              <w:rPr>
                <w:sz w:val="14"/>
              </w:rPr>
              <w:t>Unapproved language server, registry or host</w:t>
            </w:r>
          </w:p>
        </w:tc>
        <w:tc>
          <w:tcPr>
            <w:tcW w:type="dxa" w:w="2556"/>
            <w:vAlign w:val="center"/>
            <w:shd w:fill="EAF2F4"/>
          </w:tcPr>
          <w:p>
            <w:pPr>
              <w:spacing w:after="20"/>
            </w:pPr>
            <w:r>
              <w:rPr>
                <w:sz w:val="14"/>
              </w:rPr>
              <w:t>Block, hash and investigate.</w:t>
            </w:r>
          </w:p>
        </w:tc>
      </w:tr>
      <w:tr>
        <w:trPr>
          <w:cantSplit/>
        </w:trPr>
        <w:tc>
          <w:tcPr>
            <w:tcW w:type="dxa" w:w="2556"/>
            <w:vAlign w:val="center"/>
          </w:tcPr>
          <w:p>
            <w:pPr>
              <w:spacing w:after="20"/>
            </w:pPr>
            <w:r>
              <w:rPr>
                <w:sz w:val="14"/>
              </w:rPr>
              <w:t>Dashboard/reporting egress</w:t>
            </w:r>
          </w:p>
        </w:tc>
        <w:tc>
          <w:tcPr>
            <w:tcW w:type="dxa" w:w="2556"/>
            <w:vAlign w:val="center"/>
          </w:tcPr>
          <w:p>
            <w:pPr>
              <w:spacing w:after="20"/>
            </w:pPr>
            <w:r>
              <w:rPr>
                <w:sz w:val="14"/>
              </w:rPr>
              <w:t>Socket/proxy</w:t>
            </w:r>
          </w:p>
        </w:tc>
        <w:tc>
          <w:tcPr>
            <w:tcW w:type="dxa" w:w="2556"/>
            <w:vAlign w:val="center"/>
          </w:tcPr>
          <w:p>
            <w:pPr>
              <w:spacing w:after="20"/>
            </w:pPr>
            <w:r>
              <w:rPr>
                <w:sz w:val="14"/>
              </w:rPr>
              <w:t>Loopback listener or Oraios startup traffic</w:t>
            </w:r>
          </w:p>
        </w:tc>
        <w:tc>
          <w:tcPr>
            <w:tcW w:type="dxa" w:w="2556"/>
            <w:vAlign w:val="center"/>
          </w:tcPr>
          <w:p>
            <w:pPr>
              <w:spacing w:after="20"/>
            </w:pPr>
            <w:r>
              <w:rPr>
                <w:sz w:val="14"/>
              </w:rPr>
              <w:t>Disable configuration and reassess.</w:t>
            </w:r>
          </w:p>
        </w:tc>
      </w:tr>
      <w:tr>
        <w:trPr>
          <w:cantSplit/>
        </w:trPr>
        <w:tc>
          <w:tcPr>
            <w:tcW w:type="dxa" w:w="2556"/>
            <w:vAlign w:val="center"/>
            <w:shd w:fill="EAF2F4"/>
          </w:tcPr>
          <w:p>
            <w:pPr>
              <w:spacing w:after="20"/>
            </w:pPr>
            <w:r>
              <w:rPr>
                <w:sz w:val="14"/>
              </w:rPr>
              <w:t>Dependency/advisory drift</w:t>
            </w:r>
          </w:p>
        </w:tc>
        <w:tc>
          <w:tcPr>
            <w:tcW w:type="dxa" w:w="2556"/>
            <w:vAlign w:val="center"/>
            <w:shd w:fill="EAF2F4"/>
          </w:tcPr>
          <w:p>
            <w:pPr>
              <w:spacing w:after="20"/>
            </w:pPr>
            <w:r>
              <w:rPr>
                <w:sz w:val="14"/>
              </w:rPr>
              <w:t>SBOM/OSV/Grype</w:t>
            </w:r>
          </w:p>
        </w:tc>
        <w:tc>
          <w:tcPr>
            <w:tcW w:type="dxa" w:w="2556"/>
            <w:vAlign w:val="center"/>
            <w:shd w:fill="EAF2F4"/>
          </w:tcPr>
          <w:p>
            <w:pPr>
              <w:spacing w:after="20"/>
            </w:pPr>
            <w:r>
              <w:rPr>
                <w:sz w:val="14"/>
              </w:rPr>
              <w:t>Hash/version/new advisory mismatch</w:t>
            </w:r>
          </w:p>
        </w:tc>
        <w:tc>
          <w:tcPr>
            <w:tcW w:type="dxa" w:w="2556"/>
            <w:vAlign w:val="center"/>
            <w:shd w:fill="EAF2F4"/>
          </w:tcPr>
          <w:p>
            <w:pPr>
              <w:spacing w:after="20"/>
            </w:pPr>
            <w:r>
              <w:rPr>
                <w:sz w:val="14"/>
              </w:rPr>
              <w:t>Suspend version; patch and retest.</w:t>
            </w:r>
          </w:p>
        </w:tc>
      </w:tr>
      <w:tr>
        <w:trPr>
          <w:cantSplit/>
        </w:trPr>
        <w:tc>
          <w:tcPr>
            <w:tcW w:type="dxa" w:w="2556"/>
            <w:vAlign w:val="center"/>
          </w:tcPr>
          <w:p>
            <w:pPr>
              <w:spacing w:after="20"/>
            </w:pPr>
            <w:r>
              <w:rPr>
                <w:sz w:val="14"/>
              </w:rPr>
              <w:t>Tool inventory drift</w:t>
            </w:r>
          </w:p>
        </w:tc>
        <w:tc>
          <w:tcPr>
            <w:tcW w:type="dxa" w:w="2556"/>
            <w:vAlign w:val="center"/>
          </w:tcPr>
          <w:p>
            <w:pPr>
              <w:spacing w:after="20"/>
            </w:pPr>
            <w:r>
              <w:rPr>
                <w:sz w:val="14"/>
              </w:rPr>
              <w:t>MCP tools/list</w:t>
            </w:r>
          </w:p>
        </w:tc>
        <w:tc>
          <w:tcPr>
            <w:tcW w:type="dxa" w:w="2556"/>
            <w:vAlign w:val="center"/>
          </w:tcPr>
          <w:p>
            <w:pPr>
              <w:spacing w:after="20"/>
            </w:pPr>
            <w:r>
              <w:rPr>
                <w:sz w:val="14"/>
              </w:rPr>
              <w:t>Unapproved tool/schema</w:t>
            </w:r>
          </w:p>
        </w:tc>
        <w:tc>
          <w:tcPr>
            <w:tcW w:type="dxa" w:w="2556"/>
            <w:vAlign w:val="center"/>
          </w:tcPr>
          <w:p>
            <w:pPr>
              <w:spacing w:after="20"/>
            </w:pPr>
            <w:r>
              <w:rPr>
                <w:sz w:val="14"/>
              </w:rPr>
              <w:t>Fail closed and renew approval.</w:t>
            </w:r>
          </w:p>
        </w:tc>
      </w:tr>
    </w:tbl>
    <w:p/>
    <w:p>
      <w:pPr>
        <w:pStyle w:val="Heading2"/>
      </w:pPr>
      <w:r>
        <w:t>Individual Finding Records</w:t>
      </w:r>
    </w:p>
    <w:p>
      <w:pPr>
        <w:pStyle w:val="Heading3"/>
      </w:pPr>
      <w:r>
        <w:t>RISK-001 — Project-local semantic caches may cross the repository trust boundary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Project-local language-server semantic caches</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Static review identified a plausible unsafe-deserialization path from a project-local semantic cache into language-server initialization. Detailed source-to-sink implementation evidence is retained privately pending coordinated vendor validation. No payload was created or executed.</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endpoint, source repositories, credentials available to the Serena process and enterprise network position.</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An untrusted project supplies affected cache state and Serena initializes the relevant language-server path. Repository trust or cache hygiene fails.</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EVD-012, EVD-014</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5 = 15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Generated cache state is normally excluded from version control and Serena's stated security model assumes trusted repositories. Those controls do not prove that supplied cache state is rejected.</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5 = 15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Vendor: use a non-executable bounded cache format, validate schema and ownership, and disregard legacy cache state from project roots. Enterprise: reject supplied semantic caches before first use, isolate the process and permit only reviewed repositories.</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Enterprise Developer Platform tracks closure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 vendor regression proves no executable deserialization from repository-writable paths; hostile non-executable fixtures fail closed without side effects.</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CWE-502; OWASP ASVS V5; OWASP Agentic ASI04; CIS 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Medium</w:t>
            </w:r>
          </w:p>
        </w:tc>
      </w:tr>
    </w:tbl>
    <w:p/>
    <w:p>
      <w:pPr>
        <w:pStyle w:val="Heading3"/>
      </w:pPr>
      <w:r>
        <w:t>RISK-002 — Repository instructions and migrated trust defaults can expand authority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Project YAML, initial_prompt, activation_command and language-server configuration</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A repository influences the agent through initial_prompt or project configuration. New templates default trusted_project_path_patterns to an empty list, but the dataclass fallback uses ** for compatibility when the setting is absent. A migrated configuration can therefore trust all roots and enable activation commands or language-server-specific settings from a malicious project.</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intent, endpoint integrity, model context, source code and downstream services.</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An existing user configuration omits trusted_project_path_patterns, or enterprise policy does not replace user settings.</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5 = 20 Critical</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Trusted-path gating exists, security documentation recommends sandboxing, and operators can centralize project metadata. Backward-compatible trust-all behavior weakens the default during migration.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Set an explicit empty or narrow trusted-path allowlist in managed configuration; scan migrated configuration for **; prohibit project activation commands and language-server overrides unless reviewed; treat initial_prompt as untrusted data.</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Enterprise Developer Platform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 project outside the allowlist cannot activate commands, change language-server launch settings or convert instructions into privileged actions.</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LLM01; OWASP MCP01/MCP06; OWASP Agentic ASI01/ASI02; MITRE ATLAS prompt injection</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RISK-003 — Write-capable semantic tools can exceed the initiating user's intent</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Symbol editing, memory and optional shell/file tools exposed through MCP</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Prompt injection or model error causes a semantic edit, refactor, memory write or other action that is syntactically valid but not intended. The editing mode instructs the agent to trust successful tool results and avoid rereading files or rerunning build/tests, weakening independent verification.</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Application source, build integrity, developer trust and auditability.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Write-capable tools are enabled and the host auto-approves or presents insufficiently specific consent.</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5 = 20 Critical</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VS Code context excludes Serena's generic shell/file tools and supports read_only, tool exclusions and project scoping. Semantic write tools remain central to the product.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Begin read-only; allowlist only necessary tools; require timely per-write approval and diff review; override verification-bypass instructions; build/test in a separate restricted process before accepting changes.</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Developer Platform and Application Security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Hostile repository instructions cannot trigger a write; every mutation produces a reviewed diff and independent tests before acceptance.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LLM01/LLM06; OWASP Agentic ASI02/ASI03; NIST AI RMF MANAGE</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RISK-004 — Official Registry metadata is stale and can select the wrong release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io.github.oraios/serena Registry package</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An operator installs through Registry metadata that still advertises 1.5.3 while GitHub and PyPI have released 1.6.1. The approved version, current security fixes and actual resolved package can diverge.</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Change control, vulnerability management and reproducibility.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Automation treats Registry latest metadata as current or does not compare resolved package identity.</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EVD-001, EVD-002, EVD-003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PyPI and GitHub expose current 1.6.1 metadata and immutable hashes. Manual reconciliation identified the drift.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Pin the exact approved PyPI wheel and SHA-256; record resolved version at admission; block Registry-driven upgrades until metadata agrees; vendor should publish 1.6.1 Registry metadata.</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and Enterprise Software Supply Chain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Admission fails when Registry, PyPI, release and resolved artefact versions or hashes disagree.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Agentic ASI04; CIS 2/7/16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RISK-005 — Runtime dependency state is not immutable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uvx installation and transitive Python dependency graph</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Direct runtime dependencies are pinned in pyproject.toml, but the documented uvx path resolves transitives from current indexes rather than enforcing the repository uv.lock. The source lock contained 65 advisory records across eight packages, while a current 76-package runtime-only resolution had zero OSV records. Future installs can therefore differ from both observations.</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Reproducibility, availability and endpoint integrity.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Installation occurs from public indexes without an enterprise lock, wheelhouse or hash policy.</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EVD-003, EVD-008, EVD-009</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Direct requirements are exact, PyPI publishes hashes and current runtime resolution is advisory-clean. Scanner coverage is not complete proof of safety.</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Build an approved transitive lock and hash-checked wheelhouse for Python 3.13; separate development extras; rescan exact resolved bytes; reject dependency or advisory drift.</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Enterprise Software Supply Chain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Offline installation resolves only approved hashes and produces the approved SBOM; OSV/Grype show no unaccepted runtime advisory.</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Top 10 A03/A08; CIS 2/7/16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RISK-006 — Language-server acquisition creates a broad downstream supply chain</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Automatic downloads, npm registries, archives and per-language servers</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Enabling languages can download and execute language servers from multiple hosts. Many archives have exact versions, hashes and host allowlists, but npm acquisition relies on the user's registry configuration and application archive extraction does not explicitly reject link members.</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endpoint, source code and outbound network trust.</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 language requires an absent server and automatic acquisition is permitted.</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EVD-006,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Version/hash/host controls exist for many downloads and archive paths are normalized before extraction. Those controls are uneven across acquisition mechanisms.</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Preinstall approved servers from an internal repository; disable automatic downloads; enforce registry/host allowlists, hashes and signatures; reject links and special files during extraction.</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Endpoint Engineering and Software Supply Chain / P1 before relevant language enablement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With external egress blocked, Serena uses only approved server binaries; malicious archive link fixtures and registry overrides fail closed.</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Agentic ASI04; CWE-22; CIS 2/12/13</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RISK-007 — Dashboard and usage services create local control and privacy exposure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Loopback Flask dashboard, news/version checks and anonymous usage reporting</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The dashboard exposes unauthenticated local APIs for configuration, memories, logs and shutdown. The default loopback bind and trusted Host validation limit reachability, and v1.6.1 is patched for GHSA-37h2-6p4f-mp3q. Separate startup egress reports product/environment attributes and retrieves remote news/version data.</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Configuration, project memories, logs, privacy records and endpoint availability.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Dashboard or reporting remains enabled; a local browser/process is malicious, or network binding/trusted-host configuration is weakened.</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EVD-009, EVD-011,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127.0.0.1 default binding, strict default trusted hosts and patched Host validation reduce remote exposure. Reporting can be disabled by environment.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3 = 6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Set web_dashboard false and SERENA_USAGE_REPORTING=false; block unapproved egress; never rebind the dashboard; exclude sensitive content from memories/logs; retain the advisory regression test.</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Endpoint Engineering and Privacy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No dashboard listener or startup egress occurs under managed settings; Host-header regression remains passing.</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ASVS V4/V9/V14; UK GDPR minimisation/security; CIS 8/12/13</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RISK-008 — Release provenance controls do not establish an end-to-end attestation</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Git tag, PyPI distribution and publisher workflow</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The release tag commit is unsigned, PyPI JSON exposes no distribution attestation, and the workflow uses mutable action major tags plus setup-uv version latest. A successful exact-head OIDC publishing run is useful evidence but does not independently attest source-to-wheel reproducibility.</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Package provenance and release trust.</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Enterprise relies only on channel identity and checksums after a publishing compromise.</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EVD-002, EVD-003, EVD-010</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Official repository, GitHub OIDC trusted publishing, exact release commit and matching wheel/source Python trees provide meaningful corroboration.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4 = 8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Sign release tags, publish PyPI/SLSA attestations, pin workflow actions and uv to immutable versions, and independently reproduce or verify the wheel.</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Enterprise Supply Chain validates / P2 before broad rollout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Admission verifies signature, attestation subject digest, builder identity and reproducible source match.</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SLSA; OWASP LLM03; CIS 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RISK-009 — Representative runtime and lifecycle evidence is unavailable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VS Code and Visual Studio installation, activation, consent, network and uninstall</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Documented behavior differs on managed endpoints: tools, consent, file scope, child processes, proxy behavior, credentials, logs, downloads or residue may create unobserved risk.</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Endpoint security, privacy, developer identity and approval assurance.</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Approval is based on static evidence without representative runtime closure.</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Static source/package evidence, hashes and a bounded host-verification plan reduce uncertainty but do not substitute for observation.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Run isolated managed VS Code and Windows Visual Studio tests with synthetic repositories, restricted egress, before/after captures, hostile prompt fixtures and complete cleanup.</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Security Testing and Endpoint Engineering / P0 closure evidence</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Complete and reconcile the runtime plan; prove tool allowlists, consent, paths, network, logs, update and uninstall behavior.</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NIST AI RMF MEASURE/MANAGE; CIS 8/13/18</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RISK-010 — Visual Studio support is not vendor-verified</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Visual Studio 2022 MCP client compatibility</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Generic MCP STDIO support is assumed to provide compatibility, but Serena's client guide documents VS Code and other clients without a Visual Studio-specific manifest, version floor, consent, variable expansion or lifecycle procedure.</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Supportability, change control and user-consent assurance.</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The enterprise treats VS Code configuration evidence as proof for Visual Studio.</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EVD-012, EVD-013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3 = 9 Moderate</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Serena uses standard MCP STDIO and Visual Studio supports MCP in current releases, but the product-specific branch is undocumented and untested.</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3 = 6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Obtain vendor confirmation or complete an isolated Visual Studio compatibility assessment; keep Visual Studio outside approval until then.</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Developer Platform / P1 before Visual Studio use</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Supported Visual Studio version installs, activates, scopes and removes Serena with expected consent and no undocumented residue.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NIST AI RMF MAP/MEASURE; CIS 2/4</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Medium</w:t>
            </w:r>
          </w:p>
        </w:tc>
      </w:tr>
    </w:tbl>
    <w:p/>
    <w:p>
      <w:pPr>
        <w:pStyle w:val="Heading2"/>
      </w:pPr>
      <w:r>
        <w:t>Consolidated Risk Register</w:t>
      </w:r>
    </w:p>
    <w:p>
      <w:r>
        <w:t>Legend — ID: finding identifier; L/I: inherent likelihood/impact; Inherent: L×I before controls; rL/rI: residual likelihood/impact; Residual: rL×rI after verified controls; Treatment: required response; Owner: accountable role. Bands: 1–4 Low, 5–9 Moderate, 10–16 High, 17–25 Critical.</w:t>
      </w:r>
    </w:p>
    <w:tbl>
      <w:tblPr>
        <w:tblStyle w:val="TableGrid"/>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rPr>
          <w:tblHeader/>
        </w:trPr>
        <w:tc>
          <w:tcPr>
            <w:tcW w:type="dxa" w:w="1136"/>
            <w:shd w:fill="17324D"/>
          </w:tcPr>
          <w:p>
            <w:r>
              <w:rPr>
                <w:b/>
                <w:color w:val="FFFFFF"/>
                <w:sz w:val="12"/>
              </w:rPr>
              <w:t>ID</w:t>
            </w:r>
          </w:p>
        </w:tc>
        <w:tc>
          <w:tcPr>
            <w:tcW w:type="dxa" w:w="1136"/>
            <w:shd w:fill="17324D"/>
          </w:tcPr>
          <w:p>
            <w:r>
              <w:rPr>
                <w:b/>
                <w:color w:val="FFFFFF"/>
                <w:sz w:val="12"/>
              </w:rPr>
              <w:t>Risk</w:t>
            </w:r>
          </w:p>
        </w:tc>
        <w:tc>
          <w:tcPr>
            <w:tcW w:type="dxa" w:w="1136"/>
            <w:shd w:fill="17324D"/>
          </w:tcPr>
          <w:p>
            <w:r>
              <w:rPr>
                <w:b/>
                <w:color w:val="FFFFFF"/>
                <w:sz w:val="12"/>
              </w:rPr>
              <w:t>L</w:t>
            </w:r>
          </w:p>
        </w:tc>
        <w:tc>
          <w:tcPr>
            <w:tcW w:type="dxa" w:w="1136"/>
            <w:shd w:fill="17324D"/>
          </w:tcPr>
          <w:p>
            <w:r>
              <w:rPr>
                <w:b/>
                <w:color w:val="FFFFFF"/>
                <w:sz w:val="12"/>
              </w:rPr>
              <w:t>I</w:t>
            </w:r>
          </w:p>
        </w:tc>
        <w:tc>
          <w:tcPr>
            <w:tcW w:type="dxa" w:w="1136"/>
            <w:shd w:fill="17324D"/>
          </w:tcPr>
          <w:p>
            <w:r>
              <w:rPr>
                <w:b/>
                <w:color w:val="FFFFFF"/>
                <w:sz w:val="12"/>
              </w:rPr>
              <w:t>Inherent</w:t>
            </w:r>
          </w:p>
        </w:tc>
        <w:tc>
          <w:tcPr>
            <w:tcW w:type="dxa" w:w="1136"/>
            <w:shd w:fill="17324D"/>
          </w:tcPr>
          <w:p>
            <w:r>
              <w:rPr>
                <w:b/>
                <w:color w:val="FFFFFF"/>
                <w:sz w:val="12"/>
              </w:rPr>
              <w:t>rL</w:t>
            </w:r>
          </w:p>
        </w:tc>
        <w:tc>
          <w:tcPr>
            <w:tcW w:type="dxa" w:w="1136"/>
            <w:shd w:fill="17324D"/>
          </w:tcPr>
          <w:p>
            <w:r>
              <w:rPr>
                <w:b/>
                <w:color w:val="FFFFFF"/>
                <w:sz w:val="12"/>
              </w:rPr>
              <w:t>rI</w:t>
            </w:r>
          </w:p>
        </w:tc>
        <w:tc>
          <w:tcPr>
            <w:tcW w:type="dxa" w:w="1136"/>
            <w:shd w:fill="17324D"/>
          </w:tcPr>
          <w:p>
            <w:r>
              <w:rPr>
                <w:b/>
                <w:color w:val="FFFFFF"/>
                <w:sz w:val="12"/>
              </w:rPr>
              <w:t>Residual</w:t>
            </w:r>
          </w:p>
        </w:tc>
        <w:tc>
          <w:tcPr>
            <w:tcW w:type="dxa" w:w="1136"/>
            <w:shd w:fill="17324D"/>
          </w:tcPr>
          <w:p>
            <w:r>
              <w:rPr>
                <w:b/>
                <w:color w:val="FFFFFF"/>
                <w:sz w:val="12"/>
              </w:rPr>
              <w:t>Owner</w:t>
            </w:r>
          </w:p>
        </w:tc>
      </w:tr>
      <w:tr>
        <w:trPr>
          <w:cantSplit/>
        </w:trPr>
        <w:tc>
          <w:tcPr>
            <w:tcW w:type="dxa" w:w="1136"/>
            <w:vAlign w:val="center"/>
          </w:tcPr>
          <w:p>
            <w:pPr>
              <w:spacing w:after="20"/>
            </w:pPr>
            <w:r>
              <w:rPr>
                <w:sz w:val="12"/>
              </w:rPr>
              <w:t>RISK-001</w:t>
            </w:r>
          </w:p>
        </w:tc>
        <w:tc>
          <w:tcPr>
            <w:tcW w:type="dxa" w:w="1136"/>
            <w:vAlign w:val="center"/>
          </w:tcPr>
          <w:p>
            <w:pPr>
              <w:spacing w:after="20"/>
            </w:pPr>
            <w:r>
              <w:rPr>
                <w:sz w:val="12"/>
              </w:rPr>
              <w:t>Project-local semantic caches may cross the repository trust boundary</w:t>
            </w:r>
          </w:p>
        </w:tc>
        <w:tc>
          <w:tcPr>
            <w:tcW w:type="dxa" w:w="1136"/>
            <w:vAlign w:val="center"/>
          </w:tcPr>
          <w:p>
            <w:pPr>
              <w:spacing w:after="20"/>
            </w:pPr>
            <w:r>
              <w:rPr>
                <w:sz w:val="12"/>
              </w:rPr>
              <w:t>3</w:t>
            </w:r>
          </w:p>
        </w:tc>
        <w:tc>
          <w:tcPr>
            <w:tcW w:type="dxa" w:w="1136"/>
            <w:vAlign w:val="center"/>
          </w:tcPr>
          <w:p>
            <w:pPr>
              <w:spacing w:after="20"/>
            </w:pPr>
            <w:r>
              <w:rPr>
                <w:sz w:val="12"/>
              </w:rPr>
              <w:t>5</w:t>
            </w:r>
          </w:p>
        </w:tc>
        <w:tc>
          <w:tcPr>
            <w:tcW w:type="dxa" w:w="1136"/>
            <w:vAlign w:val="center"/>
          </w:tcPr>
          <w:p>
            <w:pPr>
              <w:spacing w:after="20"/>
            </w:pPr>
            <w:r>
              <w:rPr>
                <w:sz w:val="12"/>
              </w:rPr>
              <w:t>15 High</w:t>
            </w:r>
          </w:p>
        </w:tc>
        <w:tc>
          <w:tcPr>
            <w:tcW w:type="dxa" w:w="1136"/>
            <w:vAlign w:val="center"/>
          </w:tcPr>
          <w:p>
            <w:pPr>
              <w:spacing w:after="20"/>
            </w:pPr>
            <w:r>
              <w:rPr>
                <w:sz w:val="12"/>
              </w:rPr>
              <w:t>3</w:t>
            </w:r>
          </w:p>
        </w:tc>
        <w:tc>
          <w:tcPr>
            <w:tcW w:type="dxa" w:w="1136"/>
            <w:vAlign w:val="center"/>
          </w:tcPr>
          <w:p>
            <w:pPr>
              <w:spacing w:after="20"/>
            </w:pPr>
            <w:r>
              <w:rPr>
                <w:sz w:val="12"/>
              </w:rPr>
              <w:t>5</w:t>
            </w:r>
          </w:p>
        </w:tc>
        <w:tc>
          <w:tcPr>
            <w:tcW w:type="dxa" w:w="1136"/>
            <w:vAlign w:val="center"/>
          </w:tcPr>
          <w:p>
            <w:pPr>
              <w:spacing w:after="20"/>
            </w:pPr>
            <w:r>
              <w:rPr>
                <w:sz w:val="12"/>
              </w:rPr>
              <w:t>15 High</w:t>
            </w:r>
          </w:p>
        </w:tc>
        <w:tc>
          <w:tcPr>
            <w:tcW w:type="dxa" w:w="1136"/>
            <w:vAlign w:val="center"/>
          </w:tcPr>
          <w:p>
            <w:pPr>
              <w:spacing w:after="20"/>
            </w:pPr>
            <w:r>
              <w:rPr>
                <w:sz w:val="12"/>
              </w:rPr>
              <w:t>Oraios; Enterprise Developer Platform tracks closure</w:t>
            </w:r>
          </w:p>
        </w:tc>
      </w:tr>
      <w:tr>
        <w:trPr>
          <w:cantSplit/>
        </w:trPr>
        <w:tc>
          <w:tcPr>
            <w:tcW w:type="dxa" w:w="1136"/>
            <w:vAlign w:val="center"/>
            <w:shd w:fill="EAF2F4"/>
          </w:tcPr>
          <w:p>
            <w:pPr>
              <w:spacing w:after="20"/>
            </w:pPr>
            <w:r>
              <w:rPr>
                <w:sz w:val="12"/>
              </w:rPr>
              <w:t>RISK-002</w:t>
            </w:r>
          </w:p>
        </w:tc>
        <w:tc>
          <w:tcPr>
            <w:tcW w:type="dxa" w:w="1136"/>
            <w:vAlign w:val="center"/>
            <w:shd w:fill="EAF2F4"/>
          </w:tcPr>
          <w:p>
            <w:pPr>
              <w:spacing w:after="20"/>
            </w:pPr>
            <w:r>
              <w:rPr>
                <w:sz w:val="12"/>
              </w:rPr>
              <w:t>Repository instructions and migrated trust defaults can expand authority</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5</w:t>
            </w:r>
          </w:p>
        </w:tc>
        <w:tc>
          <w:tcPr>
            <w:tcW w:type="dxa" w:w="1136"/>
            <w:vAlign w:val="center"/>
            <w:shd w:fill="EAF2F4"/>
          </w:tcPr>
          <w:p>
            <w:pPr>
              <w:spacing w:after="20"/>
            </w:pPr>
            <w:r>
              <w:rPr>
                <w:sz w:val="12"/>
              </w:rPr>
              <w:t>20 Critical</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12 High</w:t>
            </w:r>
          </w:p>
        </w:tc>
        <w:tc>
          <w:tcPr>
            <w:tcW w:type="dxa" w:w="1136"/>
            <w:vAlign w:val="center"/>
            <w:shd w:fill="EAF2F4"/>
          </w:tcPr>
          <w:p>
            <w:pPr>
              <w:spacing w:after="20"/>
            </w:pPr>
            <w:r>
              <w:rPr>
                <w:sz w:val="12"/>
              </w:rPr>
              <w:t>Enterprise Developer Platform</w:t>
            </w:r>
          </w:p>
        </w:tc>
      </w:tr>
      <w:tr>
        <w:trPr>
          <w:cantSplit/>
        </w:trPr>
        <w:tc>
          <w:tcPr>
            <w:tcW w:type="dxa" w:w="1136"/>
            <w:vAlign w:val="center"/>
          </w:tcPr>
          <w:p>
            <w:pPr>
              <w:spacing w:after="20"/>
            </w:pPr>
            <w:r>
              <w:rPr>
                <w:sz w:val="12"/>
              </w:rPr>
              <w:t>RISK-003</w:t>
            </w:r>
          </w:p>
        </w:tc>
        <w:tc>
          <w:tcPr>
            <w:tcW w:type="dxa" w:w="1136"/>
            <w:vAlign w:val="center"/>
          </w:tcPr>
          <w:p>
            <w:pPr>
              <w:spacing w:after="20"/>
            </w:pPr>
            <w:r>
              <w:rPr>
                <w:sz w:val="12"/>
              </w:rPr>
              <w:t>Write-capable semantic tools can exceed the initiating user's intent</w:t>
            </w:r>
          </w:p>
        </w:tc>
        <w:tc>
          <w:tcPr>
            <w:tcW w:type="dxa" w:w="1136"/>
            <w:vAlign w:val="center"/>
          </w:tcPr>
          <w:p>
            <w:pPr>
              <w:spacing w:after="20"/>
            </w:pPr>
            <w:r>
              <w:rPr>
                <w:sz w:val="12"/>
              </w:rPr>
              <w:t>4</w:t>
            </w:r>
          </w:p>
        </w:tc>
        <w:tc>
          <w:tcPr>
            <w:tcW w:type="dxa" w:w="1136"/>
            <w:vAlign w:val="center"/>
          </w:tcPr>
          <w:p>
            <w:pPr>
              <w:spacing w:after="20"/>
            </w:pPr>
            <w:r>
              <w:rPr>
                <w:sz w:val="12"/>
              </w:rPr>
              <w:t>5</w:t>
            </w:r>
          </w:p>
        </w:tc>
        <w:tc>
          <w:tcPr>
            <w:tcW w:type="dxa" w:w="1136"/>
            <w:vAlign w:val="center"/>
          </w:tcPr>
          <w:p>
            <w:pPr>
              <w:spacing w:after="20"/>
            </w:pPr>
            <w:r>
              <w:rPr>
                <w:sz w:val="12"/>
              </w:rPr>
              <w:t>20 Critical</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Developer Platform and Application Security</w:t>
            </w:r>
          </w:p>
        </w:tc>
      </w:tr>
      <w:tr>
        <w:trPr>
          <w:cantSplit/>
        </w:trPr>
        <w:tc>
          <w:tcPr>
            <w:tcW w:type="dxa" w:w="1136"/>
            <w:vAlign w:val="center"/>
            <w:shd w:fill="EAF2F4"/>
          </w:tcPr>
          <w:p>
            <w:pPr>
              <w:spacing w:after="20"/>
            </w:pPr>
            <w:r>
              <w:rPr>
                <w:sz w:val="12"/>
              </w:rPr>
              <w:t>RISK-004</w:t>
            </w:r>
          </w:p>
        </w:tc>
        <w:tc>
          <w:tcPr>
            <w:tcW w:type="dxa" w:w="1136"/>
            <w:vAlign w:val="center"/>
            <w:shd w:fill="EAF2F4"/>
          </w:tcPr>
          <w:p>
            <w:pPr>
              <w:spacing w:after="20"/>
            </w:pPr>
            <w:r>
              <w:rPr>
                <w:sz w:val="12"/>
              </w:rPr>
              <w:t>Official Registry metadata is stale and can select the wrong release</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16 High</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Oraios and Enterprise Software Supply Chain</w:t>
            </w:r>
          </w:p>
        </w:tc>
      </w:tr>
      <w:tr>
        <w:trPr>
          <w:cantSplit/>
        </w:trPr>
        <w:tc>
          <w:tcPr>
            <w:tcW w:type="dxa" w:w="1136"/>
            <w:vAlign w:val="center"/>
          </w:tcPr>
          <w:p>
            <w:pPr>
              <w:spacing w:after="20"/>
            </w:pPr>
            <w:r>
              <w:rPr>
                <w:sz w:val="12"/>
              </w:rPr>
              <w:t>RISK-005</w:t>
            </w:r>
          </w:p>
        </w:tc>
        <w:tc>
          <w:tcPr>
            <w:tcW w:type="dxa" w:w="1136"/>
            <w:vAlign w:val="center"/>
          </w:tcPr>
          <w:p>
            <w:pPr>
              <w:spacing w:after="20"/>
            </w:pPr>
            <w:r>
              <w:rPr>
                <w:sz w:val="12"/>
              </w:rPr>
              <w:t>Runtime dependency state is not immutable</w:t>
            </w:r>
          </w:p>
        </w:tc>
        <w:tc>
          <w:tcPr>
            <w:tcW w:type="dxa" w:w="1136"/>
            <w:vAlign w:val="center"/>
          </w:tcPr>
          <w:p>
            <w:pPr>
              <w:spacing w:after="20"/>
            </w:pPr>
            <w:r>
              <w:rPr>
                <w:sz w:val="12"/>
              </w:rPr>
              <w:t>4</w:t>
            </w:r>
          </w:p>
        </w:tc>
        <w:tc>
          <w:tcPr>
            <w:tcW w:type="dxa" w:w="1136"/>
            <w:vAlign w:val="center"/>
          </w:tcPr>
          <w:p>
            <w:pPr>
              <w:spacing w:after="20"/>
            </w:pPr>
            <w:r>
              <w:rPr>
                <w:sz w:val="12"/>
              </w:rPr>
              <w:t>4</w:t>
            </w:r>
          </w:p>
        </w:tc>
        <w:tc>
          <w:tcPr>
            <w:tcW w:type="dxa" w:w="1136"/>
            <w:vAlign w:val="center"/>
          </w:tcPr>
          <w:p>
            <w:pPr>
              <w:spacing w:after="20"/>
            </w:pPr>
            <w:r>
              <w:rPr>
                <w:sz w:val="12"/>
              </w:rPr>
              <w:t>16 High</w:t>
            </w:r>
          </w:p>
        </w:tc>
        <w:tc>
          <w:tcPr>
            <w:tcW w:type="dxa" w:w="1136"/>
            <w:vAlign w:val="center"/>
          </w:tcPr>
          <w:p>
            <w:pPr>
              <w:spacing w:after="20"/>
            </w:pPr>
            <w:r>
              <w:rPr>
                <w:sz w:val="12"/>
              </w:rPr>
              <w:t>3</w:t>
            </w:r>
          </w:p>
        </w:tc>
        <w:tc>
          <w:tcPr>
            <w:tcW w:type="dxa" w:w="1136"/>
            <w:vAlign w:val="center"/>
          </w:tcPr>
          <w:p>
            <w:pPr>
              <w:spacing w:after="20"/>
            </w:pPr>
            <w:r>
              <w:rPr>
                <w:sz w:val="12"/>
              </w:rPr>
              <w:t>3</w:t>
            </w:r>
          </w:p>
        </w:tc>
        <w:tc>
          <w:tcPr>
            <w:tcW w:type="dxa" w:w="1136"/>
            <w:vAlign w:val="center"/>
          </w:tcPr>
          <w:p>
            <w:pPr>
              <w:spacing w:after="20"/>
            </w:pPr>
            <w:r>
              <w:rPr>
                <w:sz w:val="12"/>
              </w:rPr>
              <w:t>9 Moderate</w:t>
            </w:r>
          </w:p>
        </w:tc>
        <w:tc>
          <w:tcPr>
            <w:tcW w:type="dxa" w:w="1136"/>
            <w:vAlign w:val="center"/>
          </w:tcPr>
          <w:p>
            <w:pPr>
              <w:spacing w:after="20"/>
            </w:pPr>
            <w:r>
              <w:rPr>
                <w:sz w:val="12"/>
              </w:rPr>
              <w:t>Enterprise Software Supply Chain</w:t>
            </w:r>
          </w:p>
        </w:tc>
      </w:tr>
      <w:tr>
        <w:trPr>
          <w:cantSplit/>
        </w:trPr>
        <w:tc>
          <w:tcPr>
            <w:tcW w:type="dxa" w:w="1136"/>
            <w:vAlign w:val="center"/>
            <w:shd w:fill="EAF2F4"/>
          </w:tcPr>
          <w:p>
            <w:pPr>
              <w:spacing w:after="20"/>
            </w:pPr>
            <w:r>
              <w:rPr>
                <w:sz w:val="12"/>
              </w:rPr>
              <w:t>RISK-006</w:t>
            </w:r>
          </w:p>
        </w:tc>
        <w:tc>
          <w:tcPr>
            <w:tcW w:type="dxa" w:w="1136"/>
            <w:vAlign w:val="center"/>
            <w:shd w:fill="EAF2F4"/>
          </w:tcPr>
          <w:p>
            <w:pPr>
              <w:spacing w:after="20"/>
            </w:pPr>
            <w:r>
              <w:rPr>
                <w:sz w:val="12"/>
              </w:rPr>
              <w:t>Language-server acquisition creates a broad downstream supply chain</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16 High</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Endpoint Engineering and Software Supply Chain</w:t>
            </w:r>
          </w:p>
        </w:tc>
      </w:tr>
      <w:tr>
        <w:trPr>
          <w:cantSplit/>
        </w:trPr>
        <w:tc>
          <w:tcPr>
            <w:tcW w:type="dxa" w:w="1136"/>
            <w:vAlign w:val="center"/>
          </w:tcPr>
          <w:p>
            <w:pPr>
              <w:spacing w:after="20"/>
            </w:pPr>
            <w:r>
              <w:rPr>
                <w:sz w:val="12"/>
              </w:rPr>
              <w:t>RISK-007</w:t>
            </w:r>
          </w:p>
        </w:tc>
        <w:tc>
          <w:tcPr>
            <w:tcW w:type="dxa" w:w="1136"/>
            <w:vAlign w:val="center"/>
          </w:tcPr>
          <w:p>
            <w:pPr>
              <w:spacing w:after="20"/>
            </w:pPr>
            <w:r>
              <w:rPr>
                <w:sz w:val="12"/>
              </w:rPr>
              <w:t>Dashboard and usage services create local control and privacy exposure</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2</w:t>
            </w:r>
          </w:p>
        </w:tc>
        <w:tc>
          <w:tcPr>
            <w:tcW w:type="dxa" w:w="1136"/>
            <w:vAlign w:val="center"/>
          </w:tcPr>
          <w:p>
            <w:pPr>
              <w:spacing w:after="20"/>
            </w:pPr>
            <w:r>
              <w:rPr>
                <w:sz w:val="12"/>
              </w:rPr>
              <w:t>3</w:t>
            </w:r>
          </w:p>
        </w:tc>
        <w:tc>
          <w:tcPr>
            <w:tcW w:type="dxa" w:w="1136"/>
            <w:vAlign w:val="center"/>
          </w:tcPr>
          <w:p>
            <w:pPr>
              <w:spacing w:after="20"/>
            </w:pPr>
            <w:r>
              <w:rPr>
                <w:sz w:val="12"/>
              </w:rPr>
              <w:t>6 Moderate</w:t>
            </w:r>
          </w:p>
        </w:tc>
        <w:tc>
          <w:tcPr>
            <w:tcW w:type="dxa" w:w="1136"/>
            <w:vAlign w:val="center"/>
          </w:tcPr>
          <w:p>
            <w:pPr>
              <w:spacing w:after="20"/>
            </w:pPr>
            <w:r>
              <w:rPr>
                <w:sz w:val="12"/>
              </w:rPr>
              <w:t>Endpoint Engineering and Privacy</w:t>
            </w:r>
          </w:p>
        </w:tc>
      </w:tr>
      <w:tr>
        <w:trPr>
          <w:cantSplit/>
        </w:trPr>
        <w:tc>
          <w:tcPr>
            <w:tcW w:type="dxa" w:w="1136"/>
            <w:vAlign w:val="center"/>
            <w:shd w:fill="EAF2F4"/>
          </w:tcPr>
          <w:p>
            <w:pPr>
              <w:spacing w:after="20"/>
            </w:pPr>
            <w:r>
              <w:rPr>
                <w:sz w:val="12"/>
              </w:rPr>
              <w:t>RISK-008</w:t>
            </w:r>
          </w:p>
        </w:tc>
        <w:tc>
          <w:tcPr>
            <w:tcW w:type="dxa" w:w="1136"/>
            <w:vAlign w:val="center"/>
            <w:shd w:fill="EAF2F4"/>
          </w:tcPr>
          <w:p>
            <w:pPr>
              <w:spacing w:after="20"/>
            </w:pPr>
            <w:r>
              <w:rPr>
                <w:sz w:val="12"/>
              </w:rPr>
              <w:t>Release provenance controls do not establish an end-to-end attestation</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12 High</w:t>
            </w:r>
          </w:p>
        </w:tc>
        <w:tc>
          <w:tcPr>
            <w:tcW w:type="dxa" w:w="1136"/>
            <w:vAlign w:val="center"/>
            <w:shd w:fill="EAF2F4"/>
          </w:tcPr>
          <w:p>
            <w:pPr>
              <w:spacing w:after="20"/>
            </w:pPr>
            <w:r>
              <w:rPr>
                <w:sz w:val="12"/>
              </w:rPr>
              <w:t>2</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8 Moderate</w:t>
            </w:r>
          </w:p>
        </w:tc>
        <w:tc>
          <w:tcPr>
            <w:tcW w:type="dxa" w:w="1136"/>
            <w:vAlign w:val="center"/>
            <w:shd w:fill="EAF2F4"/>
          </w:tcPr>
          <w:p>
            <w:pPr>
              <w:spacing w:after="20"/>
            </w:pPr>
            <w:r>
              <w:rPr>
                <w:sz w:val="12"/>
              </w:rPr>
              <w:t>Oraios; Enterprise Supply Chain validates</w:t>
            </w:r>
          </w:p>
        </w:tc>
      </w:tr>
      <w:tr>
        <w:trPr>
          <w:cantSplit/>
        </w:trPr>
        <w:tc>
          <w:tcPr>
            <w:tcW w:type="dxa" w:w="1136"/>
            <w:vAlign w:val="center"/>
          </w:tcPr>
          <w:p>
            <w:pPr>
              <w:spacing w:after="20"/>
            </w:pPr>
            <w:r>
              <w:rPr>
                <w:sz w:val="12"/>
              </w:rPr>
              <w:t>RISK-009</w:t>
            </w:r>
          </w:p>
        </w:tc>
        <w:tc>
          <w:tcPr>
            <w:tcW w:type="dxa" w:w="1136"/>
            <w:vAlign w:val="center"/>
          </w:tcPr>
          <w:p>
            <w:pPr>
              <w:spacing w:after="20"/>
            </w:pPr>
            <w:r>
              <w:rPr>
                <w:sz w:val="12"/>
              </w:rPr>
              <w:t>Representative runtime and lifecycle evidence is unavailable</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Security Testing and Endpoint Engineering</w:t>
            </w:r>
          </w:p>
        </w:tc>
      </w:tr>
      <w:tr>
        <w:trPr>
          <w:cantSplit/>
        </w:trPr>
        <w:tc>
          <w:tcPr>
            <w:tcW w:type="dxa" w:w="1136"/>
            <w:vAlign w:val="center"/>
            <w:shd w:fill="EAF2F4"/>
          </w:tcPr>
          <w:p>
            <w:pPr>
              <w:spacing w:after="20"/>
            </w:pPr>
            <w:r>
              <w:rPr>
                <w:sz w:val="12"/>
              </w:rPr>
              <w:t>RISK-010</w:t>
            </w:r>
          </w:p>
        </w:tc>
        <w:tc>
          <w:tcPr>
            <w:tcW w:type="dxa" w:w="1136"/>
            <w:vAlign w:val="center"/>
            <w:shd w:fill="EAF2F4"/>
          </w:tcPr>
          <w:p>
            <w:pPr>
              <w:spacing w:after="20"/>
            </w:pPr>
            <w:r>
              <w:rPr>
                <w:sz w:val="12"/>
              </w:rPr>
              <w:t>Visual Studio support is not vendor-verified</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2</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6 Moderate</w:t>
            </w:r>
          </w:p>
        </w:tc>
        <w:tc>
          <w:tcPr>
            <w:tcW w:type="dxa" w:w="1136"/>
            <w:vAlign w:val="center"/>
            <w:shd w:fill="EAF2F4"/>
          </w:tcPr>
          <w:p>
            <w:pPr>
              <w:spacing w:after="20"/>
            </w:pPr>
            <w:r>
              <w:rPr>
                <w:sz w:val="12"/>
              </w:rPr>
              <w:t>Developer Platform</w:t>
            </w:r>
          </w:p>
        </w:tc>
      </w:tr>
    </w:tbl>
    <w:p/>
    <w:p>
      <w:pPr>
        <w:pStyle w:val="Heading2"/>
      </w:pPr>
      <w:r>
        <w:t>Residual Risk and Approval Recommendation</w:t>
      </w:r>
    </w:p>
    <w:p>
      <w:r>
        <w:t>Overall residual risk is High. Decision: Defer pending evidence for Serena 1.6.1 in VS Code and Visual Studio. Production, customer/personal data, normal profiles and privileged repositories remain outside approval. A time-limited synthetic read-only experiment requires a separate change record proving cache rejection, explicit trusted paths, exact supply-chain admission, dashboard/reporting disablement, restricted egress and host controls. RISK-001 must be resolved or accepted by the accountable security authority after vendor engagement.</w:t>
      </w:r>
    </w:p>
    <w:p>
      <w:pPr>
        <w:pStyle w:val="Heading2"/>
      </w:pPr>
      <w:r>
        <w:t>Limitations and Confidence Levels</w:t>
      </w:r>
    </w:p>
    <w:p>
      <w:pPr>
        <w:pStyle w:val="ListBullet"/>
      </w:pPr>
      <w:r>
        <w:t>No Serena, dependency or language-server code was executed; no installation, authentication, activation, network capture, update or uninstall was observed.</w:t>
      </w:r>
    </w:p>
    <w:p>
      <w:pPr>
        <w:pStyle w:val="ListBullet"/>
      </w:pPr>
      <w:r>
        <w:t>The unsafe-deserialization finding is a plausible static source-to-sink trace with Medium confidence; exploitability was not demonstrated.</w:t>
      </w:r>
    </w:p>
    <w:p>
      <w:pPr>
        <w:pStyle w:val="ListBullet"/>
      </w:pPr>
      <w:r>
        <w:t>Visual Studio product-specific compatibility, consent, variables, process and residue are Unknown.</w:t>
      </w:r>
    </w:p>
    <w:p>
      <w:pPr>
        <w:pStyle w:val="ListBullet"/>
      </w:pPr>
      <w:r>
        <w:t>SBOM tools did not model the complete future uvx environment; the current runtime resolution is a dated observation.</w:t>
      </w:r>
    </w:p>
    <w:p>
      <w:pPr>
        <w:pStyle w:val="ListBullet"/>
      </w:pPr>
      <w:r>
        <w:t>Scanner rules have coverage limits; zero malware/advisory results are not proof of absence.</w:t>
      </w:r>
    </w:p>
    <w:p>
      <w:pPr>
        <w:pStyle w:val="ListBullet"/>
      </w:pPr>
      <w:r>
        <w:t>Firm-specific regulator status, materiality, important services, model-provider terms and data flows were not supplied.</w:t>
      </w:r>
    </w:p>
    <w:p>
      <w:pPr>
        <w:pStyle w:val="ListBullet"/>
      </w:pPr>
      <w:r>
        <w:t>Overall confidence is Medium: High for identity/acquired bytes/source, Medium for risk, Unknown for runtime-only behavior.</w:t>
      </w:r>
    </w:p>
    <w:p>
      <w:bookmarkStart w:id="1449523" w:name="EVIDENCE_REGISTER"/>
      <w:pPr>
        <w:pStyle w:val="Heading1"/>
      </w:pPr>
      <w:r>
        <w:t>Evidence Register</w:t>
      </w:r>
      <w:bookmarkEnd w:id="1449523"/>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trPr>
        <w:tc>
          <w:tcPr>
            <w:tcW w:type="dxa" w:w="2045"/>
            <w:shd w:fill="17324D"/>
          </w:tcPr>
          <w:p>
            <w:r>
              <w:rPr>
                <w:b/>
                <w:color w:val="FFFFFF"/>
                <w:sz w:val="13"/>
              </w:rPr>
              <w:t>ID</w:t>
            </w:r>
          </w:p>
        </w:tc>
        <w:tc>
          <w:tcPr>
            <w:tcW w:type="dxa" w:w="2045"/>
            <w:shd w:fill="17324D"/>
          </w:tcPr>
          <w:p>
            <w:r>
              <w:rPr>
                <w:b/>
                <w:color w:val="FFFFFF"/>
                <w:sz w:val="13"/>
              </w:rPr>
              <w:t>Item</w:t>
            </w:r>
          </w:p>
        </w:tc>
        <w:tc>
          <w:tcPr>
            <w:tcW w:type="dxa" w:w="2045"/>
            <w:shd w:fill="17324D"/>
          </w:tcPr>
          <w:p>
            <w:r>
              <w:rPr>
                <w:b/>
                <w:color w:val="FFFFFF"/>
                <w:sz w:val="13"/>
              </w:rPr>
              <w:t>File</w:t>
            </w:r>
          </w:p>
        </w:tc>
        <w:tc>
          <w:tcPr>
            <w:tcW w:type="dxa" w:w="2045"/>
            <w:shd w:fill="17324D"/>
          </w:tcPr>
          <w:p>
            <w:r>
              <w:rPr>
                <w:b/>
                <w:color w:val="FFFFFF"/>
                <w:sz w:val="13"/>
              </w:rPr>
              <w:t>State</w:t>
            </w:r>
          </w:p>
        </w:tc>
        <w:tc>
          <w:tcPr>
            <w:tcW w:type="dxa" w:w="2045"/>
            <w:shd w:fill="17324D"/>
          </w:tcPr>
          <w:p>
            <w:r>
              <w:rPr>
                <w:b/>
                <w:color w:val="FFFFFF"/>
                <w:sz w:val="13"/>
              </w:rPr>
              <w:t>Use / limitation</w:t>
            </w:r>
          </w:p>
        </w:tc>
      </w:tr>
      <w:tr>
        <w:trPr>
          <w:cantSplit/>
        </w:trPr>
        <w:tc>
          <w:tcPr>
            <w:tcW w:type="dxa" w:w="2045"/>
            <w:vAlign w:val="center"/>
          </w:tcPr>
          <w:p>
            <w:pPr>
              <w:spacing w:after="20"/>
            </w:pPr>
            <w:r>
              <w:rPr>
                <w:sz w:val="13"/>
              </w:rPr>
              <w:t>EVD-001</w:t>
            </w:r>
          </w:p>
        </w:tc>
        <w:tc>
          <w:tcPr>
            <w:tcW w:type="dxa" w:w="2045"/>
            <w:vAlign w:val="center"/>
          </w:tcPr>
          <w:p>
            <w:pPr>
              <w:spacing w:after="20"/>
            </w:pPr>
            <w:r>
              <w:rPr>
                <w:sz w:val="13"/>
              </w:rPr>
              <w:t>Official MCP Registry metadata</w:t>
            </w:r>
          </w:p>
        </w:tc>
        <w:tc>
          <w:tcPr>
            <w:tcW w:type="dxa" w:w="2045"/>
            <w:vAlign w:val="center"/>
          </w:tcPr>
          <w:p>
            <w:pPr>
              <w:spacing w:after="20"/>
            </w:pPr>
            <w:r>
              <w:rPr>
                <w:sz w:val="13"/>
              </w:rPr>
              <w:t>official-mcp-registry.json</w:t>
            </w:r>
          </w:p>
        </w:tc>
        <w:tc>
          <w:tcPr>
            <w:tcW w:type="dxa" w:w="2045"/>
            <w:vAlign w:val="center"/>
          </w:tcPr>
          <w:p>
            <w:pPr>
              <w:spacing w:after="20"/>
            </w:pPr>
            <w:r>
              <w:rPr>
                <w:sz w:val="13"/>
              </w:rPr>
              <w:t>Verified</w:t>
            </w:r>
          </w:p>
        </w:tc>
        <w:tc>
          <w:tcPr>
            <w:tcW w:type="dxa" w:w="2045"/>
            <w:vAlign w:val="center"/>
          </w:tcPr>
          <w:p>
            <w:pPr>
              <w:spacing w:after="20"/>
            </w:pPr>
            <w:r>
              <w:rPr>
                <w:sz w:val="13"/>
              </w:rPr>
              <w:t>Registry identity and advertised 1.5.3 package.</w:t>
            </w:r>
          </w:p>
        </w:tc>
      </w:tr>
      <w:tr>
        <w:trPr>
          <w:cantSplit/>
        </w:trPr>
        <w:tc>
          <w:tcPr>
            <w:tcW w:type="dxa" w:w="2045"/>
            <w:vAlign w:val="center"/>
            <w:shd w:fill="EAF2F4"/>
          </w:tcPr>
          <w:p>
            <w:pPr>
              <w:spacing w:after="20"/>
            </w:pPr>
            <w:r>
              <w:rPr>
                <w:sz w:val="13"/>
              </w:rPr>
              <w:t>EVD-002</w:t>
            </w:r>
          </w:p>
        </w:tc>
        <w:tc>
          <w:tcPr>
            <w:tcW w:type="dxa" w:w="2045"/>
            <w:vAlign w:val="center"/>
            <w:shd w:fill="EAF2F4"/>
          </w:tcPr>
          <w:p>
            <w:pPr>
              <w:spacing w:after="20"/>
            </w:pPr>
            <w:r>
              <w:rPr>
                <w:sz w:val="13"/>
              </w:rPr>
              <w:t>GitHub release and tag records</w:t>
            </w:r>
          </w:p>
        </w:tc>
        <w:tc>
          <w:tcPr>
            <w:tcW w:type="dxa" w:w="2045"/>
            <w:vAlign w:val="center"/>
            <w:shd w:fill="EAF2F4"/>
          </w:tcPr>
          <w:p>
            <w:pPr>
              <w:spacing w:after="20"/>
            </w:pPr>
            <w:r>
              <w:rPr>
                <w:sz w:val="13"/>
              </w:rPr>
              <w:t>github-release-v1.6.1.json; github-tag-commit-v1.6.1.json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Release 1.6.1, exact commit, unsigned tag record.</w:t>
            </w:r>
          </w:p>
        </w:tc>
      </w:tr>
      <w:tr>
        <w:trPr>
          <w:cantSplit/>
        </w:trPr>
        <w:tc>
          <w:tcPr>
            <w:tcW w:type="dxa" w:w="2045"/>
            <w:vAlign w:val="center"/>
          </w:tcPr>
          <w:p>
            <w:pPr>
              <w:spacing w:after="20"/>
            </w:pPr>
            <w:r>
              <w:rPr>
                <w:sz w:val="13"/>
              </w:rPr>
              <w:t>EVD-003</w:t>
            </w:r>
          </w:p>
        </w:tc>
        <w:tc>
          <w:tcPr>
            <w:tcW w:type="dxa" w:w="2045"/>
            <w:vAlign w:val="center"/>
          </w:tcPr>
          <w:p>
            <w:pPr>
              <w:spacing w:after="20"/>
            </w:pPr>
            <w:r>
              <w:rPr>
                <w:sz w:val="13"/>
              </w:rPr>
              <w:t>PyPI metadata and acquired distributions</w:t>
            </w:r>
          </w:p>
        </w:tc>
        <w:tc>
          <w:tcPr>
            <w:tcW w:type="dxa" w:w="2045"/>
            <w:vAlign w:val="center"/>
          </w:tcPr>
          <w:p>
            <w:pPr>
              <w:spacing w:after="20"/>
            </w:pPr>
            <w:r>
              <w:rPr>
                <w:sz w:val="13"/>
              </w:rPr>
              <w:t>pypi-serena-agent-1.6.1.json</w:t>
            </w:r>
          </w:p>
        </w:tc>
        <w:tc>
          <w:tcPr>
            <w:tcW w:type="dxa" w:w="2045"/>
            <w:vAlign w:val="center"/>
          </w:tcPr>
          <w:p>
            <w:pPr>
              <w:spacing w:after="20"/>
            </w:pPr>
            <w:r>
              <w:rPr>
                <w:sz w:val="13"/>
              </w:rPr>
              <w:t>Verified</w:t>
            </w:r>
          </w:p>
        </w:tc>
        <w:tc>
          <w:tcPr>
            <w:tcW w:type="dxa" w:w="2045"/>
            <w:vAlign w:val="center"/>
          </w:tcPr>
          <w:p>
            <w:pPr>
              <w:spacing w:after="20"/>
            </w:pPr>
            <w:r>
              <w:rPr>
                <w:sz w:val="13"/>
              </w:rPr>
              <w:t>Wheel/sdist hashes and absence of exposed attestation.</w:t>
            </w:r>
          </w:p>
        </w:tc>
      </w:tr>
      <w:tr>
        <w:trPr>
          <w:cantSplit/>
        </w:trPr>
        <w:tc>
          <w:tcPr>
            <w:tcW w:type="dxa" w:w="2045"/>
            <w:vAlign w:val="center"/>
            <w:shd w:fill="EAF2F4"/>
          </w:tcPr>
          <w:p>
            <w:pPr>
              <w:spacing w:after="20"/>
            </w:pPr>
            <w:r>
              <w:rPr>
                <w:sz w:val="13"/>
              </w:rPr>
              <w:t>EVD-004</w:t>
            </w:r>
          </w:p>
        </w:tc>
        <w:tc>
          <w:tcPr>
            <w:tcW w:type="dxa" w:w="2045"/>
            <w:vAlign w:val="center"/>
            <w:shd w:fill="EAF2F4"/>
          </w:tcPr>
          <w:p>
            <w:pPr>
              <w:spacing w:after="20"/>
            </w:pPr>
            <w:r>
              <w:rPr>
                <w:sz w:val="13"/>
              </w:rPr>
              <w:t>Immutable source snapshot manifest</w:t>
            </w:r>
          </w:p>
        </w:tc>
        <w:tc>
          <w:tcPr>
            <w:tcW w:type="dxa" w:w="2045"/>
            <w:vAlign w:val="center"/>
            <w:shd w:fill="EAF2F4"/>
          </w:tcPr>
          <w:p>
            <w:pPr>
              <w:spacing w:after="20"/>
            </w:pPr>
            <w:r>
              <w:rPr>
                <w:sz w:val="13"/>
              </w:rPr>
              <w:t>../../source-snapshot/2026-07-27-v1.1/snapshot-manifest.json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Unlinked tag archive and provenance.</w:t>
            </w:r>
          </w:p>
        </w:tc>
      </w:tr>
      <w:tr>
        <w:trPr>
          <w:cantSplit/>
        </w:trPr>
        <w:tc>
          <w:tcPr>
            <w:tcW w:type="dxa" w:w="2045"/>
            <w:vAlign w:val="center"/>
          </w:tcPr>
          <w:p>
            <w:pPr>
              <w:spacing w:after="20"/>
            </w:pPr>
            <w:r>
              <w:rPr>
                <w:sz w:val="13"/>
              </w:rPr>
              <w:t>EVD-005</w:t>
            </w:r>
          </w:p>
        </w:tc>
        <w:tc>
          <w:tcPr>
            <w:tcW w:type="dxa" w:w="2045"/>
            <w:vAlign w:val="center"/>
          </w:tcPr>
          <w:p>
            <w:pPr>
              <w:spacing w:after="20"/>
            </w:pPr>
            <w:r>
              <w:rPr>
                <w:sz w:val="13"/>
              </w:rPr>
              <w:t>Archive and package inventories</w:t>
            </w:r>
          </w:p>
        </w:tc>
        <w:tc>
          <w:tcPr>
            <w:tcW w:type="dxa" w:w="2045"/>
            <w:vAlign w:val="center"/>
          </w:tcPr>
          <w:p>
            <w:pPr>
              <w:spacing w:after="20"/>
            </w:pPr>
            <w:r>
              <w:rPr>
                <w:sz w:val="13"/>
              </w:rPr>
              <w:t>archive-safety.json; source-inventory.json; wheel-inventory.json</w:t>
            </w:r>
          </w:p>
        </w:tc>
        <w:tc>
          <w:tcPr>
            <w:tcW w:type="dxa" w:w="2045"/>
            <w:vAlign w:val="center"/>
          </w:tcPr>
          <w:p>
            <w:pPr>
              <w:spacing w:after="20"/>
            </w:pPr>
            <w:r>
              <w:rPr>
                <w:sz w:val="13"/>
              </w:rPr>
              <w:t>Verified</w:t>
            </w:r>
          </w:p>
        </w:tc>
        <w:tc>
          <w:tcPr>
            <w:tcW w:type="dxa" w:w="2045"/>
            <w:vAlign w:val="center"/>
          </w:tcPr>
          <w:p>
            <w:pPr>
              <w:spacing w:after="20"/>
            </w:pPr>
            <w:r>
              <w:rPr>
                <w:sz w:val="13"/>
              </w:rPr>
              <w:t>Bounded preflight and exact wheel/source Python-tree comparison.</w:t>
            </w:r>
          </w:p>
        </w:tc>
      </w:tr>
      <w:tr>
        <w:trPr>
          <w:cantSplit/>
        </w:trPr>
        <w:tc>
          <w:tcPr>
            <w:tcW w:type="dxa" w:w="2045"/>
            <w:vAlign w:val="center"/>
            <w:shd w:fill="EAF2F4"/>
          </w:tcPr>
          <w:p>
            <w:pPr>
              <w:spacing w:after="20"/>
            </w:pPr>
            <w:r>
              <w:rPr>
                <w:sz w:val="13"/>
              </w:rPr>
              <w:t>EVD-006</w:t>
            </w:r>
          </w:p>
        </w:tc>
        <w:tc>
          <w:tcPr>
            <w:tcW w:type="dxa" w:w="2045"/>
            <w:vAlign w:val="center"/>
            <w:shd w:fill="EAF2F4"/>
          </w:tcPr>
          <w:p>
            <w:pPr>
              <w:spacing w:after="20"/>
            </w:pPr>
            <w:r>
              <w:rPr>
                <w:sz w:val="13"/>
              </w:rPr>
              <w:t>Semgrep static analysis</w:t>
            </w:r>
          </w:p>
        </w:tc>
        <w:tc>
          <w:tcPr>
            <w:tcW w:type="dxa" w:w="2045"/>
            <w:vAlign w:val="center"/>
            <w:shd w:fill="EAF2F4"/>
          </w:tcPr>
          <w:p>
            <w:pPr>
              <w:spacing w:after="20"/>
            </w:pPr>
            <w:r>
              <w:rPr>
                <w:sz w:val="13"/>
              </w:rPr>
              <w:t>semgrep.json; scanner-triage.json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100 signals manually dispositioned; no scanner-only vulnerability claim.</w:t>
            </w:r>
          </w:p>
        </w:tc>
      </w:tr>
      <w:tr>
        <w:trPr>
          <w:cantSplit/>
        </w:trPr>
        <w:tc>
          <w:tcPr>
            <w:tcW w:type="dxa" w:w="2045"/>
            <w:vAlign w:val="center"/>
          </w:tcPr>
          <w:p>
            <w:pPr>
              <w:spacing w:after="20"/>
            </w:pPr>
            <w:r>
              <w:rPr>
                <w:sz w:val="13"/>
              </w:rPr>
              <w:t>EVD-007</w:t>
            </w:r>
          </w:p>
        </w:tc>
        <w:tc>
          <w:tcPr>
            <w:tcW w:type="dxa" w:w="2045"/>
            <w:vAlign w:val="center"/>
          </w:tcPr>
          <w:p>
            <w:pPr>
              <w:spacing w:after="20"/>
            </w:pPr>
            <w:r>
              <w:rPr>
                <w:sz w:val="13"/>
              </w:rPr>
              <w:t>Malware heuristics</w:t>
            </w:r>
          </w:p>
        </w:tc>
        <w:tc>
          <w:tcPr>
            <w:tcW w:type="dxa" w:w="2045"/>
            <w:vAlign w:val="center"/>
          </w:tcPr>
          <w:p>
            <w:pPr>
              <w:spacing w:after="20"/>
            </w:pPr>
            <w:r>
              <w:rPr>
                <w:sz w:val="13"/>
              </w:rPr>
              <w:t>clamav.log; yara-source.log; yara-wheel.log</w:t>
            </w:r>
          </w:p>
        </w:tc>
        <w:tc>
          <w:tcPr>
            <w:tcW w:type="dxa" w:w="2045"/>
            <w:vAlign w:val="center"/>
          </w:tcPr>
          <w:p>
            <w:pPr>
              <w:spacing w:after="20"/>
            </w:pPr>
            <w:r>
              <w:rPr>
                <w:sz w:val="13"/>
              </w:rPr>
              <w:t>Verified</w:t>
            </w:r>
          </w:p>
        </w:tc>
        <w:tc>
          <w:tcPr>
            <w:tcW w:type="dxa" w:w="2045"/>
            <w:vAlign w:val="center"/>
          </w:tcPr>
          <w:p>
            <w:pPr>
              <w:spacing w:after="20"/>
            </w:pPr>
            <w:r>
              <w:rPr>
                <w:sz w:val="13"/>
              </w:rPr>
              <w:t>Current ClamAV zero infections; YARA expected capability indicators.</w:t>
            </w:r>
          </w:p>
        </w:tc>
      </w:tr>
      <w:tr>
        <w:trPr>
          <w:cantSplit/>
        </w:trPr>
        <w:tc>
          <w:tcPr>
            <w:tcW w:type="dxa" w:w="2045"/>
            <w:vAlign w:val="center"/>
            <w:shd w:fill="EAF2F4"/>
          </w:tcPr>
          <w:p>
            <w:pPr>
              <w:spacing w:after="20"/>
            </w:pPr>
            <w:r>
              <w:rPr>
                <w:sz w:val="13"/>
              </w:rPr>
              <w:t>EVD-008</w:t>
            </w:r>
          </w:p>
        </w:tc>
        <w:tc>
          <w:tcPr>
            <w:tcW w:type="dxa" w:w="2045"/>
            <w:vAlign w:val="center"/>
            <w:shd w:fill="EAF2F4"/>
          </w:tcPr>
          <w:p>
            <w:pPr>
              <w:spacing w:after="20"/>
            </w:pPr>
            <w:r>
              <w:rPr>
                <w:sz w:val="13"/>
              </w:rPr>
              <w:t>SBOM-style package inventory</w:t>
            </w:r>
          </w:p>
        </w:tc>
        <w:tc>
          <w:tcPr>
            <w:tcW w:type="dxa" w:w="2045"/>
            <w:vAlign w:val="center"/>
            <w:shd w:fill="EAF2F4"/>
          </w:tcPr>
          <w:p>
            <w:pPr>
              <w:spacing w:after="20"/>
            </w:pPr>
            <w:r>
              <w:rPr>
                <w:sz w:val="13"/>
              </w:rPr>
              <w:t>sbom.cdx.json; grype.json; trivy.json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Wheel file inventory; dependency visibility limitations explicit.</w:t>
            </w:r>
          </w:p>
        </w:tc>
      </w:tr>
      <w:tr>
        <w:trPr>
          <w:cantSplit/>
        </w:trPr>
        <w:tc>
          <w:tcPr>
            <w:tcW w:type="dxa" w:w="2045"/>
            <w:vAlign w:val="center"/>
          </w:tcPr>
          <w:p>
            <w:pPr>
              <w:spacing w:after="20"/>
            </w:pPr>
            <w:r>
              <w:rPr>
                <w:sz w:val="13"/>
              </w:rPr>
              <w:t>EVD-009</w:t>
            </w:r>
          </w:p>
        </w:tc>
        <w:tc>
          <w:tcPr>
            <w:tcW w:type="dxa" w:w="2045"/>
            <w:vAlign w:val="center"/>
          </w:tcPr>
          <w:p>
            <w:pPr>
              <w:spacing w:after="20"/>
            </w:pPr>
            <w:r>
              <w:rPr>
                <w:sz w:val="13"/>
              </w:rPr>
              <w:t>Dependency resolution and advisories</w:t>
            </w:r>
          </w:p>
        </w:tc>
        <w:tc>
          <w:tcPr>
            <w:tcW w:type="dxa" w:w="2045"/>
            <w:vAlign w:val="center"/>
          </w:tcPr>
          <w:p>
            <w:pPr>
              <w:spacing w:after="20"/>
            </w:pPr>
            <w:r>
              <w:rPr>
                <w:sz w:val="13"/>
              </w:rPr>
              <w:t>osv.json; osv-runtime.json; runtime-requirements-resolved-2026-07-27.txt</w:t>
            </w:r>
          </w:p>
        </w:tc>
        <w:tc>
          <w:tcPr>
            <w:tcW w:type="dxa" w:w="2045"/>
            <w:vAlign w:val="center"/>
          </w:tcPr>
          <w:p>
            <w:pPr>
              <w:spacing w:after="20"/>
            </w:pPr>
            <w:r>
              <w:rPr>
                <w:sz w:val="13"/>
              </w:rPr>
              <w:t>Verified</w:t>
            </w:r>
          </w:p>
        </w:tc>
        <w:tc>
          <w:tcPr>
            <w:tcW w:type="dxa" w:w="2045"/>
            <w:vAlign w:val="center"/>
          </w:tcPr>
          <w:p>
            <w:pPr>
              <w:spacing w:after="20"/>
            </w:pPr>
            <w:r>
              <w:rPr>
                <w:sz w:val="13"/>
              </w:rPr>
              <w:t>Lock has advisory debt; current 76-package runtime resolution returned zero records.</w:t>
            </w:r>
          </w:p>
        </w:tc>
      </w:tr>
      <w:tr>
        <w:trPr>
          <w:cantSplit/>
        </w:trPr>
        <w:tc>
          <w:tcPr>
            <w:tcW w:type="dxa" w:w="2045"/>
            <w:vAlign w:val="center"/>
            <w:shd w:fill="EAF2F4"/>
          </w:tcPr>
          <w:p>
            <w:pPr>
              <w:spacing w:after="20"/>
            </w:pPr>
            <w:r>
              <w:rPr>
                <w:sz w:val="13"/>
              </w:rPr>
              <w:t>EVD-010</w:t>
            </w:r>
          </w:p>
        </w:tc>
        <w:tc>
          <w:tcPr>
            <w:tcW w:type="dxa" w:w="2045"/>
            <w:vAlign w:val="center"/>
            <w:shd w:fill="EAF2F4"/>
          </w:tcPr>
          <w:p>
            <w:pPr>
              <w:spacing w:after="20"/>
            </w:pPr>
            <w:r>
              <w:rPr>
                <w:sz w:val="13"/>
              </w:rPr>
              <w:t>Publisher workflow record</w:t>
            </w:r>
          </w:p>
        </w:tc>
        <w:tc>
          <w:tcPr>
            <w:tcW w:type="dxa" w:w="2045"/>
            <w:vAlign w:val="center"/>
            <w:shd w:fill="EAF2F4"/>
          </w:tcPr>
          <w:p>
            <w:pPr>
              <w:spacing w:after="20"/>
            </w:pPr>
            <w:r>
              <w:rPr>
                <w:sz w:val="13"/>
              </w:rPr>
              <w:t>github-publish-run-29845114542.json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Successful exact-head trusted-publishing workflow; mutable action references remain.</w:t>
            </w:r>
          </w:p>
        </w:tc>
      </w:tr>
      <w:tr>
        <w:trPr>
          <w:cantSplit/>
        </w:trPr>
        <w:tc>
          <w:tcPr>
            <w:tcW w:type="dxa" w:w="2045"/>
            <w:vAlign w:val="center"/>
          </w:tcPr>
          <w:p>
            <w:pPr>
              <w:spacing w:after="20"/>
            </w:pPr>
            <w:r>
              <w:rPr>
                <w:sz w:val="13"/>
              </w:rPr>
              <w:t>EVD-011</w:t>
            </w:r>
          </w:p>
        </w:tc>
        <w:tc>
          <w:tcPr>
            <w:tcW w:type="dxa" w:w="2045"/>
            <w:vAlign w:val="center"/>
          </w:tcPr>
          <w:p>
            <w:pPr>
              <w:spacing w:after="20"/>
            </w:pPr>
            <w:r>
              <w:rPr>
                <w:sz w:val="13"/>
              </w:rPr>
              <w:t>Historical dashboard advisory</w:t>
            </w:r>
          </w:p>
        </w:tc>
        <w:tc>
          <w:tcPr>
            <w:tcW w:type="dxa" w:w="2045"/>
            <w:vAlign w:val="center"/>
          </w:tcPr>
          <w:p>
            <w:pPr>
              <w:spacing w:after="20"/>
            </w:pPr>
            <w:r>
              <w:rPr>
                <w:sz w:val="13"/>
              </w:rPr>
              <w:t>GHSA-37h2-6p4f-mp3q.json</w:t>
            </w:r>
          </w:p>
        </w:tc>
        <w:tc>
          <w:tcPr>
            <w:tcW w:type="dxa" w:w="2045"/>
            <w:vAlign w:val="center"/>
          </w:tcPr>
          <w:p>
            <w:pPr>
              <w:spacing w:after="20"/>
            </w:pPr>
            <w:r>
              <w:rPr>
                <w:sz w:val="13"/>
              </w:rPr>
              <w:t>Verified</w:t>
            </w:r>
          </w:p>
        </w:tc>
        <w:tc>
          <w:tcPr>
            <w:tcW w:type="dxa" w:w="2045"/>
            <w:vAlign w:val="center"/>
          </w:tcPr>
          <w:p>
            <w:pPr>
              <w:spacing w:after="20"/>
            </w:pPr>
            <w:r>
              <w:rPr>
                <w:sz w:val="13"/>
              </w:rPr>
              <w:t>v1.6.1 is outside vulnerable range; regression relevance only.</w:t>
            </w:r>
          </w:p>
        </w:tc>
      </w:tr>
      <w:tr>
        <w:trPr>
          <w:cantSplit/>
        </w:trPr>
        <w:tc>
          <w:tcPr>
            <w:tcW w:type="dxa" w:w="2045"/>
            <w:vAlign w:val="center"/>
            <w:shd w:fill="EAF2F4"/>
          </w:tcPr>
          <w:p>
            <w:pPr>
              <w:spacing w:after="20"/>
            </w:pPr>
            <w:r>
              <w:rPr>
                <w:sz w:val="13"/>
              </w:rPr>
              <w:t>EVD-012</w:t>
            </w:r>
          </w:p>
        </w:tc>
        <w:tc>
          <w:tcPr>
            <w:tcW w:type="dxa" w:w="2045"/>
            <w:vAlign w:val="center"/>
            <w:shd w:fill="EAF2F4"/>
          </w:tcPr>
          <w:p>
            <w:pPr>
              <w:spacing w:after="20"/>
            </w:pPr>
            <w:r>
              <w:rPr>
                <w:sz w:val="13"/>
              </w:rPr>
              <w:t>Serena configuration, tools and security source</w:t>
            </w:r>
          </w:p>
        </w:tc>
        <w:tc>
          <w:tcPr>
            <w:tcW w:type="dxa" w:w="2045"/>
            <w:vAlign w:val="center"/>
            <w:shd w:fill="EAF2F4"/>
          </w:tcPr>
          <w:p>
            <w:pPr>
              <w:spacing w:after="20"/>
            </w:pPr>
            <w:r>
              <w:rPr>
                <w:sz w:val="13"/>
              </w:rPr>
              <w:t>source snapshot docs and src</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Project trust, tool authority, dashboard, usage reporting and cache behavior.</w:t>
            </w:r>
          </w:p>
        </w:tc>
      </w:tr>
      <w:tr>
        <w:trPr>
          <w:cantSplit/>
        </w:trPr>
        <w:tc>
          <w:tcPr>
            <w:tcW w:type="dxa" w:w="2045"/>
            <w:vAlign w:val="center"/>
          </w:tcPr>
          <w:p>
            <w:pPr>
              <w:spacing w:after="20"/>
            </w:pPr>
            <w:r>
              <w:rPr>
                <w:sz w:val="13"/>
              </w:rPr>
              <w:t>EVD-013</w:t>
            </w:r>
          </w:p>
        </w:tc>
        <w:tc>
          <w:tcPr>
            <w:tcW w:type="dxa" w:w="2045"/>
            <w:vAlign w:val="center"/>
          </w:tcPr>
          <w:p>
            <w:pPr>
              <w:spacing w:after="20"/>
            </w:pPr>
            <w:r>
              <w:rPr>
                <w:sz w:val="13"/>
              </w:rPr>
              <w:t>Runtime readiness record</w:t>
            </w:r>
          </w:p>
        </w:tc>
        <w:tc>
          <w:tcPr>
            <w:tcW w:type="dxa" w:w="2045"/>
            <w:vAlign w:val="center"/>
          </w:tcPr>
          <w:p>
            <w:pPr>
              <w:spacing w:after="20"/>
            </w:pPr>
            <w:r>
              <w:rPr>
                <w:sz w:val="13"/>
              </w:rPr>
              <w:t>runtime-readiness.md</w:t>
            </w:r>
          </w:p>
        </w:tc>
        <w:tc>
          <w:tcPr>
            <w:tcW w:type="dxa" w:w="2045"/>
            <w:vAlign w:val="center"/>
          </w:tcPr>
          <w:p>
            <w:pPr>
              <w:spacing w:after="20"/>
            </w:pPr>
            <w:r>
              <w:rPr>
                <w:sz w:val="13"/>
              </w:rPr>
              <w:t>Verified</w:t>
            </w:r>
          </w:p>
        </w:tc>
        <w:tc>
          <w:tcPr>
            <w:tcW w:type="dxa" w:w="2045"/>
            <w:vAlign w:val="center"/>
          </w:tcPr>
          <w:p>
            <w:pPr>
              <w:spacing w:after="20"/>
            </w:pPr>
            <w:r>
              <w:rPr>
                <w:sz w:val="13"/>
              </w:rPr>
              <w:t>No representative disposable IDE host; runtime remained selected and blocked.</w:t>
            </w:r>
          </w:p>
        </w:tc>
      </w:tr>
      <w:tr>
        <w:trPr>
          <w:cantSplit/>
        </w:trPr>
        <w:tc>
          <w:tcPr>
            <w:tcW w:type="dxa" w:w="2045"/>
            <w:vAlign w:val="center"/>
            <w:shd w:fill="EAF2F4"/>
          </w:tcPr>
          <w:p>
            <w:pPr>
              <w:spacing w:after="20"/>
            </w:pPr>
            <w:r>
              <w:rPr>
                <w:sz w:val="13"/>
              </w:rPr>
              <w:t>EVD-014</w:t>
            </w:r>
          </w:p>
        </w:tc>
        <w:tc>
          <w:tcPr>
            <w:tcW w:type="dxa" w:w="2045"/>
            <w:vAlign w:val="center"/>
            <w:shd w:fill="EAF2F4"/>
          </w:tcPr>
          <w:p>
            <w:pPr>
              <w:spacing w:after="20"/>
            </w:pPr>
            <w:r>
              <w:rPr>
                <w:sz w:val="13"/>
              </w:rPr>
              <w:t>Finding source-to-sink review</w:t>
            </w:r>
          </w:p>
        </w:tc>
        <w:tc>
          <w:tcPr>
            <w:tcW w:type="dxa" w:w="2045"/>
            <w:vAlign w:val="center"/>
            <w:shd w:fill="EAF2F4"/>
          </w:tcPr>
          <w:p>
            <w:pPr>
              <w:spacing w:after="20"/>
            </w:pPr>
            <w:r>
              <w:rPr>
                <w:sz w:val="13"/>
              </w:rPr>
              <w:t>finding-validation.md</w:t>
            </w:r>
          </w:p>
        </w:tc>
        <w:tc>
          <w:tcPr>
            <w:tcW w:type="dxa" w:w="2045"/>
            <w:vAlign w:val="center"/>
            <w:shd w:fill="EAF2F4"/>
          </w:tcPr>
          <w:p>
            <w:pPr>
              <w:spacing w:after="20"/>
            </w:pPr>
            <w:r>
              <w:rPr>
                <w:sz w:val="13"/>
              </w:rPr>
              <w:t>Inferred</w:t>
            </w:r>
          </w:p>
        </w:tc>
        <w:tc>
          <w:tcPr>
            <w:tcW w:type="dxa" w:w="2045"/>
            <w:vAlign w:val="center"/>
            <w:shd w:fill="EAF2F4"/>
          </w:tcPr>
          <w:p>
            <w:pPr>
              <w:spacing w:after="20"/>
            </w:pPr>
            <w:r>
              <w:rPr>
                <w:sz w:val="13"/>
              </w:rPr>
              <w:t>Detailed implementation trace retained privately; no execution or exploit attempt.</w:t>
            </w:r>
          </w:p>
        </w:tc>
      </w:tr>
      <w:tr>
        <w:trPr>
          <w:cantSplit/>
        </w:trPr>
        <w:tc>
          <w:tcPr>
            <w:tcW w:type="dxa" w:w="2045"/>
            <w:vAlign w:val="center"/>
          </w:tcPr>
          <w:p>
            <w:pPr>
              <w:spacing w:after="20"/>
            </w:pPr>
            <w:r>
              <w:rPr>
                <w:sz w:val="13"/>
              </w:rPr>
              <w:t>EVD-015</w:t>
            </w:r>
          </w:p>
        </w:tc>
        <w:tc>
          <w:tcPr>
            <w:tcW w:type="dxa" w:w="2045"/>
            <w:vAlign w:val="center"/>
          </w:tcPr>
          <w:p>
            <w:pPr>
              <w:spacing w:after="20"/>
            </w:pPr>
            <w:r>
              <w:rPr>
                <w:sz w:val="13"/>
              </w:rPr>
              <w:t>Claim-to-evidence and report QA</w:t>
            </w:r>
          </w:p>
        </w:tc>
        <w:tc>
          <w:tcPr>
            <w:tcW w:type="dxa" w:w="2045"/>
            <w:vAlign w:val="center"/>
          </w:tcPr>
          <w:p>
            <w:pPr>
              <w:spacing w:after="20"/>
            </w:pPr>
            <w:r>
              <w:rPr>
                <w:sz w:val="13"/>
              </w:rPr>
              <w:t>final-qa.json</w:t>
            </w:r>
          </w:p>
        </w:tc>
        <w:tc>
          <w:tcPr>
            <w:tcW w:type="dxa" w:w="2045"/>
            <w:vAlign w:val="center"/>
          </w:tcPr>
          <w:p>
            <w:pPr>
              <w:spacing w:after="20"/>
            </w:pPr>
            <w:r>
              <w:rPr>
                <w:sz w:val="13"/>
              </w:rPr>
              <w:t>Verified</w:t>
            </w:r>
          </w:p>
        </w:tc>
        <w:tc>
          <w:tcPr>
            <w:tcW w:type="dxa" w:w="2045"/>
            <w:vAlign w:val="center"/>
          </w:tcPr>
          <w:p>
            <w:pPr>
              <w:spacing w:after="20"/>
            </w:pPr>
            <w:r>
              <w:rPr>
                <w:sz w:val="13"/>
              </w:rPr>
              <w:t>Deterministic, secure-review and native Word verification passed for the final report bytes.</w:t>
            </w:r>
          </w:p>
        </w:tc>
      </w:tr>
      <w:tr>
        <w:trPr>
          <w:cantSplit/>
        </w:trPr>
        <w:tc>
          <w:tcPr>
            <w:tcW w:type="dxa" w:w="2045"/>
            <w:vAlign w:val="center"/>
            <w:shd w:fill="EAF2F4"/>
          </w:tcPr>
          <w:p>
            <w:pPr>
              <w:spacing w:after="20"/>
            </w:pPr>
            <w:r>
              <w:rPr>
                <w:sz w:val="13"/>
              </w:rPr>
              <w:t>EVD-016</w:t>
            </w:r>
          </w:p>
        </w:tc>
        <w:tc>
          <w:tcPr>
            <w:tcW w:type="dxa" w:w="2045"/>
            <w:vAlign w:val="center"/>
            <w:shd w:fill="EAF2F4"/>
          </w:tcPr>
          <w:p>
            <w:pPr>
              <w:spacing w:after="20"/>
            </w:pPr>
            <w:r>
              <w:rPr>
                <w:sz w:val="13"/>
              </w:rPr>
              <w:t>Citation correction provenance</w:t>
            </w:r>
          </w:p>
        </w:tc>
        <w:tc>
          <w:tcPr>
            <w:tcW w:type="dxa" w:w="2045"/>
            <w:vAlign w:val="center"/>
            <w:shd w:fill="EAF2F4"/>
          </w:tcPr>
          <w:p>
            <w:pPr>
              <w:spacing w:after="20"/>
            </w:pPr>
            <w:r>
              <w:rPr>
                <w:sz w:val="13"/>
              </w:rPr>
              <w:t>correction-provenance.json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v1.1 reuses verified v1.0 evidence and changes only REF-022 plus report-version and QA metadata.</w:t>
            </w:r>
          </w:p>
        </w:tc>
      </w:tr>
    </w:tbl>
    <w:p/>
    <w:p>
      <w:bookmarkStart w:id="1842330" w:name="REFERENCES"/>
      <w:pPr>
        <w:pStyle w:val="Heading1"/>
      </w:pPr>
      <w:r>
        <w:t>References</w:t>
      </w:r>
      <w:bookmarkEnd w:id="1842330"/>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ID</w:t>
            </w:r>
          </w:p>
        </w:tc>
        <w:tc>
          <w:tcPr>
            <w:tcW w:type="dxa" w:w="3408"/>
            <w:shd w:fill="17324D"/>
          </w:tcPr>
          <w:p>
            <w:r>
              <w:rPr>
                <w:b/>
                <w:color w:val="FFFFFF"/>
                <w:sz w:val="14"/>
              </w:rPr>
              <w:t>Source</w:t>
            </w:r>
          </w:p>
        </w:tc>
        <w:tc>
          <w:tcPr>
            <w:tcW w:type="dxa" w:w="3408"/>
            <w:shd w:fill="17324D"/>
          </w:tcPr>
          <w:p>
            <w:r>
              <w:rPr>
                <w:b/>
                <w:color w:val="FFFFFF"/>
                <w:sz w:val="14"/>
              </w:rPr>
              <w:t>Access / applicability</w:t>
            </w:r>
          </w:p>
        </w:tc>
      </w:tr>
      <w:tr>
        <w:tc>
          <w:tcPr>
            <w:tcW w:type="dxa" w:w="3408"/>
          </w:tcPr>
          <w:p>
            <w:bookmarkStart w:id="3001" w:name="REF_001"/>
            <w:r>
              <w:rPr>
                <w:sz w:val="14"/>
              </w:rPr>
              <w:t>REF-001</w:t>
            </w:r>
            <w:bookmarkEnd w:id="3001"/>
          </w:p>
        </w:tc>
        <w:tc>
          <w:tcPr>
            <w:tcW w:type="dxa" w:w="3408"/>
          </w:tcPr>
          <w:p>
            <w:hyperlink r:id="rId11">
              <w:r>
                <w:rPr>
                  <w:color w:val="315F7D"/>
                  <w:u w:val="single"/>
                </w:rPr>
                <w:t>Official MCP Registry entry for Serena</w:t>
              </w:r>
            </w:hyperlink>
          </w:p>
        </w:tc>
        <w:tc>
          <w:tcPr>
            <w:tcW w:type="dxa" w:w="3408"/>
          </w:tcPr>
          <w:p>
            <w:r>
              <w:rPr>
                <w:sz w:val="14"/>
              </w:rPr>
              <w:t>Accessed 27 July 2026; applicability described in text.</w:t>
            </w:r>
          </w:p>
        </w:tc>
      </w:tr>
      <w:tr>
        <w:tc>
          <w:tcPr>
            <w:tcW w:type="dxa" w:w="3408"/>
            <w:shd w:fill="EAF2F4"/>
          </w:tcPr>
          <w:p>
            <w:bookmarkStart w:id="3002" w:name="REF_002"/>
            <w:r>
              <w:rPr>
                <w:sz w:val="14"/>
              </w:rPr>
              <w:t>REF-002</w:t>
            </w:r>
            <w:bookmarkEnd w:id="3002"/>
          </w:p>
        </w:tc>
        <w:tc>
          <w:tcPr>
            <w:tcW w:type="dxa" w:w="3408"/>
            <w:shd w:fill="EAF2F4"/>
          </w:tcPr>
          <w:p>
            <w:hyperlink r:id="rId12">
              <w:r>
                <w:rPr>
                  <w:color w:val="315F7D"/>
                  <w:u w:val="single"/>
                </w:rPr>
                <w:t>Oraios Serena v1.6.1 release</w:t>
              </w:r>
            </w:hyperlink>
          </w:p>
        </w:tc>
        <w:tc>
          <w:tcPr>
            <w:tcW w:type="dxa" w:w="3408"/>
            <w:shd w:fill="EAF2F4"/>
          </w:tcPr>
          <w:p>
            <w:r>
              <w:rPr>
                <w:sz w:val="14"/>
              </w:rPr>
              <w:t>Accessed 27 July 2026; applicability described in text.</w:t>
            </w:r>
          </w:p>
        </w:tc>
      </w:tr>
      <w:tr>
        <w:tc>
          <w:tcPr>
            <w:tcW w:type="dxa" w:w="3408"/>
          </w:tcPr>
          <w:p>
            <w:bookmarkStart w:id="3003" w:name="REF_003"/>
            <w:r>
              <w:rPr>
                <w:sz w:val="14"/>
              </w:rPr>
              <w:t>REF-003</w:t>
            </w:r>
            <w:bookmarkEnd w:id="3003"/>
          </w:p>
        </w:tc>
        <w:tc>
          <w:tcPr>
            <w:tcW w:type="dxa" w:w="3408"/>
          </w:tcPr>
          <w:p>
            <w:hyperlink r:id="rId13">
              <w:r>
                <w:rPr>
                  <w:color w:val="315F7D"/>
                  <w:u w:val="single"/>
                </w:rPr>
                <w:t>PyPI serena-agent 1.6.1</w:t>
              </w:r>
            </w:hyperlink>
          </w:p>
        </w:tc>
        <w:tc>
          <w:tcPr>
            <w:tcW w:type="dxa" w:w="3408"/>
          </w:tcPr>
          <w:p>
            <w:r>
              <w:rPr>
                <w:sz w:val="14"/>
              </w:rPr>
              <w:t>Accessed 27 July 2026; applicability described in text.</w:t>
            </w:r>
          </w:p>
        </w:tc>
      </w:tr>
      <w:tr>
        <w:tc>
          <w:tcPr>
            <w:tcW w:type="dxa" w:w="3408"/>
            <w:shd w:fill="EAF2F4"/>
          </w:tcPr>
          <w:p>
            <w:bookmarkStart w:id="3004" w:name="REF_004"/>
            <w:r>
              <w:rPr>
                <w:sz w:val="14"/>
              </w:rPr>
              <w:t>REF-004</w:t>
            </w:r>
            <w:bookmarkEnd w:id="3004"/>
          </w:p>
        </w:tc>
        <w:tc>
          <w:tcPr>
            <w:tcW w:type="dxa" w:w="3408"/>
            <w:shd w:fill="EAF2F4"/>
          </w:tcPr>
          <w:p>
            <w:hyperlink r:id="rId14">
              <w:r>
                <w:rPr>
                  <w:color w:val="315F7D"/>
                  <w:u w:val="single"/>
                </w:rPr>
                <w:t>Serena source at v1.6.1</w:t>
              </w:r>
            </w:hyperlink>
          </w:p>
        </w:tc>
        <w:tc>
          <w:tcPr>
            <w:tcW w:type="dxa" w:w="3408"/>
            <w:shd w:fill="EAF2F4"/>
          </w:tcPr>
          <w:p>
            <w:r>
              <w:rPr>
                <w:sz w:val="14"/>
              </w:rPr>
              <w:t>Accessed 27 July 2026; applicability described in text.</w:t>
            </w:r>
          </w:p>
        </w:tc>
      </w:tr>
      <w:tr>
        <w:tc>
          <w:tcPr>
            <w:tcW w:type="dxa" w:w="3408"/>
          </w:tcPr>
          <w:p>
            <w:bookmarkStart w:id="3005" w:name="REF_005"/>
            <w:r>
              <w:rPr>
                <w:sz w:val="14"/>
              </w:rPr>
              <w:t>REF-005</w:t>
            </w:r>
            <w:bookmarkEnd w:id="3005"/>
          </w:p>
        </w:tc>
        <w:tc>
          <w:tcPr>
            <w:tcW w:type="dxa" w:w="3408"/>
          </w:tcPr>
          <w:p>
            <w:hyperlink r:id="rId15">
              <w:r>
                <w:rPr>
                  <w:color w:val="315F7D"/>
                  <w:u w:val="single"/>
                </w:rPr>
                <w:t>Serena MCP client configuration</w:t>
              </w:r>
            </w:hyperlink>
          </w:p>
        </w:tc>
        <w:tc>
          <w:tcPr>
            <w:tcW w:type="dxa" w:w="3408"/>
          </w:tcPr>
          <w:p>
            <w:r>
              <w:rPr>
                <w:sz w:val="14"/>
              </w:rPr>
              <w:t>Accessed 27 July 2026; applicability described in text.</w:t>
            </w:r>
          </w:p>
        </w:tc>
      </w:tr>
      <w:tr>
        <w:tc>
          <w:tcPr>
            <w:tcW w:type="dxa" w:w="3408"/>
            <w:shd w:fill="EAF2F4"/>
          </w:tcPr>
          <w:p>
            <w:bookmarkStart w:id="3006" w:name="REF_006"/>
            <w:r>
              <w:rPr>
                <w:sz w:val="14"/>
              </w:rPr>
              <w:t>REF-006</w:t>
            </w:r>
            <w:bookmarkEnd w:id="3006"/>
          </w:p>
        </w:tc>
        <w:tc>
          <w:tcPr>
            <w:tcW w:type="dxa" w:w="3408"/>
            <w:shd w:fill="EAF2F4"/>
          </w:tcPr>
          <w:p>
            <w:hyperlink r:id="rId16">
              <w:r>
                <w:rPr>
                  <w:color w:val="315F7D"/>
                  <w:u w:val="single"/>
                </w:rPr>
                <w:t>Serena configuration guide</w:t>
              </w:r>
            </w:hyperlink>
          </w:p>
        </w:tc>
        <w:tc>
          <w:tcPr>
            <w:tcW w:type="dxa" w:w="3408"/>
            <w:shd w:fill="EAF2F4"/>
          </w:tcPr>
          <w:p>
            <w:r>
              <w:rPr>
                <w:sz w:val="14"/>
              </w:rPr>
              <w:t>Accessed 27 July 2026; applicability described in text.</w:t>
            </w:r>
          </w:p>
        </w:tc>
      </w:tr>
      <w:tr>
        <w:tc>
          <w:tcPr>
            <w:tcW w:type="dxa" w:w="3408"/>
          </w:tcPr>
          <w:p>
            <w:bookmarkStart w:id="3007" w:name="REF_007"/>
            <w:r>
              <w:rPr>
                <w:sz w:val="14"/>
              </w:rPr>
              <w:t>REF-007</w:t>
            </w:r>
            <w:bookmarkEnd w:id="3007"/>
          </w:p>
        </w:tc>
        <w:tc>
          <w:tcPr>
            <w:tcW w:type="dxa" w:w="3408"/>
          </w:tcPr>
          <w:p>
            <w:hyperlink r:id="rId17">
              <w:r>
                <w:rPr>
                  <w:color w:val="315F7D"/>
                  <w:u w:val="single"/>
                </w:rPr>
                <w:t>Serena security guidance</w:t>
              </w:r>
            </w:hyperlink>
          </w:p>
        </w:tc>
        <w:tc>
          <w:tcPr>
            <w:tcW w:type="dxa" w:w="3408"/>
          </w:tcPr>
          <w:p>
            <w:r>
              <w:rPr>
                <w:sz w:val="14"/>
              </w:rPr>
              <w:t>Accessed 27 July 2026; applicability described in text.</w:t>
            </w:r>
          </w:p>
        </w:tc>
      </w:tr>
      <w:tr>
        <w:tc>
          <w:tcPr>
            <w:tcW w:type="dxa" w:w="3408"/>
            <w:shd w:fill="EAF2F4"/>
          </w:tcPr>
          <w:p>
            <w:bookmarkStart w:id="3008" w:name="REF_008"/>
            <w:r>
              <w:rPr>
                <w:sz w:val="14"/>
              </w:rPr>
              <w:t>REF-008</w:t>
            </w:r>
            <w:bookmarkEnd w:id="3008"/>
          </w:p>
        </w:tc>
        <w:tc>
          <w:tcPr>
            <w:tcW w:type="dxa" w:w="3408"/>
            <w:shd w:fill="EAF2F4"/>
          </w:tcPr>
          <w:p>
            <w:hyperlink r:id="rId18">
              <w:r>
                <w:rPr>
                  <w:color w:val="315F7D"/>
                  <w:u w:val="single"/>
                </w:rPr>
                <w:t>Serena tool catalogue</w:t>
              </w:r>
            </w:hyperlink>
          </w:p>
        </w:tc>
        <w:tc>
          <w:tcPr>
            <w:tcW w:type="dxa" w:w="3408"/>
            <w:shd w:fill="EAF2F4"/>
          </w:tcPr>
          <w:p>
            <w:r>
              <w:rPr>
                <w:sz w:val="14"/>
              </w:rPr>
              <w:t>Accessed 27 July 2026; applicability described in text.</w:t>
            </w:r>
          </w:p>
        </w:tc>
      </w:tr>
      <w:tr>
        <w:tc>
          <w:tcPr>
            <w:tcW w:type="dxa" w:w="3408"/>
          </w:tcPr>
          <w:p>
            <w:bookmarkStart w:id="3009" w:name="REF_009"/>
            <w:r>
              <w:rPr>
                <w:sz w:val="14"/>
              </w:rPr>
              <w:t>REF-009</w:t>
            </w:r>
            <w:bookmarkEnd w:id="3009"/>
          </w:p>
        </w:tc>
        <w:tc>
          <w:tcPr>
            <w:tcW w:type="dxa" w:w="3408"/>
          </w:tcPr>
          <w:p>
            <w:hyperlink r:id="rId19">
              <w:r>
                <w:rPr>
                  <w:color w:val="315F7D"/>
                  <w:u w:val="single"/>
                </w:rPr>
                <w:t>Serena dashboard advisory GHSA-37h2-6p4f-mp3q</w:t>
              </w:r>
            </w:hyperlink>
          </w:p>
        </w:tc>
        <w:tc>
          <w:tcPr>
            <w:tcW w:type="dxa" w:w="3408"/>
          </w:tcPr>
          <w:p>
            <w:r>
              <w:rPr>
                <w:sz w:val="14"/>
              </w:rPr>
              <w:t>Accessed 27 July 2026; applicability described in text.</w:t>
            </w:r>
          </w:p>
        </w:tc>
      </w:tr>
      <w:tr>
        <w:tc>
          <w:tcPr>
            <w:tcW w:type="dxa" w:w="3408"/>
            <w:shd w:fill="EAF2F4"/>
          </w:tcPr>
          <w:p>
            <w:bookmarkStart w:id="3010" w:name="REF_010"/>
            <w:r>
              <w:rPr>
                <w:sz w:val="14"/>
              </w:rPr>
              <w:t>REF-010</w:t>
            </w:r>
            <w:bookmarkEnd w:id="3010"/>
          </w:p>
        </w:tc>
        <w:tc>
          <w:tcPr>
            <w:tcW w:type="dxa" w:w="3408"/>
            <w:shd w:fill="EAF2F4"/>
          </w:tcPr>
          <w:p>
            <w:hyperlink r:id="rId20">
              <w:r>
                <w:rPr>
                  <w:color w:val="315F7D"/>
                  <w:u w:val="single"/>
                </w:rPr>
                <w:t>Model Context Protocol specification</w:t>
              </w:r>
            </w:hyperlink>
          </w:p>
        </w:tc>
        <w:tc>
          <w:tcPr>
            <w:tcW w:type="dxa" w:w="3408"/>
            <w:shd w:fill="EAF2F4"/>
          </w:tcPr>
          <w:p>
            <w:r>
              <w:rPr>
                <w:sz w:val="14"/>
              </w:rPr>
              <w:t>Accessed 27 July 2026; applicability described in text.</w:t>
            </w:r>
          </w:p>
        </w:tc>
      </w:tr>
      <w:tr>
        <w:tc>
          <w:tcPr>
            <w:tcW w:type="dxa" w:w="3408"/>
          </w:tcPr>
          <w:p>
            <w:bookmarkStart w:id="3011" w:name="REF_011"/>
            <w:r>
              <w:rPr>
                <w:sz w:val="14"/>
              </w:rPr>
              <w:t>REF-011</w:t>
            </w:r>
            <w:bookmarkEnd w:id="3011"/>
          </w:p>
        </w:tc>
        <w:tc>
          <w:tcPr>
            <w:tcW w:type="dxa" w:w="3408"/>
          </w:tcPr>
          <w:p>
            <w:hyperlink r:id="rId21">
              <w:r>
                <w:rPr>
                  <w:color w:val="315F7D"/>
                  <w:u w:val="single"/>
                </w:rPr>
                <w:t>OWASP MCP Top 10</w:t>
              </w:r>
            </w:hyperlink>
          </w:p>
        </w:tc>
        <w:tc>
          <w:tcPr>
            <w:tcW w:type="dxa" w:w="3408"/>
          </w:tcPr>
          <w:p>
            <w:r>
              <w:rPr>
                <w:sz w:val="14"/>
              </w:rPr>
              <w:t>Accessed 27 July 2026; applicability described in text.</w:t>
            </w:r>
          </w:p>
        </w:tc>
      </w:tr>
      <w:tr>
        <w:tc>
          <w:tcPr>
            <w:tcW w:type="dxa" w:w="3408"/>
            <w:shd w:fill="EAF2F4"/>
          </w:tcPr>
          <w:p>
            <w:bookmarkStart w:id="3012" w:name="REF_012"/>
            <w:r>
              <w:rPr>
                <w:sz w:val="14"/>
              </w:rPr>
              <w:t>REF-012</w:t>
            </w:r>
            <w:bookmarkEnd w:id="3012"/>
          </w:p>
        </w:tc>
        <w:tc>
          <w:tcPr>
            <w:tcW w:type="dxa" w:w="3408"/>
            <w:shd w:fill="EAF2F4"/>
          </w:tcPr>
          <w:p>
            <w:hyperlink r:id="rId22">
              <w:r>
                <w:rPr>
                  <w:color w:val="315F7D"/>
                  <w:u w:val="single"/>
                </w:rPr>
                <w:t>OWASP Top 10 for Agentic Applications 2026</w:t>
              </w:r>
            </w:hyperlink>
          </w:p>
        </w:tc>
        <w:tc>
          <w:tcPr>
            <w:tcW w:type="dxa" w:w="3408"/>
            <w:shd w:fill="EAF2F4"/>
          </w:tcPr>
          <w:p>
            <w:r>
              <w:rPr>
                <w:sz w:val="14"/>
              </w:rPr>
              <w:t>Accessed 27 July 2026; applicability described in text.</w:t>
            </w:r>
          </w:p>
        </w:tc>
      </w:tr>
      <w:tr>
        <w:tc>
          <w:tcPr>
            <w:tcW w:type="dxa" w:w="3408"/>
          </w:tcPr>
          <w:p>
            <w:bookmarkStart w:id="3013" w:name="REF_013"/>
            <w:r>
              <w:rPr>
                <w:sz w:val="14"/>
              </w:rPr>
              <w:t>REF-013</w:t>
            </w:r>
            <w:bookmarkEnd w:id="3013"/>
          </w:p>
        </w:tc>
        <w:tc>
          <w:tcPr>
            <w:tcW w:type="dxa" w:w="3408"/>
          </w:tcPr>
          <w:p>
            <w:hyperlink r:id="rId23">
              <w:r>
                <w:rPr>
                  <w:color w:val="315F7D"/>
                  <w:u w:val="single"/>
                </w:rPr>
                <w:t>OWASP LLM Top 10 2025</w:t>
              </w:r>
            </w:hyperlink>
          </w:p>
        </w:tc>
        <w:tc>
          <w:tcPr>
            <w:tcW w:type="dxa" w:w="3408"/>
          </w:tcPr>
          <w:p>
            <w:r>
              <w:rPr>
                <w:sz w:val="14"/>
              </w:rPr>
              <w:t>Accessed 27 July 2026; applicability described in text.</w:t>
            </w:r>
          </w:p>
        </w:tc>
      </w:tr>
      <w:tr>
        <w:tc>
          <w:tcPr>
            <w:tcW w:type="dxa" w:w="3408"/>
            <w:shd w:fill="EAF2F4"/>
          </w:tcPr>
          <w:p>
            <w:bookmarkStart w:id="3014" w:name="REF_014"/>
            <w:r>
              <w:rPr>
                <w:sz w:val="14"/>
              </w:rPr>
              <w:t>REF-014</w:t>
            </w:r>
            <w:bookmarkEnd w:id="3014"/>
          </w:p>
        </w:tc>
        <w:tc>
          <w:tcPr>
            <w:tcW w:type="dxa" w:w="3408"/>
            <w:shd w:fill="EAF2F4"/>
          </w:tcPr>
          <w:p>
            <w:hyperlink r:id="rId24">
              <w:r>
                <w:rPr>
                  <w:color w:val="315F7D"/>
                  <w:u w:val="single"/>
                </w:rPr>
                <w:t>OWASP ASVS 5.0</w:t>
              </w:r>
            </w:hyperlink>
          </w:p>
        </w:tc>
        <w:tc>
          <w:tcPr>
            <w:tcW w:type="dxa" w:w="3408"/>
            <w:shd w:fill="EAF2F4"/>
          </w:tcPr>
          <w:p>
            <w:r>
              <w:rPr>
                <w:sz w:val="14"/>
              </w:rPr>
              <w:t>Accessed 27 July 2026; applicability described in text.</w:t>
            </w:r>
          </w:p>
        </w:tc>
      </w:tr>
      <w:tr>
        <w:tc>
          <w:tcPr>
            <w:tcW w:type="dxa" w:w="3408"/>
          </w:tcPr>
          <w:p>
            <w:bookmarkStart w:id="3015" w:name="REF_015"/>
            <w:r>
              <w:rPr>
                <w:sz w:val="14"/>
              </w:rPr>
              <w:t>REF-015</w:t>
            </w:r>
            <w:bookmarkEnd w:id="3015"/>
          </w:p>
        </w:tc>
        <w:tc>
          <w:tcPr>
            <w:tcW w:type="dxa" w:w="3408"/>
          </w:tcPr>
          <w:p>
            <w:hyperlink r:id="rId25">
              <w:r>
                <w:rPr>
                  <w:color w:val="315F7D"/>
                  <w:u w:val="single"/>
                </w:rPr>
                <w:t>MITRE ATLAS</w:t>
              </w:r>
            </w:hyperlink>
          </w:p>
        </w:tc>
        <w:tc>
          <w:tcPr>
            <w:tcW w:type="dxa" w:w="3408"/>
          </w:tcPr>
          <w:p>
            <w:r>
              <w:rPr>
                <w:sz w:val="14"/>
              </w:rPr>
              <w:t>Accessed 27 July 2026; applicability described in text.</w:t>
            </w:r>
          </w:p>
        </w:tc>
      </w:tr>
      <w:tr>
        <w:tc>
          <w:tcPr>
            <w:tcW w:type="dxa" w:w="3408"/>
            <w:shd w:fill="EAF2F4"/>
          </w:tcPr>
          <w:p>
            <w:bookmarkStart w:id="3016" w:name="REF_016"/>
            <w:r>
              <w:rPr>
                <w:sz w:val="14"/>
              </w:rPr>
              <w:t>REF-016</w:t>
            </w:r>
            <w:bookmarkEnd w:id="3016"/>
          </w:p>
        </w:tc>
        <w:tc>
          <w:tcPr>
            <w:tcW w:type="dxa" w:w="3408"/>
            <w:shd w:fill="EAF2F4"/>
          </w:tcPr>
          <w:p>
            <w:hyperlink r:id="rId26">
              <w:r>
                <w:rPr>
                  <w:color w:val="315F7D"/>
                  <w:u w:val="single"/>
                </w:rPr>
                <w:t>NIST AI Risk Management Framework</w:t>
              </w:r>
            </w:hyperlink>
          </w:p>
        </w:tc>
        <w:tc>
          <w:tcPr>
            <w:tcW w:type="dxa" w:w="3408"/>
            <w:shd w:fill="EAF2F4"/>
          </w:tcPr>
          <w:p>
            <w:r>
              <w:rPr>
                <w:sz w:val="14"/>
              </w:rPr>
              <w:t>Accessed 27 July 2026; applicability described in text.</w:t>
            </w:r>
          </w:p>
        </w:tc>
      </w:tr>
      <w:tr>
        <w:tc>
          <w:tcPr>
            <w:tcW w:type="dxa" w:w="3408"/>
          </w:tcPr>
          <w:p>
            <w:bookmarkStart w:id="3017" w:name="REF_017"/>
            <w:r>
              <w:rPr>
                <w:sz w:val="14"/>
              </w:rPr>
              <w:t>REF-017</w:t>
            </w:r>
            <w:bookmarkEnd w:id="3017"/>
          </w:p>
        </w:tc>
        <w:tc>
          <w:tcPr>
            <w:tcW w:type="dxa" w:w="3408"/>
          </w:tcPr>
          <w:p>
            <w:hyperlink r:id="rId27">
              <w:r>
                <w:rPr>
                  <w:color w:val="315F7D"/>
                  <w:u w:val="single"/>
                </w:rPr>
                <w:t>NIST AI 600-1 Generative AI Profile</w:t>
              </w:r>
            </w:hyperlink>
          </w:p>
        </w:tc>
        <w:tc>
          <w:tcPr>
            <w:tcW w:type="dxa" w:w="3408"/>
          </w:tcPr>
          <w:p>
            <w:r>
              <w:rPr>
                <w:sz w:val="14"/>
              </w:rPr>
              <w:t>Accessed 27 July 2026; applicability described in text.</w:t>
            </w:r>
          </w:p>
        </w:tc>
      </w:tr>
      <w:tr>
        <w:tc>
          <w:tcPr>
            <w:tcW w:type="dxa" w:w="3408"/>
            <w:shd w:fill="EAF2F4"/>
          </w:tcPr>
          <w:p>
            <w:bookmarkStart w:id="3018" w:name="REF_018"/>
            <w:r>
              <w:rPr>
                <w:sz w:val="14"/>
              </w:rPr>
              <w:t>REF-018</w:t>
            </w:r>
            <w:bookmarkEnd w:id="3018"/>
          </w:p>
        </w:tc>
        <w:tc>
          <w:tcPr>
            <w:tcW w:type="dxa" w:w="3408"/>
            <w:shd w:fill="EAF2F4"/>
          </w:tcPr>
          <w:p>
            <w:hyperlink r:id="rId28">
              <w:r>
                <w:rPr>
                  <w:color w:val="315F7D"/>
                  <w:u w:val="single"/>
                </w:rPr>
                <w:t>CIS Critical Security Controls v8.1</w:t>
              </w:r>
            </w:hyperlink>
          </w:p>
        </w:tc>
        <w:tc>
          <w:tcPr>
            <w:tcW w:type="dxa" w:w="3408"/>
            <w:shd w:fill="EAF2F4"/>
          </w:tcPr>
          <w:p>
            <w:r>
              <w:rPr>
                <w:sz w:val="14"/>
              </w:rPr>
              <w:t>Accessed 27 July 2026; applicability described in text.</w:t>
            </w:r>
          </w:p>
        </w:tc>
      </w:tr>
      <w:tr>
        <w:tc>
          <w:tcPr>
            <w:tcW w:type="dxa" w:w="3408"/>
          </w:tcPr>
          <w:p>
            <w:bookmarkStart w:id="3019" w:name="REF_019"/>
            <w:r>
              <w:rPr>
                <w:sz w:val="14"/>
              </w:rPr>
              <w:t>REF-019</w:t>
            </w:r>
            <w:bookmarkEnd w:id="3019"/>
          </w:p>
        </w:tc>
        <w:tc>
          <w:tcPr>
            <w:tcW w:type="dxa" w:w="3408"/>
          </w:tcPr>
          <w:p>
            <w:hyperlink r:id="rId29">
              <w:r>
                <w:rPr>
                  <w:color w:val="315F7D"/>
                  <w:u w:val="single"/>
                </w:rPr>
                <w:t>NCSC secure AI system development guidance</w:t>
              </w:r>
            </w:hyperlink>
          </w:p>
        </w:tc>
        <w:tc>
          <w:tcPr>
            <w:tcW w:type="dxa" w:w="3408"/>
          </w:tcPr>
          <w:p>
            <w:r>
              <w:rPr>
                <w:sz w:val="14"/>
              </w:rPr>
              <w:t>Accessed 27 July 2026; applicability described in text.</w:t>
            </w:r>
          </w:p>
        </w:tc>
      </w:tr>
      <w:tr>
        <w:tc>
          <w:tcPr>
            <w:tcW w:type="dxa" w:w="3408"/>
            <w:shd w:fill="EAF2F4"/>
          </w:tcPr>
          <w:p>
            <w:bookmarkStart w:id="3020" w:name="REF_020"/>
            <w:r>
              <w:rPr>
                <w:sz w:val="14"/>
              </w:rPr>
              <w:t>REF-020</w:t>
            </w:r>
            <w:bookmarkEnd w:id="3020"/>
          </w:p>
        </w:tc>
        <w:tc>
          <w:tcPr>
            <w:tcW w:type="dxa" w:w="3408"/>
            <w:shd w:fill="EAF2F4"/>
          </w:tcPr>
          <w:p>
            <w:hyperlink r:id="rId30">
              <w:r>
                <w:rPr>
                  <w:color w:val="315F7D"/>
                  <w:u w:val="single"/>
                </w:rPr>
                <w:t>ICO guidance on AI and data protection</w:t>
              </w:r>
            </w:hyperlink>
          </w:p>
        </w:tc>
        <w:tc>
          <w:tcPr>
            <w:tcW w:type="dxa" w:w="3408"/>
            <w:shd w:fill="EAF2F4"/>
          </w:tcPr>
          <w:p>
            <w:r>
              <w:rPr>
                <w:sz w:val="14"/>
              </w:rPr>
              <w:t>Accessed 27 July 2026; applicability described in text.</w:t>
            </w:r>
          </w:p>
        </w:tc>
      </w:tr>
      <w:tr>
        <w:tc>
          <w:tcPr>
            <w:tcW w:type="dxa" w:w="3408"/>
          </w:tcPr>
          <w:p>
            <w:bookmarkStart w:id="3021" w:name="REF_021"/>
            <w:r>
              <w:rPr>
                <w:sz w:val="14"/>
              </w:rPr>
              <w:t>REF-021</w:t>
            </w:r>
            <w:bookmarkEnd w:id="3021"/>
          </w:p>
        </w:tc>
        <w:tc>
          <w:tcPr>
            <w:tcW w:type="dxa" w:w="3408"/>
          </w:tcPr>
          <w:p>
            <w:hyperlink r:id="rId31">
              <w:r>
                <w:rPr>
                  <w:color w:val="315F7D"/>
                  <w:u w:val="single"/>
                </w:rPr>
                <w:t>FCA operational resilience</w:t>
              </w:r>
            </w:hyperlink>
          </w:p>
        </w:tc>
        <w:tc>
          <w:tcPr>
            <w:tcW w:type="dxa" w:w="3408"/>
          </w:tcPr>
          <w:p>
            <w:r>
              <w:rPr>
                <w:sz w:val="14"/>
              </w:rPr>
              <w:t>Accessed 27 July 2026; applicability described in text.</w:t>
            </w:r>
          </w:p>
        </w:tc>
      </w:tr>
      <w:tr>
        <w:tc>
          <w:tcPr>
            <w:tcW w:type="dxa" w:w="3408"/>
            <w:shd w:fill="EAF2F4"/>
          </w:tcPr>
          <w:p>
            <w:bookmarkStart w:id="3022" w:name="REF_022"/>
            <w:r>
              <w:rPr>
                <w:sz w:val="14"/>
              </w:rPr>
              <w:t>REF-022</w:t>
            </w:r>
            <w:bookmarkEnd w:id="3022"/>
          </w:p>
        </w:tc>
        <w:tc>
          <w:tcPr>
            <w:tcW w:type="dxa" w:w="3408"/>
            <w:shd w:fill="EAF2F4"/>
          </w:tcPr>
          <w:p>
            <w:hyperlink r:id="rId32">
              <w:r>
                <w:rPr>
                  <w:color w:val="315F7D"/>
                  <w:u w:val="single"/>
                </w:rPr>
                <w:t>Bank of England and PRA outsourcing and third-party risk</w:t>
              </w:r>
            </w:hyperlink>
          </w:p>
        </w:tc>
        <w:tc>
          <w:tcPr>
            <w:tcW w:type="dxa" w:w="3408"/>
            <w:shd w:fill="EAF2F4"/>
          </w:tcPr>
          <w:p>
            <w:r>
              <w:rPr>
                <w:sz w:val="14"/>
              </w:rPr>
              <w:t>Accessed 27 July 2026; applicability described in text.</w:t>
            </w:r>
          </w:p>
        </w:tc>
      </w:tr>
    </w:tbl>
    <w:p/>
    <w:p>
      <w:bookmarkStart w:id="976125" w:name="APPENDICES"/>
      <w:pPr>
        <w:pStyle w:val="Heading1"/>
      </w:pPr>
      <w:r>
        <w:t>Appendices</w:t>
      </w:r>
      <w:bookmarkEnd w:id="976125"/>
    </w:p>
    <w:p>
      <w:pPr>
        <w:pStyle w:val="Heading2"/>
      </w:pPr>
      <w:r>
        <w:t>Appendix A — Serena Capability Inventory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Capability</w:t>
            </w:r>
          </w:p>
        </w:tc>
        <w:tc>
          <w:tcPr>
            <w:tcW w:type="dxa" w:w="3408"/>
            <w:shd w:fill="17324D"/>
          </w:tcPr>
          <w:p>
            <w:r>
              <w:rPr>
                <w:b/>
                <w:color w:val="FFFFFF"/>
                <w:sz w:val="14"/>
              </w:rPr>
              <w:t>Authority</w:t>
            </w:r>
          </w:p>
        </w:tc>
        <w:tc>
          <w:tcPr>
            <w:tcW w:type="dxa" w:w="3408"/>
            <w:shd w:fill="17324D"/>
          </w:tcPr>
          <w:p>
            <w:r>
              <w:rPr>
                <w:b/>
                <w:color w:val="FFFFFF"/>
                <w:sz w:val="14"/>
              </w:rPr>
              <w:t>Enterprise disposition</w:t>
            </w:r>
          </w:p>
        </w:tc>
      </w:tr>
      <w:tr>
        <w:trPr>
          <w:cantSplit/>
        </w:trPr>
        <w:tc>
          <w:tcPr>
            <w:tcW w:type="dxa" w:w="3408"/>
            <w:vAlign w:val="center"/>
          </w:tcPr>
          <w:p>
            <w:pPr>
              <w:spacing w:after="20"/>
            </w:pPr>
            <w:r>
              <w:rPr>
                <w:sz w:val="14"/>
              </w:rPr>
              <w:t>Symbol search, references and overview</w:t>
            </w:r>
          </w:p>
        </w:tc>
        <w:tc>
          <w:tcPr>
            <w:tcW w:type="dxa" w:w="3408"/>
            <w:vAlign w:val="center"/>
          </w:tcPr>
          <w:p>
            <w:pPr>
              <w:spacing w:after="20"/>
            </w:pPr>
            <w:r>
              <w:rPr>
                <w:sz w:val="14"/>
              </w:rPr>
              <w:t>Repository read</w:t>
            </w:r>
          </w:p>
        </w:tc>
        <w:tc>
          <w:tcPr>
            <w:tcW w:type="dxa" w:w="3408"/>
            <w:vAlign w:val="center"/>
          </w:tcPr>
          <w:p>
            <w:pPr>
              <w:spacing w:after="20"/>
            </w:pPr>
            <w:r>
              <w:rPr>
                <w:sz w:val="14"/>
              </w:rPr>
              <w:t>Candidate read-only pilot after cache containment.</w:t>
            </w:r>
          </w:p>
        </w:tc>
      </w:tr>
      <w:tr>
        <w:trPr>
          <w:cantSplit/>
        </w:trPr>
        <w:tc>
          <w:tcPr>
            <w:tcW w:type="dxa" w:w="3408"/>
            <w:vAlign w:val="center"/>
            <w:shd w:fill="EAF2F4"/>
          </w:tcPr>
          <w:p>
            <w:pPr>
              <w:spacing w:after="20"/>
            </w:pPr>
            <w:r>
              <w:rPr>
                <w:sz w:val="14"/>
              </w:rPr>
              <w:t>Semantic insertion, replacement, rename</w:t>
            </w:r>
          </w:p>
        </w:tc>
        <w:tc>
          <w:tcPr>
            <w:tcW w:type="dxa" w:w="3408"/>
            <w:vAlign w:val="center"/>
            <w:shd w:fill="EAF2F4"/>
          </w:tcPr>
          <w:p>
            <w:pPr>
              <w:spacing w:after="20"/>
            </w:pPr>
            <w:r>
              <w:rPr>
                <w:sz w:val="14"/>
              </w:rPr>
              <w:t>Repository write</w:t>
            </w:r>
          </w:p>
        </w:tc>
        <w:tc>
          <w:tcPr>
            <w:tcW w:type="dxa" w:w="3408"/>
            <w:vAlign w:val="center"/>
            <w:shd w:fill="EAF2F4"/>
          </w:tcPr>
          <w:p>
            <w:pPr>
              <w:spacing w:after="20"/>
            </w:pPr>
            <w:r>
              <w:rPr>
                <w:sz w:val="14"/>
              </w:rPr>
              <w:t>Disabled until explicit write approval and independent verification.</w:t>
            </w:r>
          </w:p>
        </w:tc>
      </w:tr>
      <w:tr>
        <w:trPr>
          <w:cantSplit/>
        </w:trPr>
        <w:tc>
          <w:tcPr>
            <w:tcW w:type="dxa" w:w="3408"/>
            <w:vAlign w:val="center"/>
          </w:tcPr>
          <w:p>
            <w:pPr>
              <w:spacing w:after="20"/>
            </w:pPr>
            <w:r>
              <w:rPr>
                <w:sz w:val="14"/>
              </w:rPr>
              <w:t>Project memories</w:t>
            </w:r>
          </w:p>
        </w:tc>
        <w:tc>
          <w:tcPr>
            <w:tcW w:type="dxa" w:w="3408"/>
            <w:vAlign w:val="center"/>
          </w:tcPr>
          <w:p>
            <w:pPr>
              <w:spacing w:after="20"/>
            </w:pPr>
            <w:r>
              <w:rPr>
                <w:sz w:val="14"/>
              </w:rPr>
              <w:t>Read/write persistent context</w:t>
            </w:r>
          </w:p>
        </w:tc>
        <w:tc>
          <w:tcPr>
            <w:tcW w:type="dxa" w:w="3408"/>
            <w:vAlign w:val="center"/>
          </w:tcPr>
          <w:p>
            <w:pPr>
              <w:spacing w:after="20"/>
            </w:pPr>
            <w:r>
              <w:rPr>
                <w:sz w:val="14"/>
              </w:rPr>
              <w:t>Synthetic only; retention and secret scanning required.</w:t>
            </w:r>
          </w:p>
        </w:tc>
      </w:tr>
      <w:tr>
        <w:trPr>
          <w:cantSplit/>
        </w:trPr>
        <w:tc>
          <w:tcPr>
            <w:tcW w:type="dxa" w:w="3408"/>
            <w:vAlign w:val="center"/>
            <w:shd w:fill="EAF2F4"/>
          </w:tcPr>
          <w:p>
            <w:pPr>
              <w:spacing w:after="20"/>
            </w:pPr>
            <w:r>
              <w:rPr>
                <w:sz w:val="14"/>
              </w:rPr>
              <w:t>Generic shell/file tools</w:t>
            </w:r>
          </w:p>
        </w:tc>
        <w:tc>
          <w:tcPr>
            <w:tcW w:type="dxa" w:w="3408"/>
            <w:vAlign w:val="center"/>
            <w:shd w:fill="EAF2F4"/>
          </w:tcPr>
          <w:p>
            <w:pPr>
              <w:spacing w:after="20"/>
            </w:pPr>
            <w:r>
              <w:rPr>
                <w:sz w:val="14"/>
              </w:rPr>
              <w:t>Command/filesystem</w:t>
            </w:r>
          </w:p>
        </w:tc>
        <w:tc>
          <w:tcPr>
            <w:tcW w:type="dxa" w:w="3408"/>
            <w:vAlign w:val="center"/>
            <w:shd w:fill="EAF2F4"/>
          </w:tcPr>
          <w:p>
            <w:pPr>
              <w:spacing w:after="20"/>
            </w:pPr>
            <w:r>
              <w:rPr>
                <w:sz w:val="14"/>
              </w:rPr>
              <w:t>Excluded by vscode context; explicitly deny everywhere.</w:t>
            </w:r>
          </w:p>
        </w:tc>
      </w:tr>
      <w:tr>
        <w:trPr>
          <w:cantSplit/>
        </w:trPr>
        <w:tc>
          <w:tcPr>
            <w:tcW w:type="dxa" w:w="3408"/>
            <w:vAlign w:val="center"/>
          </w:tcPr>
          <w:p>
            <w:pPr>
              <w:spacing w:after="20"/>
            </w:pPr>
            <w:r>
              <w:rPr>
                <w:sz w:val="14"/>
              </w:rPr>
              <w:t>Activation command and LS settings</w:t>
            </w:r>
          </w:p>
        </w:tc>
        <w:tc>
          <w:tcPr>
            <w:tcW w:type="dxa" w:w="3408"/>
            <w:vAlign w:val="center"/>
          </w:tcPr>
          <w:p>
            <w:pPr>
              <w:spacing w:after="20"/>
            </w:pPr>
            <w:r>
              <w:rPr>
                <w:sz w:val="14"/>
              </w:rPr>
              <w:t>Process/configuration</w:t>
            </w:r>
          </w:p>
        </w:tc>
        <w:tc>
          <w:tcPr>
            <w:tcW w:type="dxa" w:w="3408"/>
            <w:vAlign w:val="center"/>
          </w:tcPr>
          <w:p>
            <w:pPr>
              <w:spacing w:after="20"/>
            </w:pPr>
            <w:r>
              <w:rPr>
                <w:sz w:val="14"/>
              </w:rPr>
              <w:t>Deny unless project path and exact command are reviewed.</w:t>
            </w:r>
          </w:p>
        </w:tc>
      </w:tr>
      <w:tr>
        <w:trPr>
          <w:cantSplit/>
        </w:trPr>
        <w:tc>
          <w:tcPr>
            <w:tcW w:type="dxa" w:w="3408"/>
            <w:vAlign w:val="center"/>
            <w:shd w:fill="EAF2F4"/>
          </w:tcPr>
          <w:p>
            <w:pPr>
              <w:spacing w:after="20"/>
            </w:pPr>
            <w:r>
              <w:rPr>
                <w:sz w:val="14"/>
              </w:rPr>
              <w:t>Dashboard</w:t>
            </w:r>
          </w:p>
        </w:tc>
        <w:tc>
          <w:tcPr>
            <w:tcW w:type="dxa" w:w="3408"/>
            <w:vAlign w:val="center"/>
            <w:shd w:fill="EAF2F4"/>
          </w:tcPr>
          <w:p>
            <w:pPr>
              <w:spacing w:after="20"/>
            </w:pPr>
            <w:r>
              <w:rPr>
                <w:sz w:val="14"/>
              </w:rPr>
              <w:t>Local config/log/memory API</w:t>
            </w:r>
          </w:p>
        </w:tc>
        <w:tc>
          <w:tcPr>
            <w:tcW w:type="dxa" w:w="3408"/>
            <w:vAlign w:val="center"/>
            <w:shd w:fill="EAF2F4"/>
          </w:tcPr>
          <w:p>
            <w:pPr>
              <w:spacing w:after="20"/>
            </w:pPr>
            <w:r>
              <w:rPr>
                <w:sz w:val="14"/>
              </w:rPr>
              <w:t>Disable.</w:t>
            </w:r>
          </w:p>
        </w:tc>
      </w:tr>
      <w:tr>
        <w:trPr>
          <w:cantSplit/>
        </w:trPr>
        <w:tc>
          <w:tcPr>
            <w:tcW w:type="dxa" w:w="3408"/>
            <w:vAlign w:val="center"/>
          </w:tcPr>
          <w:p>
            <w:pPr>
              <w:spacing w:after="20"/>
            </w:pPr>
            <w:r>
              <w:rPr>
                <w:sz w:val="14"/>
              </w:rPr>
              <w:t>Usage/news/version services</w:t>
            </w:r>
          </w:p>
        </w:tc>
        <w:tc>
          <w:tcPr>
            <w:tcW w:type="dxa" w:w="3408"/>
            <w:vAlign w:val="center"/>
          </w:tcPr>
          <w:p>
            <w:pPr>
              <w:spacing w:after="20"/>
            </w:pPr>
            <w:r>
              <w:rPr>
                <w:sz w:val="14"/>
              </w:rPr>
              <w:t>External egress</w:t>
            </w:r>
          </w:p>
        </w:tc>
        <w:tc>
          <w:tcPr>
            <w:tcW w:type="dxa" w:w="3408"/>
            <w:vAlign w:val="center"/>
          </w:tcPr>
          <w:p>
            <w:pPr>
              <w:spacing w:after="20"/>
            </w:pPr>
            <w:r>
              <w:rPr>
                <w:sz w:val="14"/>
              </w:rPr>
              <w:t>Disable or proxy/allowlist.</w:t>
            </w:r>
          </w:p>
        </w:tc>
      </w:tr>
      <w:tr>
        <w:trPr>
          <w:cantSplit/>
        </w:trPr>
        <w:tc>
          <w:tcPr>
            <w:tcW w:type="dxa" w:w="3408"/>
            <w:vAlign w:val="center"/>
            <w:shd w:fill="EAF2F4"/>
          </w:tcPr>
          <w:p>
            <w:pPr>
              <w:spacing w:after="20"/>
            </w:pPr>
            <w:r>
              <w:rPr>
                <w:sz w:val="14"/>
              </w:rPr>
              <w:t>Language-server acquisition</w:t>
            </w:r>
          </w:p>
        </w:tc>
        <w:tc>
          <w:tcPr>
            <w:tcW w:type="dxa" w:w="3408"/>
            <w:vAlign w:val="center"/>
            <w:shd w:fill="EAF2F4"/>
          </w:tcPr>
          <w:p>
            <w:pPr>
              <w:spacing w:after="20"/>
            </w:pPr>
            <w:r>
              <w:rPr>
                <w:sz w:val="14"/>
              </w:rPr>
              <w:t>Download and execute</w:t>
            </w:r>
          </w:p>
        </w:tc>
        <w:tc>
          <w:tcPr>
            <w:tcW w:type="dxa" w:w="3408"/>
            <w:vAlign w:val="center"/>
            <w:shd w:fill="EAF2F4"/>
          </w:tcPr>
          <w:p>
            <w:pPr>
              <w:spacing w:after="20"/>
            </w:pPr>
            <w:r>
              <w:rPr>
                <w:sz w:val="14"/>
              </w:rPr>
              <w:t>Internal approved distribution only.</w:t>
            </w:r>
          </w:p>
        </w:tc>
      </w:tr>
    </w:tbl>
    <w:p/>
    <w:p>
      <w:pPr>
        <w:pStyle w:val="Heading2"/>
      </w:pPr>
      <w:r>
        <w:t>Appendix B — SBOM and Advisory Triage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Evidence</w:t>
            </w:r>
          </w:p>
        </w:tc>
        <w:tc>
          <w:tcPr>
            <w:tcW w:type="dxa" w:w="3408"/>
            <w:shd w:fill="17324D"/>
          </w:tcPr>
          <w:p>
            <w:r>
              <w:rPr>
                <w:b/>
                <w:color w:val="FFFFFF"/>
                <w:sz w:val="14"/>
              </w:rPr>
              <w:t>Result</w:t>
            </w:r>
          </w:p>
        </w:tc>
        <w:tc>
          <w:tcPr>
            <w:tcW w:type="dxa" w:w="3408"/>
            <w:shd w:fill="17324D"/>
          </w:tcPr>
          <w:p>
            <w:r>
              <w:rPr>
                <w:b/>
                <w:color w:val="FFFFFF"/>
                <w:sz w:val="14"/>
              </w:rPr>
              <w:t>Disposition</w:t>
            </w:r>
          </w:p>
        </w:tc>
      </w:tr>
      <w:tr>
        <w:trPr>
          <w:cantSplit/>
        </w:trPr>
        <w:tc>
          <w:tcPr>
            <w:tcW w:type="dxa" w:w="3408"/>
            <w:vAlign w:val="center"/>
          </w:tcPr>
          <w:p>
            <w:pPr>
              <w:spacing w:after="20"/>
            </w:pPr>
            <w:r>
              <w:rPr>
                <w:sz w:val="14"/>
              </w:rPr>
              <w:t>Syft wheel inventory</w:t>
            </w:r>
          </w:p>
        </w:tc>
        <w:tc>
          <w:tcPr>
            <w:tcW w:type="dxa" w:w="3408"/>
            <w:vAlign w:val="center"/>
          </w:tcPr>
          <w:p>
            <w:pPr>
              <w:spacing w:after="20"/>
            </w:pPr>
            <w:r>
              <w:rPr>
                <w:sz w:val="14"/>
              </w:rPr>
              <w:t>212 components: one library plus file records</w:t>
            </w:r>
          </w:p>
        </w:tc>
        <w:tc>
          <w:tcPr>
            <w:tcW w:type="dxa" w:w="3408"/>
            <w:vAlign w:val="center"/>
          </w:tcPr>
          <w:p>
            <w:pPr>
              <w:spacing w:after="20"/>
            </w:pPr>
            <w:r>
              <w:rPr>
                <w:sz w:val="14"/>
              </w:rPr>
              <w:t>Useful file inventory; incomplete transitive dependency SBOM.</w:t>
            </w:r>
          </w:p>
        </w:tc>
      </w:tr>
      <w:tr>
        <w:trPr>
          <w:cantSplit/>
        </w:trPr>
        <w:tc>
          <w:tcPr>
            <w:tcW w:type="dxa" w:w="3408"/>
            <w:vAlign w:val="center"/>
            <w:shd w:fill="EAF2F4"/>
          </w:tcPr>
          <w:p>
            <w:pPr>
              <w:spacing w:after="20"/>
            </w:pPr>
            <w:r>
              <w:rPr>
                <w:sz w:val="14"/>
              </w:rPr>
              <w:t>Grype SBOM scan</w:t>
            </w:r>
          </w:p>
        </w:tc>
        <w:tc>
          <w:tcPr>
            <w:tcW w:type="dxa" w:w="3408"/>
            <w:vAlign w:val="center"/>
            <w:shd w:fill="EAF2F4"/>
          </w:tcPr>
          <w:p>
            <w:pPr>
              <w:spacing w:after="20"/>
            </w:pPr>
            <w:r>
              <w:rPr>
                <w:sz w:val="14"/>
              </w:rPr>
              <w:t>0 matches</w:t>
            </w:r>
          </w:p>
        </w:tc>
        <w:tc>
          <w:tcPr>
            <w:tcW w:type="dxa" w:w="3408"/>
            <w:vAlign w:val="center"/>
            <w:shd w:fill="EAF2F4"/>
          </w:tcPr>
          <w:p>
            <w:pPr>
              <w:spacing w:after="20"/>
            </w:pPr>
            <w:r>
              <w:rPr>
                <w:sz w:val="14"/>
              </w:rPr>
              <w:t>Limited by SBOM dependency visibility.</w:t>
            </w:r>
          </w:p>
        </w:tc>
      </w:tr>
      <w:tr>
        <w:trPr>
          <w:cantSplit/>
        </w:trPr>
        <w:tc>
          <w:tcPr>
            <w:tcW w:type="dxa" w:w="3408"/>
            <w:vAlign w:val="center"/>
          </w:tcPr>
          <w:p>
            <w:pPr>
              <w:spacing w:after="20"/>
            </w:pPr>
            <w:r>
              <w:rPr>
                <w:sz w:val="14"/>
              </w:rPr>
              <w:t>Trivy wheel directory</w:t>
            </w:r>
          </w:p>
        </w:tc>
        <w:tc>
          <w:tcPr>
            <w:tcW w:type="dxa" w:w="3408"/>
            <w:vAlign w:val="center"/>
          </w:tcPr>
          <w:p>
            <w:pPr>
              <w:spacing w:after="20"/>
            </w:pPr>
            <w:r>
              <w:rPr>
                <w:sz w:val="14"/>
              </w:rPr>
              <w:t>0 recognized package results</w:t>
            </w:r>
          </w:p>
        </w:tc>
        <w:tc>
          <w:tcPr>
            <w:tcW w:type="dxa" w:w="3408"/>
            <w:vAlign w:val="center"/>
          </w:tcPr>
          <w:p>
            <w:pPr>
              <w:spacing w:after="20"/>
            </w:pPr>
            <w:r>
              <w:rPr>
                <w:sz w:val="14"/>
              </w:rPr>
              <w:t>Visibility limitation, not a clean bill of health.</w:t>
            </w:r>
          </w:p>
        </w:tc>
      </w:tr>
      <w:tr>
        <w:trPr>
          <w:cantSplit/>
        </w:trPr>
        <w:tc>
          <w:tcPr>
            <w:tcW w:type="dxa" w:w="3408"/>
            <w:vAlign w:val="center"/>
            <w:shd w:fill="EAF2F4"/>
          </w:tcPr>
          <w:p>
            <w:pPr>
              <w:spacing w:after="20"/>
            </w:pPr>
            <w:r>
              <w:rPr>
                <w:sz w:val="14"/>
              </w:rPr>
              <w:t>OSV repository uv.lock</w:t>
            </w:r>
          </w:p>
        </w:tc>
        <w:tc>
          <w:tcPr>
            <w:tcW w:type="dxa" w:w="3408"/>
            <w:vAlign w:val="center"/>
            <w:shd w:fill="EAF2F4"/>
          </w:tcPr>
          <w:p>
            <w:pPr>
              <w:spacing w:after="20"/>
            </w:pPr>
            <w:r>
              <w:rPr>
                <w:sz w:val="14"/>
              </w:rPr>
              <w:t>65 records across 8 packages</w:t>
            </w:r>
          </w:p>
        </w:tc>
        <w:tc>
          <w:tcPr>
            <w:tcW w:type="dxa" w:w="3408"/>
            <w:vAlign w:val="center"/>
            <w:shd w:fill="EAF2F4"/>
          </w:tcPr>
          <w:p>
            <w:pPr>
              <w:spacing w:after="20"/>
            </w:pPr>
            <w:r>
              <w:rPr>
                <w:sz w:val="14"/>
              </w:rPr>
              <w:t>Includes dev/extras; update debt requires triage.</w:t>
            </w:r>
          </w:p>
        </w:tc>
      </w:tr>
      <w:tr>
        <w:trPr>
          <w:cantSplit/>
        </w:trPr>
        <w:tc>
          <w:tcPr>
            <w:tcW w:type="dxa" w:w="3408"/>
            <w:vAlign w:val="center"/>
          </w:tcPr>
          <w:p>
            <w:pPr>
              <w:spacing w:after="20"/>
            </w:pPr>
            <w:r>
              <w:rPr>
                <w:sz w:val="14"/>
              </w:rPr>
              <w:t>OSV current runtime resolution</w:t>
            </w:r>
          </w:p>
        </w:tc>
        <w:tc>
          <w:tcPr>
            <w:tcW w:type="dxa" w:w="3408"/>
            <w:vAlign w:val="center"/>
          </w:tcPr>
          <w:p>
            <w:pPr>
              <w:spacing w:after="20"/>
            </w:pPr>
            <w:r>
              <w:rPr>
                <w:sz w:val="14"/>
              </w:rPr>
              <w:t>76 packages; 0 records</w:t>
            </w:r>
          </w:p>
        </w:tc>
        <w:tc>
          <w:tcPr>
            <w:tcW w:type="dxa" w:w="3408"/>
            <w:vAlign w:val="center"/>
          </w:tcPr>
          <w:p>
            <w:pPr>
              <w:spacing w:after="20"/>
            </w:pPr>
            <w:r>
              <w:rPr>
                <w:sz w:val="14"/>
              </w:rPr>
              <w:t>Dated, non-immutable resolution.</w:t>
            </w:r>
          </w:p>
        </w:tc>
      </w:tr>
      <w:tr>
        <w:trPr>
          <w:cantSplit/>
        </w:trPr>
        <w:tc>
          <w:tcPr>
            <w:tcW w:type="dxa" w:w="3408"/>
            <w:vAlign w:val="center"/>
            <w:shd w:fill="EAF2F4"/>
          </w:tcPr>
          <w:p>
            <w:pPr>
              <w:spacing w:after="20"/>
            </w:pPr>
            <w:r>
              <w:rPr>
                <w:sz w:val="14"/>
              </w:rPr>
              <w:t>GHSA-37h2-6p4f-mp3q</w:t>
            </w:r>
          </w:p>
        </w:tc>
        <w:tc>
          <w:tcPr>
            <w:tcW w:type="dxa" w:w="3408"/>
            <w:vAlign w:val="center"/>
            <w:shd w:fill="EAF2F4"/>
          </w:tcPr>
          <w:p>
            <w:pPr>
              <w:spacing w:after="20"/>
            </w:pPr>
            <w:r>
              <w:rPr>
                <w:sz w:val="14"/>
              </w:rPr>
              <w:t>v1.6.1 outside vulnerable range</w:t>
            </w:r>
          </w:p>
        </w:tc>
        <w:tc>
          <w:tcPr>
            <w:tcW w:type="dxa" w:w="3408"/>
            <w:vAlign w:val="center"/>
            <w:shd w:fill="EAF2F4"/>
          </w:tcPr>
          <w:p>
            <w:pPr>
              <w:spacing w:after="20"/>
            </w:pPr>
            <w:r>
              <w:rPr>
                <w:sz w:val="14"/>
              </w:rPr>
              <w:t>Historical dashboard regression; not a current finding.</w:t>
            </w:r>
          </w:p>
        </w:tc>
      </w:tr>
    </w:tbl>
    <w:p/>
    <w:p>
      <w:pPr>
        <w:pStyle w:val="Heading2"/>
      </w:pPr>
      <w:r>
        <w:t>Appendix C — Runtime Verification Procedure</w:t>
      </w:r>
    </w:p>
    <w:p>
      <w:r>
        <w:t>1. Create disposable managed macOS and Windows 11 hosts; patch, time-sync, snapshot and create clean VS Code/Visual Studio profiles.</w:t>
      </w:r>
    </w:p>
    <w:p>
      <w:r>
        <w:t>2. Create a synthetic repository containing safe hostile instructions, boundary paths and non-executable malformed cache fixtures; no real credentials.</w:t>
      </w:r>
    </w:p>
    <w:p>
      <w:r>
        <w:t>3. Baseline files, config, credentials, processes, listeners, DNS/TLS, logs, package caches, Serena data and MCP tools.</w:t>
      </w:r>
    </w:p>
    <w:p>
      <w:r>
        <w:t>4. Install only the approved wheel and dependency hashes offline; prohibit automatic language-server downloads and external egress.</w:t>
      </w:r>
    </w:p>
    <w:p>
      <w:r>
        <w:t>5. Start with read_only, explicit trusted paths, dashboard/reporting disabled and minimal tools; capture tools/list and prompts.</w:t>
      </w:r>
    </w:p>
    <w:p>
      <w:r>
        <w:t>6. Exercise reads and denied writes; verify project cache rejection, prompt-injection resistance, consent specificity and path boundaries.</w:t>
      </w:r>
    </w:p>
    <w:p>
      <w:r>
        <w:t>7. If write testing is separately approved, capture each approval, diff and independent build/test result; never follow verification-bypass prompts.</w:t>
      </w:r>
    </w:p>
    <w:p>
      <w:r>
        <w:t>8. Restart, update and uninstall; revoke configuration; compare residue; retain sanitized hashes/logs and roll back the host.</w:t>
      </w:r>
    </w:p>
    <w:p>
      <w:pPr>
        <w:pStyle w:val="Heading2"/>
      </w:pPr>
      <w:r>
        <w:t>Appendix D — Claim-to-Stage Assembly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2"/>
              </w:rPr>
              <w:t>Stage</w:t>
            </w:r>
          </w:p>
        </w:tc>
        <w:tc>
          <w:tcPr>
            <w:tcW w:type="dxa" w:w="2556"/>
            <w:shd w:fill="17324D"/>
          </w:tcPr>
          <w:p>
            <w:r>
              <w:rPr>
                <w:b/>
                <w:color w:val="FFFFFF"/>
                <w:sz w:val="12"/>
              </w:rPr>
              <w:t>File</w:t>
            </w:r>
          </w:p>
        </w:tc>
        <w:tc>
          <w:tcPr>
            <w:tcW w:type="dxa" w:w="2556"/>
            <w:shd w:fill="17324D"/>
          </w:tcPr>
          <w:p>
            <w:r>
              <w:rPr>
                <w:b/>
                <w:color w:val="FFFFFF"/>
                <w:sz w:val="12"/>
              </w:rPr>
              <w:t>SHA-256</w:t>
            </w:r>
          </w:p>
        </w:tc>
        <w:tc>
          <w:tcPr>
            <w:tcW w:type="dxa" w:w="2556"/>
            <w:shd w:fill="17324D"/>
          </w:tcPr>
          <w:p>
            <w:r>
              <w:rPr>
                <w:b/>
                <w:color w:val="FFFFFF"/>
                <w:sz w:val="12"/>
              </w:rPr>
              <w:t>Report use</w:t>
            </w:r>
          </w:p>
        </w:tc>
      </w:tr>
      <w:tr>
        <w:trPr>
          <w:cantSplit/>
        </w:trPr>
        <w:tc>
          <w:tcPr>
            <w:tcW w:type="dxa" w:w="2556"/>
            <w:vAlign w:val="center"/>
          </w:tcPr>
          <w:p>
            <w:pPr>
              <w:spacing w:after="20"/>
            </w:pPr>
            <w:r>
              <w:rPr>
                <w:sz w:val="12"/>
              </w:rPr>
              <w:t>1</w:t>
            </w:r>
          </w:p>
        </w:tc>
        <w:tc>
          <w:tcPr>
            <w:tcW w:type="dxa" w:w="2556"/>
            <w:vAlign w:val="center"/>
          </w:tcPr>
          <w:p>
            <w:pPr>
              <w:spacing w:after="20"/>
            </w:pPr>
            <w:r>
              <w:rPr>
                <w:sz w:val="12"/>
              </w:rPr>
              <w:t>01-intake-readiness.md</w:t>
            </w:r>
          </w:p>
        </w:tc>
        <w:tc>
          <w:tcPr>
            <w:tcW w:type="dxa" w:w="2556"/>
            <w:vAlign w:val="center"/>
          </w:tcPr>
          <w:p>
            <w:pPr>
              <w:spacing w:after="20"/>
            </w:pPr>
            <w:r>
              <w:rPr>
                <w:sz w:val="12"/>
              </w:rPr>
              <w:t>79d282b5a8478e5ff098058439be7d008e2ac4f86aa933e3e6f0ae1877182862</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2</w:t>
            </w:r>
          </w:p>
        </w:tc>
        <w:tc>
          <w:tcPr>
            <w:tcW w:type="dxa" w:w="2556"/>
            <w:vAlign w:val="center"/>
            <w:shd w:fill="EAF2F4"/>
          </w:tcPr>
          <w:p>
            <w:pPr>
              <w:spacing w:after="20"/>
            </w:pPr>
            <w:r>
              <w:rPr>
                <w:sz w:val="12"/>
              </w:rPr>
              <w:t>02-evidence-plan-register.md</w:t>
            </w:r>
          </w:p>
        </w:tc>
        <w:tc>
          <w:tcPr>
            <w:tcW w:type="dxa" w:w="2556"/>
            <w:vAlign w:val="center"/>
            <w:shd w:fill="EAF2F4"/>
          </w:tcPr>
          <w:p>
            <w:pPr>
              <w:spacing w:after="20"/>
            </w:pPr>
            <w:r>
              <w:rPr>
                <w:sz w:val="12"/>
              </w:rPr>
              <w:t>bfe8b07898942f143a456e187292d75f88a5d1091727cd23be3c08cded9102fc</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3</w:t>
            </w:r>
          </w:p>
        </w:tc>
        <w:tc>
          <w:tcPr>
            <w:tcW w:type="dxa" w:w="2556"/>
            <w:vAlign w:val="center"/>
          </w:tcPr>
          <w:p>
            <w:pPr>
              <w:spacing w:after="20"/>
            </w:pPr>
            <w:r>
              <w:rPr>
                <w:sz w:val="12"/>
              </w:rPr>
              <w:t>03-acquisition-provenance.md</w:t>
            </w:r>
          </w:p>
        </w:tc>
        <w:tc>
          <w:tcPr>
            <w:tcW w:type="dxa" w:w="2556"/>
            <w:vAlign w:val="center"/>
          </w:tcPr>
          <w:p>
            <w:pPr>
              <w:spacing w:after="20"/>
            </w:pPr>
            <w:r>
              <w:rPr>
                <w:sz w:val="12"/>
              </w:rPr>
              <w:t>5c7d5e475c364913fd236af795393c0fcd50ae0ef52356a23efa3e717fe0b33c</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4</w:t>
            </w:r>
          </w:p>
        </w:tc>
        <w:tc>
          <w:tcPr>
            <w:tcW w:type="dxa" w:w="2556"/>
            <w:vAlign w:val="center"/>
            <w:shd w:fill="EAF2F4"/>
          </w:tcPr>
          <w:p>
            <w:pPr>
              <w:spacing w:after="20"/>
            </w:pPr>
            <w:r>
              <w:rPr>
                <w:sz w:val="12"/>
              </w:rPr>
              <w:t>04-static-inspection.md</w:t>
            </w:r>
          </w:p>
        </w:tc>
        <w:tc>
          <w:tcPr>
            <w:tcW w:type="dxa" w:w="2556"/>
            <w:vAlign w:val="center"/>
            <w:shd w:fill="EAF2F4"/>
          </w:tcPr>
          <w:p>
            <w:pPr>
              <w:spacing w:after="20"/>
            </w:pPr>
            <w:r>
              <w:rPr>
                <w:sz w:val="12"/>
              </w:rPr>
              <w:t>470f0109f93a61b445a463ccec0d0bde567a52207da059ee7ba7c13545c3972e</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5</w:t>
            </w:r>
          </w:p>
        </w:tc>
        <w:tc>
          <w:tcPr>
            <w:tcW w:type="dxa" w:w="2556"/>
            <w:vAlign w:val="center"/>
          </w:tcPr>
          <w:p>
            <w:pPr>
              <w:spacing w:after="20"/>
            </w:pPr>
            <w:r>
              <w:rPr>
                <w:sz w:val="12"/>
              </w:rPr>
              <w:t>05-per-ide-installation.md</w:t>
            </w:r>
          </w:p>
        </w:tc>
        <w:tc>
          <w:tcPr>
            <w:tcW w:type="dxa" w:w="2556"/>
            <w:vAlign w:val="center"/>
          </w:tcPr>
          <w:p>
            <w:pPr>
              <w:spacing w:after="20"/>
            </w:pPr>
            <w:r>
              <w:rPr>
                <w:sz w:val="12"/>
              </w:rPr>
              <w:t>051b2b566853c00d40281cb9836a4c3d27bd04eae86620ba5e3c769b056144e1</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6</w:t>
            </w:r>
          </w:p>
        </w:tc>
        <w:tc>
          <w:tcPr>
            <w:tcW w:type="dxa" w:w="2556"/>
            <w:vAlign w:val="center"/>
            <w:shd w:fill="EAF2F4"/>
          </w:tcPr>
          <w:p>
            <w:pPr>
              <w:spacing w:after="20"/>
            </w:pPr>
            <w:r>
              <w:rPr>
                <w:sz w:val="12"/>
              </w:rPr>
              <w:t>06-architecture-data-flows.md</w:t>
            </w:r>
          </w:p>
        </w:tc>
        <w:tc>
          <w:tcPr>
            <w:tcW w:type="dxa" w:w="2556"/>
            <w:vAlign w:val="center"/>
            <w:shd w:fill="EAF2F4"/>
          </w:tcPr>
          <w:p>
            <w:pPr>
              <w:spacing w:after="20"/>
            </w:pPr>
            <w:r>
              <w:rPr>
                <w:sz w:val="12"/>
              </w:rPr>
              <w:t>2ae4ef2282805d3bb41260df7a193f607973cbd602e4035c9f2a5ddeef273a3f</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7</w:t>
            </w:r>
          </w:p>
        </w:tc>
        <w:tc>
          <w:tcPr>
            <w:tcW w:type="dxa" w:w="2556"/>
            <w:vAlign w:val="center"/>
          </w:tcPr>
          <w:p>
            <w:pPr>
              <w:spacing w:after="20"/>
            </w:pPr>
            <w:r>
              <w:rPr>
                <w:sz w:val="12"/>
              </w:rPr>
              <w:t>07-runtime-observations.md</w:t>
            </w:r>
          </w:p>
        </w:tc>
        <w:tc>
          <w:tcPr>
            <w:tcW w:type="dxa" w:w="2556"/>
            <w:vAlign w:val="center"/>
          </w:tcPr>
          <w:p>
            <w:pPr>
              <w:spacing w:after="20"/>
            </w:pPr>
            <w:r>
              <w:rPr>
                <w:sz w:val="12"/>
              </w:rPr>
              <w:t>4c3aec066a4817d33146340ef47caa3ffed3d816ad10f04fdd62ef428604caf9</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8</w:t>
            </w:r>
          </w:p>
        </w:tc>
        <w:tc>
          <w:tcPr>
            <w:tcW w:type="dxa" w:w="2556"/>
            <w:vAlign w:val="center"/>
            <w:shd w:fill="EAF2F4"/>
          </w:tcPr>
          <w:p>
            <w:pPr>
              <w:spacing w:after="20"/>
            </w:pPr>
            <w:r>
              <w:rPr>
                <w:sz w:val="12"/>
              </w:rPr>
              <w:t>08-malware-supply-chain.md</w:t>
            </w:r>
          </w:p>
        </w:tc>
        <w:tc>
          <w:tcPr>
            <w:tcW w:type="dxa" w:w="2556"/>
            <w:vAlign w:val="center"/>
            <w:shd w:fill="EAF2F4"/>
          </w:tcPr>
          <w:p>
            <w:pPr>
              <w:spacing w:after="20"/>
            </w:pPr>
            <w:r>
              <w:rPr>
                <w:sz w:val="12"/>
              </w:rPr>
              <w:t>c527c3deba1334137344895b8f3b00e35d34560ec872676a8290664ec0e26ef6</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9</w:t>
            </w:r>
          </w:p>
        </w:tc>
        <w:tc>
          <w:tcPr>
            <w:tcW w:type="dxa" w:w="2556"/>
            <w:vAlign w:val="center"/>
          </w:tcPr>
          <w:p>
            <w:pPr>
              <w:spacing w:after="20"/>
            </w:pPr>
            <w:r>
              <w:rPr>
                <w:sz w:val="12"/>
              </w:rPr>
              <w:t>09-sbom-vulnerability.md</w:t>
            </w:r>
          </w:p>
        </w:tc>
        <w:tc>
          <w:tcPr>
            <w:tcW w:type="dxa" w:w="2556"/>
            <w:vAlign w:val="center"/>
          </w:tcPr>
          <w:p>
            <w:pPr>
              <w:spacing w:after="20"/>
            </w:pPr>
            <w:r>
              <w:rPr>
                <w:sz w:val="12"/>
              </w:rPr>
              <w:t>b90430b852d484da2bd494742ef5300a51301e354d12b98da23231bc8eafd402</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10</w:t>
            </w:r>
          </w:p>
        </w:tc>
        <w:tc>
          <w:tcPr>
            <w:tcW w:type="dxa" w:w="2556"/>
            <w:vAlign w:val="center"/>
            <w:shd w:fill="EAF2F4"/>
          </w:tcPr>
          <w:p>
            <w:pPr>
              <w:spacing w:after="20"/>
            </w:pPr>
            <w:r>
              <w:rPr>
                <w:sz w:val="12"/>
              </w:rPr>
              <w:t>10-mcp-agent-skills.md</w:t>
            </w:r>
          </w:p>
        </w:tc>
        <w:tc>
          <w:tcPr>
            <w:tcW w:type="dxa" w:w="2556"/>
            <w:vAlign w:val="center"/>
            <w:shd w:fill="EAF2F4"/>
          </w:tcPr>
          <w:p>
            <w:pPr>
              <w:spacing w:after="20"/>
            </w:pPr>
            <w:r>
              <w:rPr>
                <w:sz w:val="12"/>
              </w:rPr>
              <w:t>a232027eb1e8dee13a49f98583d3266164fc30c7edd9eb8886d778be1deedb12</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11</w:t>
            </w:r>
          </w:p>
        </w:tc>
        <w:tc>
          <w:tcPr>
            <w:tcW w:type="dxa" w:w="2556"/>
            <w:vAlign w:val="center"/>
          </w:tcPr>
          <w:p>
            <w:pPr>
              <w:spacing w:after="20"/>
            </w:pPr>
            <w:r>
              <w:rPr>
                <w:sz w:val="12"/>
              </w:rPr>
              <w:t>11-privacy-regulatory.md</w:t>
            </w:r>
          </w:p>
        </w:tc>
        <w:tc>
          <w:tcPr>
            <w:tcW w:type="dxa" w:w="2556"/>
            <w:vAlign w:val="center"/>
          </w:tcPr>
          <w:p>
            <w:pPr>
              <w:spacing w:after="20"/>
            </w:pPr>
            <w:r>
              <w:rPr>
                <w:sz w:val="12"/>
              </w:rPr>
              <w:t>29dd789198a753fc56ddef716591f454484515eda15100a844725ed61e2d2eb0</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12</w:t>
            </w:r>
          </w:p>
        </w:tc>
        <w:tc>
          <w:tcPr>
            <w:tcW w:type="dxa" w:w="2556"/>
            <w:vAlign w:val="center"/>
            <w:shd w:fill="EAF2F4"/>
          </w:tcPr>
          <w:p>
            <w:pPr>
              <w:spacing w:after="20"/>
            </w:pPr>
            <w:r>
              <w:rPr>
                <w:sz w:val="12"/>
              </w:rPr>
              <w:t>12-framework-mapping.md</w:t>
            </w:r>
          </w:p>
        </w:tc>
        <w:tc>
          <w:tcPr>
            <w:tcW w:type="dxa" w:w="2556"/>
            <w:vAlign w:val="center"/>
            <w:shd w:fill="EAF2F4"/>
          </w:tcPr>
          <w:p>
            <w:pPr>
              <w:spacing w:after="20"/>
            </w:pPr>
            <w:r>
              <w:rPr>
                <w:sz w:val="12"/>
              </w:rPr>
              <w:t>733e4774ac04011004e0d96734d06fd1f7edf613a930ef8a769de4b19530330b</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13</w:t>
            </w:r>
          </w:p>
        </w:tc>
        <w:tc>
          <w:tcPr>
            <w:tcW w:type="dxa" w:w="2556"/>
            <w:vAlign w:val="center"/>
          </w:tcPr>
          <w:p>
            <w:pPr>
              <w:spacing w:after="20"/>
            </w:pPr>
            <w:r>
              <w:rPr>
                <w:sz w:val="12"/>
              </w:rPr>
              <w:t>13-findings-risk-register.md</w:t>
            </w:r>
          </w:p>
        </w:tc>
        <w:tc>
          <w:tcPr>
            <w:tcW w:type="dxa" w:w="2556"/>
            <w:vAlign w:val="center"/>
          </w:tcPr>
          <w:p>
            <w:pPr>
              <w:spacing w:after="20"/>
            </w:pPr>
            <w:r>
              <w:rPr>
                <w:sz w:val="12"/>
              </w:rPr>
              <w:t>5d388eecab6e2932eec00ee9ee33521fa0b9f3dcc13e7193191e213bae3acb7b</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14</w:t>
            </w:r>
          </w:p>
        </w:tc>
        <w:tc>
          <w:tcPr>
            <w:tcW w:type="dxa" w:w="2556"/>
            <w:vAlign w:val="center"/>
            <w:shd w:fill="EAF2F4"/>
          </w:tcPr>
          <w:p>
            <w:pPr>
              <w:spacing w:after="20"/>
            </w:pPr>
            <w:r>
              <w:rPr>
                <w:sz w:val="12"/>
              </w:rPr>
              <w:t>14-controls-detection.md</w:t>
            </w:r>
          </w:p>
        </w:tc>
        <w:tc>
          <w:tcPr>
            <w:tcW w:type="dxa" w:w="2556"/>
            <w:vAlign w:val="center"/>
            <w:shd w:fill="EAF2F4"/>
          </w:tcPr>
          <w:p>
            <w:pPr>
              <w:spacing w:after="20"/>
            </w:pPr>
            <w:r>
              <w:rPr>
                <w:sz w:val="12"/>
              </w:rPr>
              <w:t>c3920d11c24133a3e9ef6594eac340978411a6001e979328e1bf7158cb71c570</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15</w:t>
            </w:r>
          </w:p>
        </w:tc>
        <w:tc>
          <w:tcPr>
            <w:tcW w:type="dxa" w:w="2556"/>
            <w:vAlign w:val="center"/>
          </w:tcPr>
          <w:p>
            <w:pPr>
              <w:spacing w:after="20"/>
            </w:pPr>
            <w:r>
              <w:rPr>
                <w:sz w:val="12"/>
              </w:rPr>
              <w:t>15-claim-evidence-report-qa.md</w:t>
            </w:r>
          </w:p>
        </w:tc>
        <w:tc>
          <w:tcPr>
            <w:tcW w:type="dxa" w:w="2556"/>
            <w:vAlign w:val="center"/>
          </w:tcPr>
          <w:p>
            <w:pPr>
              <w:spacing w:after="20"/>
            </w:pPr>
            <w:r>
              <w:rPr>
                <w:sz w:val="12"/>
              </w:rPr>
              <w:t>8a9d8b9134e415ab018d738d063d0b1333168c80d3c1ae98945446d2c728b752</w:t>
            </w:r>
          </w:p>
        </w:tc>
        <w:tc>
          <w:tcPr>
            <w:tcW w:type="dxa" w:w="2556"/>
            <w:vAlign w:val="center"/>
          </w:tcPr>
          <w:p>
            <w:pPr>
              <w:spacing w:after="20"/>
            </w:pPr>
            <w:r>
              <w:rPr>
                <w:sz w:val="12"/>
              </w:rPr>
              <w:t>Validated input to identity, findings, controls, evidence and QA</w:t>
            </w:r>
          </w:p>
        </w:tc>
      </w:tr>
    </w:tbl>
    <w:p/>
    <w:p>
      <w:pPr>
        <w:pStyle w:val="Heading2"/>
      </w:pPr>
      <w:r>
        <w:t>Appendix E — Trust-Boundary Figure</w:t>
      </w:r>
    </w:p>
    <w:p>
      <w:r>
        <w:drawing>
          <wp:inline xmlns:a="http://schemas.openxmlformats.org/drawingml/2006/main" xmlns:pic="http://schemas.openxmlformats.org/drawingml/2006/picture">
            <wp:extent cx="6035040" cy="3084576"/>
            <wp:docPr id="1" name="Picture 1" descr="Trust-boundary diagram showing untrusted project content, IDE consent, Serena process, language servers, package services and project/model data." title="Serena trust boundaries"/>
            <wp:cNvGraphicFramePr>
              <a:graphicFrameLocks noChangeAspect="1"/>
            </wp:cNvGraphicFramePr>
            <a:graphic>
              <a:graphicData uri="http://schemas.openxmlformats.org/drawingml/2006/picture">
                <pic:pic>
                  <pic:nvPicPr>
                    <pic:cNvPr id="0" name="serena-trust-boundaries.png"/>
                    <pic:cNvPicPr/>
                  </pic:nvPicPr>
                  <pic:blipFill>
                    <a:blip r:embed="rId33"/>
                    <a:stretch>
                      <a:fillRect/>
                    </a:stretch>
                  </pic:blipFill>
                  <pic:spPr>
                    <a:xfrm>
                      <a:off x="0" y="0"/>
                      <a:ext cx="6035040" cy="3084576"/>
                    </a:xfrm>
                    <a:prstGeom prst="rect"/>
                  </pic:spPr>
                </pic:pic>
              </a:graphicData>
            </a:graphic>
          </wp:inline>
        </w:drawing>
      </w:r>
    </w:p>
    <w:p>
      <w:pPr>
        <w:jc w:val="center"/>
      </w:pPr>
      <w:r>
        <w:t>Figure 1 — Serena trust boundaries and high-authority flows.</w:t>
      </w:r>
    </w:p>
    <w:p>
      <w:bookmarkStart w:id="704857" w:name="GLOSSARY"/>
      <w:pPr>
        <w:pStyle w:val="Heading1"/>
      </w:pPr>
      <w:r>
        <w:t>Glossary</w:t>
      </w:r>
      <w:bookmarkEnd w:id="704857"/>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Term</w:t>
            </w:r>
          </w:p>
        </w:tc>
        <w:tc>
          <w:tcPr>
            <w:tcW w:type="dxa" w:w="5112"/>
            <w:shd w:fill="17324D"/>
          </w:tcPr>
          <w:p>
            <w:r>
              <w:rPr>
                <w:b/>
                <w:color w:val="FFFFFF"/>
                <w:sz w:val="14"/>
              </w:rPr>
              <w:t>Meaning</w:t>
            </w:r>
          </w:p>
        </w:tc>
      </w:tr>
      <w:tr>
        <w:trPr>
          <w:cantSplit/>
        </w:trPr>
        <w:tc>
          <w:tcPr>
            <w:tcW w:type="dxa" w:w="5112"/>
            <w:vAlign w:val="center"/>
          </w:tcPr>
          <w:p>
            <w:pPr>
              <w:spacing w:after="20"/>
            </w:pPr>
            <w:r>
              <w:rPr>
                <w:sz w:val="14"/>
              </w:rPr>
              <w:t>Agent Skills</w:t>
            </w:r>
          </w:p>
        </w:tc>
        <w:tc>
          <w:tcPr>
            <w:tcW w:type="dxa" w:w="5112"/>
            <w:vAlign w:val="center"/>
          </w:tcPr>
          <w:p>
            <w:pPr>
              <w:spacing w:after="20"/>
            </w:pPr>
            <w:r>
              <w:rPr>
                <w:sz w:val="14"/>
              </w:rPr>
              <w:t>Instruction packages distinct from MCP tools, prompts, contexts and modes; none were observed.</w:t>
            </w:r>
          </w:p>
        </w:tc>
      </w:tr>
      <w:tr>
        <w:trPr>
          <w:cantSplit/>
        </w:trPr>
        <w:tc>
          <w:tcPr>
            <w:tcW w:type="dxa" w:w="5112"/>
            <w:vAlign w:val="center"/>
            <w:shd w:fill="EAF2F4"/>
          </w:tcPr>
          <w:p>
            <w:pPr>
              <w:spacing w:after="20"/>
            </w:pPr>
            <w:r>
              <w:rPr>
                <w:sz w:val="14"/>
              </w:rPr>
              <w:t>MCP</w:t>
            </w:r>
          </w:p>
        </w:tc>
        <w:tc>
          <w:tcPr>
            <w:tcW w:type="dxa" w:w="5112"/>
            <w:vAlign w:val="center"/>
            <w:shd w:fill="EAF2F4"/>
          </w:tcPr>
          <w:p>
            <w:pPr>
              <w:spacing w:after="20"/>
            </w:pPr>
            <w:r>
              <w:rPr>
                <w:sz w:val="14"/>
              </w:rPr>
              <w:t>Model Context Protocol.</w:t>
            </w:r>
          </w:p>
        </w:tc>
      </w:tr>
      <w:tr>
        <w:trPr>
          <w:cantSplit/>
        </w:trPr>
        <w:tc>
          <w:tcPr>
            <w:tcW w:type="dxa" w:w="5112"/>
            <w:vAlign w:val="center"/>
          </w:tcPr>
          <w:p>
            <w:pPr>
              <w:spacing w:after="20"/>
            </w:pPr>
            <w:r>
              <w:rPr>
                <w:sz w:val="14"/>
              </w:rPr>
              <w:t>STDIO</w:t>
            </w:r>
          </w:p>
        </w:tc>
        <w:tc>
          <w:tcPr>
            <w:tcW w:type="dxa" w:w="5112"/>
            <w:vAlign w:val="center"/>
          </w:tcPr>
          <w:p>
            <w:pPr>
              <w:spacing w:after="20"/>
            </w:pPr>
            <w:r>
              <w:rPr>
                <w:sz w:val="14"/>
              </w:rPr>
              <w:t>Process-local standard input/output transport.</w:t>
            </w:r>
          </w:p>
        </w:tc>
      </w:tr>
      <w:tr>
        <w:trPr>
          <w:cantSplit/>
        </w:trPr>
        <w:tc>
          <w:tcPr>
            <w:tcW w:type="dxa" w:w="5112"/>
            <w:vAlign w:val="center"/>
            <w:shd w:fill="EAF2F4"/>
          </w:tcPr>
          <w:p>
            <w:pPr>
              <w:spacing w:after="20"/>
            </w:pPr>
            <w:r>
              <w:rPr>
                <w:sz w:val="14"/>
              </w:rPr>
              <w:t>Language server</w:t>
            </w:r>
          </w:p>
        </w:tc>
        <w:tc>
          <w:tcPr>
            <w:tcW w:type="dxa" w:w="5112"/>
            <w:vAlign w:val="center"/>
            <w:shd w:fill="EAF2F4"/>
          </w:tcPr>
          <w:p>
            <w:pPr>
              <w:spacing w:after="20"/>
            </w:pPr>
            <w:r>
              <w:rPr>
                <w:sz w:val="14"/>
              </w:rPr>
              <w:t>Process implementing semantic language intelligence, commonly through LSP.</w:t>
            </w:r>
          </w:p>
        </w:tc>
      </w:tr>
      <w:tr>
        <w:trPr>
          <w:cantSplit/>
        </w:trPr>
        <w:tc>
          <w:tcPr>
            <w:tcW w:type="dxa" w:w="5112"/>
            <w:vAlign w:val="center"/>
          </w:tcPr>
          <w:p>
            <w:pPr>
              <w:spacing w:after="20"/>
            </w:pPr>
            <w:r>
              <w:rPr>
                <w:sz w:val="14"/>
              </w:rPr>
              <w:t>Unsafe deserialization</w:t>
            </w:r>
          </w:p>
        </w:tc>
        <w:tc>
          <w:tcPr>
            <w:tcW w:type="dxa" w:w="5112"/>
            <w:vAlign w:val="center"/>
          </w:tcPr>
          <w:p>
            <w:pPr>
              <w:spacing w:after="20"/>
            </w:pPr>
            <w:r>
              <w:rPr>
                <w:sz w:val="14"/>
              </w:rPr>
              <w:t>Reconstructing executable objects from untrusted serialized state.</w:t>
            </w:r>
          </w:p>
        </w:tc>
      </w:tr>
      <w:tr>
        <w:trPr>
          <w:cantSplit/>
        </w:trPr>
        <w:tc>
          <w:tcPr>
            <w:tcW w:type="dxa" w:w="5112"/>
            <w:vAlign w:val="center"/>
            <w:shd w:fill="EAF2F4"/>
          </w:tcPr>
          <w:p>
            <w:pPr>
              <w:spacing w:after="20"/>
            </w:pPr>
            <w:r>
              <w:rPr>
                <w:sz w:val="14"/>
              </w:rPr>
              <w:t>read_only</w:t>
            </w:r>
          </w:p>
        </w:tc>
        <w:tc>
          <w:tcPr>
            <w:tcW w:type="dxa" w:w="5112"/>
            <w:vAlign w:val="center"/>
            <w:shd w:fill="EAF2F4"/>
          </w:tcPr>
          <w:p>
            <w:pPr>
              <w:spacing w:after="20"/>
            </w:pPr>
            <w:r>
              <w:rPr>
                <w:sz w:val="14"/>
              </w:rPr>
              <w:t>Serena configuration intended to remove mutation tools.</w:t>
            </w:r>
          </w:p>
        </w:tc>
      </w:tr>
      <w:tr>
        <w:trPr>
          <w:cantSplit/>
        </w:trPr>
        <w:tc>
          <w:tcPr>
            <w:tcW w:type="dxa" w:w="5112"/>
            <w:vAlign w:val="center"/>
          </w:tcPr>
          <w:p>
            <w:pPr>
              <w:spacing w:after="20"/>
            </w:pPr>
            <w:r>
              <w:rPr>
                <w:sz w:val="14"/>
              </w:rPr>
              <w:t>Trusted project path</w:t>
            </w:r>
          </w:p>
        </w:tc>
        <w:tc>
          <w:tcPr>
            <w:tcW w:type="dxa" w:w="5112"/>
            <w:vAlign w:val="center"/>
          </w:tcPr>
          <w:p>
            <w:pPr>
              <w:spacing w:after="20"/>
            </w:pPr>
            <w:r>
              <w:rPr>
                <w:sz w:val="14"/>
              </w:rPr>
              <w:t>Configured root allowed to use privileged project-specific settings.</w:t>
            </w:r>
          </w:p>
        </w:tc>
      </w:tr>
      <w:tr>
        <w:trPr>
          <w:cantSplit/>
        </w:trPr>
        <w:tc>
          <w:tcPr>
            <w:tcW w:type="dxa" w:w="5112"/>
            <w:vAlign w:val="center"/>
            <w:shd w:fill="EAF2F4"/>
          </w:tcPr>
          <w:p>
            <w:pPr>
              <w:spacing w:after="20"/>
            </w:pPr>
            <w:r>
              <w:rPr>
                <w:sz w:val="14"/>
              </w:rPr>
              <w:t>DPIA</w:t>
            </w:r>
          </w:p>
        </w:tc>
        <w:tc>
          <w:tcPr>
            <w:tcW w:type="dxa" w:w="5112"/>
            <w:vAlign w:val="center"/>
            <w:shd w:fill="EAF2F4"/>
          </w:tcPr>
          <w:p>
            <w:pPr>
              <w:spacing w:after="20"/>
            </w:pPr>
            <w:r>
              <w:rPr>
                <w:sz w:val="14"/>
              </w:rPr>
              <w:t>Data protection impact assessment.</w:t>
            </w:r>
          </w:p>
        </w:tc>
      </w:tr>
      <w:tr>
        <w:trPr>
          <w:cantSplit/>
        </w:trPr>
        <w:tc>
          <w:tcPr>
            <w:tcW w:type="dxa" w:w="5112"/>
            <w:vAlign w:val="center"/>
          </w:tcPr>
          <w:p>
            <w:pPr>
              <w:spacing w:after="20"/>
            </w:pPr>
            <w:r>
              <w:rPr>
                <w:sz w:val="14"/>
              </w:rPr>
              <w:t>Verified / Inferred / Unknown</w:t>
            </w:r>
          </w:p>
        </w:tc>
        <w:tc>
          <w:tcPr>
            <w:tcW w:type="dxa" w:w="5112"/>
            <w:vAlign w:val="center"/>
          </w:tcPr>
          <w:p>
            <w:pPr>
              <w:spacing w:after="20"/>
            </w:pPr>
            <w:r>
              <w:rPr>
                <w:sz w:val="14"/>
              </w:rPr>
              <w:t>Evidence-state labels used by this assessment.</w:t>
            </w:r>
          </w:p>
        </w:tc>
      </w:tr>
    </w:tbl>
    <w:p/>
    <w:p>
      <w:pPr>
        <w:pStyle w:val="Heading2"/>
      </w:pPr>
      <w:r>
        <w:t>Quality and Secure-Review Record</w:t>
      </w:r>
    </w:p>
    <w:p>
      <w:r>
        <w:t>Authoritative status is supported by final-qa.json recording all passed gates: assessment layout; structural DOCX validator; OOXML safety and metadata/privacy; accessibility including heading hierarchy, table headers and figure alternative text; citation bookmarks and HTTPS links; scoring recalculation; malware/secret and secure code review; native Microsoft Word rendering; page count; full-page visual inspection; and final SHA-256.</w:t>
      </w:r>
    </w:p>
    <w:sectPr w:rsidR="00FC693F" w:rsidRPr="0006063C" w:rsidSect="00034616">
      <w:headerReference w:type="default" r:id="rId9"/>
      <w:footerReference w:type="default" r:id="rId10"/>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27 July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B2C2C"/>
        <w:sz w:val="16"/>
      </w:rPr>
      <w:t>PUBLIC  |  Serena 1.6.1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47D8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15F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gistry.modelcontextprotocol.io/?q=io.github.oraios%2Fserena" TargetMode="External"/><Relationship Id="rId12" Type="http://schemas.openxmlformats.org/officeDocument/2006/relationships/hyperlink" Target="https://github.com/oraios/serena/releases/tag/v1.6.1" TargetMode="External"/><Relationship Id="rId13" Type="http://schemas.openxmlformats.org/officeDocument/2006/relationships/hyperlink" Target="https://pypi.org/project/serena-agent/1.6.1/" TargetMode="External"/><Relationship Id="rId14" Type="http://schemas.openxmlformats.org/officeDocument/2006/relationships/hyperlink" Target="https://github.com/oraios/serena/tree/v1.6.1" TargetMode="External"/><Relationship Id="rId15" Type="http://schemas.openxmlformats.org/officeDocument/2006/relationships/hyperlink" Target="https://oraios.github.io/serena/02-usage/030_clients.html" TargetMode="External"/><Relationship Id="rId16" Type="http://schemas.openxmlformats.org/officeDocument/2006/relationships/hyperlink" Target="https://oraios.github.io/serena/02-usage/050_configuration.html" TargetMode="External"/><Relationship Id="rId17" Type="http://schemas.openxmlformats.org/officeDocument/2006/relationships/hyperlink" Target="https://oraios.github.io/serena/02-usage/070_security.html" TargetMode="External"/><Relationship Id="rId18" Type="http://schemas.openxmlformats.org/officeDocument/2006/relationships/hyperlink" Target="https://oraios.github.io/serena/01-about/035_tools.html" TargetMode="External"/><Relationship Id="rId19" Type="http://schemas.openxmlformats.org/officeDocument/2006/relationships/hyperlink" Target="https://github.com/oraios/serena/security/advisories/GHSA-37h2-6p4f-mp3q" TargetMode="External"/><Relationship Id="rId20" Type="http://schemas.openxmlformats.org/officeDocument/2006/relationships/hyperlink" Target="https://modelcontextprotocol.io/specification/2025-11-25" TargetMode="External"/><Relationship Id="rId21" Type="http://schemas.openxmlformats.org/officeDocument/2006/relationships/hyperlink" Target="https://owasp.org/www-project-mcp-top-10/" TargetMode="External"/><Relationship Id="rId22" Type="http://schemas.openxmlformats.org/officeDocument/2006/relationships/hyperlink" Target="https://genai.owasp.org/resource/owasp-top-10-for-agentic-applications-for-2026/" TargetMode="External"/><Relationship Id="rId23" Type="http://schemas.openxmlformats.org/officeDocument/2006/relationships/hyperlink" Target="https://genai.owasp.org/llm-top-10/"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atlas.mitre.org/" TargetMode="External"/><Relationship Id="rId26" Type="http://schemas.openxmlformats.org/officeDocument/2006/relationships/hyperlink" Target="https://www.nist.gov/itl/ai-risk-management-framework" TargetMode="External"/><Relationship Id="rId27" Type="http://schemas.openxmlformats.org/officeDocument/2006/relationships/hyperlink" Target="https://doi.org/10.6028/NIST.AI.600-1" TargetMode="External"/><Relationship Id="rId28" Type="http://schemas.openxmlformats.org/officeDocument/2006/relationships/hyperlink" Target="https://www.cisecurity.org/controls/v8-1" TargetMode="External"/><Relationship Id="rId29" Type="http://schemas.openxmlformats.org/officeDocument/2006/relationships/hyperlink" Target="https://www.ncsc.gov.uk/collection/guidelines-secure-ai-system-development" TargetMode="External"/><Relationship Id="rId30" Type="http://schemas.openxmlformats.org/officeDocument/2006/relationships/hyperlink" Target="https://ico.org.uk/for-organisations/uk-gdpr-guidance-and-resources/artificial-intelligence/" TargetMode="External"/><Relationship Id="rId31" Type="http://schemas.openxmlformats.org/officeDocument/2006/relationships/hyperlink" Target="https://www.fca.org.uk/firms/operational-resilience" TargetMode="External"/><Relationship Id="rId32" Type="http://schemas.openxmlformats.org/officeDocument/2006/relationships/hyperlink" Target="https://www.bankofengland.co.uk/prudential-regulation/publication/2021/march/outsourcing-and-third-party-risk-management-ss" TargetMode="External"/><Relationship Id="rId3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Serena MCP 1.6.1 Security Assessment</dc:title>
  <dc:subject>VS Code and Visual Studio assessment for a Large UK Insurance business</dc:subject>
  <dc:creator>SoloSentry Assessment Environment</dc:creator>
  <cp:keywords>Serena, MCP, Oraios, VS Code, Visual Studio, security assessment</cp:keywords>
  <dc:description>Generated from validated stage outputs; disclosure-sensitive.</dc:description>
  <cp:lastModifiedBy>SoloSentry Assessment Environment</cp:lastModifiedBy>
  <cp:revision>1</cp:revision>
  <dcterms:created xsi:type="dcterms:W3CDTF">2013-12-23T23:15:00Z</dcterms:created>
  <dcterms:modified xsi:type="dcterms:W3CDTF">2013-12-23T23:15:00Z</dcterms:modified>
  <cp:category/>
</cp:coreProperties>
</file>