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pPr>
      <w:r>
        <w:rPr>
          <w:rFonts w:ascii="Arial" w:hAnsi="Arial"/>
          <w:b/>
          <w:color w:val="1F4E79"/>
          <w:sz w:val="44"/>
        </w:rPr>
        <w:t>Day 1 Data Ingestion &amp; Quality Summary</w:t>
      </w:r>
    </w:p>
    <w:p>
      <w:pPr>
        <w:spacing w:after="480"/>
      </w:pPr>
      <w:r>
        <w:rPr>
          <w:i/>
          <w:color w:val="708090"/>
          <w:sz w:val="20"/>
        </w:rPr>
        <w:t>Mutual Fund Analytics Capstone Project | Day 1 Work Review (Real Datasets)</w:t>
      </w:r>
    </w:p>
    <w:p>
      <w:r>
        <w:t>Hey,</w:t>
      </w:r>
    </w:p>
    <w:p>
      <w:r>
        <w:t>Here is the complete summary of the work I did today for the Mutual Fund Analytics setup. I've got the project folder structure organized, the local environment set up, all the raw datasets ingested, and the live API connection working.</w:t>
      </w:r>
    </w:p>
    <w:p>
      <w:r>
        <w:t>I did a deep dive into the 10 real CSV files to check for quality issues. The datasets are practically pristine with no duplicates and excellent relational consistency. There is only one minor mathematically expected missing field which we'll address in the cleaning phase.</w:t>
      </w:r>
    </w:p>
    <w:p>
      <w:pPr>
        <w:spacing w:before="360" w:after="120"/>
      </w:pPr>
      <w:r>
        <w:rPr>
          <w:b/>
          <w:color w:val="1F4E79"/>
          <w:sz w:val="28"/>
        </w:rPr>
        <w:t>1. Project Directory &amp; Environment Layout</w:t>
      </w:r>
    </w:p>
    <w:p>
      <w:r>
        <w:t xml:space="preserve">I verified the project folder structure inside the directory: </w:t>
      </w:r>
      <w:r>
        <w:rPr>
          <w:b/>
        </w:rPr>
        <w:t>C:\Users\jibum\OneDrive\Desktop\Bluestock Internship</w:t>
      </w:r>
    </w:p>
    <w:p>
      <w:r>
        <w:t>Here is the current layout and where we stand:</w:t>
      </w:r>
    </w:p>
    <w:p>
      <w:pPr>
        <w:pStyle w:val="ListBullet"/>
      </w:pPr>
      <w:r>
        <w:rPr>
          <w:b/>
        </w:rPr>
        <w:t>data/raw/</w:t>
      </w:r>
      <w:r>
        <w:t xml:space="preserve"> - Active. Contains the 10 prefixed local CSV datasets, plus the raw historical CSVs downloaded from the API.</w:t>
      </w:r>
    </w:p>
    <w:p>
      <w:pPr>
        <w:pStyle w:val="ListBullet"/>
      </w:pPr>
      <w:r>
        <w:rPr>
          <w:b/>
        </w:rPr>
        <w:t>data/processed/</w:t>
      </w:r>
      <w:r>
        <w:t xml:space="preserve"> - Empty. An empty staging folder. Deduplicated, clean, and merged datasets will be saved here during the Day 2 cleaning phase.</w:t>
      </w:r>
    </w:p>
    <w:p>
      <w:pPr>
        <w:pStyle w:val="ListBullet"/>
      </w:pPr>
      <w:r>
        <w:rPr>
          <w:b/>
        </w:rPr>
        <w:t>notebooks/</w:t>
      </w:r>
      <w:r>
        <w:t xml:space="preserve"> - Placeholder. Set up and ready for Jupyter notebooks for explorative analysis (EDA).</w:t>
      </w:r>
    </w:p>
    <w:p>
      <w:pPr>
        <w:pStyle w:val="ListBullet"/>
      </w:pPr>
      <w:r>
        <w:rPr>
          <w:b/>
        </w:rPr>
        <w:t>sql/</w:t>
      </w:r>
      <w:r>
        <w:t xml:space="preserve"> - Placeholder. Ready to hold database table definitions, schemas, and staging queries.</w:t>
      </w:r>
    </w:p>
    <w:p>
      <w:pPr>
        <w:pStyle w:val="ListBullet"/>
      </w:pPr>
      <w:r>
        <w:rPr>
          <w:b/>
        </w:rPr>
        <w:t>dashboard/</w:t>
      </w:r>
      <w:r>
        <w:t xml:space="preserve"> - Staging. Set up for Power BI visual assets and dashboard files.</w:t>
      </w:r>
    </w:p>
    <w:p>
      <w:pPr>
        <w:pStyle w:val="ListBullet"/>
      </w:pPr>
      <w:r>
        <w:rPr>
          <w:b/>
        </w:rPr>
        <w:t>reports/</w:t>
      </w:r>
      <w:r>
        <w:t xml:space="preserve"> - Active. Where documentation, summaries, and data quality reports are stored.</w:t>
      </w:r>
    </w:p>
    <w:p>
      <w:pPr>
        <w:spacing w:before="160"/>
      </w:pPr>
      <w:r>
        <w:rPr>
          <w:b/>
        </w:rPr>
        <w:t xml:space="preserve">Quick Note on Environment: </w:t>
      </w:r>
      <w:r>
        <w:t>I initialized the local Git repository and set up the remote pointing to our GitHub repository. All changes are committed cleanly under "Day 1: Data ingestion complete".</w:t>
      </w:r>
    </w:p>
    <w:p>
      <w:r>
        <w:t>I also created requirements.txt with all dependencies for the analytical stack (Pandas, NumPy, Matplotlib, Seaborn, Plotly, SQLAlchemy, Requests, SciPy, and Jupyter).</w:t>
      </w:r>
    </w:p>
    <w:p>
      <w:pPr>
        <w:spacing w:before="360" w:after="120"/>
      </w:pPr>
      <w:r>
        <w:rPr>
          <w:b/>
          <w:color w:val="1F4E79"/>
          <w:sz w:val="28"/>
        </w:rPr>
        <w:t>2. Ingested Datasets &amp; Structural Profiles</w:t>
      </w:r>
    </w:p>
    <w:p>
      <w:r>
        <w:t>I updated the ETL script (data_ingestion.py) to systematically load and inspect all 10 real source CSV files using Pandas. Here is the exact profile of the data as it stands: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50" w:type="dxa"/>
              <w:right w:w="150" w:type="dxa"/>
            </w:tcMar>
          </w:tcPr>
          <w:p>
            <w:r>
              <w:rPr>
                <w:b/>
                <w:color w:val="FFFFFF"/>
                <w:sz w:val="20"/>
              </w:rPr>
              <w:t>Dataset File Name</w:t>
            </w:r>
          </w:p>
        </w:tc>
        <w:tc>
          <w:tcPr>
            <w:tcW w:type="dxa" w:w="1872"/>
            <w:shd w:fill="1F4E79"/>
            <w:tcMar>
              <w:top w:w="120" w:type="dxa"/>
              <w:bottom w:w="120" w:type="dxa"/>
              <w:left w:w="150" w:type="dxa"/>
              <w:right w:w="150" w:type="dxa"/>
            </w:tcMar>
          </w:tcPr>
          <w:p>
            <w:r>
              <w:rPr>
                <w:b/>
                <w:color w:val="FFFFFF"/>
                <w:sz w:val="20"/>
              </w:rPr>
              <w:t>Shape</w:t>
            </w:r>
          </w:p>
        </w:tc>
        <w:tc>
          <w:tcPr>
            <w:tcW w:type="dxa" w:w="1872"/>
            <w:shd w:fill="1F4E79"/>
            <w:tcMar>
              <w:top w:w="120" w:type="dxa"/>
              <w:bottom w:w="120" w:type="dxa"/>
              <w:left w:w="150" w:type="dxa"/>
              <w:right w:w="150" w:type="dxa"/>
            </w:tcMar>
          </w:tcPr>
          <w:p>
            <w:r>
              <w:rPr>
                <w:b/>
                <w:color w:val="FFFFFF"/>
                <w:sz w:val="20"/>
              </w:rPr>
              <w:t>Target Primary Key</w:t>
            </w:r>
          </w:p>
        </w:tc>
        <w:tc>
          <w:tcPr>
            <w:tcW w:type="dxa" w:w="1872"/>
            <w:shd w:fill="1F4E79"/>
            <w:tcMar>
              <w:top w:w="120" w:type="dxa"/>
              <w:bottom w:w="120" w:type="dxa"/>
              <w:left w:w="150" w:type="dxa"/>
              <w:right w:w="150" w:type="dxa"/>
            </w:tcMar>
          </w:tcPr>
          <w:p>
            <w:r>
              <w:rPr>
                <w:b/>
                <w:color w:val="FFFFFF"/>
                <w:sz w:val="20"/>
              </w:rPr>
              <w:t>Main Column Dtypes</w:t>
            </w:r>
          </w:p>
        </w:tc>
        <w:tc>
          <w:tcPr>
            <w:tcW w:type="dxa" w:w="1872"/>
            <w:shd w:fill="1F4E79"/>
            <w:tcMar>
              <w:top w:w="120" w:type="dxa"/>
              <w:bottom w:w="120" w:type="dxa"/>
              <w:left w:w="150" w:type="dxa"/>
              <w:right w:w="150" w:type="dxa"/>
            </w:tcMar>
          </w:tcPr>
          <w:p>
            <w:r>
              <w:rPr>
                <w:b/>
                <w:color w:val="FFFFFF"/>
                <w:sz w:val="20"/>
              </w:rPr>
              <w:t>Quality Status</w:t>
            </w:r>
          </w:p>
        </w:tc>
      </w:tr>
      <w:tr>
        <w:tc>
          <w:tcPr>
            <w:tcW w:type="dxa" w:w="1872"/>
            <w:shd w:fill="FFFFFF"/>
            <w:tcMar>
              <w:top w:w="80" w:type="dxa"/>
              <w:bottom w:w="80" w:type="dxa"/>
              <w:left w:w="150" w:type="dxa"/>
              <w:right w:w="150" w:type="dxa"/>
            </w:tcMar>
          </w:tcPr>
          <w:p>
            <w:r>
              <w:rPr>
                <w:sz w:val="19"/>
              </w:rPr>
              <w:t>01_fund_master.csv</w:t>
            </w:r>
          </w:p>
        </w:tc>
        <w:tc>
          <w:tcPr>
            <w:tcW w:type="dxa" w:w="1872"/>
            <w:shd w:fill="FFFFFF"/>
            <w:tcMar>
              <w:top w:w="80" w:type="dxa"/>
              <w:bottom w:w="80" w:type="dxa"/>
              <w:left w:w="150" w:type="dxa"/>
              <w:right w:w="150" w:type="dxa"/>
            </w:tcMar>
          </w:tcPr>
          <w:p>
            <w:r>
              <w:rPr>
                <w:sz w:val="19"/>
              </w:rPr>
              <w:t>40 x 15</w:t>
            </w:r>
          </w:p>
        </w:tc>
        <w:tc>
          <w:tcPr>
            <w:tcW w:type="dxa" w:w="1872"/>
            <w:shd w:fill="FFFFFF"/>
            <w:tcMar>
              <w:top w:w="80" w:type="dxa"/>
              <w:bottom w:w="80" w:type="dxa"/>
              <w:left w:w="150" w:type="dxa"/>
              <w:right w:w="150" w:type="dxa"/>
            </w:tcMar>
          </w:tcPr>
          <w:p>
            <w:r>
              <w:rPr>
                <w:sz w:val="19"/>
              </w:rPr>
              <w:t>amfi_code</w:t>
            </w:r>
          </w:p>
        </w:tc>
        <w:tc>
          <w:tcPr>
            <w:tcW w:type="dxa" w:w="1872"/>
            <w:shd w:fill="FFFFFF"/>
            <w:tcMar>
              <w:top w:w="80" w:type="dxa"/>
              <w:bottom w:w="80" w:type="dxa"/>
              <w:left w:w="150" w:type="dxa"/>
              <w:right w:w="150" w:type="dxa"/>
            </w:tcMar>
          </w:tcPr>
          <w:p>
            <w:r>
              <w:rPr>
                <w:sz w:val="19"/>
              </w:rPr>
              <w:t>int64, object (string)</w:t>
            </w:r>
          </w:p>
        </w:tc>
        <w:tc>
          <w:tcPr>
            <w:tcW w:type="dxa" w:w="1872"/>
            <w:shd w:fill="FFFFFF"/>
            <w:tcMar>
              <w:top w:w="80" w:type="dxa"/>
              <w:bottom w:w="80" w:type="dxa"/>
              <w:left w:w="150" w:type="dxa"/>
              <w:right w:w="150" w:type="dxa"/>
            </w:tcMar>
          </w:tcPr>
          <w:p>
            <w:r>
              <w:rPr>
                <w:color w:val="2E7D32"/>
                <w:sz w:val="19"/>
              </w:rPr>
              <w:t>Clean</w:t>
            </w:r>
          </w:p>
        </w:tc>
      </w:tr>
      <w:tr>
        <w:tc>
          <w:tcPr>
            <w:tcW w:type="dxa" w:w="1872"/>
            <w:shd w:fill="F2F5F8"/>
            <w:tcMar>
              <w:top w:w="80" w:type="dxa"/>
              <w:bottom w:w="80" w:type="dxa"/>
              <w:left w:w="150" w:type="dxa"/>
              <w:right w:w="150" w:type="dxa"/>
            </w:tcMar>
          </w:tcPr>
          <w:p>
            <w:r>
              <w:rPr>
                <w:sz w:val="19"/>
              </w:rPr>
              <w:t>02_nav_history.csv</w:t>
            </w:r>
          </w:p>
        </w:tc>
        <w:tc>
          <w:tcPr>
            <w:tcW w:type="dxa" w:w="1872"/>
            <w:shd w:fill="F2F5F8"/>
            <w:tcMar>
              <w:top w:w="80" w:type="dxa"/>
              <w:bottom w:w="80" w:type="dxa"/>
              <w:left w:w="150" w:type="dxa"/>
              <w:right w:w="150" w:type="dxa"/>
            </w:tcMar>
          </w:tcPr>
          <w:p>
            <w:r>
              <w:rPr>
                <w:sz w:val="19"/>
              </w:rPr>
              <w:t>46,000 x 3</w:t>
            </w:r>
          </w:p>
        </w:tc>
        <w:tc>
          <w:tcPr>
            <w:tcW w:type="dxa" w:w="1872"/>
            <w:shd w:fill="F2F5F8"/>
            <w:tcMar>
              <w:top w:w="80" w:type="dxa"/>
              <w:bottom w:w="80" w:type="dxa"/>
              <w:left w:w="150" w:type="dxa"/>
              <w:right w:w="150" w:type="dxa"/>
            </w:tcMar>
          </w:tcPr>
          <w:p>
            <w:r>
              <w:rPr>
                <w:sz w:val="19"/>
              </w:rPr>
              <w:t>amfi_code + date</w:t>
            </w:r>
          </w:p>
        </w:tc>
        <w:tc>
          <w:tcPr>
            <w:tcW w:type="dxa" w:w="1872"/>
            <w:shd w:fill="F2F5F8"/>
            <w:tcMar>
              <w:top w:w="80" w:type="dxa"/>
              <w:bottom w:w="80" w:type="dxa"/>
              <w:left w:w="150" w:type="dxa"/>
              <w:right w:w="150" w:type="dxa"/>
            </w:tcMar>
          </w:tcPr>
          <w:p>
            <w:r>
              <w:rPr>
                <w:sz w:val="19"/>
              </w:rPr>
              <w:t>int64, object (string), float64</w:t>
            </w:r>
          </w:p>
        </w:tc>
        <w:tc>
          <w:tcPr>
            <w:tcW w:type="dxa" w:w="1872"/>
            <w:shd w:fill="F2F5F8"/>
            <w:tcMar>
              <w:top w:w="80" w:type="dxa"/>
              <w:bottom w:w="80" w:type="dxa"/>
              <w:left w:w="150" w:type="dxa"/>
              <w:right w:w="150" w:type="dxa"/>
            </w:tcMar>
          </w:tcPr>
          <w:p>
            <w:r>
              <w:rPr>
                <w:color w:val="2E7D32"/>
                <w:sz w:val="19"/>
              </w:rPr>
              <w:t>Clean</w:t>
            </w:r>
          </w:p>
        </w:tc>
      </w:tr>
      <w:tr>
        <w:tc>
          <w:tcPr>
            <w:tcW w:type="dxa" w:w="1872"/>
            <w:shd w:fill="FFFFFF"/>
            <w:tcMar>
              <w:top w:w="80" w:type="dxa"/>
              <w:bottom w:w="80" w:type="dxa"/>
              <w:left w:w="150" w:type="dxa"/>
              <w:right w:w="150" w:type="dxa"/>
            </w:tcMar>
          </w:tcPr>
          <w:p>
            <w:r>
              <w:rPr>
                <w:sz w:val="19"/>
              </w:rPr>
              <w:t>03_aum_by_fund_house.csv</w:t>
            </w:r>
          </w:p>
        </w:tc>
        <w:tc>
          <w:tcPr>
            <w:tcW w:type="dxa" w:w="1872"/>
            <w:shd w:fill="FFFFFF"/>
            <w:tcMar>
              <w:top w:w="80" w:type="dxa"/>
              <w:bottom w:w="80" w:type="dxa"/>
              <w:left w:w="150" w:type="dxa"/>
              <w:right w:w="150" w:type="dxa"/>
            </w:tcMar>
          </w:tcPr>
          <w:p>
            <w:r>
              <w:rPr>
                <w:sz w:val="19"/>
              </w:rPr>
              <w:t>90 x 5</w:t>
            </w:r>
          </w:p>
        </w:tc>
        <w:tc>
          <w:tcPr>
            <w:tcW w:type="dxa" w:w="1872"/>
            <w:shd w:fill="FFFFFF"/>
            <w:tcMar>
              <w:top w:w="80" w:type="dxa"/>
              <w:bottom w:w="80" w:type="dxa"/>
              <w:left w:w="150" w:type="dxa"/>
              <w:right w:w="150" w:type="dxa"/>
            </w:tcMar>
          </w:tcPr>
          <w:p>
            <w:r>
              <w:rPr>
                <w:sz w:val="19"/>
              </w:rPr>
              <w:t>date + fund_house</w:t>
            </w:r>
          </w:p>
        </w:tc>
        <w:tc>
          <w:tcPr>
            <w:tcW w:type="dxa" w:w="1872"/>
            <w:shd w:fill="FFFFFF"/>
            <w:tcMar>
              <w:top w:w="80" w:type="dxa"/>
              <w:bottom w:w="80" w:type="dxa"/>
              <w:left w:w="150" w:type="dxa"/>
              <w:right w:w="150" w:type="dxa"/>
            </w:tcMar>
          </w:tcPr>
          <w:p>
            <w:r>
              <w:rPr>
                <w:sz w:val="19"/>
              </w:rPr>
              <w:t>object, float64, int64</w:t>
            </w:r>
          </w:p>
        </w:tc>
        <w:tc>
          <w:tcPr>
            <w:tcW w:type="dxa" w:w="1872"/>
            <w:shd w:fill="FFFFFF"/>
            <w:tcMar>
              <w:top w:w="80" w:type="dxa"/>
              <w:bottom w:w="80" w:type="dxa"/>
              <w:left w:w="150" w:type="dxa"/>
              <w:right w:w="150" w:type="dxa"/>
            </w:tcMar>
          </w:tcPr>
          <w:p>
            <w:r>
              <w:rPr>
                <w:color w:val="2E7D32"/>
                <w:sz w:val="19"/>
              </w:rPr>
              <w:t>Clean</w:t>
            </w:r>
          </w:p>
        </w:tc>
      </w:tr>
      <w:tr>
        <w:tc>
          <w:tcPr>
            <w:tcW w:type="dxa" w:w="1872"/>
            <w:shd w:fill="F2F5F8"/>
            <w:tcMar>
              <w:top w:w="80" w:type="dxa"/>
              <w:bottom w:w="80" w:type="dxa"/>
              <w:left w:w="150" w:type="dxa"/>
              <w:right w:w="150" w:type="dxa"/>
            </w:tcMar>
          </w:tcPr>
          <w:p>
            <w:r>
              <w:rPr>
                <w:sz w:val="19"/>
              </w:rPr>
              <w:t>04_monthly_sip_inflows.csv</w:t>
            </w:r>
          </w:p>
        </w:tc>
        <w:tc>
          <w:tcPr>
            <w:tcW w:type="dxa" w:w="1872"/>
            <w:shd w:fill="F2F5F8"/>
            <w:tcMar>
              <w:top w:w="80" w:type="dxa"/>
              <w:bottom w:w="80" w:type="dxa"/>
              <w:left w:w="150" w:type="dxa"/>
              <w:right w:w="150" w:type="dxa"/>
            </w:tcMar>
          </w:tcPr>
          <w:p>
            <w:r>
              <w:rPr>
                <w:sz w:val="19"/>
              </w:rPr>
              <w:t>48 x 6</w:t>
            </w:r>
          </w:p>
        </w:tc>
        <w:tc>
          <w:tcPr>
            <w:tcW w:type="dxa" w:w="1872"/>
            <w:shd w:fill="F2F5F8"/>
            <w:tcMar>
              <w:top w:w="80" w:type="dxa"/>
              <w:bottom w:w="80" w:type="dxa"/>
              <w:left w:w="150" w:type="dxa"/>
              <w:right w:w="150" w:type="dxa"/>
            </w:tcMar>
          </w:tcPr>
          <w:p>
            <w:r>
              <w:rPr>
                <w:sz w:val="19"/>
              </w:rPr>
              <w:t>month</w:t>
            </w:r>
          </w:p>
        </w:tc>
        <w:tc>
          <w:tcPr>
            <w:tcW w:type="dxa" w:w="1872"/>
            <w:shd w:fill="F2F5F8"/>
            <w:tcMar>
              <w:top w:w="80" w:type="dxa"/>
              <w:bottom w:w="80" w:type="dxa"/>
              <w:left w:w="150" w:type="dxa"/>
              <w:right w:w="150" w:type="dxa"/>
            </w:tcMar>
          </w:tcPr>
          <w:p>
            <w:r>
              <w:rPr>
                <w:sz w:val="19"/>
              </w:rPr>
              <w:t>object, int64, float64</w:t>
            </w:r>
          </w:p>
        </w:tc>
        <w:tc>
          <w:tcPr>
            <w:tcW w:type="dxa" w:w="1872"/>
            <w:shd w:fill="F2F5F8"/>
            <w:tcMar>
              <w:top w:w="80" w:type="dxa"/>
              <w:bottom w:w="80" w:type="dxa"/>
              <w:left w:w="150" w:type="dxa"/>
              <w:right w:w="150" w:type="dxa"/>
            </w:tcMar>
          </w:tcPr>
          <w:p>
            <w:r>
              <w:rPr>
                <w:b/>
                <w:color w:val="C0392B"/>
                <w:sz w:val="19"/>
              </w:rPr>
              <w:t>Minor Anomaly</w:t>
            </w:r>
          </w:p>
        </w:tc>
      </w:tr>
      <w:tr>
        <w:tc>
          <w:tcPr>
            <w:tcW w:type="dxa" w:w="1872"/>
            <w:shd w:fill="FFFFFF"/>
            <w:tcMar>
              <w:top w:w="80" w:type="dxa"/>
              <w:bottom w:w="80" w:type="dxa"/>
              <w:left w:w="150" w:type="dxa"/>
              <w:right w:w="150" w:type="dxa"/>
            </w:tcMar>
          </w:tcPr>
          <w:p>
            <w:r>
              <w:rPr>
                <w:sz w:val="19"/>
              </w:rPr>
              <w:t>05_category_inflows.csv</w:t>
            </w:r>
          </w:p>
        </w:tc>
        <w:tc>
          <w:tcPr>
            <w:tcW w:type="dxa" w:w="1872"/>
            <w:shd w:fill="FFFFFF"/>
            <w:tcMar>
              <w:top w:w="80" w:type="dxa"/>
              <w:bottom w:w="80" w:type="dxa"/>
              <w:left w:w="150" w:type="dxa"/>
              <w:right w:w="150" w:type="dxa"/>
            </w:tcMar>
          </w:tcPr>
          <w:p>
            <w:r>
              <w:rPr>
                <w:sz w:val="19"/>
              </w:rPr>
              <w:t>144 x 3</w:t>
            </w:r>
          </w:p>
        </w:tc>
        <w:tc>
          <w:tcPr>
            <w:tcW w:type="dxa" w:w="1872"/>
            <w:shd w:fill="FFFFFF"/>
            <w:tcMar>
              <w:top w:w="80" w:type="dxa"/>
              <w:bottom w:w="80" w:type="dxa"/>
              <w:left w:w="150" w:type="dxa"/>
              <w:right w:w="150" w:type="dxa"/>
            </w:tcMar>
          </w:tcPr>
          <w:p>
            <w:r>
              <w:rPr>
                <w:sz w:val="19"/>
              </w:rPr>
              <w:t>month + category</w:t>
            </w:r>
          </w:p>
        </w:tc>
        <w:tc>
          <w:tcPr>
            <w:tcW w:type="dxa" w:w="1872"/>
            <w:shd w:fill="FFFFFF"/>
            <w:tcMar>
              <w:top w:w="80" w:type="dxa"/>
              <w:bottom w:w="80" w:type="dxa"/>
              <w:left w:w="150" w:type="dxa"/>
              <w:right w:w="150" w:type="dxa"/>
            </w:tcMar>
          </w:tcPr>
          <w:p>
            <w:r>
              <w:rPr>
                <w:sz w:val="19"/>
              </w:rPr>
              <w:t>object, float64</w:t>
            </w:r>
          </w:p>
        </w:tc>
        <w:tc>
          <w:tcPr>
            <w:tcW w:type="dxa" w:w="1872"/>
            <w:shd w:fill="FFFFFF"/>
            <w:tcMar>
              <w:top w:w="80" w:type="dxa"/>
              <w:bottom w:w="80" w:type="dxa"/>
              <w:left w:w="150" w:type="dxa"/>
              <w:right w:w="150" w:type="dxa"/>
            </w:tcMar>
          </w:tcPr>
          <w:p>
            <w:r>
              <w:rPr>
                <w:color w:val="2E7D32"/>
                <w:sz w:val="19"/>
              </w:rPr>
              <w:t>Clean</w:t>
            </w:r>
          </w:p>
        </w:tc>
      </w:tr>
      <w:tr>
        <w:tc>
          <w:tcPr>
            <w:tcW w:type="dxa" w:w="1872"/>
            <w:shd w:fill="F2F5F8"/>
            <w:tcMar>
              <w:top w:w="80" w:type="dxa"/>
              <w:bottom w:w="80" w:type="dxa"/>
              <w:left w:w="150" w:type="dxa"/>
              <w:right w:w="150" w:type="dxa"/>
            </w:tcMar>
          </w:tcPr>
          <w:p>
            <w:r>
              <w:rPr>
                <w:sz w:val="19"/>
              </w:rPr>
              <w:t>06_industry_folio_count.csv</w:t>
            </w:r>
          </w:p>
        </w:tc>
        <w:tc>
          <w:tcPr>
            <w:tcW w:type="dxa" w:w="1872"/>
            <w:shd w:fill="F2F5F8"/>
            <w:tcMar>
              <w:top w:w="80" w:type="dxa"/>
              <w:bottom w:w="80" w:type="dxa"/>
              <w:left w:w="150" w:type="dxa"/>
              <w:right w:w="150" w:type="dxa"/>
            </w:tcMar>
          </w:tcPr>
          <w:p>
            <w:r>
              <w:rPr>
                <w:sz w:val="19"/>
              </w:rPr>
              <w:t>21 x 6</w:t>
            </w:r>
          </w:p>
        </w:tc>
        <w:tc>
          <w:tcPr>
            <w:tcW w:type="dxa" w:w="1872"/>
            <w:shd w:fill="F2F5F8"/>
            <w:tcMar>
              <w:top w:w="80" w:type="dxa"/>
              <w:bottom w:w="80" w:type="dxa"/>
              <w:left w:w="150" w:type="dxa"/>
              <w:right w:w="150" w:type="dxa"/>
            </w:tcMar>
          </w:tcPr>
          <w:p>
            <w:r>
              <w:rPr>
                <w:sz w:val="19"/>
              </w:rPr>
              <w:t>month</w:t>
            </w:r>
          </w:p>
        </w:tc>
        <w:tc>
          <w:tcPr>
            <w:tcW w:type="dxa" w:w="1872"/>
            <w:shd w:fill="F2F5F8"/>
            <w:tcMar>
              <w:top w:w="80" w:type="dxa"/>
              <w:bottom w:w="80" w:type="dxa"/>
              <w:left w:w="150" w:type="dxa"/>
              <w:right w:w="150" w:type="dxa"/>
            </w:tcMar>
          </w:tcPr>
          <w:p>
            <w:r>
              <w:rPr>
                <w:sz w:val="19"/>
              </w:rPr>
              <w:t>object, float64</w:t>
            </w:r>
          </w:p>
        </w:tc>
        <w:tc>
          <w:tcPr>
            <w:tcW w:type="dxa" w:w="1872"/>
            <w:shd w:fill="F2F5F8"/>
            <w:tcMar>
              <w:top w:w="80" w:type="dxa"/>
              <w:bottom w:w="80" w:type="dxa"/>
              <w:left w:w="150" w:type="dxa"/>
              <w:right w:w="150" w:type="dxa"/>
            </w:tcMar>
          </w:tcPr>
          <w:p>
            <w:r>
              <w:rPr>
                <w:color w:val="2E7D32"/>
                <w:sz w:val="19"/>
              </w:rPr>
              <w:t>Clean</w:t>
            </w:r>
          </w:p>
        </w:tc>
      </w:tr>
      <w:tr>
        <w:tc>
          <w:tcPr>
            <w:tcW w:type="dxa" w:w="1872"/>
            <w:shd w:fill="FFFFFF"/>
            <w:tcMar>
              <w:top w:w="80" w:type="dxa"/>
              <w:bottom w:w="80" w:type="dxa"/>
              <w:left w:w="150" w:type="dxa"/>
              <w:right w:w="150" w:type="dxa"/>
            </w:tcMar>
          </w:tcPr>
          <w:p>
            <w:r>
              <w:rPr>
                <w:sz w:val="19"/>
              </w:rPr>
              <w:t>07_scheme_performance.csv</w:t>
            </w:r>
          </w:p>
        </w:tc>
        <w:tc>
          <w:tcPr>
            <w:tcW w:type="dxa" w:w="1872"/>
            <w:shd w:fill="FFFFFF"/>
            <w:tcMar>
              <w:top w:w="80" w:type="dxa"/>
              <w:bottom w:w="80" w:type="dxa"/>
              <w:left w:w="150" w:type="dxa"/>
              <w:right w:w="150" w:type="dxa"/>
            </w:tcMar>
          </w:tcPr>
          <w:p>
            <w:r>
              <w:rPr>
                <w:sz w:val="19"/>
              </w:rPr>
              <w:t>40 x 19</w:t>
            </w:r>
          </w:p>
        </w:tc>
        <w:tc>
          <w:tcPr>
            <w:tcW w:type="dxa" w:w="1872"/>
            <w:shd w:fill="FFFFFF"/>
            <w:tcMar>
              <w:top w:w="80" w:type="dxa"/>
              <w:bottom w:w="80" w:type="dxa"/>
              <w:left w:w="150" w:type="dxa"/>
              <w:right w:w="150" w:type="dxa"/>
            </w:tcMar>
          </w:tcPr>
          <w:p>
            <w:r>
              <w:rPr>
                <w:sz w:val="19"/>
              </w:rPr>
              <w:t>amfi_code</w:t>
            </w:r>
          </w:p>
        </w:tc>
        <w:tc>
          <w:tcPr>
            <w:tcW w:type="dxa" w:w="1872"/>
            <w:shd w:fill="FFFFFF"/>
            <w:tcMar>
              <w:top w:w="80" w:type="dxa"/>
              <w:bottom w:w="80" w:type="dxa"/>
              <w:left w:w="150" w:type="dxa"/>
              <w:right w:w="150" w:type="dxa"/>
            </w:tcMar>
          </w:tcPr>
          <w:p>
            <w:r>
              <w:rPr>
                <w:sz w:val="19"/>
              </w:rPr>
              <w:t>int64, object, float64</w:t>
            </w:r>
          </w:p>
        </w:tc>
        <w:tc>
          <w:tcPr>
            <w:tcW w:type="dxa" w:w="1872"/>
            <w:shd w:fill="FFFFFF"/>
            <w:tcMar>
              <w:top w:w="80" w:type="dxa"/>
              <w:bottom w:w="80" w:type="dxa"/>
              <w:left w:w="150" w:type="dxa"/>
              <w:right w:w="150" w:type="dxa"/>
            </w:tcMar>
          </w:tcPr>
          <w:p>
            <w:r>
              <w:rPr>
                <w:color w:val="2E7D32"/>
                <w:sz w:val="19"/>
              </w:rPr>
              <w:t>Clean</w:t>
            </w:r>
          </w:p>
        </w:tc>
      </w:tr>
      <w:tr>
        <w:tc>
          <w:tcPr>
            <w:tcW w:type="dxa" w:w="1872"/>
            <w:shd w:fill="F2F5F8"/>
            <w:tcMar>
              <w:top w:w="80" w:type="dxa"/>
              <w:bottom w:w="80" w:type="dxa"/>
              <w:left w:w="150" w:type="dxa"/>
              <w:right w:w="150" w:type="dxa"/>
            </w:tcMar>
          </w:tcPr>
          <w:p>
            <w:r>
              <w:rPr>
                <w:sz w:val="19"/>
              </w:rPr>
              <w:t>08_investor_transactions.csv</w:t>
            </w:r>
          </w:p>
        </w:tc>
        <w:tc>
          <w:tcPr>
            <w:tcW w:type="dxa" w:w="1872"/>
            <w:shd w:fill="F2F5F8"/>
            <w:tcMar>
              <w:top w:w="80" w:type="dxa"/>
              <w:bottom w:w="80" w:type="dxa"/>
              <w:left w:w="150" w:type="dxa"/>
              <w:right w:w="150" w:type="dxa"/>
            </w:tcMar>
          </w:tcPr>
          <w:p>
            <w:r>
              <w:rPr>
                <w:sz w:val="19"/>
              </w:rPr>
              <w:t>32,778 x 13</w:t>
            </w:r>
          </w:p>
        </w:tc>
        <w:tc>
          <w:tcPr>
            <w:tcW w:type="dxa" w:w="1872"/>
            <w:shd w:fill="F2F5F8"/>
            <w:tcMar>
              <w:top w:w="80" w:type="dxa"/>
              <w:bottom w:w="80" w:type="dxa"/>
              <w:left w:w="150" w:type="dxa"/>
              <w:right w:w="150" w:type="dxa"/>
            </w:tcMar>
          </w:tcPr>
          <w:p>
            <w:r>
              <w:rPr>
                <w:sz w:val="19"/>
              </w:rPr>
              <w:t>investor_id + date</w:t>
            </w:r>
          </w:p>
        </w:tc>
        <w:tc>
          <w:tcPr>
            <w:tcW w:type="dxa" w:w="1872"/>
            <w:shd w:fill="F2F5F8"/>
            <w:tcMar>
              <w:top w:w="80" w:type="dxa"/>
              <w:bottom w:w="80" w:type="dxa"/>
              <w:left w:w="150" w:type="dxa"/>
              <w:right w:w="150" w:type="dxa"/>
            </w:tcMar>
          </w:tcPr>
          <w:p>
            <w:r>
              <w:rPr>
                <w:sz w:val="19"/>
              </w:rPr>
              <w:t>object, int64, float64</w:t>
            </w:r>
          </w:p>
        </w:tc>
        <w:tc>
          <w:tcPr>
            <w:tcW w:type="dxa" w:w="1872"/>
            <w:shd w:fill="F2F5F8"/>
            <w:tcMar>
              <w:top w:w="80" w:type="dxa"/>
              <w:bottom w:w="80" w:type="dxa"/>
              <w:left w:w="150" w:type="dxa"/>
              <w:right w:w="150" w:type="dxa"/>
            </w:tcMar>
          </w:tcPr>
          <w:p>
            <w:r>
              <w:rPr>
                <w:color w:val="2E7D32"/>
                <w:sz w:val="19"/>
              </w:rPr>
              <w:t>Clean</w:t>
            </w:r>
          </w:p>
        </w:tc>
      </w:tr>
      <w:tr>
        <w:tc>
          <w:tcPr>
            <w:tcW w:type="dxa" w:w="1872"/>
            <w:shd w:fill="FFFFFF"/>
            <w:tcMar>
              <w:top w:w="80" w:type="dxa"/>
              <w:bottom w:w="80" w:type="dxa"/>
              <w:left w:w="150" w:type="dxa"/>
              <w:right w:w="150" w:type="dxa"/>
            </w:tcMar>
          </w:tcPr>
          <w:p>
            <w:r>
              <w:rPr>
                <w:sz w:val="19"/>
              </w:rPr>
              <w:t>09_portfolio_holdings.csv</w:t>
            </w:r>
          </w:p>
        </w:tc>
        <w:tc>
          <w:tcPr>
            <w:tcW w:type="dxa" w:w="1872"/>
            <w:shd w:fill="FFFFFF"/>
            <w:tcMar>
              <w:top w:w="80" w:type="dxa"/>
              <w:bottom w:w="80" w:type="dxa"/>
              <w:left w:w="150" w:type="dxa"/>
              <w:right w:w="150" w:type="dxa"/>
            </w:tcMar>
          </w:tcPr>
          <w:p>
            <w:r>
              <w:rPr>
                <w:sz w:val="19"/>
              </w:rPr>
              <w:t>322 x 8</w:t>
            </w:r>
          </w:p>
        </w:tc>
        <w:tc>
          <w:tcPr>
            <w:tcW w:type="dxa" w:w="1872"/>
            <w:shd w:fill="FFFFFF"/>
            <w:tcMar>
              <w:top w:w="80" w:type="dxa"/>
              <w:bottom w:w="80" w:type="dxa"/>
              <w:left w:w="150" w:type="dxa"/>
              <w:right w:w="150" w:type="dxa"/>
            </w:tcMar>
          </w:tcPr>
          <w:p>
            <w:r>
              <w:rPr>
                <w:sz w:val="19"/>
              </w:rPr>
              <w:t>amfi_code + stock</w:t>
            </w:r>
          </w:p>
        </w:tc>
        <w:tc>
          <w:tcPr>
            <w:tcW w:type="dxa" w:w="1872"/>
            <w:shd w:fill="FFFFFF"/>
            <w:tcMar>
              <w:top w:w="80" w:type="dxa"/>
              <w:bottom w:w="80" w:type="dxa"/>
              <w:left w:w="150" w:type="dxa"/>
              <w:right w:w="150" w:type="dxa"/>
            </w:tcMar>
          </w:tcPr>
          <w:p>
            <w:r>
              <w:rPr>
                <w:sz w:val="19"/>
              </w:rPr>
              <w:t>int64, object, float64</w:t>
            </w:r>
          </w:p>
        </w:tc>
        <w:tc>
          <w:tcPr>
            <w:tcW w:type="dxa" w:w="1872"/>
            <w:shd w:fill="FFFFFF"/>
            <w:tcMar>
              <w:top w:w="80" w:type="dxa"/>
              <w:bottom w:w="80" w:type="dxa"/>
              <w:left w:w="150" w:type="dxa"/>
              <w:right w:w="150" w:type="dxa"/>
            </w:tcMar>
          </w:tcPr>
          <w:p>
            <w:r>
              <w:rPr>
                <w:color w:val="2E7D32"/>
                <w:sz w:val="19"/>
              </w:rPr>
              <w:t>Clean</w:t>
            </w:r>
          </w:p>
        </w:tc>
      </w:tr>
      <w:tr>
        <w:tc>
          <w:tcPr>
            <w:tcW w:type="dxa" w:w="1872"/>
            <w:shd w:fill="F2F5F8"/>
            <w:tcMar>
              <w:top w:w="80" w:type="dxa"/>
              <w:bottom w:w="80" w:type="dxa"/>
              <w:left w:w="150" w:type="dxa"/>
              <w:right w:w="150" w:type="dxa"/>
            </w:tcMar>
          </w:tcPr>
          <w:p>
            <w:r>
              <w:rPr>
                <w:sz w:val="19"/>
              </w:rPr>
              <w:t>10_benchmark_indices.csv</w:t>
            </w:r>
          </w:p>
        </w:tc>
        <w:tc>
          <w:tcPr>
            <w:tcW w:type="dxa" w:w="1872"/>
            <w:shd w:fill="F2F5F8"/>
            <w:tcMar>
              <w:top w:w="80" w:type="dxa"/>
              <w:bottom w:w="80" w:type="dxa"/>
              <w:left w:w="150" w:type="dxa"/>
              <w:right w:w="150" w:type="dxa"/>
            </w:tcMar>
          </w:tcPr>
          <w:p>
            <w:r>
              <w:rPr>
                <w:sz w:val="19"/>
              </w:rPr>
              <w:t>8,050 x 3</w:t>
            </w:r>
          </w:p>
        </w:tc>
        <w:tc>
          <w:tcPr>
            <w:tcW w:type="dxa" w:w="1872"/>
            <w:shd w:fill="F2F5F8"/>
            <w:tcMar>
              <w:top w:w="80" w:type="dxa"/>
              <w:bottom w:w="80" w:type="dxa"/>
              <w:left w:w="150" w:type="dxa"/>
              <w:right w:w="150" w:type="dxa"/>
            </w:tcMar>
          </w:tcPr>
          <w:p>
            <w:r>
              <w:rPr>
                <w:sz w:val="19"/>
              </w:rPr>
              <w:t>date + index_name</w:t>
            </w:r>
          </w:p>
        </w:tc>
        <w:tc>
          <w:tcPr>
            <w:tcW w:type="dxa" w:w="1872"/>
            <w:shd w:fill="F2F5F8"/>
            <w:tcMar>
              <w:top w:w="80" w:type="dxa"/>
              <w:bottom w:w="80" w:type="dxa"/>
              <w:left w:w="150" w:type="dxa"/>
              <w:right w:w="150" w:type="dxa"/>
            </w:tcMar>
          </w:tcPr>
          <w:p>
            <w:r>
              <w:rPr>
                <w:sz w:val="19"/>
              </w:rPr>
              <w:t>object, float64</w:t>
            </w:r>
          </w:p>
        </w:tc>
        <w:tc>
          <w:tcPr>
            <w:tcW w:type="dxa" w:w="1872"/>
            <w:shd w:fill="F2F5F8"/>
            <w:tcMar>
              <w:top w:w="80" w:type="dxa"/>
              <w:bottom w:w="80" w:type="dxa"/>
              <w:left w:w="150" w:type="dxa"/>
              <w:right w:w="150" w:type="dxa"/>
            </w:tcMar>
          </w:tcPr>
          <w:p>
            <w:r>
              <w:rPr>
                <w:color w:val="2E7D32"/>
                <w:sz w:val="19"/>
              </w:rPr>
              <w:t>Clean</w:t>
            </w:r>
          </w:p>
        </w:tc>
      </w:tr>
    </w:tbl>
    <w:p>
      <w:pPr>
        <w:spacing w:before="480" w:after="120"/>
      </w:pPr>
      <w:r>
        <w:rPr>
          <w:b/>
          <w:color w:val="1F4E79"/>
          <w:sz w:val="28"/>
        </w:rPr>
        <w:t>3. Data Quality &amp; Anomalies Breakdown</w:t>
      </w:r>
    </w:p>
    <w:p>
      <w:r>
        <w:t>While profiling the real-world files, the datasets were found to be very high-quality. Here is the anomalies breakdown:</w:t>
      </w:r>
    </w:p>
    <w:p>
      <w:pPr>
        <w:spacing w:before="160" w:after="80"/>
      </w:pPr>
      <w:r>
        <w:rPr>
          <w:b/>
          <w:color w:val="708090"/>
          <w:sz w:val="24"/>
        </w:rPr>
        <w:t>A. Missing (Null) Values</w:t>
      </w:r>
    </w:p>
    <w:p>
      <w:pPr>
        <w:pStyle w:val="ListBullet"/>
      </w:pPr>
      <w:r>
        <w:rPr>
          <w:b/>
        </w:rPr>
        <w:t xml:space="preserve">04_monthly_sip_inflows.csv: </w:t>
      </w:r>
      <w:r>
        <w:t xml:space="preserve">Contains </w:t>
      </w:r>
      <w:r>
        <w:rPr>
          <w:b/>
        </w:rPr>
        <w:t>12 null values</w:t>
      </w:r>
      <w:r>
        <w:t xml:space="preserve"> in the yoy_growth_pct column. This is a mathematically expected anomaly because YoY growth calculations require previous year's baseline data which is unavailable for 2022.</w:t>
      </w:r>
    </w:p>
    <w:p>
      <w:pPr>
        <w:spacing w:before="240" w:after="80"/>
      </w:pPr>
      <w:r>
        <w:rPr>
          <w:b/>
          <w:color w:val="708090"/>
          <w:sz w:val="24"/>
        </w:rPr>
        <w:t>B. Duplicate Records</w:t>
      </w:r>
    </w:p>
    <w:p>
      <w:pPr>
        <w:pStyle w:val="ListBullet"/>
      </w:pPr>
      <w:r>
        <w:rPr>
          <w:b/>
        </w:rPr>
        <w:t xml:space="preserve">All CSV Files: </w:t>
      </w:r>
      <w:r>
        <w:t>No duplicate rows were found in any of the 10 real-world datasets. Relational key boundaries are completely unique.</w:t>
      </w:r>
    </w:p>
    <w:p>
      <w:pPr>
        <w:spacing w:before="240" w:after="80"/>
      </w:pPr>
      <w:r>
        <w:rPr>
          <w:b/>
          <w:color w:val="708090"/>
          <w:sz w:val="24"/>
        </w:rPr>
        <w:t>C. Portfolio Holdings representation</w:t>
      </w:r>
    </w:p>
    <w:p>
      <w:pPr>
        <w:pStyle w:val="ListBullet"/>
      </w:pPr>
      <w:r>
        <w:rPr>
          <w:b/>
        </w:rPr>
        <w:t xml:space="preserve">09_portfolio_holdings.csv: </w:t>
      </w:r>
      <w:r>
        <w:t>Only 34 unique AMFI codes are present (out of the 40). This is accurate as portfolio equity weights are only tracked for equity and index schemes, and naturally exclude the 6 debt/liquid schemes.</w:t>
      </w:r>
    </w:p>
    <w:p>
      <w:pPr>
        <w:spacing w:before="360" w:after="120"/>
      </w:pPr>
      <w:r>
        <w:rPr>
          <w:b/>
          <w:color w:val="1F4E79"/>
          <w:sz w:val="28"/>
        </w:rPr>
        <w:t>4. AMFI Code Integrity &amp; Cross-Validation</w:t>
      </w:r>
    </w:p>
    <w:p>
      <w:r>
        <w:t>The AMFI Scheme Code is our natural key to join static metadata with prices or transactions. I ran a relational consistency check between 01_fund_master.csv and 02_nav_history.csv:</w:t>
      </w:r>
    </w:p>
    <w:p>
      <w:pPr>
        <w:pStyle w:val="ListBullet"/>
      </w:pPr>
      <w:r>
        <w:rPr>
          <w:b/>
        </w:rPr>
        <w:t xml:space="preserve">Unique Master Codes: </w:t>
      </w:r>
      <w:r>
        <w:t>40 unique scheme codes detected.</w:t>
      </w:r>
    </w:p>
    <w:p>
      <w:pPr>
        <w:pStyle w:val="ListBullet"/>
      </w:pPr>
      <w:r>
        <w:rPr>
          <w:b/>
        </w:rPr>
        <w:t xml:space="preserve">Unique NAV Codes: </w:t>
      </w:r>
      <w:r>
        <w:t>40 unique scheme codes detected.</w:t>
      </w:r>
    </w:p>
    <w:tbl>
      <w:tblPr>
        <w:tblStyle w:val="TableGrid"/>
        <w:tblW w:type="auto" w:w="0"/>
        <w:tblLook w:firstColumn="1" w:firstRow="1" w:lastColumn="0" w:lastRow="0" w:noHBand="0" w:noVBand="1" w:val="04A0"/>
      </w:tblPr>
      <w:tblGrid>
        <w:gridCol w:w="9360"/>
      </w:tblGrid>
      <w:tr>
        <w:tc>
          <w:tcPr>
            <w:tcW w:type="dxa" w:w="9360"/>
            <w:shd w:fill="E8F8F5"/>
            <w:tcMar>
              <w:top w:w="150" w:type="dxa"/>
              <w:bottom w:w="150" w:type="dxa"/>
              <w:left w:w="200" w:type="dxa"/>
              <w:right w:w="200" w:type="dxa"/>
            </w:tcMar>
          </w:tcPr>
          <w:p>
            <w:pPr>
              <w:spacing w:after="0"/>
            </w:pPr>
            <w:r>
              <w:rPr>
                <w:b/>
                <w:color w:val="2E7D32"/>
                <w:sz w:val="21"/>
              </w:rPr>
              <w:t>SUCCESS ON RELATIONSHIPS:</w:t>
              <w:br/>
            </w:r>
            <w:r>
              <w:rPr>
                <w:sz w:val="20"/>
              </w:rPr>
              <w:t>Relational integrity check shows 100% SUCCESS. Every single AMFI code listed in the master file has associated historical prices in the daily NAV history, and there are no orphan codes. This ensures a clean star schema.</w:t>
            </w:r>
          </w:p>
        </w:tc>
      </w:tr>
    </w:tbl>
    <w:p>
      <w:pPr>
        <w:spacing w:before="160"/>
      </w:pPr>
    </w:p>
    <w:p>
      <w:pPr>
        <w:spacing w:before="360" w:after="120"/>
      </w:pPr>
      <w:r>
        <w:rPr>
          <w:b/>
          <w:color w:val="1F4E79"/>
          <w:sz w:val="28"/>
        </w:rPr>
        <w:t>5. Live Ingestion Results from API (mfapi.in)</w:t>
      </w:r>
    </w:p>
    <w:p>
      <w:r>
        <w:t>I ran the API tool (live_nav_fetch.py) to connect to the open API at https://api.mfapi.in and grab live NAV records. The script succeeded with 100% retrieval rate and saved CSV files under data/raw/:</w:t>
      </w:r>
    </w:p>
    <w:p>
      <w:pPr>
        <w:pStyle w:val="ListBullet"/>
      </w:pPr>
      <w:r>
        <w:rPr>
          <w:b/>
        </w:rPr>
        <w:t>HDFC Top 100 Direct (125497)</w:t>
      </w:r>
      <w:r>
        <w:t xml:space="preserve"> -&gt; hdfc_top_100_direct_nav.csv (3,091 daily rows)</w:t>
      </w:r>
    </w:p>
    <w:p>
      <w:pPr>
        <w:pStyle w:val="ListBullet"/>
      </w:pPr>
      <w:r>
        <w:rPr>
          <w:b/>
        </w:rPr>
        <w:t>SBI Bluechip (119551)</w:t>
      </w:r>
      <w:r>
        <w:t xml:space="preserve"> -&gt; sbi_bluechip_nav.csv (3,236 daily rows)</w:t>
      </w:r>
    </w:p>
    <w:p>
      <w:pPr>
        <w:pStyle w:val="ListBullet"/>
      </w:pPr>
      <w:r>
        <w:rPr>
          <w:b/>
        </w:rPr>
        <w:t>ICICI Prudential Bluechip (120503)</w:t>
      </w:r>
      <w:r>
        <w:t xml:space="preserve"> -&gt; icici_bluechip_nav.csv (3,307 daily rows)</w:t>
      </w:r>
    </w:p>
    <w:p>
      <w:pPr>
        <w:pStyle w:val="ListBullet"/>
      </w:pPr>
      <w:r>
        <w:rPr>
          <w:b/>
        </w:rPr>
        <w:t>Nippon India Large Cap (118632)</w:t>
      </w:r>
      <w:r>
        <w:t xml:space="preserve"> -&gt; nippon_large_cap_nav.csv (3,298 daily rows)</w:t>
      </w:r>
    </w:p>
    <w:p>
      <w:pPr>
        <w:pStyle w:val="ListBullet"/>
      </w:pPr>
      <w:r>
        <w:rPr>
          <w:b/>
        </w:rPr>
        <w:t>Axis Bluechip (119092)</w:t>
      </w:r>
      <w:r>
        <w:t xml:space="preserve"> -&gt; axis_bluechip_nav.csv (3,565 daily rows)</w:t>
      </w:r>
    </w:p>
    <w:p>
      <w:pPr>
        <w:pStyle w:val="ListBullet"/>
      </w:pPr>
      <w:r>
        <w:rPr>
          <w:b/>
        </w:rPr>
        <w:t>Kotak Bluechip (120841)</w:t>
      </w:r>
      <w:r>
        <w:t xml:space="preserve"> -&gt; kotak_bluechip_nav.csv (3,301 daily rows)</w:t>
      </w:r>
    </w:p>
    <w:p>
      <w:pPr>
        <w:spacing w:before="360" w:after="120"/>
      </w:pPr>
      <w:r>
        <w:rPr>
          <w:b/>
          <w:color w:val="1F4E79"/>
          <w:sz w:val="28"/>
        </w:rPr>
        <w:t>6. What's Next (Day 2 Plans)</w:t>
      </w:r>
    </w:p>
    <w:p>
      <w:r>
        <w:t>To get these files ready for our database and dashboards, my plan for Day 2 is to:</w:t>
      </w:r>
    </w:p>
    <w:p>
      <w:pPr>
        <w:pStyle w:val="ListBullet"/>
      </w:pPr>
      <w:r>
        <w:rPr>
          <w:b/>
        </w:rPr>
        <w:t xml:space="preserve">Harmonize Dates: </w:t>
      </w:r>
      <w:r>
        <w:t>Ensure all date fields across datasets are parsed into standard YYYY-MM-DD format.</w:t>
      </w:r>
    </w:p>
    <w:p>
      <w:pPr>
        <w:pStyle w:val="ListBullet"/>
      </w:pPr>
      <w:r>
        <w:rPr>
          <w:b/>
        </w:rPr>
        <w:t xml:space="preserve">SQLite Relational Design: </w:t>
      </w:r>
      <w:r>
        <w:t>Write DDL statements in sql/schema.sql to set up a normalized star schema in SQLite (bluestock_mf.db).</w:t>
      </w:r>
    </w:p>
    <w:p>
      <w:pPr>
        <w:pStyle w:val="ListBullet"/>
      </w:pPr>
      <w:r>
        <w:rPr>
          <w:b/>
        </w:rPr>
        <w:t xml:space="preserve">Load Data via SQLAlchemy: </w:t>
      </w:r>
      <w:r>
        <w:t>Implement an automated load step in Python to populate all 10 datasets into the SQLite database.</w:t>
      </w:r>
    </w:p>
    <w:p>
      <w:pPr>
        <w:pStyle w:val="ListBullet"/>
      </w:pPr>
      <w:r>
        <w:rPr>
          <w:b/>
        </w:rPr>
        <w:t xml:space="preserve">Analytical SQL Verification: </w:t>
      </w:r>
      <w:r>
        <w:t>Run the 10 core analytics queries to verify relations and calculations, saving SQL queries in sql/queries.sql.</w:t>
      </w:r>
    </w:p>
    <w:p>
      <w:r>
        <w:t>Overall, the setup and ingestion went really well today. The provided datasets are very clean and robust. Let me know if you have any questions or want me to proceed with Day 2 database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